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03A3A6" w14:textId="5DD39F83" w:rsidR="00AB0BA0" w:rsidRPr="009C21C5" w:rsidRDefault="0087708D" w:rsidP="009C21C5">
      <w:pPr>
        <w:pStyle w:val="TechnicalBlock"/>
        <w:ind w:left="-1134" w:right="-1134"/>
      </w:pPr>
      <w:bookmarkStart w:id="0" w:name="DW_BM_COVERPAGE"/>
      <w:r>
        <w:rPr>
          <w:lang w:val="en-US"/>
        </w:rPr>
        <w:drawing>
          <wp:inline distT="0" distB="0" distL="0" distR="0" wp14:anchorId="51BF93EA" wp14:editId="1E3E79CE">
            <wp:extent cx="7219950" cy="5852160"/>
            <wp:effectExtent l="0" t="0" r="0" b="0"/>
            <wp:docPr id="1" name="Picture 1" descr="Document Cover Page.&#10;Document Number: 11624/23.&#10;Subject Codes: ENV 826 COMPET 739 SAN 448 MI 600 IND 374 CONSOM 267 ENT 158 FOOD 57 AGRI 383 CODEC 1320.&#10;Heading: PROPOSAL.&#10;Originator: Secretary-General of the European Commission, signed by Ms Martine DEPREZ, Director.&#10;Recipient: Ms Thérèse BLANCHET, Secretary-General of the Council of the European Union.&#10;Subject: Proposal for a DIRECTIVE OF THE EUROPEAN PARLIAMENT AND OF THE COUNCIL amending Directive 2008/98/EC on waste.&#10;Commission Document Number: COM(2023) 420 final.&#10;Preceeding Document Number: Not Set.&#10;Location: Brussels.&#10;Date: 7 July 2023.&#10;Interinstitutional Files: 2023/0234(COD).&#10;Institutional Framework: Council of the European Union.&#10;Language: EN.&#10;Distribution Code: PUBLIC.&#10;GUID: 5503802684747287468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 Cover Page.&#10;Document Number: 11624/23.&#10;Subject Codes: ENV 826 COMPET 739 SAN 448 MI 600 IND 374 CONSOM 267 ENT 158 FOOD 57 AGRI 383 CODEC 1320.&#10;Heading: PROPOSAL.&#10;Originator: Secretary-General of the European Commission, signed by Ms Martine DEPREZ, Director.&#10;Recipient: Ms Thérèse BLANCHET, Secretary-General of the Council of the European Union.&#10;Subject: Proposal for a DIRECTIVE OF THE EUROPEAN PARLIAMENT AND OF THE COUNCIL amending Directive 2008/98/EC on waste.&#10;Commission Document Number: COM(2023) 420 final.&#10;Preceeding Document Number: Not Set.&#10;Location: Brussels.&#10;Date: 7 July 2023.&#10;Interinstitutional Files: 2023/0234(COD).&#10;Institutional Framework: Council of the European Union.&#10;Language: EN.&#10;Distribution Code: PUBLIC.&#10;GUID: 5503802684747287468_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19950" cy="5852160"/>
                    </a:xfrm>
                    <a:prstGeom prst="rect">
                      <a:avLst/>
                    </a:prstGeom>
                    <a:noFill/>
                    <a:ln>
                      <a:noFill/>
                    </a:ln>
                  </pic:spPr>
                </pic:pic>
              </a:graphicData>
            </a:graphic>
          </wp:inline>
        </w:drawing>
      </w:r>
      <w:bookmarkEnd w:id="0"/>
    </w:p>
    <w:p w14:paraId="26D887BC" w14:textId="743AD03F" w:rsidR="00AB0BA0" w:rsidRDefault="00AB0BA0" w:rsidP="009C21C5">
      <w:pPr>
        <w:pStyle w:val="EntText"/>
        <w:spacing w:before="480"/>
      </w:pPr>
      <w:r w:rsidRPr="00AB0BA0">
        <w:t xml:space="preserve">Delegations will find attached document </w:t>
      </w:r>
      <w:r>
        <w:fldChar w:fldCharType="begin"/>
      </w:r>
      <w:r>
        <w:instrText xml:space="preserve"> QUOTE "</w:instrText>
      </w:r>
      <w:r>
        <w:fldChar w:fldCharType="begin">
          <w:fldData xml:space="preserve">QwBvAG0AbQBEAG8AYwBzAHwAUwBMAA==
</w:fldData>
        </w:fldChar>
      </w:r>
      <w:r>
        <w:instrText xml:space="preserve"> ADDIN "DocuWrite metadata link" </w:instrText>
      </w:r>
      <w:r>
        <w:fldChar w:fldCharType="end"/>
      </w:r>
      <w:r w:rsidR="009C21C5" w:rsidRPr="009C21C5">
        <w:instrText>COM(2023) 420 final</w:instrText>
      </w:r>
      <w:r>
        <w:instrText xml:space="preserve">" </w:instrText>
      </w:r>
      <w:r>
        <w:fldChar w:fldCharType="separate"/>
      </w:r>
      <w:r w:rsidR="009C21C5" w:rsidRPr="009C21C5">
        <w:t>COM(2023) 420 final</w:t>
      </w:r>
      <w:r>
        <w:fldChar w:fldCharType="end"/>
      </w:r>
      <w:r w:rsidRPr="00AB0BA0">
        <w:t>.</w:t>
      </w:r>
    </w:p>
    <w:p w14:paraId="7C475024" w14:textId="77777777" w:rsidR="00AB0BA0" w:rsidRDefault="00AB0BA0" w:rsidP="00AB0BA0">
      <w:pPr>
        <w:pStyle w:val="Lignefinal"/>
      </w:pPr>
    </w:p>
    <w:p w14:paraId="511797BC" w14:textId="3BA34987" w:rsidR="00AB0BA0" w:rsidRDefault="00AB0BA0" w:rsidP="009C21C5">
      <w:pPr>
        <w:pStyle w:val="pj"/>
        <w:spacing w:before="120"/>
      </w:pPr>
      <w:r w:rsidRPr="00AB0BA0">
        <w:t xml:space="preserve">Encl.: </w:t>
      </w:r>
      <w:r>
        <w:fldChar w:fldCharType="begin"/>
      </w:r>
      <w:r>
        <w:instrText xml:space="preserve"> QUOTE "</w:instrText>
      </w:r>
      <w:r>
        <w:fldChar w:fldCharType="begin">
          <w:fldData xml:space="preserve">QwBvAG0AbQBEAG8AYwBzAHwAUwBMAA==
</w:fldData>
        </w:fldChar>
      </w:r>
      <w:r>
        <w:instrText xml:space="preserve"> ADDIN "DocuWrite metadata link" </w:instrText>
      </w:r>
      <w:r>
        <w:fldChar w:fldCharType="end"/>
      </w:r>
      <w:r w:rsidR="009C21C5" w:rsidRPr="009C21C5">
        <w:instrText>COM(2023) 420 final</w:instrText>
      </w:r>
      <w:r>
        <w:instrText xml:space="preserve">" </w:instrText>
      </w:r>
      <w:r>
        <w:fldChar w:fldCharType="separate"/>
      </w:r>
      <w:r w:rsidR="009C21C5" w:rsidRPr="009C21C5">
        <w:t>COM(2023) 420 final</w:t>
      </w:r>
      <w:r>
        <w:fldChar w:fldCharType="end"/>
      </w:r>
    </w:p>
    <w:p w14:paraId="14B2E59D" w14:textId="0F97E422" w:rsidR="00AB0BA0" w:rsidRPr="00AB0BA0" w:rsidRDefault="00AB0BA0" w:rsidP="00AB0BA0"/>
    <w:p w14:paraId="16B14D37" w14:textId="77777777" w:rsidR="00AB0BA0" w:rsidRDefault="00AB0BA0" w:rsidP="00AB0BA0">
      <w:pPr>
        <w:rPr>
          <w:noProof/>
          <w:lang w:val="en-IE"/>
        </w:rPr>
        <w:sectPr w:rsidR="00AB0BA0" w:rsidSect="009C21C5">
          <w:headerReference w:type="even" r:id="rId9"/>
          <w:headerReference w:type="default" r:id="rId10"/>
          <w:footerReference w:type="even" r:id="rId11"/>
          <w:footerReference w:type="default" r:id="rId12"/>
          <w:headerReference w:type="first" r:id="rId13"/>
          <w:footerReference w:type="first" r:id="rId14"/>
          <w:pgSz w:w="11907" w:h="16839"/>
          <w:pgMar w:top="624" w:right="1134" w:bottom="1134" w:left="1134" w:header="567" w:footer="567" w:gutter="0"/>
          <w:pgNumType w:start="0"/>
          <w:cols w:space="720"/>
          <w:titlePg/>
          <w:docGrid w:linePitch="360"/>
        </w:sectPr>
      </w:pPr>
    </w:p>
    <w:p w14:paraId="3D00997D" w14:textId="1BC4C489" w:rsidR="00BD152F" w:rsidRPr="00E50A7A" w:rsidRDefault="0087708D" w:rsidP="001F75A6">
      <w:pPr>
        <w:pStyle w:val="Pagedecouverture"/>
        <w:rPr>
          <w:noProof/>
          <w:lang w:val="en-IE"/>
        </w:rPr>
      </w:pPr>
      <w:r>
        <w:rPr>
          <w:noProof/>
          <w:lang w:val="en-US"/>
        </w:rPr>
        <w:lastRenderedPageBreak/>
        <w:drawing>
          <wp:inline distT="0" distB="0" distL="0" distR="0" wp14:anchorId="07E41FB5" wp14:editId="05F4CF63">
            <wp:extent cx="5780405" cy="5255895"/>
            <wp:effectExtent l="0" t="0" r="0" b="1905"/>
            <wp:docPr id="2" name="Picture 2" descr="B958BF7B-0086-4B11-9E1C-E3ECC233BA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958BF7B-0086-4B11-9E1C-E3ECC233BA5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80405" cy="5255895"/>
                    </a:xfrm>
                    <a:prstGeom prst="rect">
                      <a:avLst/>
                    </a:prstGeom>
                    <a:noFill/>
                    <a:ln>
                      <a:noFill/>
                    </a:ln>
                  </pic:spPr>
                </pic:pic>
              </a:graphicData>
            </a:graphic>
          </wp:inline>
        </w:drawing>
      </w:r>
    </w:p>
    <w:p w14:paraId="5B0D1B90" w14:textId="77777777" w:rsidR="00BD152F" w:rsidRPr="00E50A7A" w:rsidRDefault="00BD152F" w:rsidP="00BD152F">
      <w:pPr>
        <w:rPr>
          <w:noProof/>
          <w:lang w:val="en-IE"/>
        </w:rPr>
        <w:sectPr w:rsidR="00BD152F" w:rsidRPr="00E50A7A" w:rsidSect="001F75A6">
          <w:headerReference w:type="even" r:id="rId16"/>
          <w:headerReference w:type="default" r:id="rId17"/>
          <w:footerReference w:type="even" r:id="rId18"/>
          <w:footerReference w:type="default" r:id="rId19"/>
          <w:headerReference w:type="first" r:id="rId20"/>
          <w:footerReference w:type="first" r:id="rId21"/>
          <w:pgSz w:w="11907" w:h="16839"/>
          <w:pgMar w:top="1134" w:right="1417" w:bottom="1134" w:left="1417" w:header="709" w:footer="709" w:gutter="0"/>
          <w:pgNumType w:start="0"/>
          <w:cols w:space="720"/>
          <w:docGrid w:linePitch="360"/>
        </w:sectPr>
      </w:pPr>
    </w:p>
    <w:p w14:paraId="20E74446" w14:textId="77777777" w:rsidR="00BD152F" w:rsidRPr="00E50A7A" w:rsidRDefault="00BD152F" w:rsidP="00B00391">
      <w:pPr>
        <w:pStyle w:val="Exposdesmotifstitre"/>
        <w:rPr>
          <w:noProof/>
          <w:lang w:val="en-IE"/>
        </w:rPr>
      </w:pPr>
      <w:r w:rsidRPr="00E50A7A">
        <w:rPr>
          <w:noProof/>
          <w:lang w:val="en-IE"/>
        </w:rPr>
        <w:lastRenderedPageBreak/>
        <w:t>EXPLANATORY MEMORANDUM</w:t>
      </w:r>
    </w:p>
    <w:p w14:paraId="6332E68D" w14:textId="77777777" w:rsidR="00BD152F" w:rsidRPr="00E50A7A" w:rsidRDefault="00BD152F" w:rsidP="00B00391">
      <w:pPr>
        <w:pStyle w:val="ManualHeading1"/>
        <w:rPr>
          <w:noProof/>
          <w:lang w:val="en-IE"/>
        </w:rPr>
      </w:pPr>
      <w:r w:rsidRPr="00E50A7A">
        <w:rPr>
          <w:noProof/>
          <w:lang w:val="en-IE"/>
        </w:rPr>
        <w:t>1.</w:t>
      </w:r>
      <w:r w:rsidRPr="00E50A7A">
        <w:rPr>
          <w:noProof/>
          <w:lang w:val="en-IE"/>
        </w:rPr>
        <w:tab/>
        <w:t>CONTEXT OF THE PROPOSAL</w:t>
      </w:r>
    </w:p>
    <w:p w14:paraId="32C3A71C" w14:textId="77777777" w:rsidR="00BD152F" w:rsidRPr="00E50A7A" w:rsidRDefault="00BD152F" w:rsidP="00B00391">
      <w:pPr>
        <w:pStyle w:val="ManualHeading2"/>
        <w:rPr>
          <w:rFonts w:eastAsia="Arial Unicode MS"/>
          <w:noProof/>
          <w:lang w:val="en-IE"/>
        </w:rPr>
      </w:pPr>
      <w:r w:rsidRPr="00E50A7A">
        <w:rPr>
          <w:rFonts w:eastAsia="Arial Unicode MS"/>
          <w:noProof/>
          <w:color w:val="000000"/>
          <w:u w:color="000000"/>
          <w:bdr w:val="nil"/>
          <w:lang w:val="en-IE" w:eastAsia="en-GB"/>
        </w:rPr>
        <w:t>•</w:t>
      </w:r>
      <w:r w:rsidRPr="00E50A7A">
        <w:rPr>
          <w:rFonts w:eastAsia="Arial Unicode MS"/>
          <w:noProof/>
          <w:color w:val="000000"/>
          <w:u w:color="000000"/>
          <w:bdr w:val="nil"/>
          <w:lang w:val="en-IE" w:eastAsia="en-GB"/>
        </w:rPr>
        <w:tab/>
      </w:r>
      <w:r w:rsidRPr="00E50A7A">
        <w:rPr>
          <w:rFonts w:eastAsia="Arial Unicode MS"/>
          <w:noProof/>
          <w:lang w:val="en-IE"/>
        </w:rPr>
        <w:t>Reasons for and objectives of the proposal</w:t>
      </w:r>
    </w:p>
    <w:p w14:paraId="16EEA8A1" w14:textId="449002BD" w:rsidR="00876A2B" w:rsidRPr="00E50A7A" w:rsidRDefault="00876A2B" w:rsidP="00876A2B">
      <w:pPr>
        <w:rPr>
          <w:rStyle w:val="normaltextrun"/>
          <w:noProof/>
          <w:lang w:val="en-IE"/>
        </w:rPr>
      </w:pPr>
      <w:r w:rsidRPr="00E50A7A">
        <w:rPr>
          <w:noProof/>
          <w:lang w:val="en-IE"/>
        </w:rPr>
        <w:t>The European Green Deal</w:t>
      </w:r>
      <w:r w:rsidR="00B24CA9">
        <w:rPr>
          <w:rStyle w:val="FootnoteReference"/>
          <w:noProof/>
          <w:lang w:val="en-IE"/>
        </w:rPr>
        <w:footnoteReference w:id="2"/>
      </w:r>
      <w:r w:rsidRPr="00E50A7A">
        <w:rPr>
          <w:noProof/>
          <w:lang w:val="en-IE"/>
        </w:rPr>
        <w:t xml:space="preserve"> and the Circular Economy Action Plan</w:t>
      </w:r>
      <w:r w:rsidR="00B24CA9">
        <w:rPr>
          <w:rStyle w:val="FootnoteReference"/>
          <w:noProof/>
          <w:lang w:val="en-IE"/>
        </w:rPr>
        <w:footnoteReference w:id="3"/>
      </w:r>
      <w:r w:rsidR="00CC0C0C">
        <w:rPr>
          <w:noProof/>
          <w:lang w:val="en-IE"/>
        </w:rPr>
        <w:t xml:space="preserve"> </w:t>
      </w:r>
      <w:r w:rsidRPr="00E50A7A">
        <w:rPr>
          <w:noProof/>
          <w:lang w:val="en-IE"/>
        </w:rPr>
        <w:t>call for reinforced and accelerated EU and Member State action to ensure environmental sustainability of the textiles and food sectors as they represent top resource intensive sectors causing significant negative environmental externalities, where financing and technological gaps impede progress towards the transition to a circular economy and decarbonisation. Food and textiles are the first and the fourth most resource intensive sectors respectively</w:t>
      </w:r>
      <w:r w:rsidR="00B24CA9">
        <w:rPr>
          <w:rStyle w:val="FootnoteReference"/>
          <w:noProof/>
          <w:lang w:val="en-IE"/>
        </w:rPr>
        <w:footnoteReference w:id="4"/>
      </w:r>
      <w:r w:rsidR="00CC0C0C">
        <w:rPr>
          <w:noProof/>
          <w:lang w:val="en-IE"/>
        </w:rPr>
        <w:t xml:space="preserve"> </w:t>
      </w:r>
      <w:r w:rsidRPr="00E50A7A">
        <w:rPr>
          <w:noProof/>
          <w:lang w:val="en-IE"/>
        </w:rPr>
        <w:t xml:space="preserve">and that do not fully adhere to the fundamental EU waste management principles set out by the waste hierarchy which require the prioritisation of waste prevention followed by preparation for re-use and recycling. Reflecting on the commitments made, </w:t>
      </w:r>
      <w:r w:rsidRPr="00E50A7A">
        <w:rPr>
          <w:rStyle w:val="normaltextrun"/>
          <w:noProof/>
          <w:lang w:val="en-IE"/>
        </w:rPr>
        <w:t>this proposal to amend the Waste Framework Directive (WFD)</w:t>
      </w:r>
      <w:r w:rsidRPr="00E50A7A">
        <w:rPr>
          <w:rStyle w:val="FootnoteReference"/>
          <w:noProof/>
          <w:lang w:val="en-IE"/>
        </w:rPr>
        <w:footnoteReference w:id="5"/>
      </w:r>
      <w:r w:rsidRPr="00E50A7A">
        <w:rPr>
          <w:rStyle w:val="normaltextrun"/>
          <w:noProof/>
          <w:lang w:val="en-IE"/>
        </w:rPr>
        <w:t xml:space="preserve"> focuses on two resource intensive sectors: textiles and food, with the following general objectives: </w:t>
      </w:r>
    </w:p>
    <w:p w14:paraId="5CC7D897" w14:textId="77777777" w:rsidR="00876A2B" w:rsidRPr="00E50A7A" w:rsidRDefault="00876A2B" w:rsidP="00C15960">
      <w:pPr>
        <w:pStyle w:val="Tiret0"/>
        <w:numPr>
          <w:ilvl w:val="0"/>
          <w:numId w:val="39"/>
        </w:numPr>
        <w:rPr>
          <w:rStyle w:val="normaltextrun"/>
          <w:noProof/>
          <w:lang w:val="en-IE"/>
        </w:rPr>
      </w:pPr>
      <w:r w:rsidRPr="00E50A7A">
        <w:rPr>
          <w:rStyle w:val="normaltextrun"/>
          <w:noProof/>
          <w:lang w:val="en-IE"/>
        </w:rPr>
        <w:t>To reduce environmental and climate impacts, increase environment quality and improve public health associated with textiles waste management in line with the waste hierarchy,</w:t>
      </w:r>
    </w:p>
    <w:p w14:paraId="79CD0A38" w14:textId="77777777" w:rsidR="00876A2B" w:rsidRPr="00E50A7A" w:rsidRDefault="00876A2B" w:rsidP="00016D72">
      <w:pPr>
        <w:pStyle w:val="Tiret0"/>
        <w:rPr>
          <w:rStyle w:val="normaltextrun"/>
          <w:noProof/>
          <w:lang w:val="en-IE"/>
        </w:rPr>
      </w:pPr>
      <w:r w:rsidRPr="00E50A7A">
        <w:rPr>
          <w:rStyle w:val="normaltextrun"/>
          <w:noProof/>
          <w:lang w:val="en-IE"/>
        </w:rPr>
        <w:t>To reduce the environmental and climate impacts of food systems associated with food waste generation. Preventing food waste would also contribute to food security.</w:t>
      </w:r>
    </w:p>
    <w:p w14:paraId="4A0DFFBA" w14:textId="77777777" w:rsidR="00AE43C7" w:rsidRPr="00E50A7A" w:rsidRDefault="00AE43C7" w:rsidP="00AE43C7">
      <w:pPr>
        <w:rPr>
          <w:rStyle w:val="normaltextrun"/>
          <w:i/>
          <w:iCs/>
          <w:noProof/>
          <w:lang w:val="en-IE"/>
        </w:rPr>
      </w:pPr>
      <w:r w:rsidRPr="00E50A7A">
        <w:rPr>
          <w:rStyle w:val="normaltextrun"/>
          <w:i/>
          <w:iCs/>
          <w:noProof/>
          <w:lang w:val="en-IE"/>
        </w:rPr>
        <w:t>Textile waste</w:t>
      </w:r>
    </w:p>
    <w:p w14:paraId="1618664E" w14:textId="77777777" w:rsidR="00AE43C7" w:rsidRPr="00E50A7A" w:rsidRDefault="00AE43C7" w:rsidP="0050683A">
      <w:pPr>
        <w:rPr>
          <w:rStyle w:val="normaltextrun"/>
          <w:noProof/>
          <w:color w:val="000000"/>
          <w:lang w:val="en-IE"/>
        </w:rPr>
      </w:pPr>
      <w:r w:rsidRPr="00E50A7A">
        <w:rPr>
          <w:rStyle w:val="normaltextrun"/>
          <w:noProof/>
          <w:lang w:val="en-IE"/>
        </w:rPr>
        <w:t>D</w:t>
      </w:r>
      <w:r w:rsidR="0050683A" w:rsidRPr="00E50A7A">
        <w:rPr>
          <w:rStyle w:val="normaltextrun"/>
          <w:noProof/>
          <w:lang w:val="en-IE"/>
        </w:rPr>
        <w:t>espite waste prevention being a key objective of the WFD</w:t>
      </w:r>
      <w:r w:rsidR="0050683A" w:rsidRPr="00E50A7A">
        <w:rPr>
          <w:rStyle w:val="normaltextrun"/>
          <w:noProof/>
          <w:color w:val="000000"/>
          <w:sz w:val="19"/>
          <w:szCs w:val="19"/>
          <w:vertAlign w:val="superscript"/>
          <w:lang w:val="en-IE"/>
        </w:rPr>
        <w:t xml:space="preserve"> </w:t>
      </w:r>
      <w:r w:rsidR="0050683A" w:rsidRPr="00E50A7A">
        <w:rPr>
          <w:rStyle w:val="normaltextrun"/>
          <w:noProof/>
          <w:lang w:val="en-IE"/>
        </w:rPr>
        <w:t xml:space="preserve">and the implementation efforts at national level including by private actors, </w:t>
      </w:r>
      <w:r w:rsidR="00A27E50" w:rsidRPr="00E50A7A">
        <w:rPr>
          <w:rStyle w:val="normaltextrun"/>
          <w:noProof/>
          <w:lang w:val="en-IE"/>
        </w:rPr>
        <w:t xml:space="preserve">general </w:t>
      </w:r>
      <w:r w:rsidR="0050683A" w:rsidRPr="00E50A7A">
        <w:rPr>
          <w:rStyle w:val="normaltextrun"/>
          <w:noProof/>
          <w:lang w:val="en-IE"/>
        </w:rPr>
        <w:t>waste generation continues to increase and only a ‘relative decoupling’ of waste generation from economic growth can be observed</w:t>
      </w:r>
      <w:r w:rsidR="0050683A" w:rsidRPr="00E50A7A">
        <w:rPr>
          <w:rStyle w:val="FootnoteReference"/>
          <w:noProof/>
          <w:lang w:val="en-IE"/>
        </w:rPr>
        <w:footnoteReference w:id="6"/>
      </w:r>
      <w:r w:rsidR="0050683A" w:rsidRPr="00E50A7A">
        <w:rPr>
          <w:rStyle w:val="normaltextrun"/>
          <w:noProof/>
          <w:lang w:val="en-IE"/>
        </w:rPr>
        <w:t>. Th</w:t>
      </w:r>
      <w:r w:rsidRPr="00E50A7A">
        <w:rPr>
          <w:rStyle w:val="normaltextrun"/>
          <w:noProof/>
          <w:lang w:val="en-IE"/>
        </w:rPr>
        <w:t xml:space="preserve">is </w:t>
      </w:r>
      <w:r w:rsidR="0050683A" w:rsidRPr="00E50A7A">
        <w:rPr>
          <w:rStyle w:val="normaltextrun"/>
          <w:noProof/>
          <w:lang w:val="en-IE"/>
        </w:rPr>
        <w:t xml:space="preserve">trend </w:t>
      </w:r>
      <w:r w:rsidR="00A27E50" w:rsidRPr="00E50A7A">
        <w:rPr>
          <w:rStyle w:val="normaltextrun"/>
          <w:noProof/>
          <w:lang w:val="en-IE"/>
        </w:rPr>
        <w:t xml:space="preserve">for overall waste can also be observed for textile waste. It </w:t>
      </w:r>
      <w:r w:rsidRPr="00E50A7A">
        <w:rPr>
          <w:rStyle w:val="normaltextrun"/>
          <w:noProof/>
          <w:lang w:val="en-IE"/>
        </w:rPr>
        <w:t>is</w:t>
      </w:r>
      <w:r w:rsidR="00A27E50" w:rsidRPr="00E50A7A">
        <w:rPr>
          <w:rStyle w:val="normaltextrun"/>
          <w:noProof/>
          <w:lang w:val="en-IE"/>
        </w:rPr>
        <w:t>, however,</w:t>
      </w:r>
      <w:r w:rsidR="0050683A" w:rsidRPr="00E50A7A">
        <w:rPr>
          <w:rStyle w:val="normaltextrun"/>
          <w:noProof/>
          <w:lang w:val="en-IE"/>
        </w:rPr>
        <w:t xml:space="preserve"> exacerbate</w:t>
      </w:r>
      <w:r w:rsidRPr="00E50A7A">
        <w:rPr>
          <w:rStyle w:val="normaltextrun"/>
          <w:noProof/>
          <w:lang w:val="en-IE"/>
        </w:rPr>
        <w:t>d by the</w:t>
      </w:r>
      <w:r w:rsidR="0050683A" w:rsidRPr="00E50A7A">
        <w:rPr>
          <w:rStyle w:val="normaltextrun"/>
          <w:noProof/>
          <w:lang w:val="en-IE"/>
        </w:rPr>
        <w:t xml:space="preserve"> so-called ‘fast fashion’, which is characterised by more frequent fashion collections being placed on the market</w:t>
      </w:r>
      <w:r w:rsidR="0097087E" w:rsidRPr="00E50A7A">
        <w:rPr>
          <w:rStyle w:val="FootnoteReference"/>
          <w:noProof/>
          <w:lang w:val="en-IE"/>
        </w:rPr>
        <w:footnoteReference w:id="7"/>
      </w:r>
      <w:r w:rsidR="0050683A" w:rsidRPr="00E50A7A">
        <w:rPr>
          <w:rStyle w:val="normaltextrun"/>
          <w:noProof/>
          <w:lang w:val="en-IE"/>
        </w:rPr>
        <w:t xml:space="preserve"> with </w:t>
      </w:r>
      <w:r w:rsidR="0050683A" w:rsidRPr="00E50A7A">
        <w:rPr>
          <w:rStyle w:val="normaltextrun"/>
          <w:noProof/>
          <w:color w:val="000000"/>
          <w:lang w:val="en-IE"/>
        </w:rPr>
        <w:t>low-priced products</w:t>
      </w:r>
      <w:r w:rsidR="0050683A" w:rsidRPr="00E50A7A">
        <w:rPr>
          <w:rStyle w:val="normaltextrun"/>
          <w:noProof/>
          <w:lang w:val="en-IE"/>
        </w:rPr>
        <w:t xml:space="preserve"> </w:t>
      </w:r>
      <w:r w:rsidR="0050683A" w:rsidRPr="00E50A7A">
        <w:rPr>
          <w:rStyle w:val="normaltextrun"/>
          <w:noProof/>
          <w:color w:val="000000"/>
          <w:lang w:val="en-IE"/>
        </w:rPr>
        <w:t>that do not internalise environmental externalities</w:t>
      </w:r>
      <w:r w:rsidR="0097087E" w:rsidRPr="00E50A7A">
        <w:rPr>
          <w:rStyle w:val="FootnoteReference"/>
          <w:noProof/>
          <w:color w:val="000000"/>
          <w:lang w:val="en-IE"/>
        </w:rPr>
        <w:footnoteReference w:id="8"/>
      </w:r>
      <w:r w:rsidR="0050683A" w:rsidRPr="00E50A7A">
        <w:rPr>
          <w:rStyle w:val="normaltextrun"/>
          <w:noProof/>
          <w:color w:val="000000"/>
          <w:lang w:val="en-IE"/>
        </w:rPr>
        <w:t>, encourage customers to shop impulsively and incentivises purchasing larger quantities of clothes</w:t>
      </w:r>
      <w:r w:rsidR="0097087E" w:rsidRPr="00E50A7A">
        <w:rPr>
          <w:rStyle w:val="FootnoteReference"/>
          <w:noProof/>
          <w:color w:val="000000"/>
          <w:lang w:val="en-IE"/>
        </w:rPr>
        <w:footnoteReference w:id="9"/>
      </w:r>
      <w:r w:rsidR="0050683A" w:rsidRPr="00E50A7A">
        <w:rPr>
          <w:rStyle w:val="normaltextrun"/>
          <w:noProof/>
          <w:color w:val="000000"/>
          <w:lang w:val="en-IE"/>
        </w:rPr>
        <w:t>. This increasing textile consumption leads to increasing volumes of textile waste.</w:t>
      </w:r>
      <w:r w:rsidR="0050683A" w:rsidRPr="00E50A7A">
        <w:rPr>
          <w:rStyle w:val="normaltextrun"/>
          <w:noProof/>
          <w:color w:val="FF0000"/>
          <w:lang w:val="en-IE"/>
        </w:rPr>
        <w:t xml:space="preserve"> </w:t>
      </w:r>
      <w:r w:rsidR="0004185E" w:rsidRPr="00E50A7A">
        <w:rPr>
          <w:rStyle w:val="normaltextrun"/>
          <w:noProof/>
          <w:color w:val="000000"/>
          <w:lang w:val="en-IE"/>
        </w:rPr>
        <w:t xml:space="preserve">According to </w:t>
      </w:r>
      <w:r w:rsidR="00A10DCB" w:rsidRPr="00E50A7A">
        <w:rPr>
          <w:rStyle w:val="normaltextrun"/>
          <w:noProof/>
          <w:color w:val="000000"/>
          <w:lang w:val="en-IE"/>
        </w:rPr>
        <w:t>an ongoing study by the Joint Research Centre (JRC)</w:t>
      </w:r>
      <w:r w:rsidR="00B24CA9">
        <w:rPr>
          <w:rStyle w:val="FootnoteReference"/>
          <w:noProof/>
          <w:color w:val="000000"/>
          <w:lang w:val="en-IE"/>
        </w:rPr>
        <w:footnoteReference w:id="10"/>
      </w:r>
      <w:r w:rsidR="00A10DCB" w:rsidRPr="00E50A7A">
        <w:rPr>
          <w:rStyle w:val="normaltextrun"/>
          <w:noProof/>
          <w:color w:val="000000"/>
          <w:lang w:val="en-IE"/>
        </w:rPr>
        <w:t>, t</w:t>
      </w:r>
      <w:r w:rsidRPr="00E50A7A">
        <w:rPr>
          <w:rStyle w:val="normaltextrun"/>
          <w:noProof/>
          <w:color w:val="000000"/>
          <w:lang w:val="en-IE"/>
        </w:rPr>
        <w:t xml:space="preserve">otal textile waste, covering clothing and footwear, home textiles, technical textiles, and post-industrial and pre-consumer waste, in 2019 amounted to 12.6 </w:t>
      </w:r>
      <w:r w:rsidR="0075246A" w:rsidRPr="00E50A7A">
        <w:rPr>
          <w:rStyle w:val="normaltextrun"/>
          <w:noProof/>
          <w:color w:val="000000"/>
          <w:lang w:val="en-IE"/>
        </w:rPr>
        <w:t>million tonnes (</w:t>
      </w:r>
      <w:r w:rsidRPr="00E50A7A">
        <w:rPr>
          <w:rStyle w:val="normaltextrun"/>
          <w:noProof/>
          <w:color w:val="000000"/>
          <w:lang w:val="en-IE"/>
        </w:rPr>
        <w:t>Mt</w:t>
      </w:r>
      <w:r w:rsidR="0075246A" w:rsidRPr="00E50A7A">
        <w:rPr>
          <w:rStyle w:val="normaltextrun"/>
          <w:noProof/>
          <w:color w:val="000000"/>
          <w:lang w:val="en-IE"/>
        </w:rPr>
        <w:t>)</w:t>
      </w:r>
      <w:r w:rsidRPr="00E50A7A">
        <w:rPr>
          <w:rStyle w:val="normaltextrun"/>
          <w:noProof/>
          <w:color w:val="000000"/>
          <w:lang w:val="en-IE"/>
        </w:rPr>
        <w:t xml:space="preserve"> (10.9 Mt post-consumer waste and 1.7 Mt post-industrial and pre-consumer waste). Clothing and footwear waste amounted to 5.2 Mt, equivalent to 12 kg per person per year in the EU.</w:t>
      </w:r>
    </w:p>
    <w:p w14:paraId="411968BF" w14:textId="635884E1" w:rsidR="0050683A" w:rsidRPr="00B314C8" w:rsidRDefault="0087161A" w:rsidP="0050683A">
      <w:pPr>
        <w:rPr>
          <w:rFonts w:ascii="Segoe UI" w:hAnsi="Segoe UI" w:cs="Segoe UI"/>
          <w:noProof/>
          <w:sz w:val="18"/>
          <w:szCs w:val="18"/>
          <w:lang w:val="en-IE"/>
        </w:rPr>
      </w:pPr>
      <w:r w:rsidRPr="00E50A7A">
        <w:rPr>
          <w:rStyle w:val="normaltextrun"/>
          <w:noProof/>
          <w:color w:val="000000"/>
          <w:lang w:val="en-IE"/>
        </w:rPr>
        <w:lastRenderedPageBreak/>
        <w:t xml:space="preserve">According to a study from the Joint Research Centre </w:t>
      </w:r>
      <w:r w:rsidR="003E01A0" w:rsidRPr="00E50A7A">
        <w:rPr>
          <w:rStyle w:val="normaltextrun"/>
          <w:noProof/>
          <w:color w:val="000000"/>
          <w:lang w:val="en-IE"/>
        </w:rPr>
        <w:t>(</w:t>
      </w:r>
      <w:r w:rsidRPr="00E50A7A">
        <w:rPr>
          <w:rStyle w:val="normaltextrun"/>
          <w:noProof/>
          <w:color w:val="000000"/>
          <w:lang w:val="en-IE"/>
        </w:rPr>
        <w:t>JRC</w:t>
      </w:r>
      <w:r w:rsidR="003E01A0" w:rsidRPr="00E50A7A">
        <w:rPr>
          <w:rStyle w:val="normaltextrun"/>
          <w:noProof/>
          <w:color w:val="000000"/>
          <w:lang w:val="en-IE"/>
        </w:rPr>
        <w:t>)</w:t>
      </w:r>
      <w:r w:rsidRPr="00E50A7A">
        <w:rPr>
          <w:rStyle w:val="FootnoteReference"/>
          <w:noProof/>
          <w:color w:val="000000"/>
          <w:lang w:val="en-IE"/>
        </w:rPr>
        <w:footnoteReference w:id="11"/>
      </w:r>
      <w:r w:rsidRPr="00E50A7A">
        <w:rPr>
          <w:rStyle w:val="normaltextrun"/>
          <w:noProof/>
          <w:color w:val="000000"/>
          <w:lang w:val="en-IE"/>
        </w:rPr>
        <w:t xml:space="preserve">, </w:t>
      </w:r>
      <w:r w:rsidRPr="00E50A7A">
        <w:rPr>
          <w:rStyle w:val="normaltextrun"/>
          <w:noProof/>
          <w:lang w:val="en-IE"/>
        </w:rPr>
        <w:t>c</w:t>
      </w:r>
      <w:r w:rsidR="0050683A" w:rsidRPr="00E50A7A">
        <w:rPr>
          <w:rStyle w:val="normaltextrun"/>
          <w:noProof/>
          <w:lang w:val="en-IE"/>
        </w:rPr>
        <w:t>urrently, around 78% of the post-consumer textiles waste</w:t>
      </w:r>
      <w:r w:rsidRPr="00E50A7A">
        <w:rPr>
          <w:rStyle w:val="normaltextrun"/>
          <w:noProof/>
          <w:lang w:val="en-IE"/>
        </w:rPr>
        <w:t xml:space="preserve"> covering clothing and footwear, home textiles and technical textiles</w:t>
      </w:r>
      <w:r w:rsidR="0050683A" w:rsidRPr="00E50A7A">
        <w:rPr>
          <w:rStyle w:val="normaltextrun"/>
          <w:noProof/>
          <w:lang w:val="en-IE"/>
        </w:rPr>
        <w:t xml:space="preserve"> is not separately collected and ends up in mixed household waste, destined to be incinerated or landfilled. This </w:t>
      </w:r>
      <w:r w:rsidRPr="00E50A7A">
        <w:rPr>
          <w:rStyle w:val="normaltextrun"/>
          <w:noProof/>
          <w:lang w:val="en-IE"/>
        </w:rPr>
        <w:t xml:space="preserve">resource-inefficient waste management </w:t>
      </w:r>
      <w:r w:rsidR="0050683A" w:rsidRPr="00E50A7A">
        <w:rPr>
          <w:rStyle w:val="normaltextrun"/>
          <w:noProof/>
          <w:lang w:val="en-IE"/>
        </w:rPr>
        <w:t xml:space="preserve">is not in line with the waste hierarchy and leads to environmental harm in the EU and in third countries through excessive levels of </w:t>
      </w:r>
      <w:r w:rsidR="004151DC">
        <w:rPr>
          <w:rStyle w:val="normaltextrun"/>
          <w:noProof/>
          <w:lang w:val="en-IE"/>
        </w:rPr>
        <w:t>greenhouse gas (</w:t>
      </w:r>
      <w:r w:rsidR="0050683A" w:rsidRPr="00E50A7A">
        <w:rPr>
          <w:rStyle w:val="normaltextrun"/>
          <w:noProof/>
          <w:lang w:val="en-IE"/>
        </w:rPr>
        <w:t>GHG</w:t>
      </w:r>
      <w:r w:rsidR="004151DC">
        <w:rPr>
          <w:rStyle w:val="normaltextrun"/>
          <w:noProof/>
          <w:lang w:val="en-IE"/>
        </w:rPr>
        <w:t>)</w:t>
      </w:r>
      <w:r w:rsidR="0050683A" w:rsidRPr="00E50A7A">
        <w:rPr>
          <w:rStyle w:val="normaltextrun"/>
          <w:noProof/>
          <w:lang w:val="en-IE"/>
        </w:rPr>
        <w:t xml:space="preserve"> emissions, water consumption, pollution and land use. Of the separate collected textile waste, representing only 22% of the post-consumer textile waste generated, around 32% is recycled within the EU (around 20% outside the EU) and around 8% is re-used within the EU (around 38% outside the EU)</w:t>
      </w:r>
      <w:r w:rsidR="001D5616" w:rsidRPr="00E50A7A">
        <w:rPr>
          <w:rStyle w:val="normaltextrun"/>
          <w:noProof/>
          <w:lang w:val="en-IE"/>
        </w:rPr>
        <w:t>, while the rest is exported</w:t>
      </w:r>
      <w:r w:rsidR="0050683A" w:rsidRPr="00E50A7A">
        <w:rPr>
          <w:rStyle w:val="normaltextrun"/>
          <w:noProof/>
          <w:lang w:val="en-IE"/>
        </w:rPr>
        <w:t>.</w:t>
      </w:r>
      <w:r w:rsidR="0050683A" w:rsidRPr="00E50A7A">
        <w:rPr>
          <w:rStyle w:val="eop"/>
          <w:noProof/>
          <w:lang w:val="en-IE"/>
        </w:rPr>
        <w:t> </w:t>
      </w:r>
    </w:p>
    <w:p w14:paraId="06D439E3" w14:textId="38CCB617" w:rsidR="0050683A" w:rsidRPr="00E50A7A" w:rsidRDefault="0050683A" w:rsidP="0050683A">
      <w:pPr>
        <w:rPr>
          <w:rFonts w:ascii="Segoe UI" w:hAnsi="Segoe UI" w:cs="Segoe UI"/>
          <w:noProof/>
          <w:sz w:val="18"/>
          <w:szCs w:val="18"/>
          <w:lang w:val="en-IE"/>
        </w:rPr>
      </w:pPr>
      <w:r w:rsidRPr="00E50A7A">
        <w:rPr>
          <w:rStyle w:val="normaltextrun"/>
          <w:noProof/>
          <w:lang w:val="en-IE"/>
        </w:rPr>
        <w:t>The separate collection obligation for textiles in the WFD is coming into force on 1 January 2025. According to information from Member States, it is estimated that the separate collection systems and the sorting and recycling infrastructures are unlikely to be ready to handle the expected additional amounts to be collected</w:t>
      </w:r>
      <w:r w:rsidR="00105193" w:rsidRPr="00E50A7A">
        <w:rPr>
          <w:rStyle w:val="normaltextrun"/>
          <w:noProof/>
          <w:lang w:val="en-IE"/>
        </w:rPr>
        <w:t>.</w:t>
      </w:r>
      <w:r w:rsidRPr="00E50A7A">
        <w:rPr>
          <w:rStyle w:val="normaltextrun"/>
          <w:noProof/>
          <w:lang w:val="en-IE"/>
        </w:rPr>
        <w:t xml:space="preserve"> Sorting is expected to take place in most Member States close to the waste collection</w:t>
      </w:r>
      <w:r w:rsidR="004151DC">
        <w:rPr>
          <w:rStyle w:val="normaltextrun"/>
          <w:noProof/>
          <w:lang w:val="en-IE"/>
        </w:rPr>
        <w:t xml:space="preserve"> points</w:t>
      </w:r>
      <w:r w:rsidRPr="00E50A7A">
        <w:rPr>
          <w:rStyle w:val="normaltextrun"/>
          <w:noProof/>
          <w:lang w:val="en-IE"/>
        </w:rPr>
        <w:t xml:space="preserve"> and at a higher scale in those where the market conditions are favourable (e.g. lower costs</w:t>
      </w:r>
      <w:r w:rsidR="00186B9F" w:rsidRPr="00E50A7A">
        <w:rPr>
          <w:rStyle w:val="normaltextrun"/>
          <w:noProof/>
          <w:lang w:val="en-IE"/>
        </w:rPr>
        <w:t xml:space="preserve"> of waste management</w:t>
      </w:r>
      <w:r w:rsidRPr="00E50A7A">
        <w:rPr>
          <w:rStyle w:val="normaltextrun"/>
          <w:noProof/>
          <w:lang w:val="en-IE"/>
        </w:rPr>
        <w:t xml:space="preserve">, existing upscaleable infrastructure and skills, proximity to recycling/production hubs and ports). Recycling is not expected to take place in all countries and </w:t>
      </w:r>
      <w:r w:rsidR="0087161A" w:rsidRPr="00E50A7A">
        <w:rPr>
          <w:rStyle w:val="normaltextrun"/>
          <w:noProof/>
          <w:lang w:val="en-IE"/>
        </w:rPr>
        <w:t>is</w:t>
      </w:r>
      <w:r w:rsidRPr="00E50A7A">
        <w:rPr>
          <w:rStyle w:val="normaltextrun"/>
          <w:noProof/>
          <w:lang w:val="en-IE"/>
        </w:rPr>
        <w:t xml:space="preserve"> likely to be located in regions close to the textile production centres</w:t>
      </w:r>
      <w:r w:rsidR="0087161A" w:rsidRPr="00E50A7A">
        <w:rPr>
          <w:rStyle w:val="normaltextrun"/>
          <w:noProof/>
          <w:lang w:val="en-IE"/>
        </w:rPr>
        <w:t xml:space="preserve"> and</w:t>
      </w:r>
      <w:r w:rsidRPr="00E50A7A">
        <w:rPr>
          <w:rStyle w:val="normaltextrun"/>
          <w:noProof/>
          <w:lang w:val="en-IE"/>
        </w:rPr>
        <w:t xml:space="preserve"> existing infrastructure bases.</w:t>
      </w:r>
      <w:r w:rsidR="00842888" w:rsidRPr="00E50A7A">
        <w:rPr>
          <w:rStyle w:val="normaltextrun"/>
          <w:noProof/>
          <w:lang w:val="en-IE"/>
        </w:rPr>
        <w:t xml:space="preserve"> </w:t>
      </w:r>
    </w:p>
    <w:p w14:paraId="16BD6C6B" w14:textId="4DC6D524" w:rsidR="0050683A" w:rsidRPr="00E50A7A" w:rsidRDefault="0050683A" w:rsidP="0050683A">
      <w:pPr>
        <w:rPr>
          <w:rFonts w:ascii="Segoe UI" w:hAnsi="Segoe UI" w:cs="Segoe UI"/>
          <w:noProof/>
          <w:sz w:val="18"/>
          <w:szCs w:val="18"/>
          <w:lang w:val="en-IE"/>
        </w:rPr>
      </w:pPr>
      <w:r w:rsidRPr="00E50A7A">
        <w:rPr>
          <w:rStyle w:val="normaltextrun"/>
          <w:noProof/>
          <w:color w:val="000000"/>
          <w:lang w:val="en-IE"/>
        </w:rPr>
        <w:t xml:space="preserve">The textile sector is resource intensive. </w:t>
      </w:r>
      <w:r w:rsidRPr="00E50A7A">
        <w:rPr>
          <w:rStyle w:val="normaltextrun"/>
          <w:noProof/>
          <w:lang w:val="en-IE"/>
        </w:rPr>
        <w:t>In relation to both the production of raw materials and textile</w:t>
      </w:r>
      <w:r w:rsidR="0087161A" w:rsidRPr="00E50A7A">
        <w:rPr>
          <w:rStyle w:val="normaltextrun"/>
          <w:noProof/>
          <w:lang w:val="en-IE"/>
        </w:rPr>
        <w:t>s</w:t>
      </w:r>
      <w:r w:rsidRPr="00E50A7A">
        <w:rPr>
          <w:rStyle w:val="normaltextrun"/>
          <w:noProof/>
          <w:lang w:val="en-IE"/>
        </w:rPr>
        <w:t xml:space="preserve"> most of the pressures and impacts related to the consumption of clothing, footwear and household textiles in the EU occur in other regions of the world.</w:t>
      </w:r>
      <w:r w:rsidRPr="00E50A7A">
        <w:rPr>
          <w:rStyle w:val="normaltextrun"/>
          <w:noProof/>
          <w:color w:val="000000"/>
          <w:lang w:val="en-IE"/>
        </w:rPr>
        <w:t xml:space="preserve"> </w:t>
      </w:r>
      <w:r w:rsidR="00472407" w:rsidRPr="00E50A7A">
        <w:rPr>
          <w:rStyle w:val="normaltextrun"/>
          <w:noProof/>
          <w:lang w:val="en-IE"/>
        </w:rPr>
        <w:t>However</w:t>
      </w:r>
      <w:r w:rsidRPr="00E50A7A">
        <w:rPr>
          <w:rStyle w:val="normaltextrun"/>
          <w:noProof/>
          <w:lang w:val="en-IE"/>
        </w:rPr>
        <w:t xml:space="preserve">, </w:t>
      </w:r>
      <w:r w:rsidR="006D0A86" w:rsidRPr="00E50A7A">
        <w:rPr>
          <w:rStyle w:val="normaltextrun"/>
          <w:noProof/>
          <w:lang w:val="en-IE"/>
        </w:rPr>
        <w:t xml:space="preserve">while </w:t>
      </w:r>
      <w:r w:rsidRPr="00E50A7A">
        <w:rPr>
          <w:rStyle w:val="normaltextrun"/>
          <w:noProof/>
          <w:lang w:val="en-IE"/>
        </w:rPr>
        <w:t>most of the environmental pressures of the EU consumption of textiles occur in third countries</w:t>
      </w:r>
      <w:r w:rsidR="00770D83" w:rsidRPr="00E50A7A">
        <w:rPr>
          <w:rStyle w:val="FootnoteReference"/>
          <w:noProof/>
          <w:lang w:val="en-IE"/>
        </w:rPr>
        <w:footnoteReference w:id="12"/>
      </w:r>
      <w:r w:rsidR="006D0A86" w:rsidRPr="00E50A7A">
        <w:rPr>
          <w:rStyle w:val="normaltextrun"/>
          <w:noProof/>
          <w:lang w:val="en-IE"/>
        </w:rPr>
        <w:t>, they also affect the EU due to their global impact</w:t>
      </w:r>
      <w:r w:rsidRPr="00E50A7A">
        <w:rPr>
          <w:rStyle w:val="normaltextrun"/>
          <w:noProof/>
          <w:lang w:val="en-IE"/>
        </w:rPr>
        <w:t xml:space="preserve">. The EEA estimates that to produce the amount of clothing, textiles and footwear consumed in the EU in 2020, 80% of primary raw materials, 88% of water and 92% of land used and 73% of GHG emissions took place outside the EU. </w:t>
      </w:r>
      <w:r w:rsidR="008217B7" w:rsidRPr="00E50A7A">
        <w:rPr>
          <w:rStyle w:val="normaltextrun"/>
          <w:noProof/>
          <w:lang w:val="en-IE"/>
        </w:rPr>
        <w:t>For example, GHG emissions are a global phenomenon and are not circumscribed to specific boundaries or regions.</w:t>
      </w:r>
      <w:r w:rsidR="008217B7" w:rsidRPr="00E50A7A">
        <w:rPr>
          <w:rStyle w:val="superscript"/>
          <w:noProof/>
          <w:lang w:val="en-IE"/>
        </w:rPr>
        <w:t xml:space="preserve"> </w:t>
      </w:r>
      <w:r w:rsidRPr="00E50A7A">
        <w:rPr>
          <w:rStyle w:val="normaltextrun"/>
          <w:noProof/>
          <w:lang w:val="en-IE"/>
        </w:rPr>
        <w:t>Additionally, almost 13 million full-time equivalent workers were employed worldwide in the supply chain</w:t>
      </w:r>
      <w:r w:rsidR="00770D83" w:rsidRPr="00E50A7A">
        <w:rPr>
          <w:rStyle w:val="FootnoteReference"/>
          <w:noProof/>
          <w:lang w:val="en-IE"/>
        </w:rPr>
        <w:footnoteReference w:id="13"/>
      </w:r>
      <w:r w:rsidRPr="00E50A7A">
        <w:rPr>
          <w:rStyle w:val="normaltextrun"/>
          <w:noProof/>
          <w:lang w:val="en-IE"/>
        </w:rPr>
        <w:t xml:space="preserve">. </w:t>
      </w:r>
      <w:r w:rsidRPr="00E50A7A">
        <w:rPr>
          <w:rStyle w:val="normaltextrun"/>
          <w:noProof/>
          <w:color w:val="000000"/>
          <w:lang w:val="en-IE"/>
        </w:rPr>
        <w:t>Therefore, preventing, re-using and recycling textile waste can help reducing the environmental footprint of the sector.</w:t>
      </w:r>
      <w:r w:rsidRPr="00E50A7A">
        <w:rPr>
          <w:rStyle w:val="eop"/>
          <w:noProof/>
          <w:color w:val="000000"/>
          <w:lang w:val="en-IE"/>
        </w:rPr>
        <w:t> </w:t>
      </w:r>
    </w:p>
    <w:p w14:paraId="7BF50C20" w14:textId="77777777" w:rsidR="0050683A" w:rsidRPr="00E50A7A" w:rsidRDefault="0050683A" w:rsidP="0050683A">
      <w:pPr>
        <w:rPr>
          <w:rFonts w:ascii="Segoe UI" w:hAnsi="Segoe UI" w:cs="Segoe UI"/>
          <w:noProof/>
          <w:sz w:val="18"/>
          <w:szCs w:val="18"/>
          <w:lang w:val="en-IE"/>
        </w:rPr>
      </w:pPr>
      <w:r w:rsidRPr="00E50A7A">
        <w:rPr>
          <w:rStyle w:val="normaltextrun"/>
          <w:noProof/>
          <w:lang w:val="en-IE"/>
        </w:rPr>
        <w:t>Additionally, the waste management costs of used clothing and household textiles are not internalised in the price of new products. On average, the costs of collection and treatment would equate to approximately 12 cents per item. However, these costs vary by item type, with those involving a mix of textile fibre types and the inclusion of disruptors (for example buttons and zips) costing more to manage and those that comprise a single fibre type with no disruptors such as t-shirts costing less. Given the large volumes of textile wastes currently disposed of in residual waste, the cost of disposal and the environmental externalities of that disposal including emissions from incineration and landfilling are also not internalised. Other externalities include notably the environmental and social impacts of textile waste exported to third countries disguised for re-use purposes, in particular, in relation to exported non-sorted textiles</w:t>
      </w:r>
      <w:r w:rsidR="00F53985" w:rsidRPr="00E50A7A">
        <w:rPr>
          <w:rStyle w:val="normaltextrun"/>
          <w:noProof/>
          <w:lang w:val="en-IE"/>
        </w:rPr>
        <w:t>, of which a significant portion ends up in (illegal) landfills</w:t>
      </w:r>
      <w:r w:rsidRPr="00E50A7A">
        <w:rPr>
          <w:rStyle w:val="normaltextrun"/>
          <w:noProof/>
          <w:lang w:val="en-IE"/>
        </w:rPr>
        <w:t>.</w:t>
      </w:r>
      <w:r w:rsidRPr="00E50A7A">
        <w:rPr>
          <w:rStyle w:val="eop"/>
          <w:noProof/>
          <w:lang w:val="en-IE"/>
        </w:rPr>
        <w:t> </w:t>
      </w:r>
    </w:p>
    <w:p w14:paraId="02DF1DDE" w14:textId="09F14018" w:rsidR="0050683A" w:rsidRPr="00E50A7A" w:rsidRDefault="0050683A" w:rsidP="0050683A">
      <w:pPr>
        <w:rPr>
          <w:rFonts w:ascii="Segoe UI" w:hAnsi="Segoe UI" w:cs="Segoe UI"/>
          <w:noProof/>
          <w:sz w:val="18"/>
          <w:szCs w:val="18"/>
          <w:lang w:val="en-IE"/>
        </w:rPr>
      </w:pPr>
      <w:r w:rsidRPr="00E50A7A">
        <w:rPr>
          <w:rStyle w:val="normaltextrun"/>
          <w:noProof/>
          <w:lang w:val="en-IE"/>
        </w:rPr>
        <w:t>Fragmented definitions</w:t>
      </w:r>
      <w:r w:rsidR="00EB1D8C" w:rsidRPr="00E50A7A">
        <w:rPr>
          <w:rStyle w:val="normaltextrun"/>
          <w:noProof/>
          <w:lang w:val="en-IE"/>
        </w:rPr>
        <w:t xml:space="preserve"> of textiles and textile waste</w:t>
      </w:r>
      <w:r w:rsidRPr="00E50A7A">
        <w:rPr>
          <w:rStyle w:val="normaltextrun"/>
          <w:noProof/>
          <w:lang w:val="en-IE"/>
        </w:rPr>
        <w:t xml:space="preserve"> lead to administrative burden and </w:t>
      </w:r>
      <w:r w:rsidRPr="00E50A7A">
        <w:rPr>
          <w:rStyle w:val="normaltextrun"/>
          <w:noProof/>
          <w:color w:val="000000"/>
          <w:lang w:val="en-IE"/>
        </w:rPr>
        <w:t>pose barriers to cross-border shipments. D</w:t>
      </w:r>
      <w:r w:rsidRPr="00E50A7A">
        <w:rPr>
          <w:rStyle w:val="normaltextrun"/>
          <w:noProof/>
          <w:lang w:val="en-IE"/>
        </w:rPr>
        <w:t xml:space="preserve">ifferent policy and regulatory signals in each Member State and information gaps </w:t>
      </w:r>
      <w:r w:rsidR="00EB1D8C" w:rsidRPr="00E50A7A">
        <w:rPr>
          <w:rStyle w:val="normaltextrun"/>
          <w:noProof/>
          <w:lang w:val="en-IE"/>
        </w:rPr>
        <w:t xml:space="preserve">(e.g. </w:t>
      </w:r>
      <w:r w:rsidR="00967A58" w:rsidRPr="00E50A7A">
        <w:rPr>
          <w:rStyle w:val="normaltextrun"/>
          <w:noProof/>
          <w:lang w:val="en-IE"/>
        </w:rPr>
        <w:t xml:space="preserve">about the quality of feedstock) </w:t>
      </w:r>
      <w:r w:rsidRPr="00E50A7A">
        <w:rPr>
          <w:rStyle w:val="normaltextrun"/>
          <w:noProof/>
          <w:lang w:val="en-IE"/>
        </w:rPr>
        <w:t>hamper the scaling up of the recycling industry and re-use and disrupt the level playing field of the single market</w:t>
      </w:r>
      <w:r w:rsidR="00D30337" w:rsidRPr="00E50A7A">
        <w:rPr>
          <w:rStyle w:val="normaltextrun"/>
          <w:noProof/>
          <w:lang w:val="en-IE"/>
        </w:rPr>
        <w:t xml:space="preserve">, in addition </w:t>
      </w:r>
      <w:r w:rsidR="00D30337" w:rsidRPr="00E50A7A">
        <w:rPr>
          <w:rStyle w:val="normaltextrun"/>
          <w:noProof/>
          <w:lang w:val="en-IE"/>
        </w:rPr>
        <w:lastRenderedPageBreak/>
        <w:t>to the complexity in recycling textiles</w:t>
      </w:r>
      <w:r w:rsidR="00116B45" w:rsidRPr="00E50A7A">
        <w:rPr>
          <w:rStyle w:val="normaltextrun"/>
          <w:noProof/>
          <w:lang w:val="en-IE"/>
        </w:rPr>
        <w:t xml:space="preserve"> due to different compositions of textile waste</w:t>
      </w:r>
      <w:r w:rsidRPr="00E50A7A">
        <w:rPr>
          <w:rStyle w:val="normaltextrun"/>
          <w:noProof/>
          <w:lang w:val="en-IE"/>
        </w:rPr>
        <w:t xml:space="preserve">. This obstructs not only the transition to a circular economy in textiles, but also prevents </w:t>
      </w:r>
      <w:r w:rsidR="00CC0C0C">
        <w:rPr>
          <w:rStyle w:val="normaltextrun"/>
          <w:noProof/>
          <w:lang w:val="en-IE"/>
        </w:rPr>
        <w:t xml:space="preserve">quality </w:t>
      </w:r>
      <w:r w:rsidRPr="00E50A7A">
        <w:rPr>
          <w:rStyle w:val="normaltextrun"/>
          <w:noProof/>
          <w:lang w:val="en-IE"/>
        </w:rPr>
        <w:t>jobs and value-added being created in the EU. The insufficient s</w:t>
      </w:r>
      <w:r w:rsidRPr="00E50A7A">
        <w:rPr>
          <w:rStyle w:val="normaltextrun"/>
          <w:noProof/>
          <w:color w:val="000000"/>
          <w:lang w:val="en-IE"/>
        </w:rPr>
        <w:t xml:space="preserve">orting and recycling infrastructure is likely to lead to textiles not being treated in line with the waste hierarchy even once the separate collection obligation comes into force. </w:t>
      </w:r>
      <w:r w:rsidRPr="00E50A7A">
        <w:rPr>
          <w:rStyle w:val="normaltextrun"/>
          <w:noProof/>
          <w:lang w:val="en-IE"/>
        </w:rPr>
        <w:t>Low added-value manufacturing mainly occurs in third countries. Production and disposal of imported textile waste create significant negative societal impacts at local, regional and global levels</w:t>
      </w:r>
      <w:r w:rsidR="00770D83" w:rsidRPr="00E50A7A">
        <w:rPr>
          <w:rStyle w:val="FootnoteReference"/>
          <w:noProof/>
          <w:lang w:val="en-IE"/>
        </w:rPr>
        <w:footnoteReference w:id="14"/>
      </w:r>
      <w:r w:rsidRPr="00E50A7A">
        <w:rPr>
          <w:rStyle w:val="normaltextrun"/>
          <w:noProof/>
          <w:lang w:val="en-IE"/>
        </w:rPr>
        <w:t>.</w:t>
      </w:r>
      <w:r w:rsidRPr="00E50A7A">
        <w:rPr>
          <w:rStyle w:val="eop"/>
          <w:noProof/>
          <w:lang w:val="en-IE"/>
        </w:rPr>
        <w:t> </w:t>
      </w:r>
    </w:p>
    <w:p w14:paraId="4489730A" w14:textId="77777777" w:rsidR="0050683A" w:rsidRPr="00E50A7A" w:rsidRDefault="0050683A" w:rsidP="0050683A">
      <w:pPr>
        <w:rPr>
          <w:rStyle w:val="eop"/>
          <w:noProof/>
          <w:lang w:val="en-IE"/>
        </w:rPr>
      </w:pPr>
      <w:r w:rsidRPr="00E50A7A">
        <w:rPr>
          <w:rStyle w:val="normaltextrun"/>
          <w:noProof/>
          <w:lang w:val="en-IE"/>
        </w:rPr>
        <w:t xml:space="preserve">Therefore, </w:t>
      </w:r>
      <w:r w:rsidR="001444D2" w:rsidRPr="00E50A7A">
        <w:rPr>
          <w:rStyle w:val="normaltextrun"/>
          <w:noProof/>
          <w:lang w:val="en-IE"/>
        </w:rPr>
        <w:t xml:space="preserve">specific objectives for </w:t>
      </w:r>
      <w:r w:rsidRPr="00E50A7A">
        <w:rPr>
          <w:rStyle w:val="normaltextrun"/>
          <w:noProof/>
          <w:lang w:val="en-IE"/>
        </w:rPr>
        <w:t xml:space="preserve">this proposal </w:t>
      </w:r>
      <w:r w:rsidR="001444D2" w:rsidRPr="00E50A7A">
        <w:rPr>
          <w:rStyle w:val="normaltextrun"/>
          <w:noProof/>
          <w:lang w:val="en-IE"/>
        </w:rPr>
        <w:t xml:space="preserve">as regards textile waste </w:t>
      </w:r>
      <w:r w:rsidR="00510ED1" w:rsidRPr="00E50A7A">
        <w:rPr>
          <w:rStyle w:val="normaltextrun"/>
          <w:noProof/>
          <w:lang w:val="en-IE"/>
        </w:rPr>
        <w:t xml:space="preserve">is to </w:t>
      </w:r>
      <w:r w:rsidRPr="00E50A7A">
        <w:rPr>
          <w:rStyle w:val="normaltextrun"/>
          <w:noProof/>
          <w:color w:val="000000"/>
          <w:lang w:val="en-IE"/>
        </w:rPr>
        <w:t>improve textile waste management in line with the ‘waste hierarchy’</w:t>
      </w:r>
      <w:r w:rsidR="00770D83" w:rsidRPr="00E50A7A">
        <w:rPr>
          <w:rStyle w:val="FootnoteReference"/>
          <w:noProof/>
          <w:color w:val="000000"/>
          <w:lang w:val="en-IE"/>
        </w:rPr>
        <w:footnoteReference w:id="15"/>
      </w:r>
      <w:r w:rsidR="00770D83" w:rsidRPr="00E50A7A">
        <w:rPr>
          <w:rStyle w:val="normaltextrun"/>
          <w:noProof/>
          <w:color w:val="000000"/>
          <w:lang w:val="en-IE"/>
        </w:rPr>
        <w:t xml:space="preserve"> </w:t>
      </w:r>
      <w:r w:rsidRPr="00E50A7A">
        <w:rPr>
          <w:rStyle w:val="normaltextrun"/>
          <w:noProof/>
          <w:color w:val="000000"/>
          <w:lang w:val="en-IE"/>
        </w:rPr>
        <w:t>enshrined in the WFD, prioritising waste prevention, pre</w:t>
      </w:r>
      <w:r w:rsidR="00770D83" w:rsidRPr="00E50A7A">
        <w:rPr>
          <w:rStyle w:val="normaltextrun"/>
          <w:noProof/>
          <w:color w:val="000000"/>
          <w:lang w:val="en-IE"/>
        </w:rPr>
        <w:t>p</w:t>
      </w:r>
      <w:r w:rsidRPr="00E50A7A">
        <w:rPr>
          <w:rStyle w:val="normaltextrun"/>
          <w:noProof/>
          <w:color w:val="000000"/>
          <w:lang w:val="en-IE"/>
        </w:rPr>
        <w:t>aring for re-use and recycling of textiles over other recovery options and disposal</w:t>
      </w:r>
      <w:r w:rsidR="0087161A" w:rsidRPr="00E50A7A">
        <w:rPr>
          <w:rStyle w:val="normaltextrun"/>
          <w:noProof/>
          <w:color w:val="000000"/>
          <w:lang w:val="en-IE"/>
        </w:rPr>
        <w:t xml:space="preserve"> and implement the polluter pays principle</w:t>
      </w:r>
      <w:r w:rsidRPr="00E50A7A">
        <w:rPr>
          <w:rStyle w:val="normaltextrun"/>
          <w:noProof/>
          <w:lang w:val="en-IE"/>
        </w:rPr>
        <w:t>.</w:t>
      </w:r>
      <w:r w:rsidRPr="00E50A7A">
        <w:rPr>
          <w:rStyle w:val="normaltextrun"/>
          <w:noProof/>
          <w:color w:val="000000"/>
          <w:lang w:val="en-IE"/>
        </w:rPr>
        <w:t xml:space="preserve"> </w:t>
      </w:r>
      <w:r w:rsidRPr="00E50A7A">
        <w:rPr>
          <w:rStyle w:val="normaltextrun"/>
          <w:noProof/>
          <w:lang w:val="en-IE"/>
        </w:rPr>
        <w:t>The Circular Economy Action Plan (CEAP)</w:t>
      </w:r>
      <w:r w:rsidR="001E4A96" w:rsidRPr="00E50A7A">
        <w:rPr>
          <w:rStyle w:val="FootnoteReference"/>
          <w:noProof/>
          <w:lang w:val="en-IE"/>
        </w:rPr>
        <w:footnoteReference w:id="16"/>
      </w:r>
      <w:r w:rsidR="001E4A96" w:rsidRPr="00E50A7A">
        <w:rPr>
          <w:rStyle w:val="normaltextrun"/>
          <w:noProof/>
          <w:lang w:val="en-IE"/>
        </w:rPr>
        <w:t xml:space="preserve"> </w:t>
      </w:r>
      <w:r w:rsidRPr="00E50A7A">
        <w:rPr>
          <w:rStyle w:val="normaltextrun"/>
          <w:noProof/>
          <w:lang w:val="en-IE"/>
        </w:rPr>
        <w:t>and the EU Strategy for Sustainable and Circular Textiles</w:t>
      </w:r>
      <w:r w:rsidRPr="00E50A7A">
        <w:rPr>
          <w:rStyle w:val="normaltextrun"/>
          <w:noProof/>
          <w:sz w:val="19"/>
          <w:szCs w:val="19"/>
          <w:vertAlign w:val="superscript"/>
          <w:lang w:val="en-IE"/>
        </w:rPr>
        <w:t xml:space="preserve"> </w:t>
      </w:r>
      <w:r w:rsidRPr="00E50A7A">
        <w:rPr>
          <w:rStyle w:val="normaltextrun"/>
          <w:noProof/>
          <w:lang w:val="en-IE"/>
        </w:rPr>
        <w:t>(‘Textiles Strategy’)</w:t>
      </w:r>
      <w:r w:rsidR="001E4A96" w:rsidRPr="00E50A7A">
        <w:rPr>
          <w:rStyle w:val="FootnoteReference"/>
          <w:noProof/>
          <w:lang w:val="en-IE"/>
        </w:rPr>
        <w:footnoteReference w:id="17"/>
      </w:r>
      <w:r w:rsidRPr="00E50A7A">
        <w:rPr>
          <w:rStyle w:val="normaltextrun"/>
          <w:noProof/>
          <w:sz w:val="19"/>
          <w:szCs w:val="19"/>
          <w:vertAlign w:val="superscript"/>
          <w:lang w:val="en-IE"/>
        </w:rPr>
        <w:t xml:space="preserve"> </w:t>
      </w:r>
      <w:r w:rsidRPr="00E50A7A">
        <w:rPr>
          <w:rStyle w:val="normaltextrun"/>
          <w:noProof/>
          <w:lang w:val="en-IE"/>
        </w:rPr>
        <w:t>call for reinforced and accelerated EU and Member State action to prevent textiles waste and to improve the circularity of textiles, as it is a resource intensive sector causing significant negative environmental externalities, where financing and technological gaps impede progress towards the transition to a circular economy. </w:t>
      </w:r>
      <w:r w:rsidRPr="00E50A7A">
        <w:rPr>
          <w:rStyle w:val="eop"/>
          <w:noProof/>
          <w:lang w:val="en-IE"/>
        </w:rPr>
        <w:t> </w:t>
      </w:r>
    </w:p>
    <w:p w14:paraId="680F129C" w14:textId="77777777" w:rsidR="0087161A" w:rsidRPr="00E50A7A" w:rsidRDefault="0087161A" w:rsidP="0050683A">
      <w:pPr>
        <w:rPr>
          <w:rFonts w:ascii="Segoe UI" w:hAnsi="Segoe UI" w:cs="Segoe UI"/>
          <w:i/>
          <w:iCs/>
          <w:noProof/>
          <w:sz w:val="18"/>
          <w:szCs w:val="18"/>
          <w:lang w:val="en-IE"/>
        </w:rPr>
      </w:pPr>
      <w:r w:rsidRPr="00E50A7A">
        <w:rPr>
          <w:rStyle w:val="eop"/>
          <w:i/>
          <w:iCs/>
          <w:noProof/>
          <w:lang w:val="en-IE"/>
        </w:rPr>
        <w:t>Food waste</w:t>
      </w:r>
    </w:p>
    <w:p w14:paraId="2549E28F" w14:textId="77777777" w:rsidR="0050683A" w:rsidRPr="00E50A7A" w:rsidRDefault="0050683A" w:rsidP="0050683A">
      <w:pPr>
        <w:rPr>
          <w:rStyle w:val="normaltextrun"/>
          <w:noProof/>
          <w:lang w:val="en-IE"/>
        </w:rPr>
      </w:pPr>
      <w:r w:rsidRPr="00E50A7A">
        <w:rPr>
          <w:rStyle w:val="normaltextrun"/>
          <w:noProof/>
          <w:lang w:val="en-IE"/>
        </w:rPr>
        <w:t>Food waste is one of the largest sources of inefficiency in the agri-food chain. In particular, it results in negative environmental and climate impacts. Food consumption is the main contributor to the environmental impacts</w:t>
      </w:r>
      <w:r w:rsidR="00FD1AD5" w:rsidRPr="00E50A7A">
        <w:rPr>
          <w:rStyle w:val="FootnoteReference"/>
          <w:noProof/>
          <w:lang w:val="en-IE"/>
        </w:rPr>
        <w:footnoteReference w:id="18"/>
      </w:r>
      <w:r w:rsidRPr="00E50A7A">
        <w:rPr>
          <w:rStyle w:val="normaltextrun"/>
          <w:noProof/>
          <w:lang w:val="en-IE"/>
        </w:rPr>
        <w:t xml:space="preserve"> and biodiversity footprint</w:t>
      </w:r>
      <w:r w:rsidR="00F8462C" w:rsidRPr="00E50A7A">
        <w:rPr>
          <w:rStyle w:val="FootnoteReference"/>
          <w:noProof/>
          <w:lang w:val="en-IE"/>
        </w:rPr>
        <w:footnoteReference w:id="19"/>
      </w:r>
      <w:r w:rsidRPr="00E50A7A">
        <w:rPr>
          <w:rStyle w:val="normaltextrun"/>
          <w:noProof/>
          <w:lang w:val="en-IE"/>
        </w:rPr>
        <w:t xml:space="preserve"> of EU consumption.  </w:t>
      </w:r>
    </w:p>
    <w:p w14:paraId="1E855368" w14:textId="77777777" w:rsidR="0050683A" w:rsidRPr="00E50A7A" w:rsidRDefault="0050683A" w:rsidP="00062210">
      <w:pPr>
        <w:rPr>
          <w:rStyle w:val="normaltextrun"/>
          <w:noProof/>
          <w:lang w:val="en-IE"/>
        </w:rPr>
      </w:pPr>
      <w:r w:rsidRPr="00E50A7A">
        <w:rPr>
          <w:rStyle w:val="normaltextrun"/>
          <w:noProof/>
          <w:lang w:val="en-IE"/>
        </w:rPr>
        <w:t>When food is discarded, all the embedded energy and resources and their environmental consequences, such as GHG emissions – that accumulate along the food chain – still materialise with no benefit for human nutrition. Food processed, transported and cooked that is then wasted at consumption</w:t>
      </w:r>
      <w:r w:rsidR="00097FC3" w:rsidRPr="00E50A7A">
        <w:rPr>
          <w:rStyle w:val="normaltextrun"/>
          <w:noProof/>
          <w:lang w:val="en-IE"/>
        </w:rPr>
        <w:t xml:space="preserve"> stage</w:t>
      </w:r>
      <w:r w:rsidRPr="00E50A7A">
        <w:rPr>
          <w:rStyle w:val="normaltextrun"/>
          <w:noProof/>
          <w:lang w:val="en-IE"/>
        </w:rPr>
        <w:t xml:space="preserve"> – has a higher environmental impact than unprocessed food products lost at the farm. The 58.5 Mt of food waste generated in the EU in 2020</w:t>
      </w:r>
      <w:r w:rsidR="00F8462C" w:rsidRPr="00E50A7A">
        <w:rPr>
          <w:rStyle w:val="FootnoteReference"/>
          <w:noProof/>
          <w:lang w:val="en-IE"/>
        </w:rPr>
        <w:footnoteReference w:id="20"/>
      </w:r>
      <w:r w:rsidRPr="00E50A7A">
        <w:rPr>
          <w:rStyle w:val="normaltextrun"/>
          <w:noProof/>
          <w:lang w:val="en-IE"/>
        </w:rPr>
        <w:t xml:space="preserve"> caused emissions of 252 Mt of CO2 equivalents</w:t>
      </w:r>
      <w:r w:rsidR="00F8462C" w:rsidRPr="00E50A7A">
        <w:rPr>
          <w:rStyle w:val="FootnoteReference"/>
          <w:noProof/>
          <w:lang w:val="en-IE"/>
        </w:rPr>
        <w:footnoteReference w:id="21"/>
      </w:r>
      <w:r w:rsidRPr="00E50A7A">
        <w:rPr>
          <w:rStyle w:val="normaltextrun"/>
          <w:noProof/>
          <w:lang w:val="en-IE"/>
        </w:rPr>
        <w:t>. This corresponds to 1</w:t>
      </w:r>
      <w:r w:rsidR="001730FC" w:rsidRPr="00E50A7A">
        <w:rPr>
          <w:rStyle w:val="normaltextrun"/>
          <w:noProof/>
          <w:lang w:val="en-IE"/>
        </w:rPr>
        <w:t>6</w:t>
      </w:r>
      <w:r w:rsidRPr="00E50A7A">
        <w:rPr>
          <w:rStyle w:val="normaltextrun"/>
          <w:noProof/>
          <w:lang w:val="en-IE"/>
        </w:rPr>
        <w:t>% of the total GHG impact resulting from the EU food system. Food waste also puts unnecessary pressure on limited natural resources. For example, the amount of water consumed to produce food that is ultimately wasted can be quantified as 342 bn m</w:t>
      </w:r>
      <w:r w:rsidRPr="00E50A7A">
        <w:rPr>
          <w:rStyle w:val="normaltextrun"/>
          <w:noProof/>
          <w:vertAlign w:val="superscript"/>
          <w:lang w:val="en-IE"/>
        </w:rPr>
        <w:t>3</w:t>
      </w:r>
      <w:r w:rsidRPr="00E50A7A">
        <w:rPr>
          <w:rStyle w:val="normaltextrun"/>
          <w:noProof/>
          <w:lang w:val="en-IE"/>
        </w:rPr>
        <w:t xml:space="preserve"> water eq.</w:t>
      </w:r>
      <w:r w:rsidR="00F8462C" w:rsidRPr="00E50A7A">
        <w:rPr>
          <w:rStyle w:val="FootnoteReference"/>
          <w:noProof/>
          <w:lang w:val="en-IE"/>
        </w:rPr>
        <w:footnoteReference w:id="22"/>
      </w:r>
      <w:r w:rsidRPr="00E50A7A">
        <w:rPr>
          <w:rStyle w:val="normaltextrun"/>
          <w:noProof/>
          <w:lang w:val="en-IE"/>
        </w:rPr>
        <w:t xml:space="preserve">, corresponding to 12% of the total impact of EU food </w:t>
      </w:r>
      <w:r w:rsidRPr="00E50A7A">
        <w:rPr>
          <w:rStyle w:val="normaltextrun"/>
          <w:noProof/>
          <w:lang w:val="en-IE"/>
        </w:rPr>
        <w:lastRenderedPageBreak/>
        <w:t>production and consumption. Food waste is also responsible for 16% of impacts on soil caused by land use activities</w:t>
      </w:r>
      <w:r w:rsidR="00F8462C" w:rsidRPr="00E50A7A">
        <w:rPr>
          <w:rStyle w:val="FootnoteReference"/>
          <w:noProof/>
          <w:lang w:val="en-IE"/>
        </w:rPr>
        <w:footnoteReference w:id="23"/>
      </w:r>
      <w:r w:rsidRPr="00E50A7A">
        <w:rPr>
          <w:rStyle w:val="normaltextrun"/>
          <w:noProof/>
          <w:lang w:val="en-IE"/>
        </w:rPr>
        <w:t>, while the consequences on marine eutrophication are 15% of the total</w:t>
      </w:r>
      <w:r w:rsidR="00C24FD0" w:rsidRPr="00E50A7A">
        <w:rPr>
          <w:rStyle w:val="FootnoteReference"/>
          <w:noProof/>
          <w:lang w:val="en-IE"/>
        </w:rPr>
        <w:footnoteReference w:id="24"/>
      </w:r>
      <w:r w:rsidR="00C24FD0" w:rsidRPr="00E50A7A">
        <w:rPr>
          <w:rStyle w:val="normaltextrun"/>
          <w:noProof/>
          <w:vertAlign w:val="superscript"/>
          <w:lang w:val="en-IE"/>
        </w:rPr>
        <w:t>,</w:t>
      </w:r>
      <w:r w:rsidR="00C24FD0" w:rsidRPr="00E50A7A">
        <w:rPr>
          <w:rStyle w:val="FootnoteReference"/>
          <w:noProof/>
          <w:lang w:val="en-IE"/>
        </w:rPr>
        <w:footnoteReference w:id="25"/>
      </w:r>
      <w:r w:rsidRPr="00E50A7A">
        <w:rPr>
          <w:rStyle w:val="normaltextrun"/>
          <w:noProof/>
          <w:lang w:val="en-IE"/>
        </w:rPr>
        <w:t>. </w:t>
      </w:r>
    </w:p>
    <w:p w14:paraId="7BDD6CE2" w14:textId="77777777" w:rsidR="0050683A" w:rsidRPr="00E50A7A" w:rsidRDefault="0050683A" w:rsidP="0050683A">
      <w:pPr>
        <w:rPr>
          <w:rStyle w:val="normaltextrun"/>
          <w:noProof/>
          <w:lang w:val="en-IE"/>
        </w:rPr>
      </w:pPr>
      <w:r w:rsidRPr="00E50A7A">
        <w:rPr>
          <w:rStyle w:val="normaltextrun"/>
          <w:noProof/>
          <w:lang w:val="en-IE"/>
        </w:rPr>
        <w:t xml:space="preserve">As regards economic consequences, the 58.5 Mt of food waste have an associated market value estimated at 132 bn </w:t>
      </w:r>
      <w:r w:rsidR="00AC0556" w:rsidRPr="00E50A7A">
        <w:rPr>
          <w:rStyle w:val="normaltextrun"/>
          <w:noProof/>
          <w:lang w:val="en-IE"/>
        </w:rPr>
        <w:t>EUR</w:t>
      </w:r>
      <w:r w:rsidR="00C24FD0" w:rsidRPr="00E50A7A">
        <w:rPr>
          <w:rStyle w:val="FootnoteReference"/>
          <w:noProof/>
          <w:lang w:val="en-IE"/>
        </w:rPr>
        <w:footnoteReference w:id="26"/>
      </w:r>
      <w:r w:rsidRPr="00E50A7A">
        <w:rPr>
          <w:rStyle w:val="normaltextrun"/>
          <w:noProof/>
          <w:lang w:val="en-IE"/>
        </w:rPr>
        <w:t xml:space="preserve">. These costs include lost resources by food business operators at each stage of the food supply chain, but also unnecessary spending by households. In addition, the cost of collection and treatment of food waste is estimated at an additional 9.3 bn </w:t>
      </w:r>
      <w:r w:rsidR="00AC0556" w:rsidRPr="00E50A7A">
        <w:rPr>
          <w:rStyle w:val="normaltextrun"/>
          <w:noProof/>
          <w:lang w:val="en-IE"/>
        </w:rPr>
        <w:t>EUR</w:t>
      </w:r>
      <w:r w:rsidR="00C24FD0" w:rsidRPr="00E50A7A">
        <w:rPr>
          <w:rStyle w:val="FootnoteReference"/>
          <w:noProof/>
          <w:lang w:val="en-IE"/>
        </w:rPr>
        <w:footnoteReference w:id="27"/>
      </w:r>
      <w:r w:rsidRPr="00E50A7A">
        <w:rPr>
          <w:rStyle w:val="normaltextrun"/>
          <w:noProof/>
          <w:lang w:val="en-IE"/>
        </w:rPr>
        <w:t>. </w:t>
      </w:r>
    </w:p>
    <w:p w14:paraId="78A70B77" w14:textId="77777777" w:rsidR="0050683A" w:rsidRPr="00E50A7A" w:rsidRDefault="0050683A" w:rsidP="0050683A">
      <w:pPr>
        <w:rPr>
          <w:rStyle w:val="normaltextrun"/>
          <w:noProof/>
          <w:lang w:val="en-IE"/>
        </w:rPr>
      </w:pPr>
      <w:r w:rsidRPr="00E50A7A">
        <w:rPr>
          <w:rStyle w:val="normaltextrun"/>
          <w:noProof/>
          <w:lang w:val="en-IE"/>
        </w:rPr>
        <w:t>Wasting food has important social consequences. It leads to unnecessary spending of resources that could be otherwise allocated. The average share of food expenditure (agri-food and food services) in total household expenditure in the EU is around 19%</w:t>
      </w:r>
      <w:r w:rsidR="00C24FD0" w:rsidRPr="00E50A7A">
        <w:rPr>
          <w:rStyle w:val="FootnoteReference"/>
          <w:noProof/>
          <w:lang w:val="en-IE"/>
        </w:rPr>
        <w:footnoteReference w:id="28"/>
      </w:r>
      <w:r w:rsidRPr="00E50A7A">
        <w:rPr>
          <w:rStyle w:val="normaltextrun"/>
          <w:noProof/>
          <w:lang w:val="en-IE"/>
        </w:rPr>
        <w:t>. Discarding food that is fit for human consumption – rather than redistributing that food to those in need</w:t>
      </w:r>
      <w:r w:rsidR="009850A1" w:rsidRPr="00E50A7A">
        <w:rPr>
          <w:rStyle w:val="normaltextrun"/>
          <w:noProof/>
          <w:lang w:val="en-IE"/>
        </w:rPr>
        <w:t>, including through food donation</w:t>
      </w:r>
      <w:r w:rsidRPr="00E50A7A">
        <w:rPr>
          <w:rStyle w:val="normaltextrun"/>
          <w:noProof/>
          <w:lang w:val="en-IE"/>
        </w:rPr>
        <w:t xml:space="preserve"> – also represents a missed opportunity in the light of growing challenges to food security. Although, in Europe, food availability is ensured, food affordability is a concern for a growing number of EU citizens: 32.6 million people cannot afford a meal with meat, fish, chicken or vegetarian equivalent every second day</w:t>
      </w:r>
      <w:r w:rsidR="00C24FD0" w:rsidRPr="00E50A7A">
        <w:rPr>
          <w:rStyle w:val="FootnoteReference"/>
          <w:noProof/>
          <w:lang w:val="en-IE"/>
        </w:rPr>
        <w:footnoteReference w:id="29"/>
      </w:r>
      <w:r w:rsidRPr="00E50A7A">
        <w:rPr>
          <w:rStyle w:val="normaltextrun"/>
          <w:noProof/>
          <w:lang w:val="en-IE"/>
        </w:rPr>
        <w:t>. Finally, for many consumers, wasting food has an important ethical dimension</w:t>
      </w:r>
      <w:r w:rsidR="00C24FD0" w:rsidRPr="00E50A7A">
        <w:rPr>
          <w:rStyle w:val="FootnoteReference"/>
          <w:noProof/>
          <w:lang w:val="en-IE"/>
        </w:rPr>
        <w:footnoteReference w:id="30"/>
      </w:r>
      <w:r w:rsidRPr="00E50A7A">
        <w:rPr>
          <w:rStyle w:val="normaltextrun"/>
          <w:noProof/>
          <w:lang w:val="en-IE"/>
        </w:rPr>
        <w:t>. </w:t>
      </w:r>
    </w:p>
    <w:p w14:paraId="3B6FCDB1" w14:textId="77777777" w:rsidR="0050683A" w:rsidRPr="00E50A7A" w:rsidRDefault="0050683A" w:rsidP="0050683A">
      <w:pPr>
        <w:rPr>
          <w:rStyle w:val="normaltextrun"/>
          <w:noProof/>
          <w:lang w:val="en-IE"/>
        </w:rPr>
      </w:pPr>
      <w:r w:rsidRPr="00E50A7A">
        <w:rPr>
          <w:rStyle w:val="normaltextrun"/>
          <w:noProof/>
          <w:lang w:val="en-IE"/>
        </w:rPr>
        <w:t>In this context, the EU and its Member States committed to achieving Sustainable Development Goal (SDG) Target 12.3 to halve per capita global food waste at the retail and consumer levels and reduce food losses along production and supply chains, including post-harvest losses, by 2030. </w:t>
      </w:r>
    </w:p>
    <w:p w14:paraId="4B32C3B6" w14:textId="77777777" w:rsidR="0050683A" w:rsidRPr="00E50A7A" w:rsidRDefault="0050683A" w:rsidP="0050683A">
      <w:pPr>
        <w:rPr>
          <w:rStyle w:val="normaltextrun"/>
          <w:noProof/>
          <w:lang w:val="en-IE"/>
        </w:rPr>
      </w:pPr>
      <w:r w:rsidRPr="00E50A7A">
        <w:rPr>
          <w:rStyle w:val="normaltextrun"/>
          <w:noProof/>
          <w:lang w:val="en-IE"/>
        </w:rPr>
        <w:t>The EU has implemented a dedicated action plan to reduce food loss and waste, including both regulatory and non-regulatory actions, initially as part of the 2015 Circular Economy Action Plan and, since 2020, under the EU’s Farm to Fork Strategy</w:t>
      </w:r>
      <w:r w:rsidR="00B24CA9">
        <w:rPr>
          <w:rStyle w:val="FootnoteReference"/>
          <w:noProof/>
          <w:lang w:val="en-IE"/>
        </w:rPr>
        <w:footnoteReference w:id="31"/>
      </w:r>
      <w:r w:rsidRPr="00E50A7A">
        <w:rPr>
          <w:rStyle w:val="normaltextrun"/>
          <w:noProof/>
          <w:lang w:val="en-IE"/>
        </w:rPr>
        <w:t>. In doing so, the Commission aims not only to lay down clear obligations for Member States as regards reduction of food waste but also to create policy environment that supports Member States in taking effective action.  </w:t>
      </w:r>
    </w:p>
    <w:p w14:paraId="758AF0BC" w14:textId="77777777" w:rsidR="0050683A" w:rsidRPr="00E50A7A" w:rsidRDefault="0050683A" w:rsidP="0050683A">
      <w:pPr>
        <w:rPr>
          <w:rStyle w:val="normaltextrun"/>
          <w:noProof/>
          <w:lang w:val="en-IE"/>
        </w:rPr>
      </w:pPr>
      <w:r w:rsidRPr="00E50A7A">
        <w:rPr>
          <w:rStyle w:val="normaltextrun"/>
          <w:noProof/>
          <w:lang w:val="en-IE"/>
        </w:rPr>
        <w:t xml:space="preserve">The WFD, as revised in 2018, requires Member States to prepare specific food waste prevention programmes, in line with the waste hierarchy. It requires Member States to reduce food waste </w:t>
      </w:r>
      <w:r w:rsidRPr="00E50A7A">
        <w:rPr>
          <w:rStyle w:val="normaltextrun"/>
          <w:noProof/>
          <w:lang w:val="en-IE"/>
        </w:rPr>
        <w:lastRenderedPageBreak/>
        <w:t>at each stage of the food supply chain, monitor food waste levels and report on progress made. The Commission adopted, in 2019, a common food waste measurement methodology</w:t>
      </w:r>
      <w:r w:rsidR="00C24FD0" w:rsidRPr="00E50A7A">
        <w:rPr>
          <w:rStyle w:val="FootnoteReference"/>
          <w:noProof/>
          <w:lang w:val="en-IE"/>
        </w:rPr>
        <w:footnoteReference w:id="32"/>
      </w:r>
      <w:r w:rsidRPr="00E50A7A">
        <w:rPr>
          <w:rStyle w:val="normaltextrun"/>
          <w:noProof/>
          <w:lang w:val="en-IE"/>
        </w:rPr>
        <w:t>, to be utilised as a basis for EU-wide food waste monitoring.  </w:t>
      </w:r>
    </w:p>
    <w:p w14:paraId="6E425168" w14:textId="77777777" w:rsidR="0050683A" w:rsidRPr="00E50A7A" w:rsidRDefault="0050683A" w:rsidP="0050683A">
      <w:pPr>
        <w:rPr>
          <w:rStyle w:val="normaltextrun"/>
          <w:noProof/>
          <w:lang w:val="en-IE"/>
        </w:rPr>
      </w:pPr>
      <w:r w:rsidRPr="00E50A7A">
        <w:rPr>
          <w:rStyle w:val="normaltextrun"/>
          <w:noProof/>
          <w:lang w:val="en-IE"/>
        </w:rPr>
        <w:t>In order to support Member States in taking action, the Commission has, since 2015, taken initiatives to clarify and harmonise relevant legislation (e.g., adoption of EU guidelines on food donation</w:t>
      </w:r>
      <w:r w:rsidR="00C24FD0" w:rsidRPr="00E50A7A">
        <w:rPr>
          <w:rStyle w:val="FootnoteReference"/>
          <w:noProof/>
          <w:lang w:val="en-IE"/>
        </w:rPr>
        <w:footnoteReference w:id="33"/>
      </w:r>
      <w:r w:rsidRPr="00E50A7A">
        <w:rPr>
          <w:rStyle w:val="normaltextrun"/>
          <w:noProof/>
          <w:lang w:val="en-IE"/>
        </w:rPr>
        <w:t>, followed by amendments to food hygiene rules to facilitate safe food donation practices, as well as EU guidelines regarding the feed use of food no longer intended for human consumption</w:t>
      </w:r>
      <w:r w:rsidR="00C24FD0" w:rsidRPr="00E50A7A">
        <w:rPr>
          <w:rStyle w:val="FootnoteReference"/>
          <w:noProof/>
          <w:lang w:val="en-IE"/>
        </w:rPr>
        <w:footnoteReference w:id="34"/>
      </w:r>
      <w:r w:rsidRPr="00E50A7A">
        <w:rPr>
          <w:rStyle w:val="normaltextrun"/>
          <w:noProof/>
          <w:lang w:val="en-IE"/>
        </w:rPr>
        <w:t xml:space="preserve">). The Commission has also established, as of 2016, a multi-stakeholder platform, the </w:t>
      </w:r>
      <w:hyperlink r:id="rId22" w:tgtFrame="_blank" w:history="1">
        <w:r w:rsidRPr="00E50A7A">
          <w:rPr>
            <w:rStyle w:val="normaltextrun"/>
            <w:noProof/>
            <w:lang w:val="en-IE"/>
          </w:rPr>
          <w:t>EU Platform on Food Losses and Food Waste</w:t>
        </w:r>
      </w:hyperlink>
      <w:r w:rsidR="00B24CA9">
        <w:rPr>
          <w:rStyle w:val="FootnoteReference"/>
          <w:noProof/>
          <w:lang w:val="en-IE"/>
        </w:rPr>
        <w:footnoteReference w:id="35"/>
      </w:r>
      <w:r w:rsidRPr="00E50A7A">
        <w:rPr>
          <w:rStyle w:val="normaltextrun"/>
          <w:noProof/>
          <w:lang w:val="en-IE"/>
        </w:rPr>
        <w:t xml:space="preserve"> (FLW) to support all players in defining measures to prevent food waste, share best practice and evaluate progress. It has also adopted its own deliverables (e.g., </w:t>
      </w:r>
      <w:hyperlink r:id="rId23" w:tgtFrame="_blank" w:history="1">
        <w:r w:rsidRPr="00E50A7A">
          <w:rPr>
            <w:rStyle w:val="normaltextrun"/>
            <w:noProof/>
            <w:lang w:val="en-IE"/>
          </w:rPr>
          <w:t>recommendations for action in food waste prevention</w:t>
        </w:r>
      </w:hyperlink>
      <w:r w:rsidR="00B24CA9">
        <w:rPr>
          <w:rStyle w:val="FootnoteReference"/>
          <w:noProof/>
          <w:lang w:val="en-IE"/>
        </w:rPr>
        <w:footnoteReference w:id="36"/>
      </w:r>
      <w:r w:rsidRPr="00E50A7A">
        <w:rPr>
          <w:rStyle w:val="normaltextrun"/>
          <w:noProof/>
          <w:lang w:val="en-IE"/>
        </w:rPr>
        <w:t xml:space="preserve">) and has supported work undertaken at EU level to improve </w:t>
      </w:r>
      <w:hyperlink r:id="rId24" w:tgtFrame="_blank" w:history="1">
        <w:r w:rsidRPr="00E50A7A">
          <w:rPr>
            <w:rStyle w:val="normaltextrun"/>
            <w:noProof/>
            <w:lang w:val="en-IE"/>
          </w:rPr>
          <w:t>date markin</w:t>
        </w:r>
        <w:r w:rsidR="004A3E48" w:rsidRPr="00E50A7A">
          <w:rPr>
            <w:rStyle w:val="normaltextrun"/>
            <w:noProof/>
            <w:lang w:val="en-IE"/>
          </w:rPr>
          <w:t>g</w:t>
        </w:r>
      </w:hyperlink>
      <w:r w:rsidR="004A3E48" w:rsidRPr="00E50A7A">
        <w:rPr>
          <w:rStyle w:val="FootnoteReference"/>
          <w:noProof/>
          <w:lang w:val="en-IE"/>
        </w:rPr>
        <w:footnoteReference w:id="37"/>
      </w:r>
      <w:hyperlink w:tgtFrame="_blank" w:history="1">
        <w:r w:rsidRPr="00E50A7A">
          <w:rPr>
            <w:rStyle w:val="normaltextrun"/>
            <w:noProof/>
            <w:lang w:val="en-IE"/>
          </w:rPr>
          <w:t xml:space="preserve"> </w:t>
        </w:r>
      </w:hyperlink>
      <w:r w:rsidRPr="00E50A7A">
        <w:rPr>
          <w:rStyle w:val="normaltextrun"/>
          <w:noProof/>
          <w:lang w:val="en-IE"/>
        </w:rPr>
        <w:t>practices.</w:t>
      </w:r>
      <w:r w:rsidR="004A3E48" w:rsidRPr="00E50A7A">
        <w:rPr>
          <w:rStyle w:val="normaltextrun"/>
          <w:noProof/>
          <w:lang w:val="en-IE"/>
        </w:rPr>
        <w:t xml:space="preserve"> </w:t>
      </w:r>
      <w:r w:rsidRPr="00E50A7A">
        <w:rPr>
          <w:rStyle w:val="normaltextrun"/>
          <w:noProof/>
          <w:lang w:val="en-IE"/>
        </w:rPr>
        <w:t xml:space="preserve">The sharing of best practice and solutions to reduce food waste across the EU is also facilitated through the digital </w:t>
      </w:r>
      <w:hyperlink r:id="rId25" w:tgtFrame="_blank" w:history="1">
        <w:r w:rsidRPr="00E50A7A">
          <w:rPr>
            <w:rStyle w:val="normaltextrun"/>
            <w:noProof/>
            <w:lang w:val="en-IE"/>
          </w:rPr>
          <w:t>EU Food Loss and Waste Prevention Hub</w:t>
        </w:r>
      </w:hyperlink>
      <w:r w:rsidR="00B24CA9">
        <w:rPr>
          <w:rStyle w:val="FootnoteReference"/>
          <w:noProof/>
          <w:lang w:val="en-IE"/>
        </w:rPr>
        <w:footnoteReference w:id="38"/>
      </w:r>
      <w:r w:rsidRPr="00E50A7A">
        <w:rPr>
          <w:rStyle w:val="normaltextrun"/>
          <w:noProof/>
          <w:lang w:val="en-IE"/>
        </w:rPr>
        <w:t xml:space="preserve">. </w:t>
      </w:r>
      <w:r w:rsidR="00EE7260" w:rsidRPr="00E50A7A">
        <w:rPr>
          <w:rStyle w:val="normaltextrun"/>
          <w:noProof/>
          <w:lang w:val="en-IE"/>
        </w:rPr>
        <w:t>The RESTwithEU pilot projec</w:t>
      </w:r>
      <w:r w:rsidR="00B24CA9">
        <w:rPr>
          <w:rStyle w:val="normaltextrun"/>
          <w:noProof/>
          <w:lang w:val="en-IE"/>
        </w:rPr>
        <w:t>t</w:t>
      </w:r>
      <w:r w:rsidR="00B24CA9">
        <w:rPr>
          <w:rStyle w:val="FootnoteReference"/>
          <w:noProof/>
          <w:lang w:val="en-IE"/>
        </w:rPr>
        <w:footnoteReference w:id="39"/>
      </w:r>
      <w:r w:rsidR="00EE7260" w:rsidRPr="00E50A7A">
        <w:rPr>
          <w:rStyle w:val="normaltextrun"/>
          <w:noProof/>
          <w:lang w:val="en-IE"/>
        </w:rPr>
        <w:t xml:space="preserve"> evaluates and recommends digital tools to reduce food waste in the restaurant industry. </w:t>
      </w:r>
      <w:r w:rsidRPr="00E50A7A">
        <w:rPr>
          <w:rStyle w:val="normaltextrun"/>
          <w:noProof/>
          <w:lang w:val="en-IE"/>
        </w:rPr>
        <w:t>Supporting consumer behavioural change is addressed by a dedicated sub-group of the Platform and a best practice compendium, developed by the EU pilot project, the European Consumer Food Waste Forum, will be made available by end June 2023. In order to strengthen the evidence base for food waste prevention, the Joint Research Centre carries out assessments of the effectiveness of food waste prevention interventions</w:t>
      </w:r>
      <w:r w:rsidR="004A3E48" w:rsidRPr="00E50A7A">
        <w:rPr>
          <w:rStyle w:val="FootnoteReference"/>
          <w:noProof/>
          <w:lang w:val="en-IE"/>
        </w:rPr>
        <w:footnoteReference w:id="40"/>
      </w:r>
      <w:r w:rsidRPr="00E50A7A">
        <w:rPr>
          <w:rStyle w:val="normaltextrun"/>
          <w:noProof/>
          <w:lang w:val="en-IE"/>
        </w:rPr>
        <w:t xml:space="preserve">, supported by an evaluation framework that can be utilised by all actors. Calls for proposals under the EU Research and Innovation Framework Programme </w:t>
      </w:r>
      <w:hyperlink r:id="rId26" w:tgtFrame="_blank" w:history="1">
        <w:r w:rsidRPr="00E50A7A">
          <w:rPr>
            <w:rStyle w:val="normaltextrun"/>
            <w:noProof/>
            <w:lang w:val="en-IE"/>
          </w:rPr>
          <w:t>Horizon</w:t>
        </w:r>
        <w:r w:rsidR="00373564" w:rsidRPr="00E50A7A">
          <w:rPr>
            <w:rStyle w:val="normaltextrun"/>
            <w:noProof/>
            <w:lang w:val="en-IE"/>
          </w:rPr>
          <w:t xml:space="preserve"> </w:t>
        </w:r>
        <w:r w:rsidRPr="00E50A7A">
          <w:rPr>
            <w:rStyle w:val="normaltextrun"/>
            <w:noProof/>
            <w:lang w:val="en-IE"/>
          </w:rPr>
          <w:t>2020</w:t>
        </w:r>
      </w:hyperlink>
      <w:r w:rsidR="004A3E48" w:rsidRPr="00E50A7A">
        <w:rPr>
          <w:rStyle w:val="FootnoteReference"/>
          <w:noProof/>
          <w:lang w:val="en-IE"/>
        </w:rPr>
        <w:footnoteReference w:id="41"/>
      </w:r>
      <w:r w:rsidRPr="00E50A7A">
        <w:rPr>
          <w:rStyle w:val="normaltextrun"/>
          <w:noProof/>
          <w:lang w:val="en-IE"/>
        </w:rPr>
        <w:t xml:space="preserve"> and </w:t>
      </w:r>
      <w:hyperlink r:id="rId27" w:tgtFrame="_blank" w:history="1">
        <w:r w:rsidRPr="00E50A7A">
          <w:rPr>
            <w:rStyle w:val="normaltextrun"/>
            <w:noProof/>
            <w:lang w:val="en-IE"/>
          </w:rPr>
          <w:t>Horizon Europe</w:t>
        </w:r>
      </w:hyperlink>
      <w:r w:rsidR="004A3E48" w:rsidRPr="00E50A7A">
        <w:rPr>
          <w:rStyle w:val="FootnoteReference"/>
          <w:noProof/>
          <w:lang w:val="en-IE"/>
        </w:rPr>
        <w:footnoteReference w:id="42"/>
      </w:r>
      <w:r w:rsidR="004A3E48" w:rsidRPr="00E50A7A">
        <w:rPr>
          <w:rStyle w:val="normaltextrun"/>
          <w:noProof/>
          <w:lang w:val="en-IE"/>
        </w:rPr>
        <w:t xml:space="preserve"> </w:t>
      </w:r>
      <w:r w:rsidR="00373564" w:rsidRPr="00E50A7A">
        <w:rPr>
          <w:rStyle w:val="normaltextrun"/>
          <w:noProof/>
          <w:lang w:val="en-IE"/>
        </w:rPr>
        <w:t>have been offering</w:t>
      </w:r>
      <w:r w:rsidRPr="00E50A7A">
        <w:rPr>
          <w:rStyle w:val="normaltextrun"/>
          <w:noProof/>
          <w:lang w:val="en-IE"/>
        </w:rPr>
        <w:t xml:space="preserve"> new opportunities for research and innovation to address food loss and waste. Other funding instruments for food waste prevention include the </w:t>
      </w:r>
      <w:hyperlink r:id="rId28" w:tgtFrame="_blank" w:history="1">
        <w:r w:rsidRPr="00E50A7A">
          <w:rPr>
            <w:rStyle w:val="normaltextrun"/>
            <w:noProof/>
            <w:lang w:val="en-IE"/>
          </w:rPr>
          <w:t>LIFE</w:t>
        </w:r>
      </w:hyperlink>
      <w:r w:rsidRPr="00E50A7A">
        <w:rPr>
          <w:rStyle w:val="normaltextrun"/>
          <w:noProof/>
          <w:lang w:val="en-IE"/>
        </w:rPr>
        <w:t xml:space="preserve"> programme and </w:t>
      </w:r>
      <w:hyperlink r:id="rId29" w:tgtFrame="_blank" w:history="1">
        <w:r w:rsidRPr="00E50A7A">
          <w:rPr>
            <w:rStyle w:val="normaltextrun"/>
            <w:noProof/>
            <w:lang w:val="en-IE"/>
          </w:rPr>
          <w:t>InterReg Europe</w:t>
        </w:r>
      </w:hyperlink>
      <w:r w:rsidRPr="00E50A7A">
        <w:rPr>
          <w:rStyle w:val="normaltextrun"/>
          <w:noProof/>
          <w:lang w:val="en-IE"/>
        </w:rPr>
        <w:t>. Under the Single Market Programme, the Commission also makes available grants to support Member States and stakeholders</w:t>
      </w:r>
      <w:r w:rsidR="004A3E48" w:rsidRPr="00E50A7A">
        <w:rPr>
          <w:rStyle w:val="FootnoteReference"/>
          <w:noProof/>
          <w:lang w:val="en-IE"/>
        </w:rPr>
        <w:footnoteReference w:id="43"/>
      </w:r>
      <w:r w:rsidRPr="00E50A7A">
        <w:rPr>
          <w:rStyle w:val="normaltextrun"/>
          <w:noProof/>
          <w:lang w:val="en-IE"/>
        </w:rPr>
        <w:t xml:space="preserve"> in improving food waste measurement and implementation of actions to reduce food waste, in collaboration with the European Health and Digital Executive Agency (HaDEA). </w:t>
      </w:r>
    </w:p>
    <w:p w14:paraId="0139FF64" w14:textId="77777777" w:rsidR="0084395A" w:rsidRPr="00E50A7A" w:rsidRDefault="0084395A" w:rsidP="0050683A">
      <w:pPr>
        <w:rPr>
          <w:rStyle w:val="normaltextrun"/>
          <w:noProof/>
        </w:rPr>
      </w:pPr>
      <w:r w:rsidRPr="00E50A7A">
        <w:rPr>
          <w:rStyle w:val="normaltextrun"/>
          <w:noProof/>
          <w:lang w:val="en-IE"/>
        </w:rPr>
        <w:t>Many food business operators along the food supply chain have taken important steps to reduce food waste generation and improve resource efficiency. Under the EU Code of Conduct for responsible Food Business and Marketing Practices</w:t>
      </w:r>
      <w:r w:rsidR="00B24CA9">
        <w:rPr>
          <w:rStyle w:val="FootnoteReference"/>
          <w:noProof/>
          <w:lang w:val="en-IE"/>
        </w:rPr>
        <w:footnoteReference w:id="44"/>
      </w:r>
      <w:r w:rsidRPr="00E50A7A">
        <w:rPr>
          <w:rStyle w:val="normaltextrun"/>
          <w:noProof/>
          <w:lang w:val="en-IE"/>
        </w:rPr>
        <w:t>, food processors and retailers, have made concrete commitments on food waste reduction in their operations and along the supply chain. </w:t>
      </w:r>
      <w:r w:rsidRPr="00E50A7A">
        <w:rPr>
          <w:rStyle w:val="normaltextrun"/>
          <w:noProof/>
        </w:rPr>
        <w:t> </w:t>
      </w:r>
    </w:p>
    <w:p w14:paraId="29075581" w14:textId="77777777" w:rsidR="0050683A" w:rsidRPr="00E50A7A" w:rsidRDefault="0050683A" w:rsidP="0050683A">
      <w:pPr>
        <w:rPr>
          <w:rStyle w:val="normaltextrun"/>
          <w:noProof/>
          <w:lang w:val="en-IE"/>
        </w:rPr>
      </w:pPr>
      <w:r w:rsidRPr="00E50A7A">
        <w:rPr>
          <w:rStyle w:val="normaltextrun"/>
          <w:noProof/>
          <w:lang w:val="en-IE"/>
        </w:rPr>
        <w:lastRenderedPageBreak/>
        <w:t xml:space="preserve">Despite </w:t>
      </w:r>
      <w:r w:rsidR="000B7EAC" w:rsidRPr="00E50A7A">
        <w:rPr>
          <w:rStyle w:val="normaltextrun"/>
          <w:noProof/>
          <w:lang w:val="en-IE"/>
        </w:rPr>
        <w:t xml:space="preserve">these actions and </w:t>
      </w:r>
      <w:r w:rsidRPr="00E50A7A">
        <w:rPr>
          <w:rStyle w:val="normaltextrun"/>
          <w:noProof/>
          <w:lang w:val="en-IE"/>
        </w:rPr>
        <w:t xml:space="preserve">the growing awareness of the negative impacts and consequences of food waste, political commitments made at EU and Member State levels and EU measures implemented since the 2015 CEAP, food waste generation is not </w:t>
      </w:r>
      <w:r w:rsidR="00373564" w:rsidRPr="00E50A7A">
        <w:rPr>
          <w:rStyle w:val="normaltextrun"/>
          <w:noProof/>
          <w:lang w:val="en-IE"/>
        </w:rPr>
        <w:t xml:space="preserve">sufficiently </w:t>
      </w:r>
      <w:r w:rsidRPr="00E50A7A">
        <w:rPr>
          <w:rStyle w:val="normaltextrun"/>
          <w:noProof/>
          <w:lang w:val="en-IE"/>
        </w:rPr>
        <w:t>decreasing to make significant progress towards SDG Target 12.3. In the EU, despite the existing legal obligations in the WFD and the supporting activities of the Commission, action taken to date in Member States is disparate and has not allowed a significant reduction of food waste levels.  </w:t>
      </w:r>
    </w:p>
    <w:p w14:paraId="1967F5DB" w14:textId="77777777" w:rsidR="0050683A" w:rsidRPr="00E50A7A" w:rsidRDefault="0050683A" w:rsidP="0050683A">
      <w:pPr>
        <w:rPr>
          <w:rStyle w:val="normaltextrun"/>
          <w:noProof/>
          <w:lang w:val="en-IE"/>
        </w:rPr>
      </w:pPr>
      <w:r w:rsidRPr="00E50A7A">
        <w:rPr>
          <w:rStyle w:val="normaltextrun"/>
          <w:noProof/>
          <w:lang w:val="en-IE"/>
        </w:rPr>
        <w:t>The setting of targets is therefore a necessary next step. Th</w:t>
      </w:r>
      <w:r w:rsidR="00606E5A" w:rsidRPr="00E50A7A">
        <w:rPr>
          <w:rStyle w:val="normaltextrun"/>
          <w:noProof/>
          <w:lang w:val="en-IE"/>
        </w:rPr>
        <w:t xml:space="preserve">e specific objectives of this </w:t>
      </w:r>
      <w:r w:rsidRPr="00E50A7A">
        <w:rPr>
          <w:rStyle w:val="normaltextrun"/>
          <w:noProof/>
          <w:lang w:val="en-IE"/>
        </w:rPr>
        <w:t xml:space="preserve">proposal </w:t>
      </w:r>
      <w:r w:rsidR="00606E5A" w:rsidRPr="00E50A7A">
        <w:rPr>
          <w:rStyle w:val="normaltextrun"/>
          <w:noProof/>
          <w:lang w:val="en-IE"/>
        </w:rPr>
        <w:t>are</w:t>
      </w:r>
      <w:r w:rsidR="00664375" w:rsidRPr="00E50A7A">
        <w:rPr>
          <w:rStyle w:val="normaltextrun"/>
          <w:noProof/>
          <w:lang w:val="en-IE"/>
        </w:rPr>
        <w:t>: firstly,</w:t>
      </w:r>
      <w:r w:rsidRPr="00E50A7A">
        <w:rPr>
          <w:rStyle w:val="normaltextrun"/>
          <w:noProof/>
          <w:lang w:val="en-IE"/>
        </w:rPr>
        <w:t xml:space="preserve"> to </w:t>
      </w:r>
      <w:r w:rsidR="00431429" w:rsidRPr="00E50A7A">
        <w:rPr>
          <w:rStyle w:val="normaltextrun"/>
          <w:noProof/>
          <w:lang w:val="en-IE"/>
        </w:rPr>
        <w:t xml:space="preserve">assign clear responsibility </w:t>
      </w:r>
      <w:r w:rsidR="00B17771" w:rsidRPr="00E50A7A">
        <w:rPr>
          <w:rStyle w:val="normaltextrun"/>
          <w:noProof/>
          <w:lang w:val="en-IE"/>
        </w:rPr>
        <w:t xml:space="preserve">to Member States </w:t>
      </w:r>
      <w:r w:rsidR="004022D0" w:rsidRPr="00E50A7A">
        <w:rPr>
          <w:rStyle w:val="normaltextrun"/>
          <w:noProof/>
          <w:lang w:val="en-IE"/>
        </w:rPr>
        <w:t>for accelerating reduction of food waste</w:t>
      </w:r>
      <w:r w:rsidR="001E7496" w:rsidRPr="00E50A7A">
        <w:rPr>
          <w:rStyle w:val="normaltextrun"/>
          <w:noProof/>
          <w:lang w:val="en-IE"/>
        </w:rPr>
        <w:t xml:space="preserve"> along the food supply chain</w:t>
      </w:r>
      <w:r w:rsidR="00402510" w:rsidRPr="00E50A7A">
        <w:rPr>
          <w:rStyle w:val="normaltextrun"/>
          <w:noProof/>
          <w:lang w:val="en-IE"/>
        </w:rPr>
        <w:t xml:space="preserve"> and in households, in their respective </w:t>
      </w:r>
      <w:r w:rsidR="00664375" w:rsidRPr="00E50A7A">
        <w:rPr>
          <w:rStyle w:val="normaltextrun"/>
          <w:noProof/>
          <w:lang w:val="en-IE"/>
        </w:rPr>
        <w:t>territories, and thus make a solid contribution towards achieving SDG Target 12.3</w:t>
      </w:r>
      <w:r w:rsidR="00115ED8" w:rsidRPr="00E50A7A">
        <w:rPr>
          <w:rStyle w:val="normaltextrun"/>
          <w:noProof/>
          <w:lang w:val="en-IE"/>
        </w:rPr>
        <w:t xml:space="preserve">; and secondly, </w:t>
      </w:r>
      <w:r w:rsidR="00D17B2D" w:rsidRPr="00E50A7A">
        <w:rPr>
          <w:rStyle w:val="normaltextrun"/>
          <w:noProof/>
          <w:lang w:val="en-IE"/>
        </w:rPr>
        <w:t>to</w:t>
      </w:r>
      <w:r w:rsidR="001E7496" w:rsidRPr="00E50A7A">
        <w:rPr>
          <w:rStyle w:val="normaltextrun"/>
          <w:noProof/>
          <w:lang w:val="en-IE"/>
        </w:rPr>
        <w:t xml:space="preserve"> </w:t>
      </w:r>
      <w:r w:rsidRPr="00E50A7A">
        <w:rPr>
          <w:rStyle w:val="normaltextrun"/>
          <w:noProof/>
          <w:lang w:val="en-IE"/>
        </w:rPr>
        <w:t>ensure sufficient and consistent response by all Member States to reduce food waste</w:t>
      </w:r>
      <w:r w:rsidR="00410333" w:rsidRPr="00E50A7A">
        <w:rPr>
          <w:rStyle w:val="normaltextrun"/>
          <w:noProof/>
          <w:lang w:val="en-IE"/>
        </w:rPr>
        <w:t>, in line with that of front-runners</w:t>
      </w:r>
      <w:r w:rsidR="00B24CA9">
        <w:rPr>
          <w:rStyle w:val="normaltextrun"/>
          <w:noProof/>
          <w:lang w:val="en-IE"/>
        </w:rPr>
        <w:t>.</w:t>
      </w:r>
      <w:r w:rsidRPr="00E50A7A">
        <w:rPr>
          <w:rStyle w:val="normaltextrun"/>
          <w:noProof/>
          <w:lang w:val="en-IE"/>
        </w:rPr>
        <w:t> </w:t>
      </w:r>
    </w:p>
    <w:p w14:paraId="444F962E" w14:textId="57AFC892" w:rsidR="0050683A" w:rsidRDefault="0050683A" w:rsidP="0050683A">
      <w:pPr>
        <w:rPr>
          <w:rStyle w:val="normaltextrun"/>
          <w:noProof/>
          <w:lang w:val="en-IE"/>
        </w:rPr>
      </w:pPr>
      <w:r w:rsidRPr="00E50A7A">
        <w:rPr>
          <w:rStyle w:val="normaltextrun"/>
          <w:noProof/>
          <w:lang w:val="en-IE"/>
        </w:rPr>
        <w:t>This should lead each Member State to take ambitious action – deploying the most effective measures, tailored to its specific national situation – and aiming to support consumer behavioural change as well as strengthen coordination of actions between actors across the whole food value chain as well as with other relevant actors (e.g., academia, NGOs, financial institutions</w:t>
      </w:r>
      <w:r w:rsidR="00373564" w:rsidRPr="00E50A7A">
        <w:rPr>
          <w:rStyle w:val="normaltextrun"/>
          <w:noProof/>
          <w:lang w:val="en-IE"/>
        </w:rPr>
        <w:t xml:space="preserve">, </w:t>
      </w:r>
      <w:r w:rsidR="00151042" w:rsidRPr="00E50A7A">
        <w:rPr>
          <w:rStyle w:val="normaltextrun"/>
          <w:noProof/>
          <w:lang w:val="en-IE"/>
        </w:rPr>
        <w:t xml:space="preserve">social economy actors, </w:t>
      </w:r>
      <w:r w:rsidR="00373564" w:rsidRPr="00E50A7A">
        <w:rPr>
          <w:rStyle w:val="normaltextrun"/>
          <w:noProof/>
          <w:lang w:val="en-IE"/>
        </w:rPr>
        <w:t>etc</w:t>
      </w:r>
      <w:r w:rsidRPr="00E50A7A">
        <w:rPr>
          <w:rStyle w:val="normaltextrun"/>
          <w:noProof/>
          <w:lang w:val="en-IE"/>
        </w:rPr>
        <w:t>)</w:t>
      </w:r>
      <w:r w:rsidR="00062210" w:rsidRPr="00E50A7A">
        <w:rPr>
          <w:rStyle w:val="normaltextrun"/>
          <w:noProof/>
          <w:lang w:val="en-IE"/>
        </w:rPr>
        <w:t>.</w:t>
      </w:r>
    </w:p>
    <w:p w14:paraId="0DAE6EB8" w14:textId="6981CDF7" w:rsidR="00620555" w:rsidRPr="00E50A7A" w:rsidRDefault="00620555" w:rsidP="0050683A">
      <w:pPr>
        <w:rPr>
          <w:rStyle w:val="normaltextrun"/>
          <w:noProof/>
          <w:lang w:val="en-IE"/>
        </w:rPr>
      </w:pPr>
      <w:r>
        <w:rPr>
          <w:rStyle w:val="normaltextrun"/>
          <w:noProof/>
          <w:lang w:val="en-IE"/>
        </w:rPr>
        <w:t>In addition, after the Conference on the Future of Europe, food waste was selected as the first subject for deliberative European Citizens’ Panels. The Citizens’ Panel’s recommendations will support the Commission’s work and will support Member States in designing national strategies and action plans to prevent food waste.</w:t>
      </w:r>
    </w:p>
    <w:p w14:paraId="3C414D12" w14:textId="77777777" w:rsidR="00BD152F" w:rsidRPr="00E50A7A" w:rsidRDefault="00BD152F" w:rsidP="0050683A">
      <w:pPr>
        <w:pStyle w:val="ManualHeading2"/>
        <w:rPr>
          <w:rFonts w:eastAsia="Arial Unicode MS"/>
          <w:noProof/>
          <w:color w:val="000000"/>
          <w:u w:color="000000"/>
          <w:bdr w:val="nil"/>
          <w:lang w:val="en-IE" w:eastAsia="en-GB"/>
        </w:rPr>
      </w:pPr>
      <w:r w:rsidRPr="00E50A7A">
        <w:rPr>
          <w:rFonts w:eastAsia="Arial Unicode MS"/>
          <w:noProof/>
          <w:color w:val="000000"/>
          <w:u w:color="000000"/>
          <w:bdr w:val="nil"/>
          <w:lang w:val="en-IE" w:eastAsia="en-GB"/>
        </w:rPr>
        <w:t>•</w:t>
      </w:r>
      <w:r w:rsidRPr="00E50A7A">
        <w:rPr>
          <w:rFonts w:eastAsia="Arial Unicode MS"/>
          <w:noProof/>
          <w:color w:val="000000"/>
          <w:u w:color="000000"/>
          <w:bdr w:val="nil"/>
          <w:lang w:val="en-IE" w:eastAsia="en-GB"/>
        </w:rPr>
        <w:tab/>
      </w:r>
      <w:r w:rsidRPr="00E50A7A">
        <w:rPr>
          <w:rFonts w:eastAsia="Arial Unicode MS"/>
          <w:noProof/>
          <w:lang w:val="en-IE"/>
        </w:rPr>
        <w:t>Consistency with existing policy provisions in the policy area</w:t>
      </w:r>
    </w:p>
    <w:p w14:paraId="30369258" w14:textId="77777777" w:rsidR="0050683A" w:rsidRPr="00E50A7A" w:rsidRDefault="0050683A" w:rsidP="0050683A">
      <w:pPr>
        <w:pBdr>
          <w:top w:val="nil"/>
          <w:left w:val="nil"/>
          <w:bottom w:val="nil"/>
          <w:right w:val="nil"/>
          <w:between w:val="nil"/>
          <w:bar w:val="nil"/>
        </w:pBdr>
        <w:spacing w:before="0" w:after="240"/>
        <w:rPr>
          <w:rFonts w:eastAsia="Arial Unicode MS"/>
          <w:noProof/>
          <w:lang w:val="en-IE"/>
        </w:rPr>
      </w:pPr>
      <w:r w:rsidRPr="00E50A7A">
        <w:rPr>
          <w:rFonts w:eastAsia="Arial Unicode MS"/>
          <w:noProof/>
          <w:lang w:val="en-IE"/>
        </w:rPr>
        <w:t>The proposed amendment is in accordance with the Article 11(1) of the WFD that requires Member States to set up separate collection for textiles by 1 January 2025. The proposal introduces extended producer responsibility (EPR) and other policy measures that aim to support the required finance and harmonise information and approaches related to the collection, sorting, re-use, preparing for re-use and recycling infrastructure that will be needed once the separate collection obligation unfolds its effect. </w:t>
      </w:r>
    </w:p>
    <w:p w14:paraId="3898F58A" w14:textId="77777777" w:rsidR="00BD152F" w:rsidRPr="00E50A7A" w:rsidRDefault="0050683A" w:rsidP="00B00391">
      <w:pPr>
        <w:pBdr>
          <w:top w:val="nil"/>
          <w:left w:val="nil"/>
          <w:bottom w:val="nil"/>
          <w:right w:val="nil"/>
          <w:between w:val="nil"/>
          <w:bar w:val="nil"/>
        </w:pBdr>
        <w:spacing w:before="0" w:after="240"/>
        <w:rPr>
          <w:rFonts w:eastAsia="Arial Unicode MS"/>
          <w:noProof/>
          <w:lang w:val="en-IE"/>
        </w:rPr>
      </w:pPr>
      <w:r w:rsidRPr="00E50A7A">
        <w:rPr>
          <w:rFonts w:eastAsia="Arial Unicode MS"/>
          <w:noProof/>
          <w:lang w:val="en-IE"/>
        </w:rPr>
        <w:t>According to Art 9(6) of the WFD, the Commission is required, by 31 December 2023, to examine the data on food waste provided by Member States with a view to consider the feasibility of establishing a Union-wide food waste reduction target to be met by 2030 and submit a report to the European Parliament and to the Council, accompanied, if appropriate, by a legislative proposal. Setting targets should strengthen the current provisions of Article 9(1) of WFD that requires Member States to take measures to reduce food waste across the whole food supply chain.</w:t>
      </w:r>
    </w:p>
    <w:p w14:paraId="5F10721E" w14:textId="77777777" w:rsidR="00BD152F" w:rsidRPr="00E50A7A" w:rsidRDefault="00BD152F" w:rsidP="00B00391">
      <w:pPr>
        <w:pStyle w:val="ManualHeading2"/>
        <w:rPr>
          <w:rFonts w:eastAsia="Arial Unicode MS"/>
          <w:noProof/>
          <w:lang w:val="en-IE"/>
        </w:rPr>
      </w:pPr>
      <w:r w:rsidRPr="00E50A7A">
        <w:rPr>
          <w:rFonts w:eastAsia="Arial Unicode MS"/>
          <w:noProof/>
          <w:color w:val="000000"/>
          <w:u w:color="000000"/>
          <w:bdr w:val="nil"/>
          <w:lang w:val="en-IE" w:eastAsia="en-GB"/>
        </w:rPr>
        <w:t>•</w:t>
      </w:r>
      <w:r w:rsidRPr="00E50A7A">
        <w:rPr>
          <w:rFonts w:eastAsia="Arial Unicode MS"/>
          <w:noProof/>
          <w:color w:val="000000"/>
          <w:u w:color="000000"/>
          <w:bdr w:val="nil"/>
          <w:lang w:val="en-IE" w:eastAsia="en-GB"/>
        </w:rPr>
        <w:tab/>
      </w:r>
      <w:r w:rsidRPr="00E50A7A">
        <w:rPr>
          <w:rFonts w:eastAsia="Arial Unicode MS"/>
          <w:noProof/>
          <w:lang w:val="en-IE"/>
        </w:rPr>
        <w:t>Consistency with other Union policies</w:t>
      </w:r>
    </w:p>
    <w:p w14:paraId="14F6D194" w14:textId="540EFA77" w:rsidR="00236713" w:rsidRPr="00E50A7A" w:rsidRDefault="00236713" w:rsidP="00236713">
      <w:pPr>
        <w:pBdr>
          <w:top w:val="nil"/>
          <w:left w:val="nil"/>
          <w:bottom w:val="nil"/>
          <w:right w:val="nil"/>
          <w:between w:val="nil"/>
          <w:bar w:val="nil"/>
        </w:pBdr>
        <w:spacing w:before="0" w:after="240"/>
        <w:rPr>
          <w:rFonts w:eastAsia="Arial Unicode MS"/>
          <w:noProof/>
          <w:lang w:val="en-IE"/>
        </w:rPr>
      </w:pPr>
      <w:r w:rsidRPr="00E50A7A">
        <w:rPr>
          <w:rFonts w:eastAsia="Arial Unicode MS"/>
          <w:noProof/>
          <w:lang w:val="en-IE"/>
        </w:rPr>
        <w:t xml:space="preserve">The EU Textiles Strategy addresses the production and consumption of textiles, whilst recognising the importance of the textiles sector. It presents a 2030 vision for textiles which sets the goal for textile products that are long-lived and recyclable, to a great extent made of recycled fibres, free of hazardous substances and produced in respect of </w:t>
      </w:r>
      <w:r w:rsidR="00CC0C0C">
        <w:rPr>
          <w:rFonts w:eastAsia="Arial Unicode MS"/>
          <w:noProof/>
          <w:lang w:val="en-IE"/>
        </w:rPr>
        <w:t xml:space="preserve">labour and </w:t>
      </w:r>
      <w:r w:rsidRPr="00E50A7A">
        <w:rPr>
          <w:rFonts w:eastAsia="Arial Unicode MS"/>
          <w:noProof/>
          <w:lang w:val="en-IE"/>
        </w:rPr>
        <w:t>social rights and the environment, and points to the need for producer responsibility along the value chain, for sufficient capacities for innovative fibre-to-fibre recycling,</w:t>
      </w:r>
      <w:r w:rsidR="00C870F6" w:rsidRPr="00E50A7A">
        <w:rPr>
          <w:rFonts w:eastAsia="Arial Unicode MS"/>
          <w:noProof/>
          <w:lang w:val="en-IE"/>
        </w:rPr>
        <w:t xml:space="preserve"> bio-based solutions</w:t>
      </w:r>
      <w:r w:rsidR="00177408" w:rsidRPr="00E50A7A">
        <w:rPr>
          <w:rFonts w:eastAsia="Arial Unicode MS"/>
          <w:noProof/>
          <w:lang w:val="en-IE"/>
        </w:rPr>
        <w:t>,</w:t>
      </w:r>
      <w:r w:rsidRPr="00E50A7A">
        <w:rPr>
          <w:rFonts w:eastAsia="Arial Unicode MS"/>
          <w:noProof/>
          <w:lang w:val="en-IE"/>
        </w:rPr>
        <w:t xml:space="preserve"> and reducing the incineration and landfilling of textiles to the minimum. Particularly relevant for waste management is that the EU Textiles Strategy announced harmonised EU rules on EPR for textiles, and economic incentives to make products more sustainable (“eco-modulation of fees”). Furthermore, it highlighted the Commission’s aim to address the challenges related to </w:t>
      </w:r>
      <w:r w:rsidRPr="00E50A7A">
        <w:rPr>
          <w:rFonts w:eastAsia="Arial Unicode MS"/>
          <w:noProof/>
          <w:lang w:val="en-IE"/>
        </w:rPr>
        <w:lastRenderedPageBreak/>
        <w:t>the export of textile waste</w:t>
      </w:r>
      <w:r w:rsidR="00CC0C0C">
        <w:rPr>
          <w:rFonts w:eastAsia="Arial Unicode MS"/>
          <w:noProof/>
          <w:lang w:val="en-IE"/>
        </w:rPr>
        <w:t>, and to promote decent work worldwide for a global just transition and a sustainable recovery</w:t>
      </w:r>
      <w:r w:rsidR="00CC4FD1">
        <w:rPr>
          <w:rStyle w:val="FootnoteReference"/>
          <w:rFonts w:eastAsia="Arial Unicode MS"/>
          <w:noProof/>
          <w:lang w:val="en-IE"/>
        </w:rPr>
        <w:footnoteReference w:id="45"/>
      </w:r>
      <w:r w:rsidRPr="00E50A7A">
        <w:rPr>
          <w:rFonts w:eastAsia="Arial Unicode MS"/>
          <w:noProof/>
          <w:lang w:val="en-IE"/>
        </w:rPr>
        <w:t>. </w:t>
      </w:r>
    </w:p>
    <w:p w14:paraId="5BD2C4B9" w14:textId="77777777" w:rsidR="0050683A" w:rsidRPr="00E50A7A" w:rsidRDefault="00236713" w:rsidP="00236713">
      <w:pPr>
        <w:pBdr>
          <w:top w:val="nil"/>
          <w:left w:val="nil"/>
          <w:bottom w:val="nil"/>
          <w:right w:val="nil"/>
          <w:between w:val="nil"/>
          <w:bar w:val="nil"/>
        </w:pBdr>
        <w:spacing w:before="0" w:after="240"/>
        <w:rPr>
          <w:rFonts w:eastAsia="Arial Unicode MS"/>
          <w:noProof/>
          <w:lang w:val="en-IE"/>
        </w:rPr>
      </w:pPr>
      <w:r w:rsidRPr="00E50A7A">
        <w:rPr>
          <w:rFonts w:eastAsia="Arial Unicode MS"/>
          <w:noProof/>
          <w:lang w:val="en-IE"/>
        </w:rPr>
        <w:t>This initiative also aims to contribute to the goal of the circular economy action plan to significantly reduce total waste generation and halve the amount of residual (non-recycled) municipal waste by 2030. The revision of the Packaging and Packaging Waste Directive (PPWD) will aim to reduce waste generation of packaging waste. Taken together this initiative and the revision of the PPWD initiative will tackle over 65% of all municipal waste generated (packaging, food waste and textile waste) therefore contributing to the overarching objective of the WFD and the European Green Deal</w:t>
      </w:r>
      <w:r w:rsidR="0050683A" w:rsidRPr="00E50A7A">
        <w:rPr>
          <w:rFonts w:eastAsia="Arial Unicode MS"/>
          <w:noProof/>
          <w:lang w:val="en-IE"/>
        </w:rPr>
        <w:t>. </w:t>
      </w:r>
    </w:p>
    <w:p w14:paraId="3FD1E29F" w14:textId="50B7B103" w:rsidR="0050683A" w:rsidRPr="00E50A7A" w:rsidRDefault="0050683A" w:rsidP="072CAFB5">
      <w:pPr>
        <w:pBdr>
          <w:top w:val="nil"/>
          <w:left w:val="nil"/>
          <w:bottom w:val="nil"/>
          <w:right w:val="nil"/>
          <w:between w:val="nil"/>
          <w:bar w:val="nil"/>
        </w:pBdr>
        <w:spacing w:before="0" w:after="240"/>
        <w:rPr>
          <w:rFonts w:eastAsia="Arial Unicode MS"/>
          <w:noProof/>
          <w:lang w:val="en-IE"/>
        </w:rPr>
      </w:pPr>
      <w:r w:rsidRPr="00E50A7A">
        <w:rPr>
          <w:rFonts w:eastAsia="Arial Unicode MS"/>
          <w:noProof/>
          <w:lang w:val="en-IE"/>
        </w:rPr>
        <w:t>The Commission proposal for the Waste Shipments Regulation (WSR)</w:t>
      </w:r>
      <w:r w:rsidR="00AB7409">
        <w:rPr>
          <w:rStyle w:val="FootnoteReference"/>
          <w:rFonts w:eastAsia="Arial Unicode MS"/>
          <w:noProof/>
          <w:lang w:val="en-IE"/>
        </w:rPr>
        <w:footnoteReference w:id="46"/>
      </w:r>
      <w:r w:rsidRPr="00E50A7A">
        <w:rPr>
          <w:rFonts w:eastAsia="Arial Unicode MS"/>
          <w:noProof/>
          <w:lang w:val="en-IE"/>
        </w:rPr>
        <w:t xml:space="preserve"> was </w:t>
      </w:r>
      <w:r w:rsidR="00E54A54" w:rsidRPr="00E50A7A">
        <w:rPr>
          <w:rFonts w:eastAsia="Arial Unicode MS"/>
          <w:noProof/>
          <w:lang w:val="en-IE"/>
        </w:rPr>
        <w:t xml:space="preserve">adopted </w:t>
      </w:r>
      <w:r w:rsidRPr="00E50A7A">
        <w:rPr>
          <w:rFonts w:eastAsia="Arial Unicode MS"/>
          <w:noProof/>
          <w:lang w:val="en-IE"/>
        </w:rPr>
        <w:t>on 17 November 2021</w:t>
      </w:r>
      <w:r w:rsidR="00433DD9" w:rsidRPr="00E50A7A">
        <w:rPr>
          <w:rFonts w:eastAsia="Arial Unicode MS"/>
          <w:noProof/>
          <w:lang w:val="en-IE"/>
        </w:rPr>
        <w:t xml:space="preserve"> </w:t>
      </w:r>
      <w:r w:rsidR="00433DD9" w:rsidRPr="00E50A7A">
        <w:rPr>
          <w:rFonts w:eastAsia="Arial Unicode MS"/>
          <w:noProof/>
          <w:color w:val="000000" w:themeColor="text1"/>
          <w:lang w:val="en-IE" w:eastAsia="en-GB"/>
        </w:rPr>
        <w:t>and at the time of the adoption of this proposal negotiations are still ongoing</w:t>
      </w:r>
      <w:r w:rsidRPr="00E50A7A">
        <w:rPr>
          <w:rFonts w:eastAsia="Arial Unicode MS"/>
          <w:noProof/>
          <w:lang w:val="en-IE"/>
        </w:rPr>
        <w:t xml:space="preserve">. It aims to ensure that the EU does not export its waste challenges to third countries and to facilitate shipments for recycling, while discouraging shipments to disposal. Measures include criteria to better distinguish between mixed and non-mixed waste, as well as between used </w:t>
      </w:r>
      <w:r w:rsidR="00E54A54" w:rsidRPr="00E50A7A">
        <w:rPr>
          <w:rFonts w:eastAsia="Arial Unicode MS"/>
          <w:noProof/>
          <w:lang w:val="en-IE"/>
        </w:rPr>
        <w:t xml:space="preserve">and </w:t>
      </w:r>
      <w:r w:rsidRPr="00E50A7A">
        <w:rPr>
          <w:rFonts w:eastAsia="Arial Unicode MS"/>
          <w:noProof/>
          <w:lang w:val="en-IE"/>
        </w:rPr>
        <w:t>waste goods, that may be established for textiles. Also, a stricter export regime to non-OECD third countries is proposed, as well as an obligation to audit the performance of recovery facilities in third countries. Finally, measures are proposed to step up the efforts on enforcement of the waste shipment rules, including for textile waste. The impacts of the WSR proposal are factored into the assessment performed. Furthermore, the measures that address shipments of materials (measures 2.6 and 2.9) distinguish textiles that are for re</w:t>
      </w:r>
      <w:r w:rsidR="260D9F5E" w:rsidRPr="00E50A7A">
        <w:rPr>
          <w:rFonts w:eastAsia="Arial Unicode MS"/>
          <w:noProof/>
          <w:lang w:val="en-IE"/>
        </w:rPr>
        <w:t>-</w:t>
      </w:r>
      <w:r w:rsidRPr="00E50A7A">
        <w:rPr>
          <w:rFonts w:eastAsia="Arial Unicode MS"/>
          <w:noProof/>
          <w:lang w:val="en-IE"/>
        </w:rPr>
        <w:t>use and no longer waste (and, therefore, not subject to the WSR) and those that are waste for which the measures in the proposal are referred to directly. </w:t>
      </w:r>
    </w:p>
    <w:p w14:paraId="71EFB970" w14:textId="179AC35C" w:rsidR="00A971B5" w:rsidRPr="00E50A7A" w:rsidRDefault="0050683A" w:rsidP="0050683A">
      <w:pPr>
        <w:pBdr>
          <w:top w:val="nil"/>
          <w:left w:val="nil"/>
          <w:bottom w:val="nil"/>
          <w:right w:val="nil"/>
          <w:between w:val="nil"/>
          <w:bar w:val="nil"/>
        </w:pBdr>
        <w:spacing w:before="0" w:after="240"/>
        <w:rPr>
          <w:rFonts w:eastAsia="Arial Unicode MS"/>
          <w:noProof/>
          <w:lang w:val="en-IE"/>
        </w:rPr>
      </w:pPr>
      <w:r w:rsidRPr="00E50A7A">
        <w:rPr>
          <w:rFonts w:eastAsia="Arial Unicode MS"/>
          <w:noProof/>
          <w:lang w:val="en-IE"/>
        </w:rPr>
        <w:t>The</w:t>
      </w:r>
      <w:r w:rsidR="004151DC">
        <w:rPr>
          <w:rFonts w:eastAsia="Arial Unicode MS"/>
          <w:noProof/>
          <w:lang w:val="en-IE"/>
        </w:rPr>
        <w:t xml:space="preserve"> proposed</w:t>
      </w:r>
      <w:r w:rsidRPr="00E50A7A">
        <w:rPr>
          <w:rFonts w:eastAsia="Arial Unicode MS"/>
          <w:noProof/>
          <w:lang w:val="en-IE"/>
        </w:rPr>
        <w:t xml:space="preserve"> </w:t>
      </w:r>
      <w:r w:rsidR="00236713" w:rsidRPr="00E50A7A">
        <w:rPr>
          <w:rFonts w:eastAsia="Arial Unicode MS"/>
          <w:noProof/>
          <w:lang w:val="en-IE"/>
        </w:rPr>
        <w:t>E</w:t>
      </w:r>
      <w:r w:rsidRPr="00E50A7A">
        <w:rPr>
          <w:rFonts w:eastAsia="Arial Unicode MS"/>
          <w:noProof/>
          <w:lang w:val="en-IE"/>
        </w:rPr>
        <w:t>codesign for Sustainable Products Regulation (ESPR)</w:t>
      </w:r>
      <w:r w:rsidR="00AB7409">
        <w:rPr>
          <w:rStyle w:val="FootnoteReference"/>
          <w:rFonts w:eastAsia="Arial Unicode MS"/>
          <w:noProof/>
          <w:lang w:val="en-IE"/>
        </w:rPr>
        <w:footnoteReference w:id="47"/>
      </w:r>
      <w:r w:rsidRPr="00E50A7A">
        <w:rPr>
          <w:rFonts w:eastAsia="Arial Unicode MS"/>
          <w:noProof/>
          <w:lang w:val="en-IE"/>
        </w:rPr>
        <w:t xml:space="preserve"> </w:t>
      </w:r>
      <w:r w:rsidR="004151DC">
        <w:rPr>
          <w:rFonts w:eastAsia="Arial Unicode MS"/>
          <w:noProof/>
          <w:lang w:val="en-IE"/>
        </w:rPr>
        <w:t xml:space="preserve">will </w:t>
      </w:r>
      <w:r w:rsidRPr="00E50A7A">
        <w:rPr>
          <w:rFonts w:eastAsia="Arial Unicode MS"/>
          <w:noProof/>
          <w:lang w:val="en-IE"/>
        </w:rPr>
        <w:t xml:space="preserve">set a framework to set ecodesign requirements for specific product groups to significantly improve their circularity, energy performance and other environmental sustainability aspects. Ecodesign requirements can be of key importance for waste prevention and high-quality recycling, as they can improve product durability, reparability, recyclability and recycled content. The development of such requirements can also serve as a basis for the setting of harmonized financial contributions to EPR schemes. Ecodesign requirements for textiles are expected to be in place by 2025 or 2026. In addition to the introduction of </w:t>
      </w:r>
      <w:r w:rsidR="004151DC">
        <w:rPr>
          <w:rFonts w:eastAsia="Arial Unicode MS"/>
          <w:noProof/>
          <w:lang w:val="en-IE"/>
        </w:rPr>
        <w:t xml:space="preserve">new </w:t>
      </w:r>
      <w:r w:rsidRPr="00E50A7A">
        <w:rPr>
          <w:rFonts w:eastAsia="Arial Unicode MS"/>
          <w:noProof/>
          <w:lang w:val="en-IE"/>
        </w:rPr>
        <w:t xml:space="preserve">ecodesign requirements, ESPR </w:t>
      </w:r>
      <w:r w:rsidR="004151DC">
        <w:rPr>
          <w:rFonts w:eastAsia="Arial Unicode MS"/>
          <w:noProof/>
          <w:lang w:val="en-IE"/>
        </w:rPr>
        <w:t xml:space="preserve">will </w:t>
      </w:r>
      <w:r w:rsidRPr="00E50A7A">
        <w:rPr>
          <w:rFonts w:eastAsia="Arial Unicode MS"/>
          <w:noProof/>
          <w:lang w:val="en-IE"/>
        </w:rPr>
        <w:t xml:space="preserve">introduce measures to counter the destruction of unsold consumer products. Firstly, it </w:t>
      </w:r>
      <w:r w:rsidR="004151DC">
        <w:rPr>
          <w:rFonts w:eastAsia="Arial Unicode MS"/>
          <w:noProof/>
          <w:lang w:val="en-IE"/>
        </w:rPr>
        <w:t xml:space="preserve">proposed to </w:t>
      </w:r>
      <w:r w:rsidRPr="00E50A7A">
        <w:rPr>
          <w:rFonts w:eastAsia="Arial Unicode MS"/>
          <w:noProof/>
          <w:lang w:val="en-IE"/>
        </w:rPr>
        <w:t xml:space="preserve">introduce a requirement for large enterprises to publicly disclose information on the number and types of unsold consumer products they discard. This measure is intended to function as a reputational dis-incentive for this practice while it is also envisaged to create an improved evidence base on the extent to which the destruction of unsold consumer products takes place. Secondly, ESPR </w:t>
      </w:r>
      <w:r w:rsidR="004151DC">
        <w:rPr>
          <w:rFonts w:eastAsia="Arial Unicode MS"/>
          <w:noProof/>
          <w:lang w:val="en-IE"/>
        </w:rPr>
        <w:t xml:space="preserve">will </w:t>
      </w:r>
      <w:r w:rsidRPr="00E50A7A">
        <w:rPr>
          <w:rFonts w:eastAsia="Arial Unicode MS"/>
          <w:noProof/>
          <w:lang w:val="en-IE"/>
        </w:rPr>
        <w:t>include an empowerment to adopt delegated acts prohibiting the destruction of specific groups of unsold consumer products, such as textiles, taking into account the information from the general disclosure obligation.  </w:t>
      </w:r>
      <w:r w:rsidR="00A971B5" w:rsidRPr="00E50A7A">
        <w:rPr>
          <w:rFonts w:eastAsia="Arial Unicode MS"/>
          <w:noProof/>
          <w:lang w:val="en-IE"/>
        </w:rPr>
        <w:t>Other important Union policies include the Textile Labelling Regulation</w:t>
      </w:r>
      <w:r w:rsidR="00AB7409">
        <w:rPr>
          <w:rStyle w:val="FootnoteReference"/>
          <w:rFonts w:eastAsia="Arial Unicode MS"/>
          <w:noProof/>
          <w:lang w:val="en-IE"/>
        </w:rPr>
        <w:footnoteReference w:id="48"/>
      </w:r>
      <w:r w:rsidR="00AB7409">
        <w:rPr>
          <w:rFonts w:eastAsia="Arial Unicode MS"/>
          <w:noProof/>
          <w:lang w:val="en-IE"/>
        </w:rPr>
        <w:t xml:space="preserve"> </w:t>
      </w:r>
      <w:r w:rsidR="008253D9" w:rsidRPr="00E50A7A">
        <w:rPr>
          <w:rFonts w:eastAsia="Arial Unicode MS"/>
          <w:noProof/>
          <w:lang w:val="en-IE"/>
        </w:rPr>
        <w:t>and the Regulation</w:t>
      </w:r>
      <w:r w:rsidR="008253D9" w:rsidRPr="00E50A7A">
        <w:rPr>
          <w:noProof/>
          <w:lang w:val="en-IE"/>
        </w:rPr>
        <w:t xml:space="preserve"> </w:t>
      </w:r>
      <w:r w:rsidR="008253D9" w:rsidRPr="00E50A7A">
        <w:rPr>
          <w:rFonts w:eastAsia="Arial Unicode MS"/>
          <w:noProof/>
          <w:lang w:val="en-IE"/>
        </w:rPr>
        <w:t>concerning the Registration, Evaluation, Authorisation and Restriction of Chemicals (REACH)</w:t>
      </w:r>
      <w:r w:rsidR="00AB7409">
        <w:rPr>
          <w:rStyle w:val="FootnoteReference"/>
          <w:rFonts w:eastAsia="Arial Unicode MS"/>
          <w:noProof/>
          <w:lang w:val="en-IE"/>
        </w:rPr>
        <w:footnoteReference w:id="49"/>
      </w:r>
      <w:r w:rsidR="00AB7409">
        <w:rPr>
          <w:rFonts w:eastAsia="Arial Unicode MS"/>
          <w:noProof/>
          <w:lang w:val="en-IE"/>
        </w:rPr>
        <w:t>.</w:t>
      </w:r>
    </w:p>
    <w:p w14:paraId="14A9E910" w14:textId="27FF7D56" w:rsidR="00A36E06" w:rsidRPr="00E50A7A" w:rsidRDefault="0050683A" w:rsidP="00B00391">
      <w:pPr>
        <w:pBdr>
          <w:top w:val="nil"/>
          <w:left w:val="nil"/>
          <w:bottom w:val="nil"/>
          <w:right w:val="nil"/>
          <w:between w:val="nil"/>
          <w:bar w:val="nil"/>
        </w:pBdr>
        <w:spacing w:before="0" w:after="240"/>
        <w:rPr>
          <w:rFonts w:eastAsia="Arial Unicode MS"/>
          <w:noProof/>
          <w:lang w:val="en-IE"/>
        </w:rPr>
      </w:pPr>
      <w:r w:rsidRPr="00E50A7A">
        <w:rPr>
          <w:rFonts w:eastAsia="Arial Unicode MS"/>
          <w:noProof/>
          <w:lang w:val="en-IE"/>
        </w:rPr>
        <w:lastRenderedPageBreak/>
        <w:t>Legally binding targets for food waste reduction contribute to a number of other EU policy objectives, namely a reduction of GHG emissions, thus contributing to the EU’s objective of climate neutrality by 2050 and to the objective of at least 55% net reduction in greenhouse gas emissions by 2030</w:t>
      </w:r>
      <w:r w:rsidR="00041038" w:rsidRPr="00E50A7A">
        <w:rPr>
          <w:rFonts w:eastAsia="Arial Unicode MS"/>
          <w:noProof/>
          <w:lang w:val="en-IE"/>
        </w:rPr>
        <w:t xml:space="preserve"> as expressed in 2030 Climate Target Plan</w:t>
      </w:r>
      <w:r w:rsidR="00AB7409">
        <w:rPr>
          <w:rStyle w:val="FootnoteReference"/>
          <w:rFonts w:eastAsia="Arial Unicode MS"/>
          <w:noProof/>
          <w:lang w:val="en-IE"/>
        </w:rPr>
        <w:footnoteReference w:id="50"/>
      </w:r>
      <w:r w:rsidRPr="00E50A7A">
        <w:rPr>
          <w:rFonts w:eastAsia="Arial Unicode MS"/>
          <w:noProof/>
          <w:lang w:val="en-IE"/>
        </w:rPr>
        <w:t xml:space="preserve">. Food waste reduction also leads to more sustainable use of land, reduced marine eutrophication and less water scarcity, in line with the </w:t>
      </w:r>
      <w:r w:rsidR="0098171E" w:rsidRPr="00E50A7A">
        <w:rPr>
          <w:rFonts w:eastAsia="Arial Unicode MS"/>
          <w:noProof/>
          <w:lang w:val="en-IE"/>
        </w:rPr>
        <w:t>objective</w:t>
      </w:r>
      <w:r w:rsidR="009F1086" w:rsidRPr="00E50A7A">
        <w:rPr>
          <w:rFonts w:eastAsia="Arial Unicode MS"/>
          <w:noProof/>
          <w:lang w:val="en-IE"/>
        </w:rPr>
        <w:t xml:space="preserve"> of establishing a sustainable food system,</w:t>
      </w:r>
      <w:r w:rsidR="004E236F" w:rsidRPr="00E50A7A">
        <w:rPr>
          <w:rFonts w:eastAsia="Arial Unicode MS"/>
          <w:noProof/>
          <w:lang w:val="en-IE"/>
        </w:rPr>
        <w:t xml:space="preserve"> </w:t>
      </w:r>
      <w:r w:rsidR="005E309E" w:rsidRPr="00E50A7A">
        <w:rPr>
          <w:rFonts w:eastAsia="Arial Unicode MS"/>
          <w:noProof/>
          <w:lang w:val="en-IE"/>
        </w:rPr>
        <w:t xml:space="preserve">as put forward </w:t>
      </w:r>
      <w:r w:rsidR="004E236F" w:rsidRPr="00E50A7A">
        <w:rPr>
          <w:rFonts w:eastAsia="Arial Unicode MS"/>
          <w:noProof/>
          <w:lang w:val="en-IE"/>
        </w:rPr>
        <w:t xml:space="preserve">in the Farm </w:t>
      </w:r>
      <w:r w:rsidR="005E309E" w:rsidRPr="00E50A7A">
        <w:rPr>
          <w:rFonts w:eastAsia="Arial Unicode MS"/>
          <w:noProof/>
          <w:lang w:val="en-IE"/>
        </w:rPr>
        <w:t xml:space="preserve">to Fork Strategy. </w:t>
      </w:r>
    </w:p>
    <w:p w14:paraId="555EC987" w14:textId="77777777" w:rsidR="00D62014" w:rsidRPr="00E50A7A" w:rsidRDefault="005E309E" w:rsidP="00B00391">
      <w:pPr>
        <w:pBdr>
          <w:top w:val="nil"/>
          <w:left w:val="nil"/>
          <w:bottom w:val="nil"/>
          <w:right w:val="nil"/>
          <w:between w:val="nil"/>
          <w:bar w:val="nil"/>
        </w:pBdr>
        <w:spacing w:before="0" w:after="240"/>
        <w:rPr>
          <w:rFonts w:eastAsia="Arial Unicode MS"/>
          <w:noProof/>
          <w:lang w:val="en-IE"/>
        </w:rPr>
      </w:pPr>
      <w:r w:rsidRPr="00E50A7A">
        <w:rPr>
          <w:rFonts w:eastAsia="Arial Unicode MS"/>
          <w:noProof/>
          <w:lang w:val="en-IE"/>
        </w:rPr>
        <w:t xml:space="preserve">The </w:t>
      </w:r>
      <w:r w:rsidR="0050683A" w:rsidRPr="00E50A7A">
        <w:rPr>
          <w:rFonts w:eastAsia="Arial Unicode MS"/>
          <w:noProof/>
          <w:lang w:val="en-IE"/>
        </w:rPr>
        <w:t>Strategy</w:t>
      </w:r>
      <w:r w:rsidR="00980AA6" w:rsidRPr="00E50A7A">
        <w:rPr>
          <w:rFonts w:eastAsia="Arial Unicode MS"/>
          <w:noProof/>
          <w:lang w:val="en-IE"/>
        </w:rPr>
        <w:t xml:space="preserve"> </w:t>
      </w:r>
      <w:r w:rsidR="009603E1" w:rsidRPr="00E50A7A">
        <w:rPr>
          <w:rFonts w:eastAsia="Arial Unicode MS"/>
          <w:noProof/>
          <w:lang w:val="en-IE"/>
        </w:rPr>
        <w:t>foresees the establishment of</w:t>
      </w:r>
      <w:r w:rsidR="00980AA6" w:rsidRPr="00E50A7A">
        <w:rPr>
          <w:rFonts w:eastAsia="Arial Unicode MS"/>
          <w:noProof/>
          <w:lang w:val="en-IE"/>
        </w:rPr>
        <w:t xml:space="preserve"> a baseline for food waste levels, considering new data </w:t>
      </w:r>
      <w:r w:rsidR="00CA42F0" w:rsidRPr="00E50A7A">
        <w:rPr>
          <w:rFonts w:eastAsia="Arial Unicode MS"/>
          <w:noProof/>
          <w:lang w:val="en-IE"/>
        </w:rPr>
        <w:t>reported by the Member States</w:t>
      </w:r>
      <w:r w:rsidR="009603E1" w:rsidRPr="00E50A7A">
        <w:rPr>
          <w:rFonts w:eastAsia="Arial Unicode MS"/>
          <w:noProof/>
          <w:lang w:val="en-IE"/>
        </w:rPr>
        <w:t>,</w:t>
      </w:r>
      <w:r w:rsidR="00CA42F0" w:rsidRPr="00E50A7A">
        <w:rPr>
          <w:rFonts w:eastAsia="Arial Unicode MS"/>
          <w:noProof/>
          <w:lang w:val="en-IE"/>
        </w:rPr>
        <w:t xml:space="preserve"> </w:t>
      </w:r>
      <w:r w:rsidR="00980AA6" w:rsidRPr="00E50A7A">
        <w:rPr>
          <w:rFonts w:eastAsia="Arial Unicode MS"/>
          <w:noProof/>
          <w:lang w:val="en-IE"/>
        </w:rPr>
        <w:t xml:space="preserve">and </w:t>
      </w:r>
      <w:r w:rsidR="009603E1" w:rsidRPr="00E50A7A">
        <w:rPr>
          <w:rFonts w:eastAsia="Arial Unicode MS"/>
          <w:noProof/>
          <w:lang w:val="en-IE"/>
        </w:rPr>
        <w:t xml:space="preserve">the setting of </w:t>
      </w:r>
      <w:r w:rsidR="00980AA6" w:rsidRPr="00E50A7A">
        <w:rPr>
          <w:rFonts w:eastAsia="Arial Unicode MS"/>
          <w:noProof/>
          <w:lang w:val="en-IE"/>
        </w:rPr>
        <w:t>legally binding targets to reduce food waste across the EU by 2023.</w:t>
      </w:r>
    </w:p>
    <w:p w14:paraId="30661B28" w14:textId="5947199E" w:rsidR="00DD3738" w:rsidRPr="00E50A7A" w:rsidRDefault="005334F2" w:rsidP="00B00391">
      <w:pPr>
        <w:pBdr>
          <w:top w:val="nil"/>
          <w:left w:val="nil"/>
          <w:bottom w:val="nil"/>
          <w:right w:val="nil"/>
          <w:between w:val="nil"/>
          <w:bar w:val="nil"/>
        </w:pBdr>
        <w:spacing w:before="0" w:after="240"/>
        <w:rPr>
          <w:rFonts w:eastAsia="Arial Unicode MS"/>
          <w:noProof/>
          <w:lang w:val="en-IE"/>
        </w:rPr>
      </w:pPr>
      <w:r w:rsidRPr="00E50A7A">
        <w:rPr>
          <w:rFonts w:eastAsia="Arial Unicode MS"/>
          <w:noProof/>
          <w:lang w:val="en-IE"/>
        </w:rPr>
        <w:t xml:space="preserve">The </w:t>
      </w:r>
      <w:r w:rsidR="00DE110C" w:rsidRPr="00E50A7A">
        <w:rPr>
          <w:rFonts w:eastAsia="Arial Unicode MS"/>
          <w:noProof/>
          <w:lang w:val="en-IE"/>
        </w:rPr>
        <w:t>Bioeconomy Strategy</w:t>
      </w:r>
      <w:r w:rsidR="00AB7409">
        <w:rPr>
          <w:rStyle w:val="FootnoteReference"/>
          <w:rFonts w:eastAsia="Arial Unicode MS"/>
          <w:noProof/>
          <w:lang w:val="en-IE"/>
        </w:rPr>
        <w:footnoteReference w:id="51"/>
      </w:r>
      <w:r w:rsidR="00A23FCB" w:rsidRPr="00E50A7A">
        <w:rPr>
          <w:rFonts w:eastAsia="Arial Unicode MS"/>
          <w:noProof/>
          <w:lang w:val="en-IE"/>
        </w:rPr>
        <w:t xml:space="preserve"> calls for actions to reuse, reduce and recycle bio-waste streams. </w:t>
      </w:r>
      <w:r w:rsidRPr="00E50A7A">
        <w:rPr>
          <w:rFonts w:eastAsia="Arial Unicode MS"/>
          <w:noProof/>
          <w:lang w:val="en-IE"/>
        </w:rPr>
        <w:t>The r</w:t>
      </w:r>
      <w:r w:rsidR="00E1024E" w:rsidRPr="00E50A7A">
        <w:rPr>
          <w:rFonts w:eastAsia="Arial Unicode MS"/>
          <w:noProof/>
          <w:lang w:val="en-IE"/>
        </w:rPr>
        <w:t>eduction</w:t>
      </w:r>
      <w:r w:rsidR="001B2A93" w:rsidRPr="00E50A7A">
        <w:rPr>
          <w:rFonts w:eastAsia="Arial Unicode MS"/>
          <w:noProof/>
          <w:lang w:val="en-IE"/>
        </w:rPr>
        <w:t xml:space="preserve"> of food waste contributes to core </w:t>
      </w:r>
      <w:r w:rsidR="00E1024E" w:rsidRPr="00E50A7A">
        <w:rPr>
          <w:rFonts w:eastAsia="Arial Unicode MS"/>
          <w:noProof/>
          <w:lang w:val="en-IE"/>
        </w:rPr>
        <w:t xml:space="preserve">principles of the strategy such </w:t>
      </w:r>
      <w:r w:rsidRPr="00E50A7A">
        <w:rPr>
          <w:rFonts w:eastAsia="Arial Unicode MS"/>
          <w:noProof/>
          <w:lang w:val="en-IE"/>
        </w:rPr>
        <w:t>a</w:t>
      </w:r>
      <w:r w:rsidR="00E1024E" w:rsidRPr="00E50A7A">
        <w:rPr>
          <w:rFonts w:eastAsia="Arial Unicode MS"/>
          <w:noProof/>
          <w:lang w:val="en-IE"/>
        </w:rPr>
        <w:t xml:space="preserve">s the </w:t>
      </w:r>
      <w:r w:rsidR="00A23FCB" w:rsidRPr="00E50A7A">
        <w:rPr>
          <w:rFonts w:eastAsia="Arial Unicode MS"/>
          <w:noProof/>
          <w:lang w:val="en-IE"/>
        </w:rPr>
        <w:t xml:space="preserve">circular economy, </w:t>
      </w:r>
      <w:r w:rsidRPr="00E50A7A">
        <w:rPr>
          <w:rFonts w:eastAsia="Arial Unicode MS"/>
          <w:noProof/>
          <w:lang w:val="en-IE"/>
        </w:rPr>
        <w:t xml:space="preserve">the </w:t>
      </w:r>
      <w:r w:rsidR="00A23FCB" w:rsidRPr="00E50A7A">
        <w:rPr>
          <w:rFonts w:eastAsia="Arial Unicode MS"/>
          <w:noProof/>
          <w:lang w:val="en-IE"/>
        </w:rPr>
        <w:t xml:space="preserve">cascading use of biomass and the </w:t>
      </w:r>
      <w:r w:rsidR="00B154E5" w:rsidRPr="00E50A7A">
        <w:rPr>
          <w:rFonts w:eastAsia="Arial Unicode MS"/>
          <w:noProof/>
          <w:lang w:val="en-IE"/>
        </w:rPr>
        <w:t xml:space="preserve">application of the </w:t>
      </w:r>
      <w:r w:rsidR="00A23FCB" w:rsidRPr="00E50A7A">
        <w:rPr>
          <w:rFonts w:eastAsia="Arial Unicode MS"/>
          <w:noProof/>
          <w:lang w:val="en-IE"/>
        </w:rPr>
        <w:t>waste hierarchy</w:t>
      </w:r>
      <w:r w:rsidR="00E1024E" w:rsidRPr="00E50A7A">
        <w:rPr>
          <w:rFonts w:eastAsia="Arial Unicode MS"/>
          <w:noProof/>
          <w:lang w:val="en-IE"/>
        </w:rPr>
        <w:t>.</w:t>
      </w:r>
    </w:p>
    <w:p w14:paraId="582CA293" w14:textId="139DF24F" w:rsidR="009539FF" w:rsidRPr="00E50A7A" w:rsidRDefault="009539FF" w:rsidP="009539FF">
      <w:pPr>
        <w:pBdr>
          <w:top w:val="nil"/>
          <w:left w:val="nil"/>
          <w:bottom w:val="nil"/>
          <w:right w:val="nil"/>
          <w:between w:val="nil"/>
          <w:bar w:val="nil"/>
        </w:pBdr>
        <w:spacing w:before="0" w:after="240"/>
        <w:rPr>
          <w:rFonts w:eastAsia="Arial Unicode MS"/>
          <w:noProof/>
          <w:lang w:val="en-IE"/>
        </w:rPr>
      </w:pPr>
      <w:r w:rsidRPr="00E50A7A">
        <w:rPr>
          <w:rFonts w:eastAsia="Arial Unicode MS"/>
          <w:noProof/>
        </w:rPr>
        <w:t xml:space="preserve">The </w:t>
      </w:r>
      <w:hyperlink r:id="rId30" w:tgtFrame="_blank" w:history="1">
        <w:r w:rsidRPr="00E50A7A">
          <w:rPr>
            <w:rFonts w:eastAsia="Arial Unicode MS"/>
            <w:noProof/>
          </w:rPr>
          <w:t>Transition Pathway for Tourism</w:t>
        </w:r>
      </w:hyperlink>
      <w:r w:rsidR="00AB7409">
        <w:rPr>
          <w:rStyle w:val="FootnoteReference"/>
          <w:rFonts w:eastAsia="Arial Unicode MS"/>
          <w:noProof/>
        </w:rPr>
        <w:footnoteReference w:id="52"/>
      </w:r>
      <w:r w:rsidRPr="00E50A7A">
        <w:rPr>
          <w:rFonts w:eastAsia="Arial Unicode MS"/>
          <w:noProof/>
        </w:rPr>
        <w:t xml:space="preserve">, published in February 2022, among its key actions highlights the reduction of food waste in the hospitality sector. In December 2022, Member States adopted </w:t>
      </w:r>
      <w:hyperlink r:id="rId31" w:tgtFrame="_blank" w:history="1">
        <w:r w:rsidRPr="00E50A7A">
          <w:rPr>
            <w:rFonts w:eastAsia="Arial Unicode MS"/>
            <w:noProof/>
          </w:rPr>
          <w:t>Council Conclusions on the European Agenda for Tourism 2030</w:t>
        </w:r>
      </w:hyperlink>
      <w:r w:rsidR="004151DC">
        <w:rPr>
          <w:rStyle w:val="FootnoteReference"/>
          <w:rFonts w:eastAsia="Arial Unicode MS"/>
          <w:noProof/>
        </w:rPr>
        <w:footnoteReference w:id="53"/>
      </w:r>
      <w:r w:rsidRPr="00E50A7A">
        <w:rPr>
          <w:rFonts w:eastAsia="Arial Unicode MS"/>
          <w:noProof/>
        </w:rPr>
        <w:t>, calling Commission and Member States to support improved circularity of tourism services, including food waste. </w:t>
      </w:r>
    </w:p>
    <w:p w14:paraId="4365C176" w14:textId="6CF50F2D" w:rsidR="00BD152F" w:rsidRPr="00E50A7A" w:rsidRDefault="0050683A" w:rsidP="00B00391">
      <w:pPr>
        <w:pBdr>
          <w:top w:val="nil"/>
          <w:left w:val="nil"/>
          <w:bottom w:val="nil"/>
          <w:right w:val="nil"/>
          <w:between w:val="nil"/>
          <w:bar w:val="nil"/>
        </w:pBdr>
        <w:spacing w:before="0" w:after="240"/>
        <w:rPr>
          <w:rFonts w:eastAsia="Arial Unicode MS"/>
          <w:noProof/>
          <w:lang w:val="en-IE"/>
        </w:rPr>
      </w:pPr>
      <w:r w:rsidRPr="00E50A7A">
        <w:rPr>
          <w:rFonts w:eastAsia="Arial Unicode MS"/>
          <w:noProof/>
          <w:lang w:val="en-IE"/>
        </w:rPr>
        <w:t xml:space="preserve">Finally, </w:t>
      </w:r>
      <w:r w:rsidR="000074D2" w:rsidRPr="00E50A7A">
        <w:rPr>
          <w:rFonts w:eastAsia="Arial Unicode MS"/>
          <w:noProof/>
          <w:lang w:val="en-IE"/>
        </w:rPr>
        <w:t>food waste has been identified as one of the main drivers affecting food security</w:t>
      </w:r>
      <w:r w:rsidR="00C23381" w:rsidRPr="00E50A7A">
        <w:rPr>
          <w:rFonts w:eastAsia="Arial Unicode MS"/>
          <w:noProof/>
          <w:lang w:val="en-IE"/>
        </w:rPr>
        <w:t xml:space="preserve"> from both the supply and demand sides</w:t>
      </w:r>
      <w:r w:rsidR="00AB7409">
        <w:rPr>
          <w:rStyle w:val="FootnoteReference"/>
          <w:rFonts w:eastAsia="Arial Unicode MS"/>
          <w:noProof/>
          <w:lang w:val="en-IE"/>
        </w:rPr>
        <w:footnoteReference w:id="54"/>
      </w:r>
      <w:r w:rsidR="00C23381" w:rsidRPr="00E50A7A">
        <w:rPr>
          <w:rFonts w:eastAsia="Arial Unicode MS"/>
          <w:noProof/>
          <w:lang w:val="en-IE"/>
        </w:rPr>
        <w:t>. R</w:t>
      </w:r>
      <w:r w:rsidRPr="00E50A7A">
        <w:rPr>
          <w:rFonts w:eastAsia="Arial Unicode MS"/>
          <w:noProof/>
          <w:lang w:val="en-IE"/>
        </w:rPr>
        <w:t xml:space="preserve">educing food waste </w:t>
      </w:r>
      <w:r w:rsidR="00373564" w:rsidRPr="00E50A7A">
        <w:rPr>
          <w:rFonts w:eastAsia="Arial Unicode MS"/>
          <w:noProof/>
          <w:lang w:val="en-IE"/>
        </w:rPr>
        <w:t xml:space="preserve">can </w:t>
      </w:r>
      <w:r w:rsidRPr="00E50A7A">
        <w:rPr>
          <w:rFonts w:eastAsia="Arial Unicode MS"/>
          <w:noProof/>
          <w:lang w:val="en-IE"/>
        </w:rPr>
        <w:t>contribute to increased resilience of food systems and to food security in general, by improving supply chain efficiency and productivity as well as food affordability.</w:t>
      </w:r>
      <w:r w:rsidR="00260A41" w:rsidRPr="00E50A7A">
        <w:rPr>
          <w:noProof/>
          <w:lang w:val="en-IE"/>
        </w:rPr>
        <w:t xml:space="preserve"> </w:t>
      </w:r>
      <w:r w:rsidR="00260A41" w:rsidRPr="00E50A7A">
        <w:rPr>
          <w:rFonts w:eastAsia="Arial Unicode MS"/>
          <w:noProof/>
          <w:lang w:val="en-IE"/>
        </w:rPr>
        <w:t>By increasing the efficiency of food systems and supporting consumer behavioural change to avoid unnecessary discarding of food, it would be possible to feed a greater number of people with the same food production. Reducing food waste can therefore contribute to meet</w:t>
      </w:r>
      <w:r w:rsidR="0032380C" w:rsidRPr="00E50A7A">
        <w:rPr>
          <w:rFonts w:eastAsia="Arial Unicode MS"/>
          <w:noProof/>
          <w:lang w:val="en-IE"/>
        </w:rPr>
        <w:t>ing</w:t>
      </w:r>
      <w:r w:rsidR="00260A41" w:rsidRPr="00E50A7A">
        <w:rPr>
          <w:rFonts w:eastAsia="Arial Unicode MS"/>
          <w:noProof/>
          <w:lang w:val="en-IE"/>
        </w:rPr>
        <w:t xml:space="preserve"> the expected growing demand for food whilst ensuring that our food system operates within planetary boundaries. Moreover, reducing food loss and waste could contribute to food price decreases, thereby potentially improving economic access to food.</w:t>
      </w:r>
      <w:r w:rsidR="00A57AF4" w:rsidRPr="00E50A7A">
        <w:rPr>
          <w:rFonts w:eastAsia="Arial Unicode MS"/>
          <w:noProof/>
          <w:lang w:val="en-IE"/>
        </w:rPr>
        <w:t xml:space="preserve"> </w:t>
      </w:r>
    </w:p>
    <w:p w14:paraId="31BBA076" w14:textId="77777777" w:rsidR="00BD152F" w:rsidRPr="00E50A7A" w:rsidRDefault="00BD152F" w:rsidP="00B00391">
      <w:pPr>
        <w:pStyle w:val="ManualHeading1"/>
        <w:rPr>
          <w:noProof/>
          <w:lang w:val="en-IE"/>
        </w:rPr>
      </w:pPr>
      <w:r w:rsidRPr="00E50A7A">
        <w:rPr>
          <w:noProof/>
          <w:lang w:val="en-IE"/>
        </w:rPr>
        <w:t>2.</w:t>
      </w:r>
      <w:r w:rsidRPr="00E50A7A">
        <w:rPr>
          <w:noProof/>
          <w:lang w:val="en-IE"/>
        </w:rPr>
        <w:tab/>
        <w:t>LEGAL BASIS, SUBSIDIARITY AND PROPORTIONALITY</w:t>
      </w:r>
    </w:p>
    <w:p w14:paraId="0607AB7B" w14:textId="77777777" w:rsidR="00BD152F" w:rsidRPr="00E50A7A" w:rsidRDefault="00BD152F" w:rsidP="00B00391">
      <w:pPr>
        <w:pStyle w:val="ManualHeading2"/>
        <w:rPr>
          <w:rFonts w:eastAsia="Arial Unicode MS"/>
          <w:noProof/>
          <w:u w:color="000000"/>
          <w:bdr w:val="nil"/>
          <w:lang w:val="en-IE" w:eastAsia="en-GB"/>
        </w:rPr>
      </w:pPr>
      <w:r w:rsidRPr="00E50A7A">
        <w:rPr>
          <w:rFonts w:eastAsia="Arial Unicode MS"/>
          <w:noProof/>
          <w:u w:color="000000"/>
          <w:bdr w:val="nil"/>
          <w:lang w:val="en-IE" w:eastAsia="en-GB"/>
        </w:rPr>
        <w:t>•</w:t>
      </w:r>
      <w:r w:rsidRPr="00E50A7A">
        <w:rPr>
          <w:rFonts w:eastAsia="Arial Unicode MS"/>
          <w:noProof/>
          <w:u w:color="000000"/>
          <w:bdr w:val="nil"/>
          <w:lang w:val="en-IE" w:eastAsia="en-GB"/>
        </w:rPr>
        <w:tab/>
        <w:t>Legal basis</w:t>
      </w:r>
    </w:p>
    <w:p w14:paraId="6F4A54A3" w14:textId="77777777" w:rsidR="00171D70" w:rsidRPr="00E50A7A" w:rsidRDefault="00171D70" w:rsidP="00171D70">
      <w:pPr>
        <w:pBdr>
          <w:top w:val="nil"/>
          <w:left w:val="nil"/>
          <w:bottom w:val="nil"/>
          <w:right w:val="nil"/>
          <w:between w:val="nil"/>
          <w:bar w:val="nil"/>
        </w:pBdr>
        <w:spacing w:before="0" w:after="240"/>
        <w:rPr>
          <w:rFonts w:eastAsia="Arial Unicode MS"/>
          <w:noProof/>
          <w:lang w:val="en-IE"/>
        </w:rPr>
      </w:pPr>
      <w:r w:rsidRPr="00E50A7A">
        <w:rPr>
          <w:rFonts w:eastAsia="Arial Unicode MS"/>
          <w:noProof/>
          <w:lang w:val="en-IE"/>
        </w:rPr>
        <w:t>Article 192 of the Treaty on the Functioning of the European Union (TFEU)</w:t>
      </w:r>
      <w:r w:rsidR="004A3E48" w:rsidRPr="00E50A7A">
        <w:rPr>
          <w:rStyle w:val="FootnoteReference"/>
          <w:rFonts w:eastAsia="Arial Unicode MS"/>
          <w:noProof/>
          <w:lang w:val="en-IE"/>
        </w:rPr>
        <w:footnoteReference w:id="55"/>
      </w:r>
      <w:r w:rsidRPr="00E50A7A">
        <w:rPr>
          <w:rFonts w:eastAsia="Arial Unicode MS"/>
          <w:noProof/>
          <w:lang w:val="en-IE"/>
        </w:rPr>
        <w:t xml:space="preserve"> empowers the EU to act in the field of environmental policy to preserve, protect and improve the quality of the environment, protect human health</w:t>
      </w:r>
      <w:r w:rsidR="00C810D3" w:rsidRPr="00E50A7A">
        <w:rPr>
          <w:rFonts w:eastAsia="Arial Unicode MS"/>
          <w:noProof/>
          <w:lang w:val="en-IE"/>
        </w:rPr>
        <w:t xml:space="preserve">, </w:t>
      </w:r>
      <w:r w:rsidRPr="00E50A7A">
        <w:rPr>
          <w:rFonts w:eastAsia="Arial Unicode MS"/>
          <w:noProof/>
          <w:lang w:val="en-IE"/>
        </w:rPr>
        <w:t>contribute to the prudent and rational utilisation of natural resources</w:t>
      </w:r>
      <w:r w:rsidR="00C810D3" w:rsidRPr="00E50A7A">
        <w:rPr>
          <w:rFonts w:eastAsia="Arial Unicode MS"/>
          <w:noProof/>
          <w:lang w:val="en-IE"/>
        </w:rPr>
        <w:t>,</w:t>
      </w:r>
      <w:r w:rsidRPr="00E50A7A">
        <w:rPr>
          <w:rFonts w:eastAsia="Arial Unicode MS"/>
          <w:noProof/>
          <w:lang w:val="en-IE"/>
        </w:rPr>
        <w:t xml:space="preserve"> and promote measures at the international level to deal with regional or worldwide environmental problems.  </w:t>
      </w:r>
    </w:p>
    <w:p w14:paraId="119DF1F2" w14:textId="2745559F" w:rsidR="00171D70" w:rsidRPr="00E50A7A" w:rsidRDefault="00171D70" w:rsidP="00171D70">
      <w:pPr>
        <w:pBdr>
          <w:top w:val="nil"/>
          <w:left w:val="nil"/>
          <w:bottom w:val="nil"/>
          <w:right w:val="nil"/>
          <w:between w:val="nil"/>
          <w:bar w:val="nil"/>
        </w:pBdr>
        <w:spacing w:before="0" w:after="240"/>
        <w:rPr>
          <w:rFonts w:eastAsia="Arial Unicode MS"/>
          <w:noProof/>
          <w:lang w:val="en-IE"/>
        </w:rPr>
      </w:pPr>
      <w:r w:rsidRPr="00E50A7A">
        <w:rPr>
          <w:rFonts w:eastAsia="Arial Unicode MS"/>
          <w:noProof/>
          <w:lang w:val="en-IE"/>
        </w:rPr>
        <w:t xml:space="preserve">The proposal is </w:t>
      </w:r>
      <w:r w:rsidR="00BA5D74" w:rsidRPr="00E50A7A">
        <w:rPr>
          <w:rFonts w:eastAsia="Arial Unicode MS"/>
          <w:noProof/>
          <w:lang w:val="en-IE"/>
        </w:rPr>
        <w:t xml:space="preserve">set </w:t>
      </w:r>
      <w:r w:rsidRPr="00E50A7A">
        <w:rPr>
          <w:rFonts w:eastAsia="Arial Unicode MS"/>
          <w:noProof/>
          <w:lang w:val="en-IE"/>
        </w:rPr>
        <w:t xml:space="preserve">through a targeted amendment of the Directive 2008/98/EC on waste (WFD) which is the only legal vehicle to regulate textile waste prevention and management in the EU and is based on Article 192(1) TFEU. While there are several legal acts regulating textiles </w:t>
      </w:r>
      <w:r w:rsidRPr="00E50A7A">
        <w:rPr>
          <w:rFonts w:eastAsia="Arial Unicode MS"/>
          <w:noProof/>
          <w:lang w:val="en-IE"/>
        </w:rPr>
        <w:lastRenderedPageBreak/>
        <w:t>products (e.g. REACH, Textiles Labelling Regulation), the WFD is the only legal instrument regulating all aspects of textile waste management, including the specific obligations to ensure separate collection, treatment and reporting requirements.  </w:t>
      </w:r>
    </w:p>
    <w:p w14:paraId="735786C9" w14:textId="77777777" w:rsidR="00171D70" w:rsidRPr="00E50A7A" w:rsidRDefault="00171D70" w:rsidP="00171D70">
      <w:pPr>
        <w:pBdr>
          <w:top w:val="nil"/>
          <w:left w:val="nil"/>
          <w:bottom w:val="nil"/>
          <w:right w:val="nil"/>
          <w:between w:val="nil"/>
          <w:bar w:val="nil"/>
        </w:pBdr>
        <w:spacing w:before="0" w:after="240"/>
        <w:rPr>
          <w:rFonts w:eastAsia="Arial Unicode MS"/>
          <w:noProof/>
          <w:lang w:val="en-IE"/>
        </w:rPr>
      </w:pPr>
      <w:r w:rsidRPr="00E50A7A">
        <w:rPr>
          <w:rFonts w:eastAsia="Arial Unicode MS"/>
          <w:noProof/>
          <w:lang w:val="en-IE"/>
        </w:rPr>
        <w:t>The targeted amendment of the WFD builds on these existing requirements to remove identified regulatory barriers and address market failures by making those provisions clearer, more specific and harmonised to reduce the scope of potential national divergences and create the conditions for the scaling up re-use and recycling of textiles infrastructure. In addition, the creation of the EPR for textiles obligations follows the minimum requirements established in EU law and aim for harmonisation. This objective is further pursued by mandating the Commission to adopt more detailed rules through implementing acts. Clear application dates for the individual measures are defined in line with the feasibility of implementing them and the necessary adaptation time needed for the obliged stakeholders. </w:t>
      </w:r>
    </w:p>
    <w:p w14:paraId="7FDABDDC" w14:textId="77777777" w:rsidR="00BD152F" w:rsidRPr="00E50A7A" w:rsidRDefault="24336CD3" w:rsidP="45508202">
      <w:pPr>
        <w:pBdr>
          <w:top w:val="nil"/>
          <w:left w:val="nil"/>
          <w:bottom w:val="nil"/>
          <w:right w:val="nil"/>
          <w:between w:val="nil"/>
          <w:bar w:val="nil"/>
        </w:pBdr>
        <w:spacing w:before="0" w:after="240"/>
        <w:rPr>
          <w:rFonts w:eastAsia="Arial Unicode MS"/>
          <w:noProof/>
          <w:lang w:val="en-IE"/>
        </w:rPr>
      </w:pPr>
      <w:r w:rsidRPr="00E50A7A">
        <w:rPr>
          <w:rFonts w:eastAsia="Arial Unicode MS"/>
          <w:noProof/>
          <w:lang w:val="en-IE"/>
        </w:rPr>
        <w:t>In the area of food waste, the targeted amendment of the WFD build</w:t>
      </w:r>
      <w:r w:rsidR="2ADFB701" w:rsidRPr="45508202">
        <w:rPr>
          <w:rFonts w:eastAsia="Arial Unicode MS"/>
          <w:noProof/>
          <w:lang w:val="en-IE"/>
        </w:rPr>
        <w:t>s</w:t>
      </w:r>
      <w:r w:rsidRPr="00E50A7A">
        <w:rPr>
          <w:rFonts w:eastAsia="Arial Unicode MS"/>
          <w:noProof/>
          <w:lang w:val="en-IE"/>
        </w:rPr>
        <w:t xml:space="preserve"> on existing requirements addressing major aspects of food waste prevention (definition of food waste and common food waste measurement methodology, obligations for Member States to reduce food waste at each stage of the food supply chain, monitor and report annually on food waste levels, preparation of national food waste prevention programmes) and management (e.g., separate collection).</w:t>
      </w:r>
    </w:p>
    <w:p w14:paraId="05B2900B" w14:textId="77777777" w:rsidR="00BD152F" w:rsidRPr="00E50A7A" w:rsidRDefault="00BD152F" w:rsidP="00B00391">
      <w:pPr>
        <w:pStyle w:val="ManualHeading2"/>
        <w:rPr>
          <w:rFonts w:eastAsia="Arial Unicode MS"/>
          <w:noProof/>
          <w:u w:color="000000"/>
          <w:bdr w:val="nil"/>
          <w:lang w:val="en-IE" w:eastAsia="en-GB"/>
        </w:rPr>
      </w:pPr>
      <w:r w:rsidRPr="00E50A7A">
        <w:rPr>
          <w:rFonts w:eastAsia="Arial Unicode MS"/>
          <w:noProof/>
          <w:u w:color="000000"/>
          <w:bdr w:val="nil"/>
          <w:lang w:val="en-IE" w:eastAsia="en-GB"/>
        </w:rPr>
        <w:t>•</w:t>
      </w:r>
      <w:r w:rsidRPr="00E50A7A">
        <w:rPr>
          <w:rFonts w:eastAsia="Arial Unicode MS"/>
          <w:noProof/>
          <w:u w:color="000000"/>
          <w:bdr w:val="nil"/>
          <w:lang w:val="en-IE" w:eastAsia="en-GB"/>
        </w:rPr>
        <w:tab/>
        <w:t xml:space="preserve">Subsidiarity (for non-exclusive competence) </w:t>
      </w:r>
    </w:p>
    <w:p w14:paraId="2E4CB7DC" w14:textId="77777777" w:rsidR="00171D70" w:rsidRPr="00E50A7A" w:rsidRDefault="00171D70" w:rsidP="00171D70">
      <w:pPr>
        <w:pBdr>
          <w:top w:val="nil"/>
          <w:left w:val="nil"/>
          <w:bottom w:val="nil"/>
          <w:right w:val="nil"/>
          <w:between w:val="nil"/>
          <w:bar w:val="nil"/>
        </w:pBdr>
        <w:spacing w:before="0" w:after="240"/>
        <w:rPr>
          <w:rFonts w:eastAsia="Arial Unicode MS"/>
          <w:noProof/>
          <w:lang w:val="en-IE"/>
        </w:rPr>
      </w:pPr>
      <w:r w:rsidRPr="00E50A7A">
        <w:rPr>
          <w:rFonts w:eastAsia="Arial Unicode MS"/>
          <w:noProof/>
          <w:lang w:val="en-IE"/>
        </w:rPr>
        <w:t>Given the transboundary nature of textiles value chain from an economic, environmental and social perspective, the sale, consumption and end-of-life management of textiles is intrinsically linked to the functioning of the single market and global value chains. The high dependency on raw materials highlights the importance of boosting circular business models to lower the use of primary raw materials and help mitigate the associated with its negative environmental externalities.  </w:t>
      </w:r>
    </w:p>
    <w:p w14:paraId="50363FCC" w14:textId="77777777" w:rsidR="00171D70" w:rsidRPr="00E50A7A" w:rsidRDefault="00171D70" w:rsidP="00171D70">
      <w:pPr>
        <w:pBdr>
          <w:top w:val="nil"/>
          <w:left w:val="nil"/>
          <w:bottom w:val="nil"/>
          <w:right w:val="nil"/>
          <w:between w:val="nil"/>
          <w:bar w:val="nil"/>
        </w:pBdr>
        <w:spacing w:before="0" w:after="240"/>
        <w:rPr>
          <w:rFonts w:eastAsia="Arial Unicode MS"/>
          <w:noProof/>
          <w:lang w:val="en-IE"/>
        </w:rPr>
      </w:pPr>
      <w:r w:rsidRPr="00E50A7A">
        <w:rPr>
          <w:rFonts w:eastAsia="Arial Unicode MS"/>
          <w:noProof/>
          <w:lang w:val="en-IE"/>
        </w:rPr>
        <w:t>The collection, sorting and recycling systems need to be scaled up to be prepared for the upcoming separate collection obligation and its full implementation since several regulatory and market failures that impact all Member States and actors across the textile value chain currently obstruct sufficient provision of collection, sorting and recycling capacity. The absence of a common EU approach to textiles management risks creating or further entrenching a regulatory fragmentation and disrupted waste and material flows, thereby hampering cross-border movements of textiles (products, used and waste textiles) and coordinated action and swift investments across the EU. There are high risks for further increase in the regulatory fragmentation and administrative burdens on the industry stakeholders, mainly SMEs, resulting from diverse application of the polluter pays principle through national extended producer responsibility schemes for textiles. Addressing transboundary environmental externalities, including GHG emissions and the export of textiles (and waste disguised as non-waste) to third countries is more effectively addressed by EU action, in particular, as the key problem drivers relate to regulatory failures resulting from lack of harmonised definitions and regulatory fragmentation and a funding gap common to all Member States. </w:t>
      </w:r>
    </w:p>
    <w:p w14:paraId="4C3A5CE2" w14:textId="77777777" w:rsidR="00171D70" w:rsidRPr="00E50A7A" w:rsidRDefault="00171D70" w:rsidP="00171D70">
      <w:pPr>
        <w:pBdr>
          <w:top w:val="nil"/>
          <w:left w:val="nil"/>
          <w:bottom w:val="nil"/>
          <w:right w:val="nil"/>
          <w:between w:val="nil"/>
          <w:bar w:val="nil"/>
        </w:pBdr>
        <w:spacing w:before="0" w:after="240"/>
        <w:rPr>
          <w:rFonts w:eastAsia="Arial Unicode MS"/>
          <w:noProof/>
          <w:lang w:val="en-IE"/>
        </w:rPr>
      </w:pPr>
      <w:r w:rsidRPr="00E50A7A">
        <w:rPr>
          <w:rFonts w:eastAsia="Arial Unicode MS"/>
          <w:noProof/>
          <w:lang w:val="en-IE"/>
        </w:rPr>
        <w:t>All Member States generate food waste, which creates significant transboundary environmental externalities. The production, storage, transport and processing of food and disposal of food waste cause environmental and climate impacts (such as GHG emissions, and effects on land use, biodiversity, water use and eutrophication) within the EU. Moreover, production of food imported to the EU can lead to significant global environmental and climate impacts. </w:t>
      </w:r>
    </w:p>
    <w:p w14:paraId="760A39E4" w14:textId="77777777" w:rsidR="00171D70" w:rsidRPr="00E50A7A" w:rsidRDefault="00171D70" w:rsidP="00171D70">
      <w:pPr>
        <w:pBdr>
          <w:top w:val="nil"/>
          <w:left w:val="nil"/>
          <w:bottom w:val="nil"/>
          <w:right w:val="nil"/>
          <w:between w:val="nil"/>
          <w:bar w:val="nil"/>
        </w:pBdr>
        <w:spacing w:before="0" w:after="240"/>
        <w:rPr>
          <w:rFonts w:eastAsia="Arial Unicode MS"/>
          <w:noProof/>
          <w:lang w:val="en-IE"/>
        </w:rPr>
      </w:pPr>
      <w:r w:rsidRPr="00E50A7A">
        <w:rPr>
          <w:rFonts w:eastAsia="Arial Unicode MS"/>
          <w:noProof/>
          <w:lang w:val="en-IE"/>
        </w:rPr>
        <w:lastRenderedPageBreak/>
        <w:t>Reduction of food waste across the EU in a consistent manner is needed to ensure, in each Member State, prudent and rational utilisation of natural resources, reduction of negative impacts on climate, biodiversity and use of natural resources, with benefits extending beyond national borders. Importantly, by making the food system more efficient, food waste reduction also contributes to food security across the EU. </w:t>
      </w:r>
    </w:p>
    <w:p w14:paraId="015BE056" w14:textId="77777777" w:rsidR="00171D70" w:rsidRPr="00E50A7A" w:rsidRDefault="00171D70" w:rsidP="00171D70">
      <w:pPr>
        <w:pBdr>
          <w:top w:val="nil"/>
          <w:left w:val="nil"/>
          <w:bottom w:val="nil"/>
          <w:right w:val="nil"/>
          <w:between w:val="nil"/>
          <w:bar w:val="nil"/>
        </w:pBdr>
        <w:spacing w:before="0" w:after="240"/>
        <w:rPr>
          <w:rFonts w:eastAsia="Arial Unicode MS"/>
          <w:noProof/>
          <w:lang w:val="en-IE"/>
        </w:rPr>
      </w:pPr>
      <w:r w:rsidRPr="00E50A7A">
        <w:rPr>
          <w:rFonts w:eastAsia="Arial Unicode MS"/>
          <w:noProof/>
          <w:lang w:val="en-IE"/>
        </w:rPr>
        <w:t>Food is traded widely within the EU market and food businesses that operate cross-border need coherence and clarity on the level of ambition expected in order to plan investments and actions on food waste prevention. A coordinated approach at EU level can bring reliability and continuity and thus support adoption of new business models by food business operators in order to accelerate food waste reduction across the food value chain. </w:t>
      </w:r>
    </w:p>
    <w:p w14:paraId="3CB9E423" w14:textId="77777777" w:rsidR="00171D70" w:rsidRPr="00E50A7A" w:rsidRDefault="00171D70" w:rsidP="00171D70">
      <w:pPr>
        <w:pBdr>
          <w:top w:val="nil"/>
          <w:left w:val="nil"/>
          <w:bottom w:val="nil"/>
          <w:right w:val="nil"/>
          <w:between w:val="nil"/>
          <w:bar w:val="nil"/>
        </w:pBdr>
        <w:spacing w:before="0" w:after="240"/>
        <w:rPr>
          <w:rFonts w:eastAsia="Arial Unicode MS"/>
          <w:noProof/>
          <w:lang w:val="en-IE"/>
        </w:rPr>
      </w:pPr>
      <w:r w:rsidRPr="00E50A7A">
        <w:rPr>
          <w:rFonts w:eastAsia="Arial Unicode MS"/>
          <w:noProof/>
          <w:lang w:val="en-IE"/>
        </w:rPr>
        <w:t>Despite political commitments made at international, EU and national levels, existing legal requirements in the WFD and supporting activities by the Commission, Member States’ responses to food waste have been uneven and are, overall, not sufficient to address the problems identified and the environmental, economic and social consequences for consumers, enterprises and society as a whole. The variation in efforts across Member States as regards reduction of food waste generation and different levels of expectations as to the contribution of food business operators indicates a need for more coordinated and uniform measures at EU level to drive the progress at the breadth and pace required to achieve SDG Target 12.3.  </w:t>
      </w:r>
    </w:p>
    <w:p w14:paraId="4271E297" w14:textId="5921BDF2" w:rsidR="00171D70" w:rsidRPr="00E50A7A" w:rsidRDefault="24336CD3" w:rsidP="45508202">
      <w:pPr>
        <w:pBdr>
          <w:top w:val="nil"/>
          <w:left w:val="nil"/>
          <w:bottom w:val="nil"/>
          <w:right w:val="nil"/>
          <w:between w:val="nil"/>
          <w:bar w:val="nil"/>
        </w:pBdr>
        <w:spacing w:before="0" w:after="240"/>
        <w:rPr>
          <w:rFonts w:eastAsia="Arial Unicode MS"/>
          <w:noProof/>
          <w:lang w:val="en-IE"/>
        </w:rPr>
      </w:pPr>
      <w:r w:rsidRPr="00E50A7A">
        <w:rPr>
          <w:rFonts w:eastAsia="Arial Unicode MS"/>
          <w:noProof/>
          <w:lang w:val="en-IE"/>
        </w:rPr>
        <w:t>Setting legally binding food waste reduction targets for Member States to achieve by 2030 is expected to reinforce efforts to identify and scale-up effective strategies and initiatives both within and across Member States by: streamlining the contribution of food business operators, notably in the context of cross-border supply chains; helping to ensure that drivers of food waste generation (market and behavioural) are addressed consistently and simultaneously by all Member States, in line with actions taken by the – so far few</w:t>
      </w:r>
      <w:r w:rsidR="0F224C66" w:rsidRPr="45508202">
        <w:rPr>
          <w:rFonts w:eastAsia="Arial Unicode MS"/>
          <w:noProof/>
          <w:lang w:val="en-IE"/>
        </w:rPr>
        <w:t xml:space="preserve"> </w:t>
      </w:r>
      <w:r w:rsidRPr="00E50A7A">
        <w:rPr>
          <w:rFonts w:eastAsia="Arial Unicode MS"/>
          <w:noProof/>
          <w:lang w:val="en-IE"/>
        </w:rPr>
        <w:t>- frontrunners; and accelerating the development of effective national food waste prevention strategies through the spreading of good practices and further leveraging the EU knowledge base related to food waste prevention.  </w:t>
      </w:r>
    </w:p>
    <w:p w14:paraId="260E91ED" w14:textId="18CE763D" w:rsidR="00171D70" w:rsidRPr="00E50A7A" w:rsidRDefault="00171D70" w:rsidP="00B00391">
      <w:pPr>
        <w:pBdr>
          <w:top w:val="nil"/>
          <w:left w:val="nil"/>
          <w:bottom w:val="nil"/>
          <w:right w:val="nil"/>
          <w:between w:val="nil"/>
          <w:bar w:val="nil"/>
        </w:pBdr>
        <w:spacing w:before="0" w:after="240"/>
        <w:rPr>
          <w:rFonts w:eastAsia="Arial Unicode MS"/>
          <w:noProof/>
          <w:lang w:val="en-IE"/>
        </w:rPr>
      </w:pPr>
      <w:r w:rsidRPr="00E50A7A">
        <w:rPr>
          <w:rFonts w:eastAsia="Arial Unicode MS"/>
          <w:noProof/>
          <w:lang w:val="en-IE"/>
        </w:rPr>
        <w:t>Setting targets in EU waste legislation is a policy instrument that would require Member States to take action whilst giving full flexibility as to the selection of measures required. Member States may, therefore, choose the policy instruments that would be the most effective and efficient according to the specific situation in their respective territories.</w:t>
      </w:r>
    </w:p>
    <w:p w14:paraId="1800E720" w14:textId="77777777" w:rsidR="00BD152F" w:rsidRPr="00E50A7A" w:rsidRDefault="00BD152F" w:rsidP="00B00391">
      <w:pPr>
        <w:pStyle w:val="ManualHeading2"/>
        <w:rPr>
          <w:rFonts w:eastAsia="Arial Unicode MS"/>
          <w:noProof/>
          <w:u w:color="000000"/>
          <w:bdr w:val="nil"/>
          <w:lang w:val="en-IE" w:eastAsia="en-GB"/>
        </w:rPr>
      </w:pPr>
      <w:r w:rsidRPr="00E50A7A">
        <w:rPr>
          <w:rFonts w:eastAsia="Arial Unicode MS"/>
          <w:noProof/>
          <w:u w:color="000000"/>
          <w:bdr w:val="nil"/>
          <w:lang w:val="en-IE" w:eastAsia="en-GB"/>
        </w:rPr>
        <w:t>•</w:t>
      </w:r>
      <w:r w:rsidRPr="00E50A7A">
        <w:rPr>
          <w:rFonts w:eastAsia="Arial Unicode MS"/>
          <w:noProof/>
          <w:u w:color="000000"/>
          <w:bdr w:val="nil"/>
          <w:lang w:val="en-IE" w:eastAsia="en-GB"/>
        </w:rPr>
        <w:tab/>
        <w:t>Proportionality</w:t>
      </w:r>
    </w:p>
    <w:p w14:paraId="75AF68AD" w14:textId="77777777" w:rsidR="00171D70" w:rsidRPr="00E50A7A" w:rsidRDefault="00171D70" w:rsidP="00171D70">
      <w:pPr>
        <w:pBdr>
          <w:top w:val="nil"/>
          <w:left w:val="nil"/>
          <w:bottom w:val="nil"/>
          <w:right w:val="nil"/>
          <w:between w:val="nil"/>
          <w:bar w:val="nil"/>
        </w:pBdr>
        <w:spacing w:before="0" w:after="240"/>
        <w:rPr>
          <w:rFonts w:eastAsia="Arial Unicode MS"/>
          <w:noProof/>
          <w:lang w:val="en-IE"/>
        </w:rPr>
      </w:pPr>
      <w:r w:rsidRPr="00E50A7A">
        <w:rPr>
          <w:rFonts w:eastAsia="Arial Unicode MS"/>
          <w:noProof/>
          <w:lang w:val="en-IE"/>
        </w:rPr>
        <w:t>The WFD regulatory approach of harmonising certain elements of waste management (definitions, quantitative or qualitative objectives operationalising the waste hierarchy, polluter pays principle, reporting requirements) and leaving room for national and local-specific implementing measures (waste management planning and permitting of waste) is consistent with EU level action limited to only the extent strictly necessary.  </w:t>
      </w:r>
    </w:p>
    <w:p w14:paraId="654F9B93" w14:textId="7E80C3C1" w:rsidR="0074459E" w:rsidRDefault="00171D70" w:rsidP="0074459E">
      <w:pPr>
        <w:pBdr>
          <w:top w:val="nil"/>
          <w:left w:val="nil"/>
          <w:bottom w:val="nil"/>
          <w:right w:val="nil"/>
          <w:between w:val="nil"/>
          <w:bar w:val="nil"/>
        </w:pBdr>
        <w:spacing w:before="0" w:after="240"/>
        <w:rPr>
          <w:rFonts w:eastAsia="Arial Unicode MS"/>
          <w:noProof/>
          <w:lang w:val="en-IE"/>
        </w:rPr>
      </w:pPr>
      <w:r w:rsidRPr="00E50A7A">
        <w:rPr>
          <w:rFonts w:eastAsia="Arial Unicode MS"/>
          <w:noProof/>
          <w:lang w:val="en-IE"/>
        </w:rPr>
        <w:t xml:space="preserve">An increased harmonisation of the approaches to textile waste management in terms of scope of textiles targeted, clear definitions, minimum shipment and treatment requirements to operationalise the waste hierarchy, organisational features of textile collection systems and burden sharing would provide legal certainty for the needed concerted action by the concerned stakeholders across the textile value chain (Member States, social enterprises, waste managers, producers, other economic players, citizens) to invest in the development of infrastructure across the EU to maximise re-use and recycling. These operators achieve economic efficiencies due to economies of scale and lower compliance costs by only having to adhere to one EU-wide uniform regulatory approach, for which EU level action is required. A harmonised approach to </w:t>
      </w:r>
      <w:r w:rsidRPr="00E50A7A">
        <w:rPr>
          <w:rFonts w:eastAsia="Arial Unicode MS"/>
          <w:noProof/>
          <w:lang w:val="en-IE"/>
        </w:rPr>
        <w:lastRenderedPageBreak/>
        <w:t xml:space="preserve">closing the financing gap through common rules on EPR while reducing other regulatory barriers hampering greater uniformity of textile waste for sorting inputs and outputs and shipments across country borders for sorting, re-use and recycling would considerably reduce economic burdens on the industry and SMEs, maintaining their competitiveness. </w:t>
      </w:r>
      <w:r w:rsidR="004151DC">
        <w:rPr>
          <w:noProof/>
          <w:color w:val="000000" w:themeColor="text1"/>
          <w:lang w:val="en-IE"/>
        </w:rPr>
        <w:t>it should</w:t>
      </w:r>
      <w:r w:rsidR="004151DC" w:rsidRPr="00E50A7A">
        <w:rPr>
          <w:noProof/>
          <w:color w:val="000000" w:themeColor="text1"/>
          <w:lang w:val="en-IE"/>
        </w:rPr>
        <w:t xml:space="preserve"> </w:t>
      </w:r>
      <w:r w:rsidR="00935A83" w:rsidRPr="00E50A7A">
        <w:rPr>
          <w:noProof/>
          <w:color w:val="000000" w:themeColor="text1"/>
          <w:lang w:val="en-IE"/>
        </w:rPr>
        <w:t xml:space="preserve">also </w:t>
      </w:r>
      <w:r w:rsidR="004151DC">
        <w:rPr>
          <w:noProof/>
          <w:color w:val="000000" w:themeColor="text1"/>
          <w:lang w:val="en-IE"/>
        </w:rPr>
        <w:t xml:space="preserve">be noted </w:t>
      </w:r>
      <w:r w:rsidR="00935A83" w:rsidRPr="00E50A7A">
        <w:rPr>
          <w:noProof/>
          <w:color w:val="000000" w:themeColor="text1"/>
          <w:lang w:val="en-IE"/>
        </w:rPr>
        <w:t xml:space="preserve">that since the textile sector is 99% comprised of </w:t>
      </w:r>
      <w:r w:rsidR="00145644" w:rsidRPr="00E50A7A">
        <w:rPr>
          <w:noProof/>
          <w:color w:val="000000" w:themeColor="text1"/>
          <w:lang w:val="en-IE"/>
        </w:rPr>
        <w:t>SMEs</w:t>
      </w:r>
      <w:r w:rsidR="00935A83" w:rsidRPr="00E50A7A">
        <w:rPr>
          <w:noProof/>
          <w:color w:val="000000" w:themeColor="text1"/>
          <w:lang w:val="en-IE"/>
        </w:rPr>
        <w:t xml:space="preserve">, the fulfilment of the extended producer responsibilities would be exercised collectively by means of producer responsibility organisations taking up the responsibility on their behalf, which would significantly reduce administrative burden on them. </w:t>
      </w:r>
      <w:r w:rsidRPr="00E50A7A">
        <w:rPr>
          <w:rFonts w:eastAsia="Arial Unicode MS"/>
          <w:noProof/>
          <w:lang w:val="en-IE"/>
        </w:rPr>
        <w:t>The combined improvement of environmental quality can be considered an important co-benefit. </w:t>
      </w:r>
      <w:r w:rsidR="00DC593F" w:rsidRPr="00E50A7A">
        <w:rPr>
          <w:rFonts w:eastAsia="Arial Unicode MS"/>
          <w:noProof/>
          <w:lang w:val="en-IE"/>
        </w:rPr>
        <w:t xml:space="preserve">To further </w:t>
      </w:r>
      <w:r w:rsidR="00AF2175" w:rsidRPr="00E50A7A">
        <w:rPr>
          <w:rFonts w:eastAsia="Arial Unicode MS"/>
          <w:noProof/>
          <w:lang w:val="en-IE"/>
        </w:rPr>
        <w:t xml:space="preserve">reduce the impact on SMEs, </w:t>
      </w:r>
      <w:r w:rsidR="002F15BF" w:rsidRPr="00E50A7A">
        <w:rPr>
          <w:rFonts w:eastAsia="Arial Unicode MS"/>
          <w:noProof/>
          <w:lang w:val="en-IE"/>
        </w:rPr>
        <w:t xml:space="preserve">microenterprises (up to 10 employees) </w:t>
      </w:r>
      <w:r w:rsidR="0074459E" w:rsidRPr="0074459E">
        <w:rPr>
          <w:rFonts w:eastAsia="Arial Unicode MS"/>
          <w:noProof/>
          <w:lang w:val="en-IE"/>
        </w:rPr>
        <w:t xml:space="preserve">– representing 88% of all companies in the sector – </w:t>
      </w:r>
      <w:r w:rsidR="002F15BF" w:rsidRPr="00E50A7A">
        <w:rPr>
          <w:rFonts w:eastAsia="Arial Unicode MS"/>
          <w:noProof/>
          <w:lang w:val="en-IE"/>
        </w:rPr>
        <w:t xml:space="preserve">are excluded from </w:t>
      </w:r>
      <w:r w:rsidR="00AF2175" w:rsidRPr="00E50A7A">
        <w:rPr>
          <w:rFonts w:eastAsia="Arial Unicode MS"/>
          <w:noProof/>
          <w:lang w:val="en-IE"/>
        </w:rPr>
        <w:t>the extended producer responsibility</w:t>
      </w:r>
      <w:r w:rsidR="008E2A76" w:rsidRPr="00E50A7A">
        <w:rPr>
          <w:rFonts w:eastAsia="Arial Unicode MS"/>
          <w:noProof/>
          <w:lang w:val="en-IE"/>
        </w:rPr>
        <w:t xml:space="preserve">, which </w:t>
      </w:r>
      <w:r w:rsidR="008560CD" w:rsidRPr="00E50A7A">
        <w:rPr>
          <w:rFonts w:eastAsia="Arial Unicode MS"/>
          <w:noProof/>
          <w:lang w:val="en-IE"/>
        </w:rPr>
        <w:t xml:space="preserve">provides for an important alleviation of administrative burden and impact on </w:t>
      </w:r>
      <w:r w:rsidR="00FB6B59" w:rsidRPr="00E50A7A">
        <w:rPr>
          <w:rFonts w:eastAsia="Arial Unicode MS"/>
          <w:noProof/>
          <w:lang w:val="en-IE"/>
        </w:rPr>
        <w:t>SMEs.</w:t>
      </w:r>
    </w:p>
    <w:p w14:paraId="3A103171" w14:textId="77777777" w:rsidR="00171D70" w:rsidRPr="00E50A7A" w:rsidRDefault="0074459E" w:rsidP="00171D70">
      <w:pPr>
        <w:pBdr>
          <w:top w:val="nil"/>
          <w:left w:val="nil"/>
          <w:bottom w:val="nil"/>
          <w:right w:val="nil"/>
          <w:between w:val="nil"/>
          <w:bar w:val="nil"/>
        </w:pBdr>
        <w:spacing w:before="0" w:after="240"/>
        <w:rPr>
          <w:rFonts w:eastAsia="Arial Unicode MS"/>
          <w:noProof/>
          <w:lang w:val="en-IE"/>
        </w:rPr>
      </w:pPr>
      <w:r w:rsidRPr="0074459E">
        <w:rPr>
          <w:rFonts w:eastAsia="Arial Unicode MS"/>
          <w:noProof/>
          <w:lang w:val="en-IE"/>
        </w:rPr>
        <w:t xml:space="preserve">The textiles sector is dominated by SMEs. Microenterprises cover around 88% of the sector. The proposal is specifically tailored to minimise the financial and administrative impacts on microenterprises, most notably by excluding all microenterprises from the EPR. All remaining SMEs (i.e. SMEs that are not microenterprises) would still be covered by the EPR. At the same time, the support to re-use and recycling would support also those SMEs covered by the EPR (i.e. those that are not microenterprises) compared to the status quo by ensuring more funding is available, and a more stable feedstock of re-usable and recyclable textiles are available in the market. </w:t>
      </w:r>
    </w:p>
    <w:p w14:paraId="1A458A21" w14:textId="77777777" w:rsidR="00C166D8" w:rsidRPr="00BB039F" w:rsidRDefault="00373564" w:rsidP="00BB039F">
      <w:pPr>
        <w:pBdr>
          <w:top w:val="nil"/>
          <w:left w:val="nil"/>
          <w:bottom w:val="nil"/>
          <w:right w:val="nil"/>
          <w:between w:val="nil"/>
          <w:bar w:val="nil"/>
        </w:pBdr>
        <w:spacing w:before="0" w:after="240"/>
        <w:rPr>
          <w:rFonts w:eastAsia="Arial Unicode MS"/>
          <w:noProof/>
          <w:lang w:val="en-IE"/>
        </w:rPr>
      </w:pPr>
      <w:r w:rsidRPr="00BB039F">
        <w:rPr>
          <w:rFonts w:eastAsia="Arial Unicode MS"/>
          <w:noProof/>
          <w:lang w:val="en-IE"/>
        </w:rPr>
        <w:t xml:space="preserve">For food waste, the proposed setting of food waste reduction targets, does not set new measures at EU level. Setting targets gives Member States the freedom as regards the selection of the most effective measures, tailored to its specific national situation. Member States are not obliged to take any new measures relating to food waste reduction other than those already established by the </w:t>
      </w:r>
      <w:r w:rsidR="00084820" w:rsidRPr="00BB039F">
        <w:rPr>
          <w:rFonts w:eastAsia="Arial Unicode MS"/>
          <w:noProof/>
          <w:lang w:val="en-IE"/>
        </w:rPr>
        <w:t>WFD</w:t>
      </w:r>
      <w:r w:rsidRPr="00BB039F">
        <w:rPr>
          <w:rFonts w:eastAsia="Arial Unicode MS"/>
          <w:noProof/>
          <w:lang w:val="en-IE"/>
        </w:rPr>
        <w:t xml:space="preserve"> (i.e. reducing food waste at each stage of the food supply chain, preparing food waste prevention programmes, implementing related actions, monitoring and reporting on progress achieved). Moreover, Member States have already committed, since the adoption of the Sustainable Development Agenda in 2015, to take action to reduce food waste in order to contribute to SDG Target 12.3, which is de facto a non-binding, aspirational target</w:t>
      </w:r>
      <w:r w:rsidR="00171D70" w:rsidRPr="00BB039F">
        <w:rPr>
          <w:rFonts w:eastAsia="Arial Unicode MS"/>
          <w:noProof/>
          <w:lang w:val="en-IE"/>
        </w:rPr>
        <w:t>.  </w:t>
      </w:r>
    </w:p>
    <w:p w14:paraId="78D0D1CD" w14:textId="0FAB8BF0" w:rsidR="00C166D8" w:rsidRPr="00BB039F" w:rsidRDefault="00AD0E4E" w:rsidP="00BB039F">
      <w:pPr>
        <w:pBdr>
          <w:top w:val="nil"/>
          <w:left w:val="nil"/>
          <w:bottom w:val="nil"/>
          <w:right w:val="nil"/>
          <w:between w:val="nil"/>
          <w:bar w:val="nil"/>
        </w:pBdr>
        <w:spacing w:before="0" w:after="240"/>
        <w:rPr>
          <w:rFonts w:eastAsia="Arial Unicode MS"/>
          <w:noProof/>
          <w:lang w:val="en-IE"/>
        </w:rPr>
      </w:pPr>
      <w:r w:rsidRPr="00BB039F">
        <w:rPr>
          <w:rFonts w:eastAsia="Arial Unicode MS"/>
          <w:noProof/>
          <w:lang w:val="en-IE"/>
        </w:rPr>
        <w:t xml:space="preserve">The experience from leading countries </w:t>
      </w:r>
      <w:r w:rsidR="00CE33CC" w:rsidRPr="00BB039F">
        <w:rPr>
          <w:rFonts w:eastAsia="Arial Unicode MS"/>
          <w:noProof/>
          <w:lang w:val="en-IE"/>
        </w:rPr>
        <w:t xml:space="preserve">shows </w:t>
      </w:r>
      <w:r w:rsidRPr="00BB039F">
        <w:rPr>
          <w:rFonts w:eastAsia="Arial Unicode MS"/>
          <w:noProof/>
          <w:lang w:val="en-IE"/>
        </w:rPr>
        <w:t xml:space="preserve">that the measures implemented </w:t>
      </w:r>
      <w:r w:rsidR="00CE33CC" w:rsidRPr="00BB039F">
        <w:rPr>
          <w:rFonts w:eastAsia="Arial Unicode MS"/>
          <w:noProof/>
          <w:lang w:val="en-IE"/>
        </w:rPr>
        <w:t xml:space="preserve">by governments </w:t>
      </w:r>
      <w:r w:rsidRPr="00BB039F">
        <w:rPr>
          <w:rFonts w:eastAsia="Arial Unicode MS"/>
          <w:noProof/>
          <w:lang w:val="en-IE"/>
        </w:rPr>
        <w:t xml:space="preserve">so far </w:t>
      </w:r>
      <w:r w:rsidR="004151DC">
        <w:rPr>
          <w:rFonts w:eastAsia="Arial Unicode MS"/>
          <w:noProof/>
          <w:lang w:val="en-IE"/>
        </w:rPr>
        <w:t>are based</w:t>
      </w:r>
      <w:r w:rsidRPr="00BB039F">
        <w:rPr>
          <w:rFonts w:eastAsia="Arial Unicode MS"/>
          <w:noProof/>
          <w:lang w:val="en-IE"/>
        </w:rPr>
        <w:t xml:space="preserve"> on the voluntary </w:t>
      </w:r>
      <w:r w:rsidR="00852DCC" w:rsidRPr="00BB039F">
        <w:rPr>
          <w:rFonts w:eastAsia="Arial Unicode MS"/>
          <w:noProof/>
          <w:lang w:val="en-IE"/>
        </w:rPr>
        <w:t xml:space="preserve">engagement </w:t>
      </w:r>
      <w:r w:rsidR="000B0944" w:rsidRPr="00BB039F">
        <w:rPr>
          <w:rFonts w:eastAsia="Arial Unicode MS"/>
          <w:noProof/>
          <w:lang w:val="en-IE"/>
        </w:rPr>
        <w:t xml:space="preserve">of </w:t>
      </w:r>
      <w:r w:rsidR="00DF5172" w:rsidRPr="00BB039F">
        <w:rPr>
          <w:rFonts w:eastAsia="Arial Unicode MS"/>
          <w:noProof/>
          <w:lang w:val="en-IE"/>
        </w:rPr>
        <w:t xml:space="preserve">economic actors </w:t>
      </w:r>
      <w:r w:rsidR="000B0944" w:rsidRPr="00BB039F">
        <w:rPr>
          <w:rFonts w:eastAsia="Arial Unicode MS"/>
          <w:noProof/>
          <w:lang w:val="en-IE"/>
        </w:rPr>
        <w:t xml:space="preserve">in </w:t>
      </w:r>
      <w:r w:rsidR="00DF5172" w:rsidRPr="00BB039F">
        <w:rPr>
          <w:rFonts w:eastAsia="Arial Unicode MS"/>
          <w:noProof/>
          <w:lang w:val="en-IE"/>
        </w:rPr>
        <w:t xml:space="preserve">the </w:t>
      </w:r>
      <w:r w:rsidR="000B0944" w:rsidRPr="00BB039F">
        <w:rPr>
          <w:rFonts w:eastAsia="Arial Unicode MS"/>
          <w:noProof/>
          <w:lang w:val="en-IE"/>
        </w:rPr>
        <w:t>food supply chain</w:t>
      </w:r>
      <w:r w:rsidR="00871FE2" w:rsidRPr="00BB039F">
        <w:rPr>
          <w:rFonts w:eastAsia="Arial Unicode MS"/>
          <w:noProof/>
          <w:lang w:val="en-IE"/>
        </w:rPr>
        <w:t xml:space="preserve"> in </w:t>
      </w:r>
      <w:r w:rsidR="00817ED0" w:rsidRPr="00BB039F">
        <w:rPr>
          <w:rFonts w:eastAsia="Arial Unicode MS"/>
          <w:noProof/>
          <w:lang w:val="en-IE"/>
        </w:rPr>
        <w:t xml:space="preserve">common </w:t>
      </w:r>
      <w:r w:rsidR="0019475F" w:rsidRPr="00BB039F">
        <w:rPr>
          <w:rFonts w:eastAsia="Arial Unicode MS"/>
          <w:noProof/>
          <w:lang w:val="en-IE"/>
        </w:rPr>
        <w:t xml:space="preserve">roadmaps aiming to achieve </w:t>
      </w:r>
      <w:r w:rsidR="00CB2D00" w:rsidRPr="00BB039F">
        <w:rPr>
          <w:rFonts w:eastAsia="Arial Unicode MS"/>
          <w:noProof/>
          <w:lang w:val="en-IE"/>
        </w:rPr>
        <w:t xml:space="preserve">shared </w:t>
      </w:r>
      <w:r w:rsidR="00871FE2" w:rsidRPr="00BB039F">
        <w:rPr>
          <w:rFonts w:eastAsia="Arial Unicode MS"/>
          <w:noProof/>
          <w:lang w:val="en-IE"/>
        </w:rPr>
        <w:t>food waste reduction objective</w:t>
      </w:r>
      <w:r w:rsidR="000B0944" w:rsidRPr="00BB039F">
        <w:rPr>
          <w:rFonts w:eastAsia="Arial Unicode MS"/>
          <w:noProof/>
          <w:lang w:val="en-IE"/>
        </w:rPr>
        <w:t xml:space="preserve">. </w:t>
      </w:r>
      <w:r w:rsidR="00073719" w:rsidRPr="00BB039F">
        <w:rPr>
          <w:rFonts w:eastAsia="Arial Unicode MS"/>
          <w:noProof/>
          <w:lang w:val="en-IE"/>
        </w:rPr>
        <w:t>F</w:t>
      </w:r>
      <w:r w:rsidR="00C166D8" w:rsidRPr="00BB039F">
        <w:rPr>
          <w:rFonts w:eastAsia="Arial Unicode MS"/>
          <w:noProof/>
          <w:lang w:val="en-IE"/>
        </w:rPr>
        <w:t xml:space="preserve">inancial assistance (in </w:t>
      </w:r>
      <w:r w:rsidR="00DF5172" w:rsidRPr="00BB039F">
        <w:rPr>
          <w:rFonts w:eastAsia="Arial Unicode MS"/>
          <w:noProof/>
          <w:lang w:val="en-IE"/>
        </w:rPr>
        <w:t xml:space="preserve">the </w:t>
      </w:r>
      <w:r w:rsidR="00C166D8" w:rsidRPr="00BB039F">
        <w:rPr>
          <w:rFonts w:eastAsia="Arial Unicode MS"/>
          <w:noProof/>
          <w:lang w:val="en-IE"/>
        </w:rPr>
        <w:t xml:space="preserve">form of </w:t>
      </w:r>
      <w:r w:rsidR="00AD0CC3" w:rsidRPr="00BB039F">
        <w:rPr>
          <w:rFonts w:eastAsia="Arial Unicode MS"/>
          <w:noProof/>
          <w:lang w:val="en-IE"/>
        </w:rPr>
        <w:t xml:space="preserve">action </w:t>
      </w:r>
      <w:r w:rsidR="00C166D8" w:rsidRPr="00BB039F">
        <w:rPr>
          <w:rFonts w:eastAsia="Arial Unicode MS"/>
          <w:noProof/>
          <w:lang w:val="en-IE"/>
        </w:rPr>
        <w:t xml:space="preserve">grants) is currently offered at EU level, in order to support </w:t>
      </w:r>
      <w:r w:rsidR="00A4338E" w:rsidRPr="00BB039F">
        <w:rPr>
          <w:rFonts w:eastAsia="Arial Unicode MS"/>
          <w:noProof/>
          <w:lang w:val="en-IE"/>
        </w:rPr>
        <w:t xml:space="preserve">stakeholders in taking concrete steps to </w:t>
      </w:r>
      <w:r w:rsidR="00621E46" w:rsidRPr="00BB039F">
        <w:rPr>
          <w:rFonts w:eastAsia="Arial Unicode MS"/>
          <w:noProof/>
          <w:lang w:val="en-IE"/>
        </w:rPr>
        <w:t xml:space="preserve">improve food waste measurement and prevention. </w:t>
      </w:r>
      <w:r w:rsidR="00C166D8" w:rsidRPr="00BB039F">
        <w:rPr>
          <w:rFonts w:eastAsia="Arial Unicode MS"/>
          <w:noProof/>
          <w:lang w:val="en-IE"/>
        </w:rPr>
        <w:t xml:space="preserve">The </w:t>
      </w:r>
      <w:hyperlink r:id="rId32" w:tgtFrame="_blank" w:history="1">
        <w:r w:rsidR="00C166D8" w:rsidRPr="00BB039F">
          <w:rPr>
            <w:rFonts w:eastAsia="Arial Unicode MS"/>
            <w:noProof/>
            <w:lang w:val="en-IE"/>
          </w:rPr>
          <w:t>grants</w:t>
        </w:r>
      </w:hyperlink>
      <w:r w:rsidR="00C166D8" w:rsidRPr="00BB039F">
        <w:rPr>
          <w:rFonts w:eastAsia="Arial Unicode MS"/>
          <w:noProof/>
          <w:lang w:val="en-IE"/>
        </w:rPr>
        <w:t xml:space="preserve"> implemented </w:t>
      </w:r>
      <w:r w:rsidR="004151DC">
        <w:rPr>
          <w:rFonts w:eastAsia="Arial Unicode MS"/>
          <w:noProof/>
          <w:lang w:val="en-IE"/>
        </w:rPr>
        <w:t>so</w:t>
      </w:r>
      <w:r w:rsidR="004151DC" w:rsidRPr="00BB039F">
        <w:rPr>
          <w:rFonts w:eastAsia="Arial Unicode MS"/>
          <w:noProof/>
          <w:lang w:val="en-IE"/>
        </w:rPr>
        <w:t xml:space="preserve"> </w:t>
      </w:r>
      <w:r w:rsidR="00C166D8" w:rsidRPr="00BB039F">
        <w:rPr>
          <w:rFonts w:eastAsia="Arial Unicode MS"/>
          <w:noProof/>
          <w:lang w:val="en-IE"/>
        </w:rPr>
        <w:t xml:space="preserve">far by the Commission, under the Single Market Programme, have </w:t>
      </w:r>
      <w:r w:rsidR="00073719" w:rsidRPr="00BB039F">
        <w:rPr>
          <w:rFonts w:eastAsia="Arial Unicode MS"/>
          <w:noProof/>
          <w:lang w:val="en-IE"/>
        </w:rPr>
        <w:t xml:space="preserve">in particular </w:t>
      </w:r>
      <w:r w:rsidR="00C166D8" w:rsidRPr="00BB039F">
        <w:rPr>
          <w:rFonts w:eastAsia="Arial Unicode MS"/>
          <w:noProof/>
          <w:lang w:val="en-IE"/>
        </w:rPr>
        <w:t>targeted SMEs in order to address their specific needs</w:t>
      </w:r>
      <w:r w:rsidR="00E40F20" w:rsidRPr="00BB039F">
        <w:rPr>
          <w:rFonts w:eastAsia="Arial Unicode MS"/>
          <w:noProof/>
          <w:lang w:val="en-IE"/>
        </w:rPr>
        <w:t xml:space="preserve"> and support the development and dissemination of best practice</w:t>
      </w:r>
      <w:r w:rsidR="00C166D8" w:rsidRPr="00BB039F">
        <w:rPr>
          <w:rFonts w:eastAsia="Arial Unicode MS"/>
          <w:noProof/>
          <w:lang w:val="en-IE"/>
        </w:rPr>
        <w:t>.  </w:t>
      </w:r>
    </w:p>
    <w:p w14:paraId="7E0DA00D" w14:textId="618E8E18" w:rsidR="00171D70" w:rsidRPr="00BB039F" w:rsidRDefault="00C166D8" w:rsidP="00BB039F">
      <w:pPr>
        <w:pBdr>
          <w:top w:val="nil"/>
          <w:left w:val="nil"/>
          <w:bottom w:val="nil"/>
          <w:right w:val="nil"/>
          <w:between w:val="nil"/>
          <w:bar w:val="nil"/>
        </w:pBdr>
        <w:spacing w:before="0" w:after="240"/>
        <w:rPr>
          <w:rFonts w:eastAsia="Arial Unicode MS"/>
          <w:noProof/>
          <w:lang w:val="en-IE"/>
        </w:rPr>
      </w:pPr>
      <w:r w:rsidRPr="00BB039F">
        <w:rPr>
          <w:rFonts w:eastAsia="Arial Unicode MS"/>
          <w:noProof/>
          <w:lang w:val="en-IE"/>
        </w:rPr>
        <w:t>The further exchange of knowledge, best practices, tools, guidelines and experience will continue via the EU Platform (including its sub-groups) and the dedicated website (EU Food Loss and Waste Prevention Hub).</w:t>
      </w:r>
    </w:p>
    <w:p w14:paraId="6BC21937" w14:textId="77777777" w:rsidR="00BD152F" w:rsidRPr="00BB039F" w:rsidRDefault="00171D70" w:rsidP="00BB039F">
      <w:pPr>
        <w:pBdr>
          <w:top w:val="nil"/>
          <w:left w:val="nil"/>
          <w:bottom w:val="nil"/>
          <w:right w:val="nil"/>
          <w:between w:val="nil"/>
          <w:bar w:val="nil"/>
        </w:pBdr>
        <w:spacing w:before="0" w:after="240"/>
        <w:rPr>
          <w:rFonts w:eastAsia="Arial Unicode MS"/>
          <w:noProof/>
          <w:lang w:val="en-IE"/>
        </w:rPr>
      </w:pPr>
      <w:r w:rsidRPr="00BB039F">
        <w:rPr>
          <w:rFonts w:eastAsia="Arial Unicode MS"/>
          <w:noProof/>
          <w:lang w:val="en-IE"/>
        </w:rPr>
        <w:t>Overall, the proposed measures do not go beyond what is necessary to ensure regulatory compliance while guaranteeing the protection of the environment.</w:t>
      </w:r>
    </w:p>
    <w:p w14:paraId="104E54FC" w14:textId="77777777" w:rsidR="00BD152F" w:rsidRPr="00E50A7A" w:rsidRDefault="00BD152F" w:rsidP="00B00391">
      <w:pPr>
        <w:pStyle w:val="ManualHeading2"/>
        <w:rPr>
          <w:rFonts w:eastAsia="Arial Unicode MS"/>
          <w:noProof/>
          <w:u w:color="000000"/>
          <w:bdr w:val="nil"/>
          <w:lang w:val="en-IE" w:eastAsia="en-GB"/>
        </w:rPr>
      </w:pPr>
      <w:r w:rsidRPr="00E50A7A">
        <w:rPr>
          <w:rFonts w:eastAsia="Arial Unicode MS"/>
          <w:noProof/>
          <w:u w:color="000000"/>
          <w:bdr w:val="nil"/>
          <w:lang w:val="en-IE" w:eastAsia="en-GB"/>
        </w:rPr>
        <w:lastRenderedPageBreak/>
        <w:t>•</w:t>
      </w:r>
      <w:r w:rsidRPr="00E50A7A">
        <w:rPr>
          <w:rFonts w:eastAsia="Arial Unicode MS"/>
          <w:noProof/>
          <w:u w:color="000000"/>
          <w:bdr w:val="nil"/>
          <w:lang w:val="en-IE" w:eastAsia="en-GB"/>
        </w:rPr>
        <w:tab/>
        <w:t>Choice of the instrument</w:t>
      </w:r>
    </w:p>
    <w:p w14:paraId="281F00B8" w14:textId="638887BF" w:rsidR="00DB5F1F" w:rsidRPr="00E50A7A" w:rsidRDefault="00DB5F1F" w:rsidP="00DB5F1F">
      <w:pPr>
        <w:pBdr>
          <w:top w:val="nil"/>
          <w:left w:val="nil"/>
          <w:bottom w:val="nil"/>
          <w:right w:val="nil"/>
          <w:between w:val="nil"/>
          <w:bar w:val="nil"/>
        </w:pBdr>
        <w:spacing w:before="0" w:after="240"/>
        <w:rPr>
          <w:rFonts w:eastAsia="Arial Unicode MS"/>
          <w:noProof/>
          <w:lang w:val="en-IE"/>
        </w:rPr>
      </w:pPr>
      <w:r w:rsidRPr="00E50A7A">
        <w:rPr>
          <w:rFonts w:eastAsia="Arial Unicode MS"/>
          <w:noProof/>
          <w:lang w:val="en-IE"/>
        </w:rPr>
        <w:t xml:space="preserve">Given the above explanations, amendment to the </w:t>
      </w:r>
      <w:r w:rsidR="004151DC">
        <w:rPr>
          <w:rFonts w:eastAsia="Arial Unicode MS"/>
          <w:noProof/>
          <w:lang w:val="en-IE"/>
        </w:rPr>
        <w:t>WFD</w:t>
      </w:r>
      <w:r w:rsidRPr="00E50A7A">
        <w:rPr>
          <w:rFonts w:eastAsia="Arial Unicode MS"/>
          <w:noProof/>
          <w:lang w:val="en-IE"/>
        </w:rPr>
        <w:t xml:space="preserve">, a </w:t>
      </w:r>
      <w:r w:rsidR="00CF7C31" w:rsidRPr="00E50A7A">
        <w:rPr>
          <w:rFonts w:eastAsia="Arial Unicode MS"/>
          <w:noProof/>
          <w:lang w:val="en-IE"/>
        </w:rPr>
        <w:t>D</w:t>
      </w:r>
      <w:r w:rsidRPr="00E50A7A">
        <w:rPr>
          <w:rFonts w:eastAsia="Arial Unicode MS"/>
          <w:noProof/>
          <w:lang w:val="en-IE"/>
        </w:rPr>
        <w:t xml:space="preserve">irective, is the right instrument to use. It allows for a harmonisation of certain elements while leaving space to Members States to accommodate national specificities in the transposition of the Directive. </w:t>
      </w:r>
    </w:p>
    <w:p w14:paraId="486B5D06" w14:textId="2C5B6143" w:rsidR="00171D70" w:rsidRPr="00E50A7A" w:rsidRDefault="004151DC" w:rsidP="00171D70">
      <w:pPr>
        <w:pBdr>
          <w:top w:val="nil"/>
          <w:left w:val="nil"/>
          <w:bottom w:val="nil"/>
          <w:right w:val="nil"/>
          <w:between w:val="nil"/>
          <w:bar w:val="nil"/>
        </w:pBdr>
        <w:spacing w:before="0" w:after="240"/>
        <w:rPr>
          <w:rFonts w:eastAsia="Arial Unicode MS"/>
          <w:noProof/>
          <w:lang w:val="en-IE"/>
        </w:rPr>
      </w:pPr>
      <w:r>
        <w:rPr>
          <w:rFonts w:eastAsia="Arial Unicode MS"/>
          <w:noProof/>
          <w:lang w:val="en-IE"/>
        </w:rPr>
        <w:t xml:space="preserve">The </w:t>
      </w:r>
      <w:r w:rsidR="00171D70" w:rsidRPr="00E50A7A">
        <w:rPr>
          <w:rFonts w:eastAsia="Arial Unicode MS"/>
          <w:noProof/>
          <w:lang w:val="en-IE"/>
        </w:rPr>
        <w:t>WFD is the only legal vehicle to regulate textile waste prevention and management in the EU and is based on Article 192(1) TFEU. While there are several legal acts regulating textiles products (e.g. REACH, Textiles Labelling Regulation), the WFD is the only legal instrument regulating all aspects of textile waste management, including the specific obligations to ensure separate collection, treatment and reporting requirements.  </w:t>
      </w:r>
    </w:p>
    <w:p w14:paraId="59DC8246" w14:textId="77777777" w:rsidR="00BD152F" w:rsidRPr="00E50A7A" w:rsidRDefault="00171D70" w:rsidP="00B00391">
      <w:pPr>
        <w:pBdr>
          <w:top w:val="nil"/>
          <w:left w:val="nil"/>
          <w:bottom w:val="nil"/>
          <w:right w:val="nil"/>
          <w:between w:val="nil"/>
          <w:bar w:val="nil"/>
        </w:pBdr>
        <w:spacing w:before="0" w:after="240"/>
        <w:rPr>
          <w:rFonts w:eastAsia="Arial Unicode MS"/>
          <w:noProof/>
          <w:lang w:val="en-IE"/>
        </w:rPr>
      </w:pPr>
      <w:r w:rsidRPr="00E50A7A">
        <w:rPr>
          <w:rFonts w:eastAsia="Arial Unicode MS"/>
          <w:noProof/>
          <w:lang w:val="en-IE"/>
        </w:rPr>
        <w:t>Food waste is also defined and regulated in the WFD. While a number of individual measures which can help reduce food waste are regulated in legislation related to functioning of the food market, food safety or food information to consumers at Union level, the overall legislative framework for food waste prevention, including monitoring and reporting on food waste arising and planning of national food waste prevention programmes, is part of the WFD.</w:t>
      </w:r>
    </w:p>
    <w:p w14:paraId="7B7EA220" w14:textId="77777777" w:rsidR="00BD152F" w:rsidRPr="00E50A7A" w:rsidRDefault="00BD152F" w:rsidP="00B00391">
      <w:pPr>
        <w:pStyle w:val="ManualHeading1"/>
        <w:rPr>
          <w:noProof/>
          <w:lang w:val="en-IE"/>
        </w:rPr>
      </w:pPr>
      <w:r w:rsidRPr="00E50A7A">
        <w:rPr>
          <w:noProof/>
          <w:lang w:val="en-IE"/>
        </w:rPr>
        <w:t>3.</w:t>
      </w:r>
      <w:r w:rsidRPr="00E50A7A">
        <w:rPr>
          <w:noProof/>
          <w:lang w:val="en-IE"/>
        </w:rPr>
        <w:tab/>
        <w:t>RESULTS OF EX-POST EVALUATIONS, STAKEHOLDER CONSULTATIONS AND IMPACT ASSESSMENTS</w:t>
      </w:r>
    </w:p>
    <w:p w14:paraId="441E98A4" w14:textId="77777777" w:rsidR="00263FCC" w:rsidRPr="00E50A7A" w:rsidRDefault="00263FCC" w:rsidP="00263FCC">
      <w:pPr>
        <w:pStyle w:val="ManualHeading2"/>
        <w:rPr>
          <w:rFonts w:eastAsia="Arial Unicode MS"/>
          <w:noProof/>
          <w:u w:color="000000"/>
          <w:bdr w:val="nil"/>
          <w:lang w:val="en-IE" w:eastAsia="en-GB"/>
        </w:rPr>
      </w:pPr>
      <w:r w:rsidRPr="00E50A7A">
        <w:rPr>
          <w:rFonts w:eastAsia="Arial Unicode MS"/>
          <w:noProof/>
          <w:u w:color="000000"/>
          <w:bdr w:val="nil"/>
          <w:lang w:val="en-IE" w:eastAsia="en-GB"/>
        </w:rPr>
        <w:t>•</w:t>
      </w:r>
      <w:r w:rsidRPr="00E50A7A">
        <w:rPr>
          <w:rFonts w:eastAsia="Arial Unicode MS"/>
          <w:noProof/>
          <w:u w:color="000000"/>
          <w:bdr w:val="nil"/>
          <w:lang w:val="en-IE" w:eastAsia="en-GB"/>
        </w:rPr>
        <w:tab/>
        <w:t>Ex-post evaluations</w:t>
      </w:r>
    </w:p>
    <w:p w14:paraId="64D29E86" w14:textId="38F79F28" w:rsidR="00263FCC" w:rsidRPr="00E50A7A" w:rsidRDefault="00263FCC" w:rsidP="00E50A7A">
      <w:pPr>
        <w:pStyle w:val="Text1"/>
        <w:ind w:left="0"/>
        <w:rPr>
          <w:noProof/>
          <w:lang w:val="en-IE" w:eastAsia="en-GB"/>
        </w:rPr>
      </w:pPr>
      <w:r w:rsidRPr="00E50A7A">
        <w:rPr>
          <w:noProof/>
          <w:lang w:val="en-IE" w:eastAsia="en-GB"/>
        </w:rPr>
        <w:t>No ex-post evaluations were undertaken since the latest amendment of</w:t>
      </w:r>
      <w:r w:rsidR="004151DC">
        <w:rPr>
          <w:noProof/>
          <w:lang w:val="en-IE" w:eastAsia="en-GB"/>
        </w:rPr>
        <w:t xml:space="preserve"> the WFD</w:t>
      </w:r>
      <w:r w:rsidR="00DF7597" w:rsidRPr="00E50A7A">
        <w:rPr>
          <w:rFonts w:eastAsia="Arial Unicode MS"/>
          <w:noProof/>
          <w:lang w:val="en-IE"/>
        </w:rPr>
        <w:t xml:space="preserve"> only took place in 2018. </w:t>
      </w:r>
      <w:r w:rsidR="00C85595" w:rsidRPr="00E50A7A">
        <w:rPr>
          <w:rFonts w:eastAsia="Arial Unicode MS"/>
          <w:noProof/>
          <w:lang w:val="en-IE"/>
        </w:rPr>
        <w:t xml:space="preserve">It would </w:t>
      </w:r>
      <w:r w:rsidR="00E828F3" w:rsidRPr="00E50A7A">
        <w:rPr>
          <w:rFonts w:eastAsia="Arial Unicode MS"/>
          <w:noProof/>
          <w:lang w:val="en-IE"/>
        </w:rPr>
        <w:t xml:space="preserve">have </w:t>
      </w:r>
      <w:r w:rsidR="00C85595" w:rsidRPr="00E50A7A">
        <w:rPr>
          <w:rFonts w:eastAsia="Arial Unicode MS"/>
          <w:noProof/>
          <w:lang w:val="en-IE"/>
        </w:rPr>
        <w:t>therefore be</w:t>
      </w:r>
      <w:r w:rsidR="00E828F3" w:rsidRPr="00E50A7A">
        <w:rPr>
          <w:rFonts w:eastAsia="Arial Unicode MS"/>
          <w:noProof/>
          <w:lang w:val="en-IE"/>
        </w:rPr>
        <w:t>en</w:t>
      </w:r>
      <w:r w:rsidR="00C85595" w:rsidRPr="00E50A7A">
        <w:rPr>
          <w:rFonts w:eastAsia="Arial Unicode MS"/>
          <w:noProof/>
          <w:lang w:val="en-IE"/>
        </w:rPr>
        <w:t xml:space="preserve"> premature to </w:t>
      </w:r>
      <w:r w:rsidR="002014B0" w:rsidRPr="00E50A7A">
        <w:rPr>
          <w:rFonts w:eastAsia="Arial Unicode MS"/>
          <w:noProof/>
          <w:lang w:val="en-IE"/>
        </w:rPr>
        <w:t xml:space="preserve">have </w:t>
      </w:r>
      <w:r w:rsidR="00E828F3" w:rsidRPr="00E50A7A">
        <w:rPr>
          <w:rFonts w:eastAsia="Arial Unicode MS"/>
          <w:noProof/>
          <w:lang w:val="en-IE"/>
        </w:rPr>
        <w:t xml:space="preserve">an </w:t>
      </w:r>
      <w:r w:rsidR="002014B0" w:rsidRPr="00E50A7A">
        <w:rPr>
          <w:rFonts w:eastAsia="Arial Unicode MS"/>
          <w:noProof/>
          <w:lang w:val="en-IE"/>
        </w:rPr>
        <w:t>ex-post evaluat</w:t>
      </w:r>
      <w:r w:rsidR="00E828F3" w:rsidRPr="00E50A7A">
        <w:rPr>
          <w:rFonts w:eastAsia="Arial Unicode MS"/>
          <w:noProof/>
          <w:lang w:val="en-IE"/>
        </w:rPr>
        <w:t>ion of</w:t>
      </w:r>
      <w:r w:rsidR="002014B0" w:rsidRPr="00E50A7A">
        <w:rPr>
          <w:rFonts w:eastAsia="Arial Unicode MS"/>
          <w:noProof/>
          <w:lang w:val="en-IE"/>
        </w:rPr>
        <w:t xml:space="preserve"> the recent amendments made that have yet to unfold their full effect. Additionally, </w:t>
      </w:r>
      <w:r w:rsidR="004151DC">
        <w:rPr>
          <w:rFonts w:eastAsia="Arial Unicode MS"/>
          <w:noProof/>
          <w:lang w:val="en-IE"/>
        </w:rPr>
        <w:t>the WFD</w:t>
      </w:r>
      <w:r w:rsidR="002014B0" w:rsidRPr="00E50A7A">
        <w:rPr>
          <w:rFonts w:eastAsia="Arial Unicode MS"/>
          <w:noProof/>
          <w:lang w:val="en-IE"/>
        </w:rPr>
        <w:t xml:space="preserve"> foresees specific review clauses for specific waste streams that </w:t>
      </w:r>
      <w:r w:rsidR="00861757" w:rsidRPr="00E50A7A">
        <w:rPr>
          <w:rFonts w:eastAsia="Arial Unicode MS"/>
          <w:noProof/>
          <w:lang w:val="en-IE"/>
        </w:rPr>
        <w:t xml:space="preserve">would result in </w:t>
      </w:r>
      <w:r w:rsidR="00E828F3" w:rsidRPr="00E50A7A">
        <w:rPr>
          <w:rFonts w:eastAsia="Arial Unicode MS"/>
          <w:noProof/>
          <w:lang w:val="en-IE"/>
        </w:rPr>
        <w:t xml:space="preserve">analyses of </w:t>
      </w:r>
      <w:r w:rsidR="00263BE6" w:rsidRPr="00E50A7A">
        <w:rPr>
          <w:rFonts w:eastAsia="Arial Unicode MS"/>
          <w:noProof/>
          <w:lang w:val="en-IE"/>
        </w:rPr>
        <w:t xml:space="preserve">the </w:t>
      </w:r>
      <w:r w:rsidR="000D34D9" w:rsidRPr="00E50A7A">
        <w:rPr>
          <w:rFonts w:eastAsia="Arial Unicode MS"/>
          <w:noProof/>
          <w:lang w:val="en-IE"/>
        </w:rPr>
        <w:t>impacts of current provisions</w:t>
      </w:r>
      <w:r w:rsidR="00861757" w:rsidRPr="00E50A7A">
        <w:rPr>
          <w:rFonts w:eastAsia="Arial Unicode MS"/>
          <w:noProof/>
          <w:lang w:val="en-IE"/>
        </w:rPr>
        <w:t>.</w:t>
      </w:r>
    </w:p>
    <w:p w14:paraId="7F185770" w14:textId="77777777" w:rsidR="00263FCC" w:rsidRPr="00E50A7A" w:rsidRDefault="00263FCC" w:rsidP="00263FCC">
      <w:pPr>
        <w:pStyle w:val="ManualHeading2"/>
        <w:rPr>
          <w:rFonts w:eastAsia="Arial Unicode MS"/>
          <w:noProof/>
          <w:u w:color="000000"/>
          <w:bdr w:val="nil"/>
          <w:lang w:val="en-IE" w:eastAsia="en-GB"/>
        </w:rPr>
      </w:pPr>
      <w:r w:rsidRPr="00E50A7A">
        <w:rPr>
          <w:rFonts w:eastAsia="Arial Unicode MS"/>
          <w:noProof/>
          <w:u w:color="000000"/>
          <w:bdr w:val="nil"/>
          <w:lang w:val="en-IE" w:eastAsia="en-GB"/>
        </w:rPr>
        <w:t>•</w:t>
      </w:r>
      <w:r w:rsidRPr="00E50A7A">
        <w:rPr>
          <w:rFonts w:eastAsia="Arial Unicode MS"/>
          <w:noProof/>
          <w:u w:color="000000"/>
          <w:bdr w:val="nil"/>
          <w:lang w:val="en-IE" w:eastAsia="en-GB"/>
        </w:rPr>
        <w:tab/>
        <w:t>Stakeholder consultations</w:t>
      </w:r>
    </w:p>
    <w:p w14:paraId="63DF5EF1" w14:textId="0EA1A1AB" w:rsidR="00F71DC5" w:rsidRPr="00E50A7A" w:rsidRDefault="00F71DC5" w:rsidP="00F71DC5">
      <w:pPr>
        <w:pBdr>
          <w:top w:val="nil"/>
          <w:left w:val="nil"/>
          <w:bottom w:val="nil"/>
          <w:right w:val="nil"/>
          <w:between w:val="nil"/>
          <w:bar w:val="nil"/>
        </w:pBdr>
        <w:spacing w:before="0" w:after="240"/>
        <w:rPr>
          <w:rFonts w:eastAsia="Arial Unicode MS"/>
          <w:noProof/>
          <w:lang w:val="en-IE"/>
        </w:rPr>
      </w:pPr>
      <w:r w:rsidRPr="00E50A7A">
        <w:rPr>
          <w:rFonts w:eastAsia="Arial Unicode MS"/>
          <w:noProof/>
          <w:lang w:val="en-IE"/>
        </w:rPr>
        <w:t xml:space="preserve">The consultation method and strategy were outlined in the Call for Evidence (CfE) for </w:t>
      </w:r>
      <w:r w:rsidR="00E8746C" w:rsidRPr="00E50A7A">
        <w:rPr>
          <w:rFonts w:eastAsia="Arial Unicode MS"/>
          <w:noProof/>
          <w:lang w:val="en-IE"/>
        </w:rPr>
        <w:t>a proposal</w:t>
      </w:r>
      <w:r w:rsidR="00943ED0" w:rsidRPr="00E50A7A">
        <w:rPr>
          <w:rFonts w:eastAsia="Arial Unicode MS"/>
          <w:noProof/>
          <w:lang w:val="en-IE"/>
        </w:rPr>
        <w:t xml:space="preserve"> on</w:t>
      </w:r>
      <w:r w:rsidRPr="00E50A7A">
        <w:rPr>
          <w:rFonts w:eastAsia="Arial Unicode MS"/>
          <w:noProof/>
          <w:lang w:val="en-IE"/>
        </w:rPr>
        <w:t xml:space="preserve"> ‘Environmental impact of waste management – revision of EU waste framework’</w:t>
      </w:r>
      <w:r w:rsidR="00415D46">
        <w:rPr>
          <w:rStyle w:val="FootnoteReference"/>
          <w:rFonts w:eastAsia="Arial Unicode MS"/>
          <w:noProof/>
          <w:lang w:val="en-IE"/>
        </w:rPr>
        <w:footnoteReference w:id="56"/>
      </w:r>
      <w:r w:rsidRPr="00E50A7A">
        <w:rPr>
          <w:rFonts w:eastAsia="Arial Unicode MS"/>
          <w:noProof/>
          <w:lang w:val="en-IE"/>
        </w:rPr>
        <w:t xml:space="preserve"> and the Inception Impact Assessment (IIA) ‘Proposal for a revision of Directive 2008/98/EC on waste – part on food waste reduction target’.</w:t>
      </w:r>
      <w:r w:rsidR="00415D46">
        <w:rPr>
          <w:rStyle w:val="FootnoteReference"/>
          <w:rFonts w:eastAsia="Arial Unicode MS"/>
          <w:noProof/>
          <w:lang w:val="en-IE"/>
        </w:rPr>
        <w:footnoteReference w:id="57"/>
      </w:r>
      <w:r w:rsidR="00415D46">
        <w:rPr>
          <w:rStyle w:val="CommentReference"/>
          <w:noProof/>
        </w:rPr>
        <w:t xml:space="preserve"> </w:t>
      </w:r>
      <w:r w:rsidR="001C0333" w:rsidRPr="00E50A7A">
        <w:rPr>
          <w:rFonts w:eastAsia="Arial Unicode MS"/>
          <w:noProof/>
          <w:lang w:val="en-IE"/>
        </w:rPr>
        <w:t xml:space="preserve">Given that the </w:t>
      </w:r>
      <w:r w:rsidR="00415D53" w:rsidRPr="00E50A7A">
        <w:rPr>
          <w:rFonts w:eastAsia="Arial Unicode MS"/>
          <w:noProof/>
          <w:lang w:val="en-IE"/>
        </w:rPr>
        <w:t xml:space="preserve">two </w:t>
      </w:r>
      <w:r w:rsidR="001C0333" w:rsidRPr="00E50A7A">
        <w:rPr>
          <w:rFonts w:eastAsia="Arial Unicode MS"/>
          <w:noProof/>
          <w:lang w:val="en-IE"/>
        </w:rPr>
        <w:t>proposal</w:t>
      </w:r>
      <w:r w:rsidR="00415D53" w:rsidRPr="00E50A7A">
        <w:rPr>
          <w:rFonts w:eastAsia="Arial Unicode MS"/>
          <w:noProof/>
          <w:lang w:val="en-IE"/>
        </w:rPr>
        <w:t>s</w:t>
      </w:r>
      <w:r w:rsidR="001C0333" w:rsidRPr="00E50A7A">
        <w:rPr>
          <w:rFonts w:eastAsia="Arial Unicode MS"/>
          <w:noProof/>
          <w:lang w:val="en-IE"/>
        </w:rPr>
        <w:t xml:space="preserve"> </w:t>
      </w:r>
      <w:r w:rsidR="0006044A" w:rsidRPr="00E50A7A">
        <w:rPr>
          <w:rFonts w:eastAsia="Arial Unicode MS"/>
          <w:noProof/>
          <w:lang w:val="en-IE"/>
        </w:rPr>
        <w:t xml:space="preserve">aim to amend the same legal </w:t>
      </w:r>
      <w:r w:rsidR="004151DC">
        <w:rPr>
          <w:rFonts w:eastAsia="Arial Unicode MS"/>
          <w:noProof/>
          <w:lang w:val="en-IE"/>
        </w:rPr>
        <w:t>act under the same legal basis</w:t>
      </w:r>
      <w:r w:rsidR="0006044A" w:rsidRPr="00E50A7A">
        <w:rPr>
          <w:rFonts w:eastAsia="Arial Unicode MS"/>
          <w:noProof/>
          <w:lang w:val="en-IE"/>
        </w:rPr>
        <w:t xml:space="preserve">, it was decided to merge </w:t>
      </w:r>
      <w:r w:rsidR="00415D53" w:rsidRPr="00E50A7A">
        <w:rPr>
          <w:rFonts w:eastAsia="Arial Unicode MS"/>
          <w:noProof/>
          <w:lang w:val="en-IE"/>
        </w:rPr>
        <w:t>them.</w:t>
      </w:r>
      <w:r w:rsidR="00AD7C1C" w:rsidRPr="00E50A7A">
        <w:rPr>
          <w:rFonts w:eastAsia="Arial Unicode MS"/>
          <w:noProof/>
          <w:lang w:val="en-IE"/>
        </w:rPr>
        <w:t xml:space="preserve"> Consequently</w:t>
      </w:r>
      <w:r w:rsidR="00773122" w:rsidRPr="00E50A7A">
        <w:rPr>
          <w:rFonts w:eastAsia="Arial Unicode MS"/>
          <w:noProof/>
          <w:lang w:val="en-IE"/>
        </w:rPr>
        <w:t>,</w:t>
      </w:r>
      <w:r w:rsidR="00AD7C1C" w:rsidRPr="00E50A7A">
        <w:rPr>
          <w:rFonts w:eastAsia="Arial Unicode MS"/>
          <w:noProof/>
          <w:lang w:val="en-IE"/>
        </w:rPr>
        <w:t xml:space="preserve"> the open public consultation </w:t>
      </w:r>
      <w:r w:rsidR="001F5136" w:rsidRPr="00E50A7A">
        <w:rPr>
          <w:rFonts w:eastAsia="Arial Unicode MS"/>
          <w:noProof/>
          <w:lang w:val="en-IE"/>
        </w:rPr>
        <w:t>conduc</w:t>
      </w:r>
      <w:r w:rsidR="0009328A" w:rsidRPr="00E50A7A">
        <w:rPr>
          <w:rFonts w:eastAsia="Arial Unicode MS"/>
          <w:noProof/>
          <w:lang w:val="en-IE"/>
        </w:rPr>
        <w:t xml:space="preserve">ted in May-August 2022, </w:t>
      </w:r>
      <w:r w:rsidR="009C4329" w:rsidRPr="00E50A7A">
        <w:rPr>
          <w:rFonts w:eastAsia="Arial Unicode MS"/>
          <w:noProof/>
          <w:lang w:val="en-IE"/>
        </w:rPr>
        <w:t>covered both waste streams.</w:t>
      </w:r>
    </w:p>
    <w:p w14:paraId="0B4A3C1D" w14:textId="77777777" w:rsidR="00373564" w:rsidRPr="00E50A7A" w:rsidRDefault="00373564" w:rsidP="00373564">
      <w:pPr>
        <w:pBdr>
          <w:top w:val="nil"/>
          <w:left w:val="nil"/>
          <w:bottom w:val="nil"/>
          <w:right w:val="nil"/>
          <w:between w:val="nil"/>
          <w:bar w:val="nil"/>
        </w:pBdr>
        <w:spacing w:before="0" w:after="240"/>
        <w:rPr>
          <w:rFonts w:eastAsia="Arial Unicode MS"/>
          <w:i/>
          <w:iCs/>
          <w:noProof/>
          <w:lang w:val="en-IE"/>
        </w:rPr>
      </w:pPr>
      <w:r w:rsidRPr="00E50A7A">
        <w:rPr>
          <w:rFonts w:eastAsia="Arial Unicode MS"/>
          <w:i/>
          <w:iCs/>
          <w:noProof/>
          <w:lang w:val="en-IE"/>
        </w:rPr>
        <w:t>Textile waste</w:t>
      </w:r>
    </w:p>
    <w:p w14:paraId="39F0E1FA" w14:textId="77777777" w:rsidR="00F71DC5" w:rsidRPr="00E50A7A" w:rsidRDefault="00316DF1" w:rsidP="00F71DC5">
      <w:pPr>
        <w:pBdr>
          <w:top w:val="nil"/>
          <w:left w:val="nil"/>
          <w:bottom w:val="nil"/>
          <w:right w:val="nil"/>
          <w:between w:val="nil"/>
          <w:bar w:val="nil"/>
        </w:pBdr>
        <w:spacing w:before="0" w:after="240"/>
        <w:rPr>
          <w:rFonts w:eastAsia="Arial Unicode MS"/>
          <w:noProof/>
          <w:lang w:val="en-IE"/>
        </w:rPr>
      </w:pPr>
      <w:r w:rsidRPr="00E50A7A">
        <w:rPr>
          <w:rFonts w:eastAsia="Arial Unicode MS"/>
          <w:noProof/>
          <w:lang w:val="en-IE"/>
        </w:rPr>
        <w:t xml:space="preserve">As part of the </w:t>
      </w:r>
      <w:r w:rsidR="00F71DC5" w:rsidRPr="00E50A7A">
        <w:rPr>
          <w:rFonts w:eastAsia="Arial Unicode MS"/>
          <w:noProof/>
          <w:lang w:val="en-IE"/>
        </w:rPr>
        <w:t>CfE</w:t>
      </w:r>
      <w:r w:rsidRPr="00E50A7A">
        <w:rPr>
          <w:rFonts w:eastAsia="Arial Unicode MS"/>
          <w:noProof/>
          <w:lang w:val="en-IE"/>
        </w:rPr>
        <w:t>,</w:t>
      </w:r>
      <w:r w:rsidR="00F71DC5" w:rsidRPr="00E50A7A">
        <w:rPr>
          <w:rFonts w:eastAsia="Arial Unicode MS"/>
          <w:noProof/>
          <w:lang w:val="en-IE"/>
        </w:rPr>
        <w:t xml:space="preserve"> </w:t>
      </w:r>
      <w:r w:rsidRPr="00E50A7A">
        <w:rPr>
          <w:rFonts w:eastAsia="Arial Unicode MS"/>
          <w:noProof/>
          <w:lang w:val="en-IE"/>
        </w:rPr>
        <w:t>the</w:t>
      </w:r>
      <w:r w:rsidR="00F71DC5" w:rsidRPr="00E50A7A">
        <w:rPr>
          <w:rFonts w:eastAsia="Arial Unicode MS"/>
          <w:noProof/>
          <w:lang w:val="en-IE"/>
        </w:rPr>
        <w:t xml:space="preserve"> Commission received 197</w:t>
      </w:r>
      <w:r w:rsidR="004A3E48" w:rsidRPr="00E50A7A">
        <w:rPr>
          <w:rStyle w:val="FootnoteReference"/>
          <w:rFonts w:eastAsia="Arial Unicode MS"/>
          <w:noProof/>
          <w:lang w:val="en-IE"/>
        </w:rPr>
        <w:footnoteReference w:id="58"/>
      </w:r>
      <w:r w:rsidR="00F71DC5" w:rsidRPr="00E50A7A">
        <w:rPr>
          <w:rFonts w:eastAsia="Arial Unicode MS"/>
          <w:noProof/>
          <w:lang w:val="en-IE"/>
        </w:rPr>
        <w:t xml:space="preserve"> separate responses. Respondents are based in 25 different countries including four non-EU countries: 65 in Belgium reflecting the number of industry trade associations and non-governmental organisation (NGOs) in that country, 23 in Germany, 16 in France, 14 in the Netherlands and 12 in Italy. </w:t>
      </w:r>
    </w:p>
    <w:p w14:paraId="691A0B8F" w14:textId="77777777" w:rsidR="00C309FA" w:rsidRPr="00E50A7A" w:rsidRDefault="00C309FA" w:rsidP="072CAFB5">
      <w:pPr>
        <w:pBdr>
          <w:top w:val="nil"/>
          <w:left w:val="nil"/>
          <w:bottom w:val="nil"/>
          <w:right w:val="nil"/>
          <w:between w:val="nil"/>
          <w:bar w:val="nil"/>
        </w:pBdr>
        <w:spacing w:before="0" w:after="240"/>
        <w:rPr>
          <w:rFonts w:eastAsia="Arial Unicode MS"/>
          <w:noProof/>
          <w:lang w:val="en-IE"/>
        </w:rPr>
      </w:pPr>
      <w:r w:rsidRPr="00E50A7A">
        <w:rPr>
          <w:rFonts w:eastAsia="Arial Unicode MS"/>
          <w:noProof/>
          <w:lang w:val="en-IE"/>
        </w:rPr>
        <w:lastRenderedPageBreak/>
        <w:t xml:space="preserve">The </w:t>
      </w:r>
      <w:r w:rsidR="00DB2F83" w:rsidRPr="00E50A7A">
        <w:rPr>
          <w:rFonts w:eastAsia="Arial Unicode MS"/>
          <w:noProof/>
          <w:lang w:val="en-IE"/>
        </w:rPr>
        <w:t xml:space="preserve">results of the </w:t>
      </w:r>
      <w:r w:rsidRPr="00E50A7A">
        <w:rPr>
          <w:rFonts w:eastAsia="Arial Unicode MS"/>
          <w:noProof/>
          <w:lang w:val="en-IE"/>
        </w:rPr>
        <w:t xml:space="preserve">consultation </w:t>
      </w:r>
      <w:r w:rsidR="00F71DC5" w:rsidRPr="00E50A7A">
        <w:rPr>
          <w:rFonts w:eastAsia="Arial Unicode MS"/>
          <w:noProof/>
          <w:lang w:val="en-IE"/>
        </w:rPr>
        <w:t xml:space="preserve">indicated </w:t>
      </w:r>
      <w:r w:rsidRPr="00E50A7A">
        <w:rPr>
          <w:rFonts w:eastAsia="Arial Unicode MS"/>
          <w:noProof/>
          <w:lang w:val="en-IE"/>
        </w:rPr>
        <w:t>overall support to the need to improve the management of textiles in line with the waste hierarchy</w:t>
      </w:r>
      <w:r w:rsidR="007E6ACF" w:rsidRPr="00E50A7A">
        <w:rPr>
          <w:rFonts w:eastAsia="Arial Unicode MS"/>
          <w:noProof/>
          <w:lang w:val="en-IE"/>
        </w:rPr>
        <w:t>, calling for regulatory measures that would address the current market failures that favour disposal</w:t>
      </w:r>
      <w:r w:rsidRPr="00E50A7A">
        <w:rPr>
          <w:rFonts w:eastAsia="Arial Unicode MS"/>
          <w:noProof/>
          <w:lang w:val="en-IE"/>
        </w:rPr>
        <w:t>. There was overall support to the introduction of the extended producer responsibility schemes in line with the polluter pays principle</w:t>
      </w:r>
      <w:r w:rsidR="00EC5DB9" w:rsidRPr="00E50A7A">
        <w:rPr>
          <w:rFonts w:eastAsia="Arial Unicode MS"/>
          <w:noProof/>
          <w:lang w:val="en-IE"/>
        </w:rPr>
        <w:t>, including from the affected industry</w:t>
      </w:r>
      <w:r w:rsidRPr="00E50A7A">
        <w:rPr>
          <w:rFonts w:eastAsia="Arial Unicode MS"/>
          <w:noProof/>
          <w:lang w:val="en-IE"/>
        </w:rPr>
        <w:t>. However, it was accompanied by strong calls for as much harmonisation as possible to limit the impact on the industry</w:t>
      </w:r>
      <w:r w:rsidR="00821BD5" w:rsidRPr="00E50A7A">
        <w:rPr>
          <w:rFonts w:eastAsia="Arial Unicode MS"/>
          <w:noProof/>
          <w:lang w:val="en-IE"/>
        </w:rPr>
        <w:t xml:space="preserve"> which is dominated by SMEs</w:t>
      </w:r>
      <w:r w:rsidR="00DA394A" w:rsidRPr="00E50A7A">
        <w:rPr>
          <w:rFonts w:eastAsia="Arial Unicode MS"/>
          <w:noProof/>
          <w:lang w:val="en-IE"/>
        </w:rPr>
        <w:t>, in particular, to ensure full coherence with the ecodesign requirements for textile products under the ESPR when implementing the EPR fee modulation requirements</w:t>
      </w:r>
      <w:r w:rsidRPr="00E50A7A">
        <w:rPr>
          <w:rFonts w:eastAsia="Arial Unicode MS"/>
          <w:noProof/>
          <w:lang w:val="en-IE"/>
        </w:rPr>
        <w:t xml:space="preserve">. Representatives from the recycling industry recalled that </w:t>
      </w:r>
      <w:r w:rsidR="00F71DC5" w:rsidRPr="00E50A7A">
        <w:rPr>
          <w:rFonts w:eastAsia="Arial Unicode MS"/>
          <w:noProof/>
          <w:lang w:val="en-IE"/>
        </w:rPr>
        <w:t xml:space="preserve">associated recycling schemes for textiles require </w:t>
      </w:r>
      <w:r w:rsidRPr="00E50A7A">
        <w:rPr>
          <w:rFonts w:eastAsia="Arial Unicode MS"/>
          <w:noProof/>
          <w:lang w:val="en-IE"/>
        </w:rPr>
        <w:t>appropriate</w:t>
      </w:r>
      <w:r w:rsidR="00F71DC5" w:rsidRPr="00E50A7A">
        <w:rPr>
          <w:rFonts w:eastAsia="Arial Unicode MS"/>
          <w:noProof/>
          <w:lang w:val="en-IE"/>
        </w:rPr>
        <w:t xml:space="preserve"> transition periods to </w:t>
      </w:r>
      <w:r w:rsidRPr="00E50A7A">
        <w:rPr>
          <w:rFonts w:eastAsia="Arial Unicode MS"/>
          <w:noProof/>
          <w:lang w:val="en-IE"/>
        </w:rPr>
        <w:t>set up</w:t>
      </w:r>
      <w:r w:rsidR="00F71DC5" w:rsidRPr="00E50A7A">
        <w:rPr>
          <w:rFonts w:eastAsia="Arial Unicode MS"/>
          <w:noProof/>
          <w:lang w:val="en-IE"/>
        </w:rPr>
        <w:t xml:space="preserve"> the recycling capacity and systems to ensure input qualities. </w:t>
      </w:r>
      <w:r w:rsidRPr="00E50A7A">
        <w:rPr>
          <w:rFonts w:eastAsia="Arial Unicode MS"/>
          <w:noProof/>
          <w:lang w:val="en-IE"/>
        </w:rPr>
        <w:t>The current design of clothing with m</w:t>
      </w:r>
      <w:r w:rsidR="00F71DC5" w:rsidRPr="00E50A7A">
        <w:rPr>
          <w:rFonts w:eastAsia="Arial Unicode MS"/>
          <w:noProof/>
          <w:lang w:val="en-IE"/>
        </w:rPr>
        <w:t>ixed composition of textiles is a challenge for recycling</w:t>
      </w:r>
      <w:r w:rsidRPr="00E50A7A">
        <w:rPr>
          <w:rFonts w:eastAsia="Arial Unicode MS"/>
          <w:noProof/>
          <w:lang w:val="en-IE"/>
        </w:rPr>
        <w:t xml:space="preserve"> as well as lack of automatic sorting technologies and capacities necessary to prepare feedstock for recycling.</w:t>
      </w:r>
      <w:r w:rsidR="00F71DC5" w:rsidRPr="00E50A7A">
        <w:rPr>
          <w:rFonts w:eastAsia="Arial Unicode MS"/>
          <w:noProof/>
          <w:lang w:val="en-IE"/>
        </w:rPr>
        <w:t xml:space="preserve"> </w:t>
      </w:r>
      <w:r w:rsidR="00DA394A" w:rsidRPr="00E50A7A">
        <w:rPr>
          <w:rFonts w:eastAsia="Arial Unicode MS"/>
          <w:noProof/>
          <w:lang w:val="en-IE"/>
        </w:rPr>
        <w:t>Stakeholders from the re-use and NGO field pointed to evidence how second-hand clothing contributes to the reduction of textile waste and that separate collection of used textiles and not just waste textiles is essential to ensure re</w:t>
      </w:r>
      <w:r w:rsidR="1F5CB6B2" w:rsidRPr="00E50A7A">
        <w:rPr>
          <w:rFonts w:eastAsia="Arial Unicode MS"/>
          <w:noProof/>
          <w:lang w:val="en-IE"/>
        </w:rPr>
        <w:t>-</w:t>
      </w:r>
      <w:r w:rsidR="00DA394A" w:rsidRPr="00E50A7A">
        <w:rPr>
          <w:rFonts w:eastAsia="Arial Unicode MS"/>
          <w:noProof/>
          <w:lang w:val="en-IE"/>
        </w:rPr>
        <w:t>use. The textile industry representatives also emphasised the socio-economic and environmental benefits of circular business models such as the renting of textiles to extend textile lifetime compared to owned textiles.</w:t>
      </w:r>
      <w:r w:rsidR="007E6ACF" w:rsidRPr="00E50A7A">
        <w:rPr>
          <w:rFonts w:eastAsia="Arial Unicode MS"/>
          <w:noProof/>
          <w:lang w:val="en-IE"/>
        </w:rPr>
        <w:t xml:space="preserve"> Stakeholders from various stakeholder groups emphasized the </w:t>
      </w:r>
      <w:r w:rsidR="00DA394A" w:rsidRPr="00E50A7A">
        <w:rPr>
          <w:rFonts w:eastAsia="Arial Unicode MS"/>
          <w:noProof/>
          <w:lang w:val="en-IE"/>
        </w:rPr>
        <w:t xml:space="preserve">importance of </w:t>
      </w:r>
      <w:r w:rsidR="007E6ACF" w:rsidRPr="00E50A7A">
        <w:rPr>
          <w:rFonts w:eastAsia="Arial Unicode MS"/>
          <w:noProof/>
          <w:lang w:val="en-IE"/>
        </w:rPr>
        <w:t>ensuring harmonised application of the waste textiles</w:t>
      </w:r>
      <w:r w:rsidR="00435AEE" w:rsidRPr="00E50A7A">
        <w:rPr>
          <w:rFonts w:eastAsia="Arial Unicode MS"/>
          <w:noProof/>
          <w:lang w:val="en-IE"/>
        </w:rPr>
        <w:t xml:space="preserve"> and</w:t>
      </w:r>
      <w:r w:rsidR="007E6ACF" w:rsidRPr="00E50A7A">
        <w:rPr>
          <w:rFonts w:eastAsia="Arial Unicode MS"/>
          <w:noProof/>
          <w:lang w:val="en-IE"/>
        </w:rPr>
        <w:t xml:space="preserve"> used textiles</w:t>
      </w:r>
      <w:r w:rsidR="00435AEE" w:rsidRPr="00E50A7A">
        <w:rPr>
          <w:rFonts w:eastAsia="Arial Unicode MS"/>
          <w:noProof/>
          <w:lang w:val="en-IE"/>
        </w:rPr>
        <w:t xml:space="preserve"> to facilitate cross border movements of such materials and to tackle any illegal shipments of waste disguised as used products</w:t>
      </w:r>
      <w:r w:rsidR="00821BD5" w:rsidRPr="00E50A7A">
        <w:rPr>
          <w:rFonts w:eastAsia="Arial Unicode MS"/>
          <w:noProof/>
          <w:lang w:val="en-IE"/>
        </w:rPr>
        <w:t xml:space="preserve">, notably to address concerns raised by some stakeholders on the </w:t>
      </w:r>
      <w:r w:rsidR="00536326" w:rsidRPr="00E50A7A">
        <w:rPr>
          <w:rFonts w:eastAsia="Arial Unicode MS"/>
          <w:noProof/>
          <w:lang w:val="en-IE"/>
        </w:rPr>
        <w:t xml:space="preserve">environmentally sound treatment of </w:t>
      </w:r>
      <w:r w:rsidR="00821BD5" w:rsidRPr="00E50A7A">
        <w:rPr>
          <w:rFonts w:eastAsia="Arial Unicode MS"/>
          <w:noProof/>
          <w:lang w:val="en-IE"/>
        </w:rPr>
        <w:t xml:space="preserve">exported </w:t>
      </w:r>
      <w:r w:rsidR="00536326" w:rsidRPr="00E50A7A">
        <w:rPr>
          <w:rFonts w:eastAsia="Arial Unicode MS"/>
          <w:noProof/>
          <w:lang w:val="en-IE"/>
        </w:rPr>
        <w:t xml:space="preserve">used and waste </w:t>
      </w:r>
      <w:r w:rsidR="00821BD5" w:rsidRPr="00E50A7A">
        <w:rPr>
          <w:rFonts w:eastAsia="Arial Unicode MS"/>
          <w:noProof/>
          <w:lang w:val="en-IE"/>
        </w:rPr>
        <w:t>textiles</w:t>
      </w:r>
      <w:r w:rsidR="00536326" w:rsidRPr="00E50A7A">
        <w:rPr>
          <w:rFonts w:eastAsia="Arial Unicode MS"/>
          <w:noProof/>
          <w:lang w:val="en-IE"/>
        </w:rPr>
        <w:t>, in particular, unsorted.</w:t>
      </w:r>
      <w:r w:rsidR="00821BD5" w:rsidRPr="00E50A7A">
        <w:rPr>
          <w:rFonts w:eastAsia="Arial Unicode MS"/>
          <w:noProof/>
          <w:lang w:val="en-IE"/>
        </w:rPr>
        <w:t xml:space="preserve"> </w:t>
      </w:r>
      <w:r w:rsidR="00536326" w:rsidRPr="00E50A7A">
        <w:rPr>
          <w:rFonts w:eastAsia="Arial Unicode MS"/>
          <w:noProof/>
          <w:lang w:val="en-IE"/>
        </w:rPr>
        <w:t>Similar strong calls from a broad group of stakeholders concerned the need for harmonisation of</w:t>
      </w:r>
      <w:r w:rsidR="007E6ACF" w:rsidRPr="00E50A7A">
        <w:rPr>
          <w:rFonts w:eastAsia="Arial Unicode MS"/>
          <w:noProof/>
          <w:lang w:val="en-IE"/>
        </w:rPr>
        <w:t xml:space="preserve"> textiles definitions as well as the products subject to the extended producer responsibility</w:t>
      </w:r>
      <w:r w:rsidR="00536326" w:rsidRPr="00E50A7A">
        <w:rPr>
          <w:rFonts w:eastAsia="Arial Unicode MS"/>
          <w:noProof/>
          <w:lang w:val="en-IE"/>
        </w:rPr>
        <w:t xml:space="preserve"> and its key features</w:t>
      </w:r>
      <w:r w:rsidR="00435AEE" w:rsidRPr="00E50A7A">
        <w:rPr>
          <w:rFonts w:eastAsia="Arial Unicode MS"/>
          <w:noProof/>
          <w:lang w:val="en-IE"/>
        </w:rPr>
        <w:t>, in particular, to reduce the risk of market and legislative fragmentation and administrative burden in view of several countries considering introduction of extended producer responsibility schemes</w:t>
      </w:r>
      <w:r w:rsidR="00DA394A" w:rsidRPr="00E50A7A">
        <w:rPr>
          <w:rFonts w:eastAsia="Arial Unicode MS"/>
          <w:noProof/>
          <w:lang w:val="en-IE"/>
        </w:rPr>
        <w:t>. </w:t>
      </w:r>
    </w:p>
    <w:p w14:paraId="273A61B0" w14:textId="77777777" w:rsidR="00F71DC5" w:rsidRPr="00E50A7A" w:rsidRDefault="00F71DC5" w:rsidP="00F71DC5">
      <w:pPr>
        <w:pBdr>
          <w:top w:val="nil"/>
          <w:left w:val="nil"/>
          <w:bottom w:val="nil"/>
          <w:right w:val="nil"/>
          <w:between w:val="nil"/>
          <w:bar w:val="nil"/>
        </w:pBdr>
        <w:spacing w:before="0" w:after="240"/>
        <w:rPr>
          <w:rFonts w:eastAsia="Arial Unicode MS"/>
          <w:noProof/>
          <w:lang w:val="en-IE"/>
        </w:rPr>
      </w:pPr>
      <w:r w:rsidRPr="00E50A7A">
        <w:rPr>
          <w:rFonts w:eastAsia="Arial Unicode MS"/>
          <w:noProof/>
          <w:lang w:val="en-IE"/>
        </w:rPr>
        <w:t xml:space="preserve">A public consultation was open 24 May 2022 - 24 August 2022 to collect additional evidence on the baseline, seek opinions and insights about the </w:t>
      </w:r>
      <w:r w:rsidR="00130D00" w:rsidRPr="00E50A7A">
        <w:rPr>
          <w:rFonts w:eastAsia="Arial Unicode MS"/>
          <w:noProof/>
          <w:lang w:val="en-IE"/>
        </w:rPr>
        <w:t>issues related to textile waste</w:t>
      </w:r>
      <w:r w:rsidRPr="00E50A7A">
        <w:rPr>
          <w:rFonts w:eastAsia="Arial Unicode MS"/>
          <w:noProof/>
          <w:lang w:val="en-IE"/>
        </w:rPr>
        <w:t>, the feasibility and possible impacts of alternative actions, gather examples of best practices and views on the subsidiarity of possible actions. In total, 731 valid responses</w:t>
      </w:r>
      <w:r w:rsidR="004A3E48" w:rsidRPr="00E50A7A">
        <w:rPr>
          <w:rStyle w:val="FootnoteReference"/>
          <w:rFonts w:eastAsia="Arial Unicode MS"/>
          <w:noProof/>
          <w:lang w:val="en-IE"/>
        </w:rPr>
        <w:footnoteReference w:id="59"/>
      </w:r>
      <w:r w:rsidRPr="00E50A7A">
        <w:rPr>
          <w:rFonts w:eastAsia="Arial Unicode MS"/>
          <w:noProof/>
          <w:lang w:val="en-IE"/>
        </w:rPr>
        <w:t xml:space="preserve"> were received. In addition, 207 respondents submitted written contributions. Respondents were mostly company/business organisations and business associations (40%, 299 replies) and EU citizens (36%, 255 replies). 94% of the respondents (693 replies) are based in EU and most of them are based in Belgium (16%, 119 replies)</w:t>
      </w:r>
      <w:r w:rsidR="004A3E48" w:rsidRPr="00E50A7A">
        <w:rPr>
          <w:rStyle w:val="FootnoteReference"/>
          <w:rFonts w:eastAsia="Arial Unicode MS"/>
          <w:noProof/>
          <w:lang w:val="en-IE"/>
        </w:rPr>
        <w:footnoteReference w:id="60"/>
      </w:r>
      <w:r w:rsidRPr="00E50A7A">
        <w:rPr>
          <w:rFonts w:eastAsia="Arial Unicode MS"/>
          <w:noProof/>
          <w:lang w:val="en-IE"/>
        </w:rPr>
        <w:t>, Germany (13%, 96 replies), Italy (11%, 82 replies) and France (8%, 63 replies). </w:t>
      </w:r>
    </w:p>
    <w:p w14:paraId="05C276A1" w14:textId="69C3D251" w:rsidR="00F71DC5" w:rsidRPr="00E50A7A" w:rsidRDefault="00F71DC5" w:rsidP="00F71DC5">
      <w:pPr>
        <w:pBdr>
          <w:top w:val="nil"/>
          <w:left w:val="nil"/>
          <w:bottom w:val="nil"/>
          <w:right w:val="nil"/>
          <w:between w:val="nil"/>
          <w:bar w:val="nil"/>
        </w:pBdr>
        <w:spacing w:before="0" w:after="240"/>
        <w:rPr>
          <w:rFonts w:eastAsia="Arial Unicode MS"/>
          <w:noProof/>
          <w:lang w:val="en-IE"/>
        </w:rPr>
      </w:pPr>
      <w:r w:rsidRPr="00E50A7A">
        <w:rPr>
          <w:rFonts w:eastAsia="Arial Unicode MS"/>
          <w:noProof/>
          <w:lang w:val="en-IE"/>
        </w:rPr>
        <w:t xml:space="preserve">It is important to stress that textile waste is the type of waste that least concerns the respondents consulted only </w:t>
      </w:r>
      <w:r w:rsidR="00CE2C51" w:rsidRPr="00E50A7A">
        <w:rPr>
          <w:rFonts w:eastAsia="Arial Unicode MS"/>
          <w:noProof/>
          <w:lang w:val="en-IE"/>
        </w:rPr>
        <w:t>being stated as such by</w:t>
      </w:r>
      <w:r w:rsidRPr="00E50A7A">
        <w:rPr>
          <w:rFonts w:eastAsia="Arial Unicode MS"/>
          <w:noProof/>
          <w:lang w:val="en-IE"/>
        </w:rPr>
        <w:t xml:space="preserve"> 63% of concernment on companies and business associations. The remaining stakeholders (EU citizens, NGOs, and public authorities) showed greater levels of concern in the matter. More than half of the respondents agreed or strongly agreed that they were participating in the separate collection of textile waste, with a deferral on results depending on the stakeholder group they pertained to. EU citizens le</w:t>
      </w:r>
      <w:r w:rsidR="004151DC">
        <w:rPr>
          <w:rFonts w:eastAsia="Arial Unicode MS"/>
          <w:noProof/>
          <w:lang w:val="en-IE"/>
        </w:rPr>
        <w:t>d</w:t>
      </w:r>
      <w:r w:rsidRPr="00E50A7A">
        <w:rPr>
          <w:rFonts w:eastAsia="Arial Unicode MS"/>
          <w:noProof/>
          <w:lang w:val="en-IE"/>
        </w:rPr>
        <w:t xml:space="preserve"> the collection of textile waste, followed by public authorities; and leaving NGOs and companies and business associations the last positions. However, only 40% of public authorities, 32% of companies and business associations, 28% of EU citizens and 24% of NGOs agreed or strongly agreed (221 </w:t>
      </w:r>
      <w:r w:rsidRPr="00E50A7A">
        <w:rPr>
          <w:rFonts w:eastAsia="Arial Unicode MS"/>
          <w:noProof/>
          <w:lang w:val="en-IE"/>
        </w:rPr>
        <w:lastRenderedPageBreak/>
        <w:t>replies) that they were satisfied with the waste collection system in place where they live to collect textile waste. </w:t>
      </w:r>
    </w:p>
    <w:p w14:paraId="104DC23A" w14:textId="77777777" w:rsidR="00670084" w:rsidRPr="00E50A7A" w:rsidRDefault="00670084" w:rsidP="072CAFB5">
      <w:pPr>
        <w:pBdr>
          <w:top w:val="nil"/>
          <w:left w:val="nil"/>
          <w:bottom w:val="nil"/>
          <w:right w:val="nil"/>
          <w:between w:val="nil"/>
          <w:bar w:val="nil"/>
        </w:pBdr>
        <w:spacing w:before="0" w:after="240"/>
        <w:rPr>
          <w:rFonts w:eastAsia="Arial Unicode MS"/>
          <w:noProof/>
          <w:lang w:val="en-IE"/>
        </w:rPr>
      </w:pPr>
      <w:r w:rsidRPr="00E50A7A">
        <w:rPr>
          <w:rFonts w:eastAsia="Arial Unicode MS"/>
          <w:noProof/>
          <w:lang w:val="en-IE"/>
        </w:rPr>
        <w:t>Nearly 30 position papers covered the area of textiles waste, of which about half came from SMEs or organisations representing them. SMEs pointed out that there is currently no large-scale plan to process textile waste. They stressed the need to promote durable, high-quality textiles, improve their re</w:t>
      </w:r>
      <w:r w:rsidR="378CD164" w:rsidRPr="00E50A7A">
        <w:rPr>
          <w:rFonts w:eastAsia="Arial Unicode MS"/>
          <w:noProof/>
          <w:lang w:val="en-IE"/>
        </w:rPr>
        <w:t>-</w:t>
      </w:r>
      <w:r w:rsidRPr="00E50A7A">
        <w:rPr>
          <w:rFonts w:eastAsia="Arial Unicode MS"/>
          <w:noProof/>
          <w:lang w:val="en-IE"/>
        </w:rPr>
        <w:t>use, wherever possible prepare them for re</w:t>
      </w:r>
      <w:r w:rsidR="584C99FC" w:rsidRPr="00E50A7A">
        <w:rPr>
          <w:rFonts w:eastAsia="Arial Unicode MS"/>
          <w:noProof/>
          <w:lang w:val="en-IE"/>
        </w:rPr>
        <w:t>-</w:t>
      </w:r>
      <w:r w:rsidRPr="00E50A7A">
        <w:rPr>
          <w:rFonts w:eastAsia="Arial Unicode MS"/>
          <w:noProof/>
          <w:lang w:val="en-IE"/>
        </w:rPr>
        <w:t>use and scale up sufficient sorting for re</w:t>
      </w:r>
      <w:r w:rsidR="5E4248DC" w:rsidRPr="00E50A7A">
        <w:rPr>
          <w:rFonts w:eastAsia="Arial Unicode MS"/>
          <w:noProof/>
          <w:lang w:val="en-IE"/>
        </w:rPr>
        <w:t>-</w:t>
      </w:r>
      <w:r w:rsidRPr="00E50A7A">
        <w:rPr>
          <w:rFonts w:eastAsia="Arial Unicode MS"/>
          <w:noProof/>
          <w:lang w:val="en-IE"/>
        </w:rPr>
        <w:t>use, recycling and processing infrastructure. They also recommended that changes in textiles’ design and consumption patterns should take place, that the amount of textile waste should be decreased through ambitious waste policies. The same points on durability and re</w:t>
      </w:r>
      <w:r w:rsidR="28507886" w:rsidRPr="00E50A7A">
        <w:rPr>
          <w:rFonts w:eastAsia="Arial Unicode MS"/>
          <w:noProof/>
          <w:lang w:val="en-IE"/>
        </w:rPr>
        <w:t>-</w:t>
      </w:r>
      <w:r w:rsidRPr="00E50A7A">
        <w:rPr>
          <w:rFonts w:eastAsia="Arial Unicode MS"/>
          <w:noProof/>
          <w:lang w:val="en-IE"/>
        </w:rPr>
        <w:t>use of textiles, as well as on sorting and recycling capacity were shared by the recycling industry that also noted that circular and social textile value chains should be developed.  </w:t>
      </w:r>
    </w:p>
    <w:p w14:paraId="1220E657" w14:textId="77777777" w:rsidR="00670084" w:rsidRPr="00E50A7A" w:rsidRDefault="00670084" w:rsidP="072CAFB5">
      <w:pPr>
        <w:pBdr>
          <w:top w:val="nil"/>
          <w:left w:val="nil"/>
          <w:bottom w:val="nil"/>
          <w:right w:val="nil"/>
          <w:between w:val="nil"/>
          <w:bar w:val="nil"/>
        </w:pBdr>
        <w:spacing w:before="0" w:after="240"/>
        <w:rPr>
          <w:rFonts w:eastAsia="Arial Unicode MS"/>
          <w:noProof/>
          <w:lang w:val="en-IE"/>
        </w:rPr>
      </w:pPr>
      <w:r w:rsidRPr="00E50A7A">
        <w:rPr>
          <w:rFonts w:eastAsia="Arial Unicode MS"/>
          <w:noProof/>
          <w:lang w:val="en-IE"/>
        </w:rPr>
        <w:t>Among the recommendations were the need to set quantitative re</w:t>
      </w:r>
      <w:r w:rsidR="7AE908F4" w:rsidRPr="00E50A7A">
        <w:rPr>
          <w:rFonts w:eastAsia="Arial Unicode MS"/>
          <w:noProof/>
          <w:lang w:val="en-IE"/>
        </w:rPr>
        <w:t>-</w:t>
      </w:r>
      <w:r w:rsidRPr="00E50A7A">
        <w:rPr>
          <w:rFonts w:eastAsia="Arial Unicode MS"/>
          <w:noProof/>
          <w:lang w:val="en-IE"/>
        </w:rPr>
        <w:t>use and preparation for re</w:t>
      </w:r>
      <w:r w:rsidR="785347A2" w:rsidRPr="00E50A7A">
        <w:rPr>
          <w:rFonts w:eastAsia="Arial Unicode MS"/>
          <w:noProof/>
          <w:lang w:val="en-IE"/>
        </w:rPr>
        <w:t>-</w:t>
      </w:r>
      <w:r w:rsidRPr="00E50A7A">
        <w:rPr>
          <w:rFonts w:eastAsia="Arial Unicode MS"/>
          <w:noProof/>
          <w:lang w:val="en-IE"/>
        </w:rPr>
        <w:t>use targets and to improve separate collection systems. SMEs noted that EPR schemes should enforce the waste hierarchy by setting quantitative targets for waste prevention and preparation for re</w:t>
      </w:r>
      <w:r w:rsidR="74392FB5" w:rsidRPr="00E50A7A">
        <w:rPr>
          <w:rFonts w:eastAsia="Arial Unicode MS"/>
          <w:noProof/>
          <w:lang w:val="en-IE"/>
        </w:rPr>
        <w:t>-</w:t>
      </w:r>
      <w:r w:rsidRPr="00E50A7A">
        <w:rPr>
          <w:rFonts w:eastAsia="Arial Unicode MS"/>
          <w:noProof/>
          <w:lang w:val="en-IE"/>
        </w:rPr>
        <w:t>use, ensure the eco-modulation of fees and fair competition in recycling markets, granting access to the waste stream to preparing for re</w:t>
      </w:r>
      <w:r w:rsidR="67929829" w:rsidRPr="00E50A7A">
        <w:rPr>
          <w:rFonts w:eastAsia="Arial Unicode MS"/>
          <w:noProof/>
          <w:lang w:val="en-IE"/>
        </w:rPr>
        <w:t>-</w:t>
      </w:r>
      <w:r w:rsidRPr="00E50A7A">
        <w:rPr>
          <w:rFonts w:eastAsia="Arial Unicode MS"/>
          <w:noProof/>
          <w:lang w:val="en-IE"/>
        </w:rPr>
        <w:t>use operators, while also involving social enterprises as key stakeholders in the development, governance and functioning of these schemes. They also advocated consistency with other regulatory initiatives, such as the ESPR and WSR and the harmonisation of end-of-waste criteria at EU-level, which was also endorsed by the recycling industry. SMEs also pointed out the need for guidance to achieve high levels of separate collection of textiles and that mature fibre sorting and pre-processing is critical to scale the recycling of post-consumer waste. Some position papers reflect on a harmonised definition of textile waste. </w:t>
      </w:r>
    </w:p>
    <w:p w14:paraId="13316516" w14:textId="47EE0B40" w:rsidR="00DA30E3" w:rsidRPr="00E50A7A" w:rsidRDefault="00DA30E3" w:rsidP="00DA30E3">
      <w:pPr>
        <w:pBdr>
          <w:top w:val="nil"/>
          <w:left w:val="nil"/>
          <w:bottom w:val="nil"/>
          <w:right w:val="nil"/>
          <w:between w:val="nil"/>
          <w:bar w:val="nil"/>
        </w:pBdr>
        <w:spacing w:before="0" w:after="240"/>
        <w:rPr>
          <w:rFonts w:eastAsia="Arial Unicode MS"/>
          <w:noProof/>
          <w:lang w:val="en-IE"/>
        </w:rPr>
      </w:pPr>
      <w:r w:rsidRPr="00E50A7A">
        <w:rPr>
          <w:rFonts w:eastAsia="Arial Unicode MS"/>
          <w:noProof/>
          <w:lang w:val="en-IE"/>
        </w:rPr>
        <w:t xml:space="preserve">In addition, </w:t>
      </w:r>
      <w:r w:rsidR="004151DC">
        <w:rPr>
          <w:rFonts w:eastAsia="Arial Unicode MS"/>
          <w:noProof/>
          <w:lang w:val="en-IE"/>
        </w:rPr>
        <w:t xml:space="preserve">stakeholder </w:t>
      </w:r>
      <w:r w:rsidRPr="00E50A7A">
        <w:rPr>
          <w:rFonts w:eastAsia="Arial Unicode MS"/>
          <w:noProof/>
          <w:lang w:val="en-IE"/>
        </w:rPr>
        <w:t xml:space="preserve">interviews were conducted. In April and May 2022 interviews were organised with selected stakeholders from across all stakeholder groups primarily focussing on a broader scope at first and then later focussing on used textile and textile waste. Twenty-seven one-to-one interviews / one-to-group interviews were held with regard to problem identification, the scope of the objectives and evidence gathering with regard to the impacts of options and measures. According to the stakeholders, an EU-wide EPR framework should include specific elements in order to be efficient. Measures on re-use, repair and separate collection need to include enforceable, binding targets to stimulate producers to make the transition to circularity. As regards the scope of the initiative, some of the stakeholders suggested that the collection should include textile waste generated by households and professionals that is comparable to household textiles such as clothes, home and interior textiles, bags made from textiles and textile accessories; however, they raised concerns on shoes and technical textiles. They also suggested to limit the scope </w:t>
      </w:r>
      <w:r w:rsidR="004151DC">
        <w:rPr>
          <w:rFonts w:eastAsia="Arial Unicode MS"/>
          <w:noProof/>
          <w:lang w:val="en-IE"/>
        </w:rPr>
        <w:t>first</w:t>
      </w:r>
      <w:r w:rsidRPr="00E50A7A">
        <w:rPr>
          <w:rFonts w:eastAsia="Arial Unicode MS"/>
          <w:noProof/>
          <w:lang w:val="en-IE"/>
        </w:rPr>
        <w:t xml:space="preserve"> and to </w:t>
      </w:r>
      <w:r w:rsidR="004151DC">
        <w:rPr>
          <w:rFonts w:eastAsia="Arial Unicode MS"/>
          <w:noProof/>
          <w:lang w:val="en-IE"/>
        </w:rPr>
        <w:t>extend it</w:t>
      </w:r>
      <w:r w:rsidR="004151DC" w:rsidRPr="00E50A7A">
        <w:rPr>
          <w:rFonts w:eastAsia="Arial Unicode MS"/>
          <w:noProof/>
          <w:lang w:val="en-IE"/>
        </w:rPr>
        <w:t xml:space="preserve"> </w:t>
      </w:r>
      <w:r w:rsidRPr="00E50A7A">
        <w:rPr>
          <w:rFonts w:eastAsia="Arial Unicode MS"/>
          <w:noProof/>
          <w:lang w:val="en-IE"/>
        </w:rPr>
        <w:t>over time when the infrastructure is in place and to use the Customs Tariff CN codes to define the textiles covered by the suggested EPR scheme.  </w:t>
      </w:r>
    </w:p>
    <w:p w14:paraId="68FFA96C" w14:textId="77777777" w:rsidR="00DA30E3" w:rsidRPr="00E50A7A" w:rsidRDefault="00DA30E3" w:rsidP="00DA30E3">
      <w:pPr>
        <w:pBdr>
          <w:top w:val="nil"/>
          <w:left w:val="nil"/>
          <w:bottom w:val="nil"/>
          <w:right w:val="nil"/>
          <w:between w:val="nil"/>
          <w:bar w:val="nil"/>
        </w:pBdr>
        <w:spacing w:before="0" w:after="240"/>
        <w:rPr>
          <w:rFonts w:eastAsia="Arial Unicode MS"/>
          <w:noProof/>
          <w:lang w:val="en-IE"/>
        </w:rPr>
      </w:pPr>
      <w:r w:rsidRPr="00E50A7A">
        <w:rPr>
          <w:rFonts w:eastAsia="Arial Unicode MS"/>
          <w:noProof/>
          <w:lang w:val="en-IE"/>
        </w:rPr>
        <w:t>The stakeholders expressed different views on the issue of guidance. In terms of targets, the stakeholders recommended that targets with a gradual increase in their level of ambition over time should be developed, depending on the levels of consumption, as well as enforceable resource reduction targets for textile production, by e.g., a recycled-content target. They also highlighted the fact that any targets should be combined with the scaling up of recycling technologies in the Member States and that the re-use targets should ensure that re-use is actually taking place. They noted that it is important to consider that targets for preparation for re-use and recycling of textile waste should be based on the waste hierarchy. </w:t>
      </w:r>
    </w:p>
    <w:p w14:paraId="3313896C" w14:textId="77777777" w:rsidR="00EE1C98" w:rsidRPr="004256F9" w:rsidRDefault="00EE1C98" w:rsidP="00EE1C98">
      <w:pPr>
        <w:pBdr>
          <w:top w:val="nil"/>
          <w:left w:val="nil"/>
          <w:bottom w:val="nil"/>
          <w:right w:val="nil"/>
          <w:between w:val="nil"/>
          <w:bar w:val="nil"/>
        </w:pBdr>
        <w:spacing w:before="0" w:after="240"/>
        <w:rPr>
          <w:rFonts w:eastAsia="Arial Unicode MS"/>
          <w:noProof/>
          <w:lang w:val="en-IE"/>
        </w:rPr>
      </w:pPr>
      <w:r w:rsidRPr="004256F9">
        <w:rPr>
          <w:rFonts w:eastAsia="Arial Unicode MS"/>
          <w:noProof/>
          <w:lang w:val="en-IE"/>
        </w:rPr>
        <w:lastRenderedPageBreak/>
        <w:t>Targeted consultation for used textiles and textile waste took the form of four virtual stakeholder workshops using group discussions as a whole as well as break-out groups and use of digital white boards.  Additionally, a meeting of the WFD Expert Group (Member States), interviews and a conference on the future of Europe were used to obtain more targeted evidence.  </w:t>
      </w:r>
    </w:p>
    <w:p w14:paraId="0F8BD160" w14:textId="77777777" w:rsidR="00851FD2" w:rsidRPr="00E50A7A" w:rsidRDefault="00851FD2" w:rsidP="00851FD2">
      <w:pPr>
        <w:pBdr>
          <w:top w:val="nil"/>
          <w:left w:val="nil"/>
          <w:bottom w:val="nil"/>
          <w:right w:val="nil"/>
          <w:between w:val="nil"/>
          <w:bar w:val="nil"/>
        </w:pBdr>
        <w:spacing w:before="0" w:after="240"/>
        <w:rPr>
          <w:rFonts w:eastAsia="Arial Unicode MS"/>
          <w:noProof/>
          <w:lang w:val="en-IE"/>
        </w:rPr>
      </w:pPr>
      <w:r w:rsidRPr="00E50A7A">
        <w:rPr>
          <w:rFonts w:eastAsia="Arial Unicode MS"/>
          <w:noProof/>
          <w:lang w:val="en-IE"/>
        </w:rPr>
        <w:t xml:space="preserve">Information gathered during stakeholder consultations helped inform the definition of </w:t>
      </w:r>
      <w:r w:rsidR="001654A8" w:rsidRPr="00E50A7A">
        <w:rPr>
          <w:rFonts w:eastAsia="Arial Unicode MS"/>
          <w:noProof/>
          <w:lang w:val="en-IE"/>
        </w:rPr>
        <w:t xml:space="preserve">the problems and which </w:t>
      </w:r>
      <w:r w:rsidRPr="00E50A7A">
        <w:rPr>
          <w:rFonts w:eastAsia="Arial Unicode MS"/>
          <w:noProof/>
          <w:lang w:val="en-IE"/>
        </w:rPr>
        <w:t>policy options</w:t>
      </w:r>
      <w:r w:rsidR="001654A8" w:rsidRPr="00E50A7A">
        <w:rPr>
          <w:rFonts w:eastAsia="Arial Unicode MS"/>
          <w:noProof/>
          <w:lang w:val="en-IE"/>
        </w:rPr>
        <w:t xml:space="preserve"> to focus on.</w:t>
      </w:r>
    </w:p>
    <w:p w14:paraId="01EBFAE3" w14:textId="77777777" w:rsidR="00F71DC5" w:rsidRPr="00E50A7A" w:rsidRDefault="00F71DC5" w:rsidP="00F71DC5">
      <w:pPr>
        <w:pBdr>
          <w:top w:val="nil"/>
          <w:left w:val="nil"/>
          <w:bottom w:val="nil"/>
          <w:right w:val="nil"/>
          <w:between w:val="nil"/>
          <w:bar w:val="nil"/>
        </w:pBdr>
        <w:spacing w:before="0" w:after="240"/>
        <w:rPr>
          <w:rFonts w:eastAsia="Arial Unicode MS"/>
          <w:i/>
          <w:iCs/>
          <w:noProof/>
          <w:lang w:val="en-IE"/>
        </w:rPr>
      </w:pPr>
      <w:r w:rsidRPr="00E50A7A">
        <w:rPr>
          <w:rFonts w:eastAsia="Arial Unicode MS"/>
          <w:i/>
          <w:iCs/>
          <w:noProof/>
          <w:lang w:val="en-IE"/>
        </w:rPr>
        <w:t>Food waste </w:t>
      </w:r>
    </w:p>
    <w:p w14:paraId="550493FB" w14:textId="77777777" w:rsidR="00F71DC5" w:rsidRPr="00E50A7A" w:rsidRDefault="00373564" w:rsidP="00F71DC5">
      <w:pPr>
        <w:pBdr>
          <w:top w:val="nil"/>
          <w:left w:val="nil"/>
          <w:bottom w:val="nil"/>
          <w:right w:val="nil"/>
          <w:between w:val="nil"/>
          <w:bar w:val="nil"/>
        </w:pBdr>
        <w:spacing w:before="0" w:after="240"/>
        <w:rPr>
          <w:rFonts w:eastAsia="Arial Unicode MS"/>
          <w:noProof/>
          <w:lang w:val="en-IE"/>
        </w:rPr>
      </w:pPr>
      <w:r w:rsidRPr="00E50A7A">
        <w:rPr>
          <w:rFonts w:eastAsia="Arial Unicode MS"/>
          <w:noProof/>
          <w:lang w:val="en-IE"/>
        </w:rPr>
        <w:t xml:space="preserve">In the context of the Inception Impact Assessment, </w:t>
      </w:r>
      <w:r w:rsidR="00F71DC5" w:rsidRPr="00E50A7A">
        <w:rPr>
          <w:rFonts w:eastAsia="Arial Unicode MS"/>
          <w:noProof/>
          <w:lang w:val="en-IE"/>
        </w:rPr>
        <w:t>85 contributions were received from respondents in 17 Member States and 2 third countries (United Kingdom and USA). Most contributions were from business associations (27), followed by NGOs (18, of which 12 with an environmental focus), companies (11), EU citizens (9), consumer (4) and environmental (3) organisations. Six public authorities (including 3 Member States) provided input through the feedback mechanism. </w:t>
      </w:r>
    </w:p>
    <w:p w14:paraId="2BADE2E6" w14:textId="708BF740" w:rsidR="00F71DC5" w:rsidRPr="00E50A7A" w:rsidRDefault="00F71DC5" w:rsidP="00F71DC5">
      <w:pPr>
        <w:pBdr>
          <w:top w:val="nil"/>
          <w:left w:val="nil"/>
          <w:bottom w:val="nil"/>
          <w:right w:val="nil"/>
          <w:between w:val="nil"/>
          <w:bar w:val="nil"/>
        </w:pBdr>
        <w:spacing w:before="0" w:after="240"/>
        <w:rPr>
          <w:rFonts w:eastAsia="Arial Unicode MS"/>
          <w:noProof/>
          <w:lang w:val="en-IE"/>
        </w:rPr>
      </w:pPr>
      <w:r w:rsidRPr="00E50A7A">
        <w:rPr>
          <w:rFonts w:eastAsia="Arial Unicode MS"/>
          <w:noProof/>
          <w:lang w:val="en-IE"/>
        </w:rPr>
        <w:t xml:space="preserve">Overall, stakeholders expressed support for the EU legislative initiative, seen as essential in order to achieve the Green Deal objectives of climate neutrality and transition to sustainable food systems as called for by the Farm to Fork Strategy. Most stakeholders affirm that food waste reduction targets should cover the whole supply chain (reflecting an integrated food systems approach), with the future EU target in line with Sustainable Development Goal (SDG) Target 12.3. </w:t>
      </w:r>
      <w:r w:rsidR="00AC137A" w:rsidRPr="00E50A7A">
        <w:rPr>
          <w:rFonts w:eastAsia="Arial Unicode MS"/>
          <w:noProof/>
          <w:lang w:val="en-IE"/>
        </w:rPr>
        <w:t xml:space="preserve">While some </w:t>
      </w:r>
      <w:r w:rsidRPr="00E50A7A">
        <w:rPr>
          <w:rFonts w:eastAsia="Arial Unicode MS"/>
          <w:noProof/>
          <w:lang w:val="en-IE"/>
        </w:rPr>
        <w:t xml:space="preserve">industry respondents (mainly from primary production </w:t>
      </w:r>
      <w:r w:rsidR="00FC0416" w:rsidRPr="00E50A7A">
        <w:rPr>
          <w:rFonts w:eastAsia="Arial Unicode MS"/>
          <w:noProof/>
          <w:lang w:val="en-IE"/>
        </w:rPr>
        <w:t>and processing sectors)</w:t>
      </w:r>
      <w:r w:rsidRPr="00E50A7A">
        <w:rPr>
          <w:rFonts w:eastAsia="Arial Unicode MS"/>
          <w:noProof/>
          <w:lang w:val="en-IE"/>
        </w:rPr>
        <w:t xml:space="preserve"> prefer a target focussed on retail and consumption only</w:t>
      </w:r>
      <w:r w:rsidR="00FC0416" w:rsidRPr="00E50A7A">
        <w:rPr>
          <w:rFonts w:eastAsia="Arial Unicode MS"/>
          <w:noProof/>
          <w:lang w:val="en-IE"/>
        </w:rPr>
        <w:t xml:space="preserve">, </w:t>
      </w:r>
      <w:r w:rsidRPr="00E50A7A">
        <w:rPr>
          <w:rFonts w:eastAsia="Arial Unicode MS"/>
          <w:noProof/>
          <w:lang w:val="en-IE"/>
        </w:rPr>
        <w:t>other industry stakeholders and non-governmental organisations (NGOs) argue for a holistic approach to ensure shared responsibility and accountability of all actors. Several stakeholders stress the need for a solid evidence base for setting targets as well as a baseline that recognises efforts of early achievers. Around one-third of contributions received called for ambitious actions and an advanced target level (50%), including almost all NGOs; on the other hand, the three contributions from Member States suggested that basic or medium options are more realistic. Some stakeholders (</w:t>
      </w:r>
      <w:r w:rsidR="003C1DB2" w:rsidRPr="00E50A7A">
        <w:rPr>
          <w:rFonts w:eastAsia="Arial Unicode MS"/>
          <w:noProof/>
          <w:lang w:val="en-IE"/>
        </w:rPr>
        <w:t>from environmental</w:t>
      </w:r>
      <w:r w:rsidR="00482FA8" w:rsidRPr="00E50A7A">
        <w:rPr>
          <w:rFonts w:eastAsia="Arial Unicode MS"/>
          <w:noProof/>
          <w:lang w:val="en-IE"/>
        </w:rPr>
        <w:t xml:space="preserve">- and consumer </w:t>
      </w:r>
      <w:r w:rsidRPr="00E50A7A">
        <w:rPr>
          <w:rFonts w:eastAsia="Arial Unicode MS"/>
          <w:noProof/>
          <w:lang w:val="en-IE"/>
        </w:rPr>
        <w:t>NGOs</w:t>
      </w:r>
      <w:r w:rsidR="00482FA8" w:rsidRPr="00E50A7A">
        <w:rPr>
          <w:rFonts w:eastAsia="Arial Unicode MS"/>
          <w:noProof/>
          <w:lang w:val="en-IE"/>
        </w:rPr>
        <w:t xml:space="preserve"> a</w:t>
      </w:r>
      <w:r w:rsidR="00B1137E" w:rsidRPr="00E50A7A">
        <w:rPr>
          <w:rFonts w:eastAsia="Arial Unicode MS"/>
          <w:noProof/>
          <w:lang w:val="en-IE"/>
        </w:rPr>
        <w:t>s well as)</w:t>
      </w:r>
      <w:r w:rsidR="00482FA8" w:rsidRPr="00E50A7A">
        <w:rPr>
          <w:rFonts w:eastAsia="Arial Unicode MS"/>
          <w:noProof/>
          <w:lang w:val="en-IE"/>
        </w:rPr>
        <w:t xml:space="preserve"> </w:t>
      </w:r>
      <w:r w:rsidRPr="00E50A7A">
        <w:rPr>
          <w:rFonts w:eastAsia="Arial Unicode MS"/>
          <w:noProof/>
          <w:lang w:val="en-IE"/>
        </w:rPr>
        <w:t xml:space="preserve">social enterprises call, in addition, for </w:t>
      </w:r>
      <w:r w:rsidR="00B1137E" w:rsidRPr="00E50A7A">
        <w:rPr>
          <w:rFonts w:eastAsia="Arial Unicode MS"/>
          <w:noProof/>
          <w:lang w:val="en-IE"/>
        </w:rPr>
        <w:t xml:space="preserve">the </w:t>
      </w:r>
      <w:r w:rsidRPr="00E50A7A">
        <w:rPr>
          <w:rFonts w:eastAsia="Arial Unicode MS"/>
          <w:noProof/>
          <w:lang w:val="en-IE"/>
        </w:rPr>
        <w:t>integration of on-farm food losses in the future legislative proposal</w:t>
      </w:r>
      <w:r w:rsidR="00E47591" w:rsidRPr="00E50A7A">
        <w:rPr>
          <w:rFonts w:eastAsia="Arial Unicode MS"/>
          <w:noProof/>
          <w:lang w:val="en-IE"/>
        </w:rPr>
        <w:t>,</w:t>
      </w:r>
      <w:r w:rsidRPr="00E50A7A">
        <w:rPr>
          <w:rFonts w:eastAsia="Arial Unicode MS"/>
          <w:noProof/>
          <w:lang w:val="en-IE"/>
        </w:rPr>
        <w:t xml:space="preserve"> whilst primary producers argue that such losses cannot be addressed (for both legal and operational reasons). Finally, many stakeholders call for policy coherence and the need to build a culture of food value in order to address systemic issues linked to food systems.  </w:t>
      </w:r>
    </w:p>
    <w:p w14:paraId="48E64C73" w14:textId="44993648" w:rsidR="00F71DC5" w:rsidRPr="00E50A7A" w:rsidRDefault="004A2AB9" w:rsidP="00B00391">
      <w:pPr>
        <w:pBdr>
          <w:top w:val="nil"/>
          <w:left w:val="nil"/>
          <w:bottom w:val="nil"/>
          <w:right w:val="nil"/>
          <w:between w:val="nil"/>
          <w:bar w:val="nil"/>
        </w:pBdr>
        <w:spacing w:before="0" w:after="240"/>
        <w:rPr>
          <w:rFonts w:eastAsia="Arial Unicode MS"/>
          <w:noProof/>
          <w:lang w:val="en-IE"/>
        </w:rPr>
      </w:pPr>
      <w:r w:rsidRPr="00E50A7A">
        <w:rPr>
          <w:rFonts w:eastAsia="Arial Unicode MS"/>
          <w:noProof/>
          <w:lang w:val="en-IE"/>
        </w:rPr>
        <w:t>The public consultation, which was open from 24 May 2022 to 24 August 2022</w:t>
      </w:r>
      <w:r w:rsidR="00733C65" w:rsidRPr="00E50A7A">
        <w:rPr>
          <w:rFonts w:eastAsia="Arial Unicode MS"/>
          <w:noProof/>
          <w:lang w:val="en-IE"/>
        </w:rPr>
        <w:t xml:space="preserve"> covered both </w:t>
      </w:r>
      <w:r w:rsidR="002F423D" w:rsidRPr="00E50A7A">
        <w:rPr>
          <w:rFonts w:eastAsia="Arial Unicode MS"/>
          <w:noProof/>
          <w:lang w:val="en-IE"/>
        </w:rPr>
        <w:t xml:space="preserve">textile </w:t>
      </w:r>
      <w:r w:rsidR="00733C65" w:rsidRPr="00E50A7A">
        <w:rPr>
          <w:rFonts w:eastAsia="Arial Unicode MS"/>
          <w:noProof/>
          <w:lang w:val="en-IE"/>
        </w:rPr>
        <w:t xml:space="preserve">and food </w:t>
      </w:r>
      <w:r w:rsidR="002F423D" w:rsidRPr="00E50A7A">
        <w:rPr>
          <w:rFonts w:eastAsia="Arial Unicode MS"/>
          <w:noProof/>
          <w:lang w:val="en-IE"/>
        </w:rPr>
        <w:t>waste</w:t>
      </w:r>
      <w:r w:rsidR="00733C65" w:rsidRPr="00E50A7A">
        <w:rPr>
          <w:rFonts w:eastAsia="Arial Unicode MS"/>
          <w:noProof/>
          <w:lang w:val="en-IE"/>
        </w:rPr>
        <w:t xml:space="preserve">. Regarding food waste reduction, </w:t>
      </w:r>
      <w:r w:rsidR="00F71DC5" w:rsidRPr="00E50A7A">
        <w:rPr>
          <w:rFonts w:eastAsia="Arial Unicode MS"/>
          <w:noProof/>
          <w:lang w:val="en-IE"/>
        </w:rPr>
        <w:t>stakeholder</w:t>
      </w:r>
      <w:r w:rsidR="00733C65" w:rsidRPr="00E50A7A">
        <w:rPr>
          <w:rFonts w:eastAsia="Arial Unicode MS"/>
          <w:noProof/>
          <w:lang w:val="en-IE"/>
        </w:rPr>
        <w:t>s across all</w:t>
      </w:r>
      <w:r w:rsidR="00F71DC5" w:rsidRPr="00E50A7A">
        <w:rPr>
          <w:rFonts w:eastAsia="Arial Unicode MS"/>
          <w:noProof/>
          <w:lang w:val="en-IE"/>
        </w:rPr>
        <w:t xml:space="preserve"> groups agreed or strongly agreed </w:t>
      </w:r>
      <w:r w:rsidR="00816A6F" w:rsidRPr="00E50A7A">
        <w:rPr>
          <w:rFonts w:eastAsia="Arial Unicode MS"/>
          <w:noProof/>
          <w:lang w:val="en-IE"/>
        </w:rPr>
        <w:t xml:space="preserve">(over 90%) </w:t>
      </w:r>
      <w:r w:rsidR="00F71DC5" w:rsidRPr="00E50A7A">
        <w:rPr>
          <w:rFonts w:eastAsia="Arial Unicode MS"/>
          <w:noProof/>
          <w:lang w:val="en-IE"/>
        </w:rPr>
        <w:t xml:space="preserve">with the benefits brought by reducing food waste, the most important being to </w:t>
      </w:r>
      <w:r w:rsidR="008039FB" w:rsidRPr="00E50A7A">
        <w:rPr>
          <w:rFonts w:eastAsia="Arial Unicode MS"/>
          <w:noProof/>
          <w:lang w:val="en-IE"/>
        </w:rPr>
        <w:t>‘</w:t>
      </w:r>
      <w:r w:rsidR="00F71DC5" w:rsidRPr="00E50A7A">
        <w:rPr>
          <w:rFonts w:eastAsia="Arial Unicode MS"/>
          <w:noProof/>
          <w:lang w:val="en-IE"/>
        </w:rPr>
        <w:t>help reduce environmental impacts</w:t>
      </w:r>
      <w:r w:rsidR="008039FB" w:rsidRPr="00E50A7A">
        <w:rPr>
          <w:rFonts w:eastAsia="Arial Unicode MS"/>
          <w:noProof/>
          <w:lang w:val="en-IE"/>
        </w:rPr>
        <w:t>’</w:t>
      </w:r>
      <w:r w:rsidR="00F71DC5" w:rsidRPr="00E50A7A">
        <w:rPr>
          <w:rFonts w:eastAsia="Arial Unicode MS"/>
          <w:noProof/>
          <w:lang w:val="en-IE"/>
        </w:rPr>
        <w:t xml:space="preserve"> and to </w:t>
      </w:r>
      <w:r w:rsidR="008039FB" w:rsidRPr="00E50A7A">
        <w:rPr>
          <w:rFonts w:eastAsia="Arial Unicode MS"/>
          <w:noProof/>
          <w:lang w:val="en-IE"/>
        </w:rPr>
        <w:t>‘</w:t>
      </w:r>
      <w:r w:rsidR="00F71DC5" w:rsidRPr="00E50A7A">
        <w:rPr>
          <w:rFonts w:eastAsia="Arial Unicode MS"/>
          <w:noProof/>
          <w:lang w:val="en-IE"/>
        </w:rPr>
        <w:t>help mitigate climate change</w:t>
      </w:r>
      <w:r w:rsidR="008039FB" w:rsidRPr="00E50A7A">
        <w:rPr>
          <w:rFonts w:eastAsia="Arial Unicode MS"/>
          <w:noProof/>
          <w:lang w:val="en-IE"/>
        </w:rPr>
        <w:t>’</w:t>
      </w:r>
      <w:r w:rsidR="00F71DC5" w:rsidRPr="00E50A7A">
        <w:rPr>
          <w:rFonts w:eastAsia="Arial Unicode MS"/>
          <w:noProof/>
          <w:lang w:val="en-IE"/>
        </w:rPr>
        <w:t>. Respondents identified the main actors that need to take more action to reduce food waste as consumers, retailers and other distributors, food manufacturers, and hospitality and food services.</w:t>
      </w:r>
      <w:r w:rsidR="007F57C0" w:rsidRPr="00E50A7A">
        <w:rPr>
          <w:rFonts w:eastAsia="Arial Unicode MS"/>
          <w:noProof/>
          <w:lang w:val="en-IE"/>
        </w:rPr>
        <w:t xml:space="preserve"> </w:t>
      </w:r>
      <w:r w:rsidR="00F71DC5" w:rsidRPr="00E50A7A">
        <w:rPr>
          <w:rFonts w:eastAsia="Arial Unicode MS"/>
          <w:noProof/>
          <w:lang w:val="en-IE"/>
        </w:rPr>
        <w:t>Respondents noted that the most important challenge</w:t>
      </w:r>
      <w:r w:rsidR="00795B18" w:rsidRPr="00E50A7A">
        <w:rPr>
          <w:rFonts w:eastAsia="Arial Unicode MS"/>
          <w:noProof/>
          <w:lang w:val="en-IE"/>
        </w:rPr>
        <w:t>s</w:t>
      </w:r>
      <w:r w:rsidR="00F71DC5" w:rsidRPr="00E50A7A">
        <w:rPr>
          <w:rFonts w:eastAsia="Arial Unicode MS"/>
          <w:noProof/>
          <w:lang w:val="en-IE"/>
        </w:rPr>
        <w:t xml:space="preserve"> for the reduction of food waste concern the need for consumers to adopt new habits, such as improved food management skills</w:t>
      </w:r>
      <w:r w:rsidR="00421BA4" w:rsidRPr="00E50A7A">
        <w:rPr>
          <w:rFonts w:eastAsia="Arial Unicode MS"/>
          <w:noProof/>
          <w:lang w:val="en-IE"/>
        </w:rPr>
        <w:t xml:space="preserve">, </w:t>
      </w:r>
      <w:r w:rsidR="00A23689" w:rsidRPr="00E50A7A">
        <w:rPr>
          <w:rFonts w:eastAsia="Arial Unicode MS"/>
          <w:noProof/>
          <w:lang w:val="en-IE"/>
        </w:rPr>
        <w:t xml:space="preserve">followed by </w:t>
      </w:r>
      <w:r w:rsidR="0092015F" w:rsidRPr="00E50A7A">
        <w:rPr>
          <w:rFonts w:eastAsia="Arial Unicode MS"/>
          <w:noProof/>
          <w:lang w:val="en-IE"/>
        </w:rPr>
        <w:t>the need</w:t>
      </w:r>
      <w:r w:rsidR="009B66AB" w:rsidRPr="00E50A7A">
        <w:rPr>
          <w:rFonts w:eastAsia="Arial Unicode MS"/>
          <w:noProof/>
          <w:lang w:val="en-IE"/>
        </w:rPr>
        <w:t xml:space="preserve"> for businesse</w:t>
      </w:r>
      <w:r w:rsidR="00127563" w:rsidRPr="00E50A7A">
        <w:rPr>
          <w:rFonts w:eastAsia="Arial Unicode MS"/>
          <w:noProof/>
          <w:lang w:val="en-IE"/>
        </w:rPr>
        <w:t>s</w:t>
      </w:r>
      <w:r w:rsidR="00F71DC5" w:rsidRPr="00E50A7A">
        <w:rPr>
          <w:rFonts w:eastAsia="Arial Unicode MS"/>
          <w:noProof/>
          <w:lang w:val="en-IE"/>
        </w:rPr>
        <w:t xml:space="preserve"> to </w:t>
      </w:r>
      <w:r w:rsidR="00816A6F" w:rsidRPr="00E50A7A">
        <w:rPr>
          <w:rFonts w:eastAsia="Arial Unicode MS"/>
          <w:noProof/>
          <w:lang w:val="en-IE"/>
        </w:rPr>
        <w:t xml:space="preserve">integrate </w:t>
      </w:r>
      <w:r w:rsidR="00F71DC5" w:rsidRPr="00E50A7A">
        <w:rPr>
          <w:rFonts w:eastAsia="Arial Unicode MS"/>
          <w:noProof/>
          <w:lang w:val="en-IE"/>
        </w:rPr>
        <w:t xml:space="preserve">food waste prevention </w:t>
      </w:r>
      <w:r w:rsidR="00816A6F" w:rsidRPr="00E50A7A">
        <w:rPr>
          <w:rFonts w:eastAsia="Arial Unicode MS"/>
          <w:noProof/>
          <w:lang w:val="en-IE"/>
        </w:rPr>
        <w:t>in</w:t>
      </w:r>
      <w:r w:rsidR="00795B18" w:rsidRPr="00E50A7A">
        <w:rPr>
          <w:rFonts w:eastAsia="Arial Unicode MS"/>
          <w:noProof/>
          <w:lang w:val="en-IE"/>
        </w:rPr>
        <w:t xml:space="preserve"> </w:t>
      </w:r>
      <w:r w:rsidR="00F71DC5" w:rsidRPr="00E50A7A">
        <w:rPr>
          <w:rFonts w:eastAsia="Arial Unicode MS"/>
          <w:noProof/>
          <w:lang w:val="en-IE"/>
        </w:rPr>
        <w:t>their operations</w:t>
      </w:r>
      <w:r w:rsidR="0092015F" w:rsidRPr="00E50A7A">
        <w:rPr>
          <w:rFonts w:eastAsia="Arial Unicode MS"/>
          <w:noProof/>
          <w:lang w:val="en-IE"/>
        </w:rPr>
        <w:t xml:space="preserve">. </w:t>
      </w:r>
      <w:r w:rsidR="00F71DC5" w:rsidRPr="00E50A7A">
        <w:rPr>
          <w:rFonts w:eastAsia="Arial Unicode MS"/>
          <w:noProof/>
          <w:lang w:val="en-IE"/>
        </w:rPr>
        <w:t xml:space="preserve"> Ensuring sufficient action is taken at the pace needed to reach global commitments to halve food waste by 2030 was considered more important by public authorities than other groups. As regards possible EU measures to improve waste prevention, 74% of respondents (488 replies) agreed or strongly agreed with the setting of legally binding food waste reduction targets, with even greater support expressed by public authorities (86%, 25 replies).</w:t>
      </w:r>
    </w:p>
    <w:p w14:paraId="460FA8C6" w14:textId="77777777" w:rsidR="00CE3A75" w:rsidRPr="00E50A7A" w:rsidRDefault="00CE3A75" w:rsidP="00B00391">
      <w:pPr>
        <w:pBdr>
          <w:top w:val="nil"/>
          <w:left w:val="nil"/>
          <w:bottom w:val="nil"/>
          <w:right w:val="nil"/>
          <w:between w:val="nil"/>
          <w:bar w:val="nil"/>
        </w:pBdr>
        <w:spacing w:before="0" w:after="240"/>
        <w:rPr>
          <w:rFonts w:eastAsia="Arial Unicode MS"/>
          <w:noProof/>
          <w:lang w:val="en-IE"/>
        </w:rPr>
      </w:pPr>
      <w:r w:rsidRPr="00E50A7A">
        <w:rPr>
          <w:rFonts w:eastAsia="Arial Unicode MS"/>
          <w:noProof/>
          <w:lang w:val="en-IE"/>
        </w:rPr>
        <w:lastRenderedPageBreak/>
        <w:t xml:space="preserve">53 position papers received through the public consultation focused on food waste or included considerations on this topic. 26 papers including comments on food waste were received from business associations, 12 from non-profit organizations, 8 from companies and 7 from public authorities. Most of the position papers expressed agreement on the setting of food waste reduction targets, with 10 papers advocating the need for ambitious targets (50% reduction) and 18 in favour of applying targets in all the stages of the supply chain. However, two business organisations disagreed on setting targets at the primary production stage, due to the imbalance of power in the supply chain and market dynamics that cannot be controlled by farmers. </w:t>
      </w:r>
      <w:r w:rsidR="00DB787B" w:rsidRPr="00E50A7A">
        <w:rPr>
          <w:rFonts w:eastAsia="Arial Unicode MS"/>
          <w:noProof/>
          <w:lang w:val="en-IE"/>
        </w:rPr>
        <w:t xml:space="preserve">Several papers </w:t>
      </w:r>
      <w:r w:rsidRPr="00E50A7A">
        <w:rPr>
          <w:rFonts w:eastAsia="Arial Unicode MS"/>
          <w:noProof/>
          <w:lang w:val="en-IE"/>
        </w:rPr>
        <w:t>stressed the importance of prioritizing those actions with the greatest environmental or climate impact</w:t>
      </w:r>
      <w:r w:rsidR="0084766D" w:rsidRPr="00E50A7A">
        <w:rPr>
          <w:rFonts w:eastAsia="Arial Unicode MS"/>
          <w:noProof/>
          <w:lang w:val="en-IE"/>
        </w:rPr>
        <w:t xml:space="preserve"> and the role of</w:t>
      </w:r>
      <w:r w:rsidRPr="00E50A7A">
        <w:rPr>
          <w:rFonts w:eastAsia="Arial Unicode MS"/>
          <w:noProof/>
          <w:lang w:val="en-IE"/>
        </w:rPr>
        <w:t xml:space="preserve"> packaging in preventing food waste</w:t>
      </w:r>
      <w:r w:rsidR="00572841" w:rsidRPr="00E50A7A">
        <w:rPr>
          <w:rFonts w:eastAsia="Arial Unicode MS"/>
          <w:noProof/>
          <w:lang w:val="en-IE"/>
        </w:rPr>
        <w:t xml:space="preserve"> was also highlighted</w:t>
      </w:r>
      <w:r w:rsidRPr="00E50A7A">
        <w:rPr>
          <w:rFonts w:eastAsia="Arial Unicode MS"/>
          <w:noProof/>
          <w:lang w:val="en-IE"/>
        </w:rPr>
        <w:t xml:space="preserve">, mainly </w:t>
      </w:r>
      <w:r w:rsidR="009F17F1" w:rsidRPr="00E50A7A">
        <w:rPr>
          <w:rFonts w:eastAsia="Arial Unicode MS"/>
          <w:noProof/>
          <w:lang w:val="en-IE"/>
        </w:rPr>
        <w:t xml:space="preserve">by </w:t>
      </w:r>
      <w:r w:rsidRPr="00E50A7A">
        <w:rPr>
          <w:rFonts w:eastAsia="Arial Unicode MS"/>
          <w:noProof/>
          <w:lang w:val="en-IE"/>
        </w:rPr>
        <w:t>business associations. Concerning the actions and policy initiatives that the EU should undertake, rules on date marking and actions related to awareness raising and education were the most mentioned</w:t>
      </w:r>
      <w:r w:rsidR="00CF2F67" w:rsidRPr="00E50A7A">
        <w:rPr>
          <w:rFonts w:eastAsia="Arial Unicode MS"/>
          <w:noProof/>
          <w:lang w:val="en-IE"/>
        </w:rPr>
        <w:t xml:space="preserve">, with some also referring to </w:t>
      </w:r>
      <w:r w:rsidR="003529B7" w:rsidRPr="00E50A7A">
        <w:rPr>
          <w:rFonts w:eastAsia="Arial Unicode MS"/>
          <w:noProof/>
          <w:lang w:val="en-IE"/>
        </w:rPr>
        <w:t>improved monitoring systems and one suggesting to provide fiscal incentives for food donations</w:t>
      </w:r>
      <w:r w:rsidRPr="00E50A7A">
        <w:rPr>
          <w:rFonts w:eastAsia="Arial Unicode MS"/>
          <w:noProof/>
          <w:lang w:val="en-IE"/>
        </w:rPr>
        <w:t xml:space="preserve">. Policy coherence between food waste and other related policies (e.g., labelling, climate action, Common Agricultural Policy) was also recommended </w:t>
      </w:r>
      <w:r w:rsidR="00F60E5F" w:rsidRPr="00E50A7A">
        <w:rPr>
          <w:rFonts w:eastAsia="Arial Unicode MS"/>
          <w:noProof/>
          <w:lang w:val="en-IE"/>
        </w:rPr>
        <w:t>by some stakeholders.</w:t>
      </w:r>
    </w:p>
    <w:p w14:paraId="61CA9B54" w14:textId="77777777" w:rsidR="00984CB5" w:rsidRPr="00E50A7A" w:rsidRDefault="00984CB5" w:rsidP="00984CB5">
      <w:pPr>
        <w:pBdr>
          <w:top w:val="nil"/>
          <w:left w:val="nil"/>
          <w:bottom w:val="nil"/>
          <w:right w:val="nil"/>
          <w:between w:val="nil"/>
          <w:bar w:val="nil"/>
        </w:pBdr>
        <w:spacing w:before="0" w:after="240"/>
        <w:rPr>
          <w:rFonts w:eastAsia="Arial Unicode MS"/>
          <w:noProof/>
          <w:lang w:val="en-IE"/>
        </w:rPr>
      </w:pPr>
      <w:r w:rsidRPr="00E50A7A">
        <w:rPr>
          <w:rFonts w:eastAsia="Arial Unicode MS"/>
          <w:noProof/>
          <w:lang w:val="en-IE"/>
        </w:rPr>
        <w:t xml:space="preserve">Data collection on food waste prevention initiatives were carried out by means of two surveys sent to Member State experts and stakeholders in the food value chain. Both surveys aimed at collecting quantitative data on costs of </w:t>
      </w:r>
      <w:r w:rsidR="00C44195" w:rsidRPr="00E50A7A">
        <w:rPr>
          <w:rFonts w:eastAsia="Arial Unicode MS"/>
          <w:noProof/>
          <w:lang w:val="en-IE"/>
        </w:rPr>
        <w:t xml:space="preserve">food </w:t>
      </w:r>
      <w:r w:rsidRPr="00E50A7A">
        <w:rPr>
          <w:rFonts w:eastAsia="Arial Unicode MS"/>
          <w:noProof/>
          <w:lang w:val="en-IE"/>
        </w:rPr>
        <w:t xml:space="preserve">waste prevention initiatives and amounts of food waste prevented. </w:t>
      </w:r>
      <w:r w:rsidR="00CC1E8F" w:rsidRPr="00E50A7A">
        <w:rPr>
          <w:rFonts w:eastAsia="Arial Unicode MS"/>
          <w:noProof/>
          <w:lang w:val="en-IE"/>
        </w:rPr>
        <w:t>In addition, four</w:t>
      </w:r>
      <w:r w:rsidRPr="00E50A7A">
        <w:rPr>
          <w:rFonts w:eastAsia="Arial Unicode MS"/>
          <w:noProof/>
          <w:lang w:val="en-IE"/>
        </w:rPr>
        <w:t xml:space="preserve"> interviews were held with selected stakeholders who replied to the survey (two companies, a </w:t>
      </w:r>
      <w:r w:rsidR="009F17F1" w:rsidRPr="00E50A7A">
        <w:rPr>
          <w:rFonts w:eastAsia="Arial Unicode MS"/>
          <w:noProof/>
          <w:lang w:val="en-IE"/>
        </w:rPr>
        <w:t>non-profit</w:t>
      </w:r>
      <w:r w:rsidRPr="00E50A7A">
        <w:rPr>
          <w:rFonts w:eastAsia="Arial Unicode MS"/>
          <w:noProof/>
          <w:lang w:val="en-IE"/>
        </w:rPr>
        <w:t xml:space="preserve"> organization and a public authority)</w:t>
      </w:r>
      <w:r w:rsidR="009B2C6A" w:rsidRPr="00E50A7A">
        <w:rPr>
          <w:rFonts w:eastAsia="Arial Unicode MS"/>
          <w:noProof/>
          <w:lang w:val="en-IE"/>
        </w:rPr>
        <w:t xml:space="preserve"> in order to collect additional data and insights on their initiatives and/or to clarify information provided</w:t>
      </w:r>
      <w:r w:rsidR="00305A48" w:rsidRPr="00E50A7A">
        <w:rPr>
          <w:rFonts w:eastAsia="Arial Unicode MS"/>
          <w:noProof/>
          <w:lang w:val="en-IE"/>
        </w:rPr>
        <w:t xml:space="preserve"> through the surveys</w:t>
      </w:r>
      <w:r w:rsidRPr="00E50A7A">
        <w:rPr>
          <w:rFonts w:eastAsia="Arial Unicode MS"/>
          <w:noProof/>
          <w:lang w:val="en-IE"/>
        </w:rPr>
        <w:t xml:space="preserve">. </w:t>
      </w:r>
    </w:p>
    <w:p w14:paraId="34B5D8D5" w14:textId="77777777" w:rsidR="008802B9" w:rsidRPr="00E50A7A" w:rsidRDefault="008802B9" w:rsidP="008802B9">
      <w:pPr>
        <w:pBdr>
          <w:top w:val="nil"/>
          <w:left w:val="nil"/>
          <w:bottom w:val="nil"/>
          <w:right w:val="nil"/>
          <w:between w:val="nil"/>
          <w:bar w:val="nil"/>
        </w:pBdr>
        <w:spacing w:before="0" w:after="240"/>
        <w:rPr>
          <w:rFonts w:eastAsia="Arial Unicode MS"/>
          <w:noProof/>
          <w:lang w:val="en-IE"/>
        </w:rPr>
      </w:pPr>
      <w:r w:rsidRPr="00E50A7A">
        <w:rPr>
          <w:rFonts w:eastAsia="Arial Unicode MS"/>
          <w:noProof/>
          <w:lang w:val="en-IE"/>
        </w:rPr>
        <w:t xml:space="preserve">Finally, targeted consultation meetings were held with the </w:t>
      </w:r>
      <w:hyperlink r:id="rId33" w:tgtFrame="_blank" w:history="1">
        <w:r w:rsidRPr="00E50A7A">
          <w:rPr>
            <w:rFonts w:eastAsia="Arial Unicode MS"/>
            <w:noProof/>
            <w:lang w:val="en-IE"/>
          </w:rPr>
          <w:t>EU Platform on FLW</w:t>
        </w:r>
      </w:hyperlink>
      <w:r w:rsidRPr="00E50A7A">
        <w:rPr>
          <w:rFonts w:eastAsia="Arial Unicode MS"/>
          <w:noProof/>
          <w:lang w:val="en-IE"/>
        </w:rPr>
        <w:t xml:space="preserve"> on four occasions. The EU Platform on FLW includes international organisations, EU institutions, Member States’ experts and stakeholders from the food supply chain including farmers, industry, environmental-, consumer- and other NGOs (including food banks and other charities). Private sector organisations in the food value chain represent SMEs for their specific sector of activity (e.g., food manufacturing, retail, food services etc.)  </w:t>
      </w:r>
    </w:p>
    <w:p w14:paraId="3F4C2BC3" w14:textId="77777777" w:rsidR="008802B9" w:rsidRPr="00E50A7A" w:rsidRDefault="008802B9" w:rsidP="008802B9">
      <w:pPr>
        <w:pBdr>
          <w:top w:val="nil"/>
          <w:left w:val="nil"/>
          <w:bottom w:val="nil"/>
          <w:right w:val="nil"/>
          <w:between w:val="nil"/>
          <w:bar w:val="nil"/>
        </w:pBdr>
        <w:spacing w:before="0" w:after="240"/>
        <w:rPr>
          <w:rFonts w:eastAsia="Arial Unicode MS"/>
          <w:noProof/>
          <w:lang w:val="en-IE"/>
        </w:rPr>
      </w:pPr>
      <w:r w:rsidRPr="00E50A7A">
        <w:rPr>
          <w:rFonts w:eastAsia="Arial Unicode MS"/>
          <w:noProof/>
          <w:lang w:val="en-IE"/>
        </w:rPr>
        <w:t>The most frequent issues raised by stakeholders consisted in the inclusion of all the stages of the food supply chain in the scope of the targets, with some highlighting the importance of monitoring and integrating on-farm, pre-harvest food losses; the importance of taking into account food and feed safety (expressed especially by private sector organizations); the concern regarding the choice of 2020 as a baseline for target-setting due to the impact of COVID</w:t>
      </w:r>
      <w:r w:rsidR="009B3072" w:rsidRPr="00E50A7A">
        <w:rPr>
          <w:rFonts w:eastAsia="Arial Unicode MS"/>
          <w:noProof/>
          <w:lang w:val="en-IE"/>
        </w:rPr>
        <w:t>-</w:t>
      </w:r>
      <w:r w:rsidRPr="00E50A7A">
        <w:rPr>
          <w:rFonts w:eastAsia="Arial Unicode MS"/>
          <w:noProof/>
          <w:lang w:val="en-IE"/>
        </w:rPr>
        <w:t xml:space="preserve">19 (highlighted by some Member States and NGOs); the possibility of differentiating and taking into account edible and non-edible food waste (mentioned by private sector organizations); and the possibility of considering the results already achieved by Member States when setting the baseline (highlighted by Member States and private sector organizations). </w:t>
      </w:r>
    </w:p>
    <w:p w14:paraId="68379D25" w14:textId="77777777" w:rsidR="008802B9" w:rsidRPr="00E50A7A" w:rsidRDefault="008802B9" w:rsidP="008802B9">
      <w:pPr>
        <w:pBdr>
          <w:top w:val="nil"/>
          <w:left w:val="nil"/>
          <w:bottom w:val="nil"/>
          <w:right w:val="nil"/>
          <w:between w:val="nil"/>
          <w:bar w:val="nil"/>
        </w:pBdr>
        <w:spacing w:before="0" w:after="240"/>
        <w:rPr>
          <w:rFonts w:eastAsia="Arial Unicode MS"/>
          <w:noProof/>
          <w:lang w:val="en-IE"/>
        </w:rPr>
      </w:pPr>
      <w:r w:rsidRPr="00E50A7A">
        <w:rPr>
          <w:rFonts w:eastAsia="Arial Unicode MS"/>
          <w:noProof/>
          <w:lang w:val="en-IE"/>
        </w:rPr>
        <w:t>In the context of finalising the impact assessment, the Commission further convened a meeting of the Member States Expert Group on Food Losses and Food Waste (7 March 2023) and a joint meeting of the EU Platform on FLW and the Advisory Group on Sustainability of Food Systems (13 March 2023). The abovementioned issues were reiterated, and further feedback provided regarding the consideration of different policy options for setting targets.</w:t>
      </w:r>
    </w:p>
    <w:p w14:paraId="38949552" w14:textId="77777777" w:rsidR="00BB51D4" w:rsidRPr="00E50A7A" w:rsidRDefault="00BB51D4" w:rsidP="00BB51D4">
      <w:pPr>
        <w:pBdr>
          <w:top w:val="nil"/>
          <w:left w:val="nil"/>
          <w:bottom w:val="nil"/>
          <w:right w:val="nil"/>
          <w:between w:val="nil"/>
          <w:bar w:val="nil"/>
        </w:pBdr>
        <w:spacing w:before="0" w:after="240"/>
        <w:rPr>
          <w:rFonts w:eastAsia="Arial Unicode MS"/>
          <w:noProof/>
          <w:lang w:val="en-IE"/>
        </w:rPr>
      </w:pPr>
      <w:r w:rsidRPr="00E50A7A">
        <w:rPr>
          <w:rFonts w:eastAsia="Arial Unicode MS"/>
          <w:noProof/>
          <w:lang w:val="en-IE"/>
        </w:rPr>
        <w:t xml:space="preserve">Information gathered during </w:t>
      </w:r>
      <w:r w:rsidR="00575600" w:rsidRPr="00E50A7A">
        <w:rPr>
          <w:rFonts w:eastAsia="Arial Unicode MS"/>
          <w:noProof/>
          <w:lang w:val="en-IE"/>
        </w:rPr>
        <w:t xml:space="preserve">the abovementioned </w:t>
      </w:r>
      <w:r w:rsidRPr="00E50A7A">
        <w:rPr>
          <w:rFonts w:eastAsia="Arial Unicode MS"/>
          <w:noProof/>
          <w:lang w:val="en-IE"/>
        </w:rPr>
        <w:t xml:space="preserve">stakeholder consultations helped inform the definition of policy options, in particular that targets not be limited to the consumption and retail stages but that they cover the food supply chain more broadly. The data on costs of food </w:t>
      </w:r>
      <w:r w:rsidRPr="00E50A7A">
        <w:rPr>
          <w:rFonts w:eastAsia="Arial Unicode MS"/>
          <w:noProof/>
          <w:lang w:val="en-IE"/>
        </w:rPr>
        <w:lastRenderedPageBreak/>
        <w:t>waste prevention collected through the survey for stakeholders showed a high variability and were generally higher than values found in the literature. Therefore, they were not directly used in the model to calculate the macro-economic impacts of targets.  </w:t>
      </w:r>
    </w:p>
    <w:p w14:paraId="37312E73" w14:textId="77777777" w:rsidR="00373564" w:rsidRPr="00B314C8" w:rsidRDefault="00373564" w:rsidP="00373564">
      <w:pPr>
        <w:spacing w:before="0" w:after="0"/>
        <w:textAlignment w:val="baseline"/>
        <w:rPr>
          <w:rFonts w:eastAsia="Times New Roman"/>
          <w:noProof/>
          <w:szCs w:val="24"/>
          <w:lang w:val="en-IE" w:eastAsia="en-IE"/>
        </w:rPr>
      </w:pPr>
      <w:r w:rsidRPr="00E50A7A">
        <w:rPr>
          <w:rFonts w:eastAsia="Times New Roman"/>
          <w:i/>
          <w:iCs/>
          <w:noProof/>
          <w:szCs w:val="24"/>
          <w:lang w:val="en-IE" w:eastAsia="en-IE"/>
        </w:rPr>
        <w:t>Citizens’ Panel</w:t>
      </w:r>
      <w:r w:rsidRPr="00B314C8">
        <w:rPr>
          <w:rFonts w:eastAsia="Times New Roman"/>
          <w:noProof/>
          <w:szCs w:val="24"/>
          <w:lang w:val="en-IE" w:eastAsia="en-IE"/>
        </w:rPr>
        <w:t> </w:t>
      </w:r>
    </w:p>
    <w:p w14:paraId="74CFCC70" w14:textId="77777777" w:rsidR="00373564" w:rsidRPr="00B314C8" w:rsidRDefault="00373564" w:rsidP="00373564">
      <w:pPr>
        <w:spacing w:before="0" w:after="0"/>
        <w:textAlignment w:val="baseline"/>
        <w:rPr>
          <w:rFonts w:ascii="Segoe UI" w:eastAsia="Times New Roman" w:hAnsi="Segoe UI" w:cs="Segoe UI"/>
          <w:noProof/>
          <w:sz w:val="18"/>
          <w:szCs w:val="18"/>
          <w:lang w:val="en-IE" w:eastAsia="en-IE"/>
        </w:rPr>
      </w:pPr>
    </w:p>
    <w:p w14:paraId="62E2DCA5" w14:textId="68C926A4" w:rsidR="00373564" w:rsidRPr="00B314C8" w:rsidRDefault="00373564" w:rsidP="00373564">
      <w:pPr>
        <w:spacing w:before="0" w:after="0"/>
        <w:textAlignment w:val="baseline"/>
        <w:rPr>
          <w:rFonts w:eastAsia="Times New Roman"/>
          <w:noProof/>
          <w:szCs w:val="24"/>
          <w:lang w:val="en-IE" w:eastAsia="en-IE"/>
        </w:rPr>
      </w:pPr>
      <w:r w:rsidRPr="00E50A7A">
        <w:rPr>
          <w:rFonts w:eastAsia="Times New Roman"/>
          <w:noProof/>
          <w:szCs w:val="24"/>
          <w:lang w:val="en-IE" w:eastAsia="en-IE"/>
        </w:rPr>
        <w:t xml:space="preserve">As a follow-up to the Conference on the future of Europe, the Commission announced a “new generation” of citizens’ panels to consult randomly selected citizens before certain key proposals at the European level. Food waste was selected amongst the three first topics to be addressed by citizens (along with virtual worlds and learning mobility), with the panel convened for three sessions held from December 2022 to February 2023. Although the Citizens’ panel was not part of the consultation activities organised for the purpose of the </w:t>
      </w:r>
      <w:r w:rsidR="00AE60D1" w:rsidRPr="00E50A7A">
        <w:rPr>
          <w:rFonts w:eastAsia="Times New Roman"/>
          <w:noProof/>
          <w:szCs w:val="24"/>
          <w:lang w:val="en-IE" w:eastAsia="en-IE"/>
        </w:rPr>
        <w:t>preparation of the legal proposal</w:t>
      </w:r>
      <w:r w:rsidRPr="00E50A7A">
        <w:rPr>
          <w:rFonts w:eastAsia="Times New Roman"/>
          <w:noProof/>
          <w:szCs w:val="24"/>
          <w:lang w:val="en-IE" w:eastAsia="en-IE"/>
        </w:rPr>
        <w:t>, citizens’ recommendations</w:t>
      </w:r>
      <w:r w:rsidR="00415D46">
        <w:rPr>
          <w:rStyle w:val="FootnoteReference"/>
          <w:rFonts w:eastAsia="Times New Roman"/>
          <w:noProof/>
          <w:szCs w:val="24"/>
          <w:lang w:val="en-IE" w:eastAsia="en-IE"/>
        </w:rPr>
        <w:footnoteReference w:id="61"/>
      </w:r>
      <w:r w:rsidRPr="00E50A7A">
        <w:rPr>
          <w:rFonts w:eastAsia="Times New Roman"/>
          <w:noProof/>
          <w:szCs w:val="24"/>
          <w:lang w:val="en-IE" w:eastAsia="en-IE"/>
        </w:rPr>
        <w:t xml:space="preserve"> will </w:t>
      </w:r>
      <w:r w:rsidR="009875B5" w:rsidRPr="00E50A7A">
        <w:rPr>
          <w:rFonts w:eastAsia="Times New Roman"/>
          <w:noProof/>
          <w:szCs w:val="24"/>
          <w:lang w:val="en-IE" w:eastAsia="en-IE"/>
        </w:rPr>
        <w:t xml:space="preserve">continue to </w:t>
      </w:r>
      <w:r w:rsidRPr="00E50A7A">
        <w:rPr>
          <w:rFonts w:eastAsia="Times New Roman"/>
          <w:noProof/>
          <w:szCs w:val="24"/>
          <w:lang w:val="en-IE" w:eastAsia="en-IE"/>
        </w:rPr>
        <w:t>support the Commission's work related to food waste prevention and have been considered in the preparation of this legislative proposal. Citizens’ recommendations will also serve as a guide to help Member States in achieving the food waste reduction targets in this proposal. </w:t>
      </w:r>
      <w:r w:rsidRPr="00B314C8">
        <w:rPr>
          <w:rFonts w:eastAsia="Times New Roman"/>
          <w:noProof/>
          <w:szCs w:val="24"/>
          <w:lang w:val="en-IE" w:eastAsia="en-IE"/>
        </w:rPr>
        <w:t> </w:t>
      </w:r>
    </w:p>
    <w:p w14:paraId="34379ECD" w14:textId="77777777" w:rsidR="00D44FCB" w:rsidRPr="00B314C8" w:rsidRDefault="00D44FCB" w:rsidP="00373564">
      <w:pPr>
        <w:spacing w:before="0" w:after="0"/>
        <w:textAlignment w:val="baseline"/>
        <w:rPr>
          <w:rFonts w:ascii="Segoe UI" w:eastAsia="Times New Roman" w:hAnsi="Segoe UI" w:cs="Segoe UI"/>
          <w:noProof/>
          <w:sz w:val="18"/>
          <w:szCs w:val="18"/>
          <w:lang w:val="en-IE" w:eastAsia="en-IE"/>
        </w:rPr>
      </w:pPr>
    </w:p>
    <w:p w14:paraId="54D3F7C9" w14:textId="77777777" w:rsidR="00D44FCB" w:rsidRPr="00E50A7A" w:rsidRDefault="00373564" w:rsidP="00373564">
      <w:pPr>
        <w:spacing w:before="0" w:after="0"/>
        <w:textAlignment w:val="baseline"/>
        <w:rPr>
          <w:rFonts w:eastAsia="Times New Roman"/>
          <w:noProof/>
          <w:szCs w:val="24"/>
          <w:lang w:val="en-IE" w:eastAsia="en-IE"/>
        </w:rPr>
      </w:pPr>
      <w:r w:rsidRPr="00E50A7A">
        <w:rPr>
          <w:rFonts w:eastAsia="Times New Roman"/>
          <w:noProof/>
          <w:szCs w:val="24"/>
          <w:lang w:val="en-IE" w:eastAsia="en-IE"/>
        </w:rPr>
        <w:t xml:space="preserve">The 23 recommendations put forward by citizens highlight the need to take a broad food systems approach, engaging all actors and strengthening collaboration across the food supply chain. This comprehensive approach is put forward in the three topics addressed by the panel’s recommendations: 1) Cooperation in the food value chain: from farm to fork; </w:t>
      </w:r>
      <w:r w:rsidR="00D44FCB" w:rsidRPr="00E50A7A">
        <w:rPr>
          <w:rFonts w:eastAsia="Times New Roman"/>
          <w:noProof/>
          <w:szCs w:val="24"/>
          <w:lang w:val="en-IE" w:eastAsia="en-IE"/>
        </w:rPr>
        <w:t xml:space="preserve">2) </w:t>
      </w:r>
      <w:r w:rsidRPr="00E50A7A">
        <w:rPr>
          <w:rFonts w:eastAsia="Times New Roman"/>
          <w:noProof/>
          <w:szCs w:val="24"/>
          <w:lang w:val="en-IE" w:eastAsia="en-IE"/>
        </w:rPr>
        <w:t xml:space="preserve">Food business initiatives; and 3) Supporting consumer behavioural change. </w:t>
      </w:r>
    </w:p>
    <w:p w14:paraId="62D5C7A3" w14:textId="77777777" w:rsidR="00D44FCB" w:rsidRPr="00E50A7A" w:rsidRDefault="00D44FCB" w:rsidP="00373564">
      <w:pPr>
        <w:spacing w:before="0" w:after="0"/>
        <w:textAlignment w:val="baseline"/>
        <w:rPr>
          <w:rFonts w:eastAsia="Times New Roman"/>
          <w:noProof/>
          <w:szCs w:val="24"/>
          <w:lang w:val="en-IE" w:eastAsia="en-IE"/>
        </w:rPr>
      </w:pPr>
    </w:p>
    <w:p w14:paraId="3E58AE74" w14:textId="77777777" w:rsidR="00373564" w:rsidRPr="00B314C8" w:rsidRDefault="00373564" w:rsidP="00373564">
      <w:pPr>
        <w:spacing w:before="0" w:after="0"/>
        <w:textAlignment w:val="baseline"/>
        <w:rPr>
          <w:rFonts w:ascii="Segoe UI" w:eastAsia="Times New Roman" w:hAnsi="Segoe UI" w:cs="Segoe UI"/>
          <w:noProof/>
          <w:sz w:val="18"/>
          <w:szCs w:val="18"/>
          <w:lang w:val="en-IE" w:eastAsia="en-IE"/>
        </w:rPr>
      </w:pPr>
      <w:r w:rsidRPr="00E50A7A">
        <w:rPr>
          <w:rFonts w:eastAsia="Times New Roman"/>
          <w:noProof/>
          <w:szCs w:val="24"/>
          <w:lang w:val="en-IE" w:eastAsia="en-IE"/>
        </w:rPr>
        <w:t>Citizens’ recommendations reflect the three principal lines of action</w:t>
      </w:r>
      <w:r w:rsidR="00B44ACE" w:rsidRPr="00E50A7A">
        <w:rPr>
          <w:rFonts w:eastAsia="Times New Roman"/>
          <w:noProof/>
          <w:szCs w:val="24"/>
          <w:lang w:val="en-IE" w:eastAsia="en-IE"/>
        </w:rPr>
        <w:t>,</w:t>
      </w:r>
      <w:r w:rsidRPr="00E50A7A" w:rsidDel="00B44ACE">
        <w:rPr>
          <w:rFonts w:eastAsia="Times New Roman"/>
          <w:noProof/>
          <w:szCs w:val="24"/>
          <w:lang w:val="en-IE" w:eastAsia="en-IE"/>
        </w:rPr>
        <w:t xml:space="preserve"> </w:t>
      </w:r>
      <w:r w:rsidRPr="00E50A7A">
        <w:rPr>
          <w:rFonts w:eastAsia="Times New Roman"/>
          <w:noProof/>
          <w:szCs w:val="24"/>
          <w:lang w:val="en-IE" w:eastAsia="en-IE"/>
        </w:rPr>
        <w:t xml:space="preserve">which need to be undertaken by Member States in order to accelerate food waste reduction at national level and reach the future targets. The overarching EU regulatory framework for food waste prevention laid down in the WFD as well as supporting measures undertaken at EU level will </w:t>
      </w:r>
      <w:r w:rsidR="00B44ACE" w:rsidRPr="00E50A7A">
        <w:rPr>
          <w:rFonts w:eastAsia="Times New Roman"/>
          <w:noProof/>
          <w:szCs w:val="24"/>
          <w:lang w:val="en-IE" w:eastAsia="en-IE"/>
        </w:rPr>
        <w:t xml:space="preserve">also draw from the recommendations and </w:t>
      </w:r>
      <w:r w:rsidRPr="00E50A7A">
        <w:rPr>
          <w:rFonts w:eastAsia="Times New Roman"/>
          <w:noProof/>
          <w:szCs w:val="24"/>
          <w:lang w:val="en-IE" w:eastAsia="en-IE"/>
        </w:rPr>
        <w:t>support Member States in achieving the future targets.</w:t>
      </w:r>
    </w:p>
    <w:p w14:paraId="6B2963BE" w14:textId="77777777" w:rsidR="00BD152F" w:rsidRPr="00E50A7A" w:rsidRDefault="00BD152F" w:rsidP="00B00391">
      <w:pPr>
        <w:pStyle w:val="ManualHeading2"/>
        <w:rPr>
          <w:rFonts w:eastAsia="Arial Unicode MS"/>
          <w:noProof/>
          <w:u w:color="000000"/>
          <w:bdr w:val="nil"/>
          <w:lang w:val="en-IE" w:eastAsia="en-GB"/>
        </w:rPr>
      </w:pPr>
      <w:r w:rsidRPr="00E50A7A">
        <w:rPr>
          <w:rFonts w:eastAsia="Arial Unicode MS"/>
          <w:noProof/>
          <w:u w:color="000000"/>
          <w:bdr w:val="nil"/>
          <w:lang w:val="en-IE" w:eastAsia="en-GB"/>
        </w:rPr>
        <w:t>•</w:t>
      </w:r>
      <w:r w:rsidRPr="00E50A7A">
        <w:rPr>
          <w:rFonts w:eastAsia="Arial Unicode MS"/>
          <w:noProof/>
          <w:u w:color="000000"/>
          <w:bdr w:val="nil"/>
          <w:lang w:val="en-IE" w:eastAsia="en-GB"/>
        </w:rPr>
        <w:tab/>
        <w:t>Collection and use of expertise</w:t>
      </w:r>
    </w:p>
    <w:p w14:paraId="2DE4546E" w14:textId="77777777" w:rsidR="006C5377" w:rsidRPr="00E50A7A" w:rsidRDefault="006C5377" w:rsidP="000353BD">
      <w:pPr>
        <w:pBdr>
          <w:top w:val="nil"/>
          <w:left w:val="nil"/>
          <w:bottom w:val="nil"/>
          <w:right w:val="nil"/>
          <w:between w:val="nil"/>
          <w:bar w:val="nil"/>
        </w:pBdr>
        <w:spacing w:before="0" w:after="240"/>
        <w:rPr>
          <w:rFonts w:eastAsia="Arial Unicode MS"/>
          <w:i/>
          <w:iCs/>
          <w:noProof/>
          <w:lang w:val="en-IE"/>
        </w:rPr>
      </w:pPr>
      <w:r w:rsidRPr="00E50A7A">
        <w:rPr>
          <w:rFonts w:eastAsia="Arial Unicode MS"/>
          <w:i/>
          <w:iCs/>
          <w:noProof/>
          <w:lang w:val="en-IE"/>
        </w:rPr>
        <w:t>Textile waste</w:t>
      </w:r>
    </w:p>
    <w:p w14:paraId="2B87C2B9" w14:textId="55B22777" w:rsidR="0074678E" w:rsidRPr="00E50A7A" w:rsidRDefault="0074678E" w:rsidP="000353BD">
      <w:pPr>
        <w:pBdr>
          <w:top w:val="nil"/>
          <w:left w:val="nil"/>
          <w:bottom w:val="nil"/>
          <w:right w:val="nil"/>
          <w:between w:val="nil"/>
          <w:bar w:val="nil"/>
        </w:pBdr>
        <w:spacing w:before="0" w:after="240"/>
        <w:rPr>
          <w:rFonts w:eastAsia="Arial Unicode MS"/>
          <w:noProof/>
          <w:lang w:val="en-IE"/>
        </w:rPr>
      </w:pPr>
      <w:r w:rsidRPr="00E50A7A">
        <w:rPr>
          <w:rFonts w:eastAsia="Arial Unicode MS"/>
          <w:noProof/>
          <w:lang w:val="en-IE"/>
        </w:rPr>
        <w:t>The Joint Research Centre provided crucial scientific inputs</w:t>
      </w:r>
      <w:r w:rsidR="00F46A3C" w:rsidRPr="00E50A7A">
        <w:rPr>
          <w:rFonts w:eastAsia="Arial Unicode MS"/>
          <w:noProof/>
          <w:lang w:val="en-IE"/>
        </w:rPr>
        <w:t xml:space="preserve"> throughout the impact assessment stage</w:t>
      </w:r>
      <w:r w:rsidR="001D069B" w:rsidRPr="00E50A7A">
        <w:rPr>
          <w:rFonts w:eastAsia="Arial Unicode MS"/>
          <w:noProof/>
          <w:lang w:val="en-IE"/>
        </w:rPr>
        <w:t>s</w:t>
      </w:r>
      <w:r w:rsidR="00F46A3C" w:rsidRPr="00E50A7A">
        <w:rPr>
          <w:rFonts w:eastAsia="Arial Unicode MS"/>
          <w:noProof/>
          <w:lang w:val="en-IE"/>
        </w:rPr>
        <w:t xml:space="preserve">, including by </w:t>
      </w:r>
      <w:r w:rsidR="00BF2C43" w:rsidRPr="00E50A7A">
        <w:rPr>
          <w:rFonts w:eastAsia="Arial Unicode MS"/>
          <w:noProof/>
          <w:lang w:val="en-IE"/>
        </w:rPr>
        <w:t xml:space="preserve">reviewing documents and publishing </w:t>
      </w:r>
      <w:r w:rsidR="005B3581" w:rsidRPr="00E50A7A">
        <w:rPr>
          <w:rFonts w:eastAsia="Arial Unicode MS"/>
          <w:noProof/>
          <w:lang w:val="en-IE"/>
        </w:rPr>
        <w:t>evidence on the issue</w:t>
      </w:r>
      <w:r w:rsidR="004151DC">
        <w:rPr>
          <w:rStyle w:val="FootnoteReference"/>
          <w:rFonts w:eastAsia="Arial Unicode MS"/>
          <w:noProof/>
          <w:lang w:val="en-IE"/>
        </w:rPr>
        <w:footnoteReference w:id="62"/>
      </w:r>
      <w:r w:rsidR="00EE2C96" w:rsidRPr="00E50A7A">
        <w:rPr>
          <w:rFonts w:eastAsia="Arial Unicode MS"/>
          <w:noProof/>
          <w:lang w:val="en-IE"/>
        </w:rPr>
        <w:t>:</w:t>
      </w:r>
    </w:p>
    <w:p w14:paraId="7A232626" w14:textId="77777777" w:rsidR="004B2B1F" w:rsidRPr="00E50A7A" w:rsidRDefault="004B2B1F" w:rsidP="00E50A7A">
      <w:pPr>
        <w:rPr>
          <w:rFonts w:eastAsia="Arial Unicode MS"/>
          <w:noProof/>
          <w:lang w:val="en-IE"/>
        </w:rPr>
      </w:pPr>
      <w:r w:rsidRPr="00B314C8">
        <w:rPr>
          <w:rFonts w:eastAsia="Times New Roman"/>
          <w:noProof/>
          <w:lang w:val="en-IE"/>
        </w:rPr>
        <w:t xml:space="preserve">The Commission procured an external study to support this impact assessment of policy options for a revision of the WFD in 2023 – Specific Contract n° 090202/2021/861277/ENV.B.3. It was also supported by several experts and technical assistance studies listed in the Annex to the Impact Assessment. </w:t>
      </w:r>
    </w:p>
    <w:p w14:paraId="317B7C69" w14:textId="77777777" w:rsidR="000353BD" w:rsidRPr="00E50A7A" w:rsidRDefault="000353BD" w:rsidP="000353BD">
      <w:pPr>
        <w:pBdr>
          <w:top w:val="nil"/>
          <w:left w:val="nil"/>
          <w:bottom w:val="nil"/>
          <w:right w:val="nil"/>
          <w:between w:val="nil"/>
          <w:bar w:val="nil"/>
        </w:pBdr>
        <w:spacing w:before="0" w:after="240"/>
        <w:rPr>
          <w:rFonts w:eastAsia="Arial Unicode MS"/>
          <w:i/>
          <w:iCs/>
          <w:noProof/>
          <w:lang w:val="en-IE"/>
        </w:rPr>
      </w:pPr>
      <w:r w:rsidRPr="00E50A7A">
        <w:rPr>
          <w:rFonts w:eastAsia="Arial Unicode MS"/>
          <w:i/>
          <w:iCs/>
          <w:noProof/>
          <w:lang w:val="en-IE"/>
        </w:rPr>
        <w:t>Food waste </w:t>
      </w:r>
    </w:p>
    <w:p w14:paraId="6960A4AE" w14:textId="77777777" w:rsidR="00491D5A" w:rsidRPr="00E50A7A" w:rsidRDefault="00491D5A" w:rsidP="00491D5A">
      <w:pPr>
        <w:pBdr>
          <w:top w:val="nil"/>
          <w:left w:val="nil"/>
          <w:bottom w:val="nil"/>
          <w:right w:val="nil"/>
          <w:between w:val="nil"/>
          <w:bar w:val="nil"/>
        </w:pBdr>
        <w:spacing w:before="0" w:after="240"/>
        <w:rPr>
          <w:rFonts w:eastAsia="Arial Unicode MS"/>
          <w:noProof/>
          <w:lang w:val="en-IE"/>
        </w:rPr>
      </w:pPr>
      <w:r w:rsidRPr="00E50A7A">
        <w:rPr>
          <w:rFonts w:eastAsia="Arial Unicode MS"/>
          <w:noProof/>
          <w:lang w:val="en-IE"/>
        </w:rPr>
        <w:t xml:space="preserve">In addition to </w:t>
      </w:r>
      <w:r w:rsidR="00066BE4" w:rsidRPr="00E50A7A">
        <w:rPr>
          <w:rFonts w:eastAsia="Arial Unicode MS"/>
          <w:noProof/>
          <w:lang w:val="en-IE"/>
        </w:rPr>
        <w:t xml:space="preserve">IIA, public and </w:t>
      </w:r>
      <w:r w:rsidRPr="00E50A7A">
        <w:rPr>
          <w:rFonts w:eastAsia="Arial Unicode MS"/>
          <w:noProof/>
          <w:lang w:val="en-IE"/>
        </w:rPr>
        <w:t>target</w:t>
      </w:r>
      <w:r w:rsidR="002C7038" w:rsidRPr="00E50A7A">
        <w:rPr>
          <w:rFonts w:eastAsia="Arial Unicode MS"/>
          <w:noProof/>
          <w:lang w:val="en-IE"/>
        </w:rPr>
        <w:t>ed</w:t>
      </w:r>
      <w:r w:rsidRPr="00E50A7A">
        <w:rPr>
          <w:rFonts w:eastAsia="Arial Unicode MS"/>
          <w:noProof/>
          <w:lang w:val="en-IE"/>
        </w:rPr>
        <w:t xml:space="preserve"> consultations described above</w:t>
      </w:r>
      <w:r w:rsidR="002C7038" w:rsidRPr="00E50A7A">
        <w:rPr>
          <w:rFonts w:eastAsia="Arial Unicode MS"/>
          <w:noProof/>
          <w:lang w:val="en-IE"/>
        </w:rPr>
        <w:t>,</w:t>
      </w:r>
      <w:r w:rsidRPr="00E50A7A">
        <w:rPr>
          <w:rFonts w:eastAsia="Arial Unicode MS"/>
          <w:noProof/>
          <w:lang w:val="en-IE"/>
        </w:rPr>
        <w:t xml:space="preserve"> </w:t>
      </w:r>
      <w:r w:rsidR="00220F9B" w:rsidRPr="00E50A7A">
        <w:rPr>
          <w:rFonts w:eastAsia="Arial Unicode MS"/>
          <w:noProof/>
          <w:lang w:val="en-IE"/>
        </w:rPr>
        <w:t xml:space="preserve">the </w:t>
      </w:r>
      <w:r w:rsidR="001D6654" w:rsidRPr="00E50A7A">
        <w:rPr>
          <w:rFonts w:eastAsia="Arial Unicode MS"/>
          <w:noProof/>
          <w:lang w:val="en-IE"/>
        </w:rPr>
        <w:t xml:space="preserve">impact assessment in the area of food waste was supported by </w:t>
      </w:r>
      <w:r w:rsidR="000D166F" w:rsidRPr="00E50A7A">
        <w:rPr>
          <w:rFonts w:eastAsia="Arial Unicode MS"/>
          <w:noProof/>
          <w:lang w:val="en-IE"/>
        </w:rPr>
        <w:t>the</w:t>
      </w:r>
      <w:r w:rsidR="001D6654" w:rsidRPr="00E50A7A">
        <w:rPr>
          <w:rFonts w:eastAsia="Arial Unicode MS"/>
          <w:noProof/>
          <w:lang w:val="en-IE"/>
        </w:rPr>
        <w:t xml:space="preserve"> following expertise:</w:t>
      </w:r>
    </w:p>
    <w:p w14:paraId="3B9A8D90" w14:textId="577ED409" w:rsidR="00491D5A" w:rsidRDefault="130916BB" w:rsidP="00016D72">
      <w:pPr>
        <w:pStyle w:val="Tiret0"/>
        <w:rPr>
          <w:rStyle w:val="normaltextrun"/>
          <w:noProof/>
        </w:rPr>
      </w:pPr>
      <w:r w:rsidRPr="33925F25">
        <w:rPr>
          <w:rFonts w:eastAsia="Arial Unicode MS"/>
          <w:noProof/>
        </w:rPr>
        <w:lastRenderedPageBreak/>
        <w:t xml:space="preserve">The Joint Research Centre provided crucial scientific inputs </w:t>
      </w:r>
      <w:r w:rsidRPr="33925F25">
        <w:rPr>
          <w:rStyle w:val="normaltextrun"/>
          <w:noProof/>
          <w:u w:val="single"/>
        </w:rPr>
        <w:t>by preparing</w:t>
      </w:r>
      <w:r w:rsidR="0D111B19" w:rsidRPr="33925F25">
        <w:rPr>
          <w:rStyle w:val="normaltextrun"/>
          <w:noProof/>
          <w:u w:val="single"/>
        </w:rPr>
        <w:t xml:space="preserve"> </w:t>
      </w:r>
      <w:r w:rsidR="2DAE71C4" w:rsidRPr="33925F25">
        <w:rPr>
          <w:rStyle w:val="normaltextrun"/>
          <w:noProof/>
          <w:u w:val="single"/>
        </w:rPr>
        <w:t>two</w:t>
      </w:r>
      <w:r w:rsidR="06AD227E" w:rsidRPr="33925F25">
        <w:rPr>
          <w:rStyle w:val="normaltextrun"/>
          <w:noProof/>
          <w:u w:val="single"/>
        </w:rPr>
        <w:t xml:space="preserve"> </w:t>
      </w:r>
      <w:r w:rsidR="0D111B19" w:rsidRPr="33925F25">
        <w:rPr>
          <w:rStyle w:val="normaltextrun"/>
          <w:noProof/>
        </w:rPr>
        <w:t>report</w:t>
      </w:r>
      <w:r w:rsidR="2DAE71C4" w:rsidRPr="33925F25">
        <w:rPr>
          <w:rStyle w:val="normaltextrun"/>
          <w:noProof/>
        </w:rPr>
        <w:t>s</w:t>
      </w:r>
      <w:r w:rsidR="0D111B19" w:rsidRPr="33925F25">
        <w:rPr>
          <w:rStyle w:val="normaltextrun"/>
          <w:noProof/>
        </w:rPr>
        <w:t xml:space="preserve"> </w:t>
      </w:r>
      <w:r w:rsidR="034FA89F" w:rsidRPr="33925F25">
        <w:rPr>
          <w:rStyle w:val="normaltextrun"/>
          <w:noProof/>
        </w:rPr>
        <w:t>with</w:t>
      </w:r>
      <w:r w:rsidR="0D111B19" w:rsidRPr="33925F25">
        <w:rPr>
          <w:rStyle w:val="normaltextrun"/>
          <w:noProof/>
        </w:rPr>
        <w:t xml:space="preserve"> analysis </w:t>
      </w:r>
      <w:r w:rsidR="034FA89F" w:rsidRPr="33925F25">
        <w:rPr>
          <w:rStyle w:val="normaltextrun"/>
          <w:noProof/>
        </w:rPr>
        <w:t>supporting</w:t>
      </w:r>
      <w:r w:rsidR="0D111B19" w:rsidRPr="33925F25">
        <w:rPr>
          <w:rStyle w:val="normaltextrun"/>
          <w:noProof/>
        </w:rPr>
        <w:t xml:space="preserve"> development of the </w:t>
      </w:r>
      <w:r w:rsidR="39328201" w:rsidRPr="33925F25">
        <w:rPr>
          <w:rStyle w:val="normaltextrun"/>
          <w:noProof/>
        </w:rPr>
        <w:t>i</w:t>
      </w:r>
      <w:r w:rsidR="0D111B19" w:rsidRPr="33925F25">
        <w:rPr>
          <w:rStyle w:val="normaltextrun"/>
          <w:noProof/>
        </w:rPr>
        <w:t xml:space="preserve">mpact </w:t>
      </w:r>
      <w:r w:rsidR="39328201" w:rsidRPr="33925F25">
        <w:rPr>
          <w:rStyle w:val="normaltextrun"/>
          <w:noProof/>
        </w:rPr>
        <w:t>a</w:t>
      </w:r>
      <w:r w:rsidR="0D111B19" w:rsidRPr="33925F25">
        <w:rPr>
          <w:rStyle w:val="normaltextrun"/>
          <w:noProof/>
        </w:rPr>
        <w:t xml:space="preserve">ssessment </w:t>
      </w:r>
      <w:r w:rsidR="0F8F7677" w:rsidRPr="33925F25">
        <w:rPr>
          <w:rStyle w:val="normaltextrun"/>
          <w:noProof/>
        </w:rPr>
        <w:t>of the</w:t>
      </w:r>
      <w:r w:rsidR="0D111B19" w:rsidRPr="33925F25">
        <w:rPr>
          <w:rStyle w:val="normaltextrun"/>
          <w:noProof/>
        </w:rPr>
        <w:t xml:space="preserve"> revision </w:t>
      </w:r>
      <w:r w:rsidR="0F8F7677" w:rsidRPr="33925F25">
        <w:rPr>
          <w:rStyle w:val="normaltextrun"/>
          <w:noProof/>
        </w:rPr>
        <w:t xml:space="preserve">of </w:t>
      </w:r>
      <w:r w:rsidR="004151DC">
        <w:rPr>
          <w:rStyle w:val="normaltextrun"/>
          <w:noProof/>
        </w:rPr>
        <w:t>the WFD</w:t>
      </w:r>
      <w:r w:rsidR="0F8F7677" w:rsidRPr="33925F25">
        <w:rPr>
          <w:rStyle w:val="normaltextrun"/>
          <w:noProof/>
        </w:rPr>
        <w:t>,</w:t>
      </w:r>
      <w:r w:rsidR="0D111B19" w:rsidRPr="33925F25">
        <w:rPr>
          <w:rStyle w:val="normaltextrun"/>
          <w:noProof/>
        </w:rPr>
        <w:t xml:space="preserve"> </w:t>
      </w:r>
      <w:r w:rsidR="0F8F7677" w:rsidRPr="33925F25">
        <w:rPr>
          <w:rStyle w:val="normaltextrun"/>
          <w:noProof/>
        </w:rPr>
        <w:t>in particular on</w:t>
      </w:r>
      <w:r w:rsidR="0D111B19" w:rsidRPr="33925F25">
        <w:rPr>
          <w:rStyle w:val="normaltextrun"/>
          <w:noProof/>
        </w:rPr>
        <w:t xml:space="preserve"> the feasibility of setting food waste reduction targets</w:t>
      </w:r>
      <w:r w:rsidR="06AD227E" w:rsidRPr="33925F25">
        <w:rPr>
          <w:rStyle w:val="normaltextrun"/>
          <w:noProof/>
        </w:rPr>
        <w:t>:</w:t>
      </w:r>
      <w:r w:rsidR="0D111B19" w:rsidRPr="33925F25">
        <w:rPr>
          <w:rStyle w:val="normaltextrun"/>
          <w:noProof/>
        </w:rPr>
        <w:t xml:space="preserve"> </w:t>
      </w:r>
    </w:p>
    <w:p w14:paraId="1F5A8BA7" w14:textId="4BBBC98B" w:rsidR="004151DC" w:rsidRPr="000568A1" w:rsidRDefault="004151DC" w:rsidP="00016D72">
      <w:pPr>
        <w:pStyle w:val="Tiret1"/>
        <w:numPr>
          <w:ilvl w:val="0"/>
          <w:numId w:val="42"/>
        </w:numPr>
        <w:rPr>
          <w:noProof/>
          <w:lang w:val="en-IE"/>
        </w:rPr>
      </w:pPr>
      <w:r w:rsidRPr="005B1356">
        <w:rPr>
          <w:noProof/>
          <w:lang w:val="en-IE"/>
        </w:rPr>
        <w:t>European Commission, Joint Research Centre:</w:t>
      </w:r>
      <w:r w:rsidRPr="005B1356">
        <w:rPr>
          <w:noProof/>
          <w:lang w:val="en-US"/>
        </w:rPr>
        <w:t xml:space="preserve"> Setting the scene for an EU initiative on food waste reduction targets, 2023</w:t>
      </w:r>
      <w:r>
        <w:rPr>
          <w:rStyle w:val="FootnoteReference"/>
          <w:noProof/>
          <w:lang w:val="en-US"/>
        </w:rPr>
        <w:footnoteReference w:id="63"/>
      </w:r>
      <w:r w:rsidRPr="005B1356">
        <w:rPr>
          <w:noProof/>
          <w:lang w:val="en-US"/>
        </w:rPr>
        <w:t xml:space="preserve"> </w:t>
      </w:r>
    </w:p>
    <w:p w14:paraId="6FAC3B50" w14:textId="49B21E86" w:rsidR="004151DC" w:rsidRPr="000568A1" w:rsidRDefault="004151DC" w:rsidP="00016D72">
      <w:pPr>
        <w:pStyle w:val="Tiret1"/>
        <w:rPr>
          <w:noProof/>
          <w:szCs w:val="24"/>
          <w:lang w:val="en-IE" w:eastAsia="en-IE"/>
        </w:rPr>
      </w:pPr>
      <w:r w:rsidRPr="005B1356">
        <w:rPr>
          <w:noProof/>
          <w:lang w:val="en-IE"/>
        </w:rPr>
        <w:t>European Commission, Joint Research Centre:</w:t>
      </w:r>
      <w:r w:rsidRPr="005B1356">
        <w:rPr>
          <w:noProof/>
          <w:lang w:val="en-US"/>
        </w:rPr>
        <w:t xml:space="preserve"> </w:t>
      </w:r>
      <w:r w:rsidRPr="005B1356">
        <w:rPr>
          <w:noProof/>
        </w:rPr>
        <w:t>Assessing the economic, social and environmental impacts of food waste reduction targets. A model-based analysis</w:t>
      </w:r>
      <w:r w:rsidRPr="005B1356">
        <w:rPr>
          <w:noProof/>
          <w:lang w:val="en-US"/>
        </w:rPr>
        <w:t>, 2023</w:t>
      </w:r>
      <w:r>
        <w:rPr>
          <w:rStyle w:val="FootnoteReference"/>
          <w:noProof/>
          <w:lang w:val="en-US"/>
        </w:rPr>
        <w:footnoteReference w:id="64"/>
      </w:r>
      <w:r w:rsidRPr="005B1356">
        <w:rPr>
          <w:noProof/>
          <w:lang w:val="en-US"/>
        </w:rPr>
        <w:t xml:space="preserve"> </w:t>
      </w:r>
    </w:p>
    <w:p w14:paraId="55833AB7" w14:textId="52230B4A" w:rsidR="003E7DDB" w:rsidRPr="002B5AC2" w:rsidRDefault="0D111B19" w:rsidP="00016D72">
      <w:pPr>
        <w:pStyle w:val="Tiret0"/>
        <w:rPr>
          <w:rFonts w:eastAsia="Times New Roman"/>
          <w:noProof/>
          <w:szCs w:val="24"/>
          <w:lang w:val="en-IE" w:eastAsia="en-IE"/>
        </w:rPr>
      </w:pPr>
      <w:r w:rsidRPr="00E50A7A">
        <w:rPr>
          <w:rStyle w:val="normaltextrun"/>
          <w:noProof/>
          <w:lang w:val="en-IE"/>
        </w:rPr>
        <w:t>On 25 October 2022, Eurostat published the first dedicated statistical monitoring of the amount of food waste in the European Union</w:t>
      </w:r>
      <w:r w:rsidR="0F8F7677" w:rsidRPr="00E50A7A">
        <w:rPr>
          <w:rStyle w:val="normaltextrun"/>
          <w:noProof/>
          <w:lang w:val="en-IE"/>
        </w:rPr>
        <w:t xml:space="preserve">, supported with </w:t>
      </w:r>
      <w:r w:rsidR="619B6C2D" w:rsidRPr="00E50A7A">
        <w:rPr>
          <w:rStyle w:val="normaltextrun"/>
          <w:noProof/>
          <w:lang w:val="en-IE"/>
        </w:rPr>
        <w:t xml:space="preserve">additional </w:t>
      </w:r>
      <w:r w:rsidR="0F8F7677" w:rsidRPr="00E50A7A">
        <w:rPr>
          <w:rStyle w:val="normaltextrun"/>
          <w:noProof/>
          <w:lang w:val="en-IE"/>
        </w:rPr>
        <w:t xml:space="preserve">explanations </w:t>
      </w:r>
      <w:r w:rsidR="619B6C2D" w:rsidRPr="00E50A7A">
        <w:rPr>
          <w:rStyle w:val="normaltextrun"/>
          <w:noProof/>
          <w:lang w:val="en-IE"/>
        </w:rPr>
        <w:t xml:space="preserve">on the data of food waste amounts in the EU. The </w:t>
      </w:r>
      <w:r w:rsidR="04813E7B" w:rsidRPr="00E50A7A">
        <w:rPr>
          <w:rStyle w:val="normaltextrun"/>
          <w:noProof/>
          <w:lang w:val="en-IE"/>
        </w:rPr>
        <w:t xml:space="preserve">description and interpretation of data as well as methodology can be found at the </w:t>
      </w:r>
      <w:r w:rsidR="7AF05830" w:rsidRPr="00E50A7A">
        <w:rPr>
          <w:rStyle w:val="normaltextrun"/>
          <w:noProof/>
          <w:lang w:val="en-IE"/>
        </w:rPr>
        <w:t xml:space="preserve">Eurostat Statistics Explained webpage </w:t>
      </w:r>
      <w:r w:rsidR="5EC0480E" w:rsidRPr="00E50A7A">
        <w:rPr>
          <w:rStyle w:val="normaltextrun"/>
          <w:noProof/>
          <w:lang w:val="en-IE"/>
        </w:rPr>
        <w:t>dedicated</w:t>
      </w:r>
      <w:r w:rsidR="7AF05830" w:rsidRPr="00E50A7A">
        <w:rPr>
          <w:rStyle w:val="normaltextrun"/>
          <w:noProof/>
          <w:lang w:val="en-IE"/>
        </w:rPr>
        <w:t xml:space="preserve"> to food waste</w:t>
      </w:r>
      <w:r w:rsidR="00415D46">
        <w:rPr>
          <w:rStyle w:val="FootnoteReference"/>
          <w:noProof/>
          <w:lang w:val="en-IE"/>
        </w:rPr>
        <w:footnoteReference w:id="65"/>
      </w:r>
      <w:r w:rsidR="7AF05830" w:rsidRPr="00E50A7A">
        <w:rPr>
          <w:rStyle w:val="normaltextrun"/>
          <w:noProof/>
          <w:lang w:val="en-IE"/>
        </w:rPr>
        <w:t xml:space="preserve">. The </w:t>
      </w:r>
      <w:r w:rsidR="28A503E4" w:rsidRPr="00E50A7A">
        <w:rPr>
          <w:rStyle w:val="normaltextrun"/>
          <w:noProof/>
          <w:lang w:val="en-IE"/>
        </w:rPr>
        <w:t>data ha</w:t>
      </w:r>
      <w:r w:rsidR="265B6C27" w:rsidRPr="00E50A7A">
        <w:rPr>
          <w:rStyle w:val="normaltextrun"/>
          <w:noProof/>
          <w:lang w:val="en-IE"/>
        </w:rPr>
        <w:t>ve</w:t>
      </w:r>
      <w:r w:rsidR="28A503E4" w:rsidRPr="00E50A7A">
        <w:rPr>
          <w:rStyle w:val="normaltextrun"/>
          <w:noProof/>
          <w:lang w:val="en-IE"/>
        </w:rPr>
        <w:t xml:space="preserve"> been </w:t>
      </w:r>
      <w:r w:rsidR="789B8021" w:rsidRPr="00E50A7A">
        <w:rPr>
          <w:rStyle w:val="normaltextrun"/>
          <w:noProof/>
          <w:lang w:val="en-IE"/>
        </w:rPr>
        <w:t>last</w:t>
      </w:r>
      <w:r w:rsidR="28A503E4" w:rsidRPr="00E50A7A">
        <w:rPr>
          <w:rStyle w:val="normaltextrun"/>
          <w:noProof/>
          <w:lang w:val="en-IE"/>
        </w:rPr>
        <w:t xml:space="preserve"> updated in March 2023</w:t>
      </w:r>
      <w:r w:rsidR="476FA40C" w:rsidRPr="33925F25">
        <w:rPr>
          <w:rFonts w:eastAsia="Times New Roman"/>
          <w:noProof/>
          <w:lang w:val="en-IE" w:eastAsia="en-IE"/>
        </w:rPr>
        <w:t>.</w:t>
      </w:r>
    </w:p>
    <w:p w14:paraId="267063EF" w14:textId="77777777" w:rsidR="00BD152F" w:rsidRPr="00E50A7A" w:rsidRDefault="00BD152F" w:rsidP="00B00391">
      <w:pPr>
        <w:pStyle w:val="ManualHeading2"/>
        <w:rPr>
          <w:rFonts w:eastAsia="Arial Unicode MS"/>
          <w:noProof/>
          <w:u w:color="000000"/>
          <w:bdr w:val="nil"/>
          <w:lang w:val="en-IE" w:eastAsia="en-GB"/>
        </w:rPr>
      </w:pPr>
      <w:r w:rsidRPr="00E50A7A">
        <w:rPr>
          <w:rFonts w:eastAsia="Arial Unicode MS"/>
          <w:noProof/>
          <w:u w:color="000000"/>
          <w:bdr w:val="nil"/>
          <w:lang w:val="en-IE" w:eastAsia="en-GB"/>
        </w:rPr>
        <w:t>•</w:t>
      </w:r>
      <w:r w:rsidRPr="00E50A7A">
        <w:rPr>
          <w:rFonts w:eastAsia="Arial Unicode MS"/>
          <w:noProof/>
          <w:u w:color="000000"/>
          <w:bdr w:val="nil"/>
          <w:lang w:val="en-IE" w:eastAsia="en-GB"/>
        </w:rPr>
        <w:tab/>
        <w:t>Impact assessment</w:t>
      </w:r>
    </w:p>
    <w:p w14:paraId="40B69F6A" w14:textId="77777777" w:rsidR="00844909" w:rsidRPr="00E50A7A" w:rsidRDefault="006C5377" w:rsidP="6ABD5FCF">
      <w:pPr>
        <w:pBdr>
          <w:top w:val="nil"/>
          <w:left w:val="nil"/>
          <w:bottom w:val="nil"/>
          <w:right w:val="nil"/>
          <w:between w:val="nil"/>
          <w:bar w:val="nil"/>
        </w:pBdr>
        <w:spacing w:before="0" w:after="240"/>
        <w:rPr>
          <w:rFonts w:eastAsia="Arial Unicode MS"/>
          <w:noProof/>
          <w:lang w:val="en-IE"/>
        </w:rPr>
      </w:pPr>
      <w:r w:rsidRPr="00E50A7A">
        <w:rPr>
          <w:rFonts w:eastAsia="Arial Unicode MS"/>
          <w:noProof/>
          <w:lang w:val="en-IE"/>
        </w:rPr>
        <w:t xml:space="preserve">The proposal is </w:t>
      </w:r>
      <w:r w:rsidR="00916D71" w:rsidRPr="00E50A7A">
        <w:rPr>
          <w:rFonts w:eastAsia="Arial Unicode MS"/>
          <w:noProof/>
          <w:lang w:val="en-IE"/>
        </w:rPr>
        <w:t xml:space="preserve">accompanied by </w:t>
      </w:r>
      <w:r w:rsidRPr="00E50A7A">
        <w:rPr>
          <w:rFonts w:eastAsia="Arial Unicode MS"/>
          <w:noProof/>
          <w:lang w:val="en-IE"/>
        </w:rPr>
        <w:t xml:space="preserve">an impact assessment. </w:t>
      </w:r>
      <w:r w:rsidR="00844909" w:rsidRPr="00E50A7A">
        <w:rPr>
          <w:rFonts w:eastAsia="Arial Unicode MS"/>
          <w:noProof/>
          <w:lang w:val="en-IE"/>
        </w:rPr>
        <w:t xml:space="preserve">The impact assessment provides to a large extent </w:t>
      </w:r>
      <w:r w:rsidR="005C5D10" w:rsidRPr="00E50A7A">
        <w:rPr>
          <w:rFonts w:eastAsia="Arial Unicode MS"/>
          <w:noProof/>
          <w:lang w:val="en-IE"/>
        </w:rPr>
        <w:t>two</w:t>
      </w:r>
      <w:r w:rsidR="00844909" w:rsidRPr="00E50A7A">
        <w:rPr>
          <w:rFonts w:eastAsia="Arial Unicode MS"/>
          <w:noProof/>
          <w:lang w:val="en-IE"/>
        </w:rPr>
        <w:t xml:space="preserve"> stand-alone sections covering separately the food and textile waste, as both topics in terms of problems addressed, objectives set and options identified have different specificities that could not be answered by the same approach. </w:t>
      </w:r>
    </w:p>
    <w:p w14:paraId="390E8C4F" w14:textId="77777777" w:rsidR="006C5377" w:rsidRPr="00E50A7A" w:rsidRDefault="006C5377" w:rsidP="006C5377">
      <w:pPr>
        <w:pBdr>
          <w:top w:val="nil"/>
          <w:left w:val="nil"/>
          <w:bottom w:val="nil"/>
          <w:right w:val="nil"/>
          <w:between w:val="nil"/>
          <w:bar w:val="nil"/>
        </w:pBdr>
        <w:spacing w:before="0" w:after="240"/>
        <w:rPr>
          <w:rFonts w:eastAsia="Arial Unicode MS"/>
          <w:noProof/>
          <w:lang w:val="en-IE"/>
        </w:rPr>
      </w:pPr>
      <w:r w:rsidRPr="00E50A7A">
        <w:rPr>
          <w:rFonts w:eastAsia="Arial Unicode MS"/>
          <w:noProof/>
          <w:lang w:val="en-IE"/>
        </w:rPr>
        <w:t>After addressing the comments of the Regulatory Scrutiny Board in its initial negative opinion of 17 March 2023 and making the necessary modifications and additions, the impact assessment received a positive opinion with reservations on 26 May 2023.  </w:t>
      </w:r>
    </w:p>
    <w:p w14:paraId="7E2994A1" w14:textId="77777777" w:rsidR="006C5377" w:rsidRPr="00E50A7A" w:rsidRDefault="006C5377" w:rsidP="00B00391">
      <w:pPr>
        <w:pBdr>
          <w:top w:val="nil"/>
          <w:left w:val="nil"/>
          <w:bottom w:val="nil"/>
          <w:right w:val="nil"/>
          <w:between w:val="nil"/>
          <w:bar w:val="nil"/>
        </w:pBdr>
        <w:spacing w:before="0" w:after="240"/>
        <w:rPr>
          <w:rFonts w:eastAsia="Arial Unicode MS"/>
          <w:noProof/>
          <w:lang w:val="en-IE"/>
        </w:rPr>
      </w:pPr>
      <w:r w:rsidRPr="00E50A7A">
        <w:rPr>
          <w:rFonts w:eastAsia="Arial Unicode MS"/>
          <w:noProof/>
          <w:lang w:val="en-IE"/>
        </w:rPr>
        <w:t>Detailed comments from the Regulatory Scrutiny Board and how they have been taken into account can be found in Table 1 in Annex I to the Impact Assessment accompanying this proposal.</w:t>
      </w:r>
    </w:p>
    <w:p w14:paraId="1C37CDD7" w14:textId="77777777" w:rsidR="006C5377" w:rsidRPr="00E50A7A" w:rsidRDefault="006C5377" w:rsidP="00885913">
      <w:pPr>
        <w:pBdr>
          <w:top w:val="nil"/>
          <w:left w:val="nil"/>
          <w:bottom w:val="nil"/>
          <w:right w:val="nil"/>
          <w:between w:val="nil"/>
          <w:bar w:val="nil"/>
        </w:pBdr>
        <w:spacing w:before="0" w:after="240"/>
        <w:rPr>
          <w:rFonts w:eastAsia="Arial Unicode MS"/>
          <w:noProof/>
          <w:lang w:val="en-IE"/>
        </w:rPr>
      </w:pPr>
      <w:r w:rsidRPr="00E50A7A">
        <w:rPr>
          <w:rFonts w:eastAsia="Arial Unicode MS"/>
          <w:noProof/>
          <w:lang w:val="en-IE"/>
        </w:rPr>
        <w:t>The impact assessment compiled all possible measures for analysis, based on inputs received from an external consultant, stakeholder workshops, an online public consultation and targeted interviews. The diverse, complex and often interrelated measures were grouped under three policy options, which are compared to a business-as-usual scenario.  </w:t>
      </w:r>
    </w:p>
    <w:p w14:paraId="23E07392" w14:textId="77777777" w:rsidR="006C5377" w:rsidRPr="00E50A7A" w:rsidRDefault="006C5377" w:rsidP="00885913">
      <w:pPr>
        <w:pBdr>
          <w:top w:val="nil"/>
          <w:left w:val="nil"/>
          <w:bottom w:val="nil"/>
          <w:right w:val="nil"/>
          <w:between w:val="nil"/>
          <w:bar w:val="nil"/>
        </w:pBdr>
        <w:spacing w:before="0" w:after="240"/>
        <w:rPr>
          <w:rFonts w:eastAsia="Arial Unicode MS"/>
          <w:noProof/>
          <w:lang w:val="en-IE"/>
        </w:rPr>
      </w:pPr>
      <w:r w:rsidRPr="00E50A7A">
        <w:rPr>
          <w:rFonts w:eastAsia="Arial Unicode MS"/>
          <w:noProof/>
          <w:lang w:val="en-IE"/>
        </w:rPr>
        <w:t>The three policy options for textiles can be summarised as follows: </w:t>
      </w:r>
    </w:p>
    <w:p w14:paraId="74BE5FEF" w14:textId="77777777" w:rsidR="006C5377" w:rsidRPr="00E50A7A" w:rsidRDefault="006C5377" w:rsidP="00C15960">
      <w:pPr>
        <w:pStyle w:val="Tiret0"/>
        <w:numPr>
          <w:ilvl w:val="0"/>
          <w:numId w:val="29"/>
        </w:numPr>
        <w:rPr>
          <w:rStyle w:val="normaltextrun"/>
          <w:noProof/>
          <w:lang w:val="en-IE"/>
        </w:rPr>
      </w:pPr>
      <w:r w:rsidRPr="00E50A7A">
        <w:rPr>
          <w:rStyle w:val="normaltextrun"/>
          <w:noProof/>
          <w:lang w:val="en-IE"/>
        </w:rPr>
        <w:t xml:space="preserve">Option 1 – Supports Member States in implementing and enforcing current provisions through more harmonised application of definitions, approaches to separate collection and attribution of responsibility for waste management by adopting non-binding guidance, recommendations and exercise of existing Commission mandates for secondary legislation, improving current stakeholder platforms for guidance and </w:t>
      </w:r>
      <w:r w:rsidRPr="00E50A7A">
        <w:rPr>
          <w:rStyle w:val="normaltextrun"/>
          <w:noProof/>
          <w:lang w:val="en-IE"/>
        </w:rPr>
        <w:lastRenderedPageBreak/>
        <w:t>exchange of best practices. This option addresses all problem drivers and both specific objectives albeit with a likely reduced impact due to the nature of the measures being limited to non-binding instruments </w:t>
      </w:r>
    </w:p>
    <w:p w14:paraId="467340FF" w14:textId="77777777" w:rsidR="006C5377" w:rsidRPr="00E50A7A" w:rsidRDefault="006C5377" w:rsidP="00016D72">
      <w:pPr>
        <w:pStyle w:val="Tiret0"/>
        <w:rPr>
          <w:rStyle w:val="normaltextrun"/>
          <w:noProof/>
          <w:lang w:val="en-IE"/>
        </w:rPr>
      </w:pPr>
      <w:r w:rsidRPr="00E50A7A">
        <w:rPr>
          <w:rStyle w:val="normaltextrun"/>
          <w:noProof/>
          <w:lang w:val="en-IE"/>
        </w:rPr>
        <w:t>Option 2 – Sets additional binding regulatory requirements to improve the waste management performance in line with the waste hierarchy through a targeted amendment of the WFD. The purpose of the amendments is to create new operational obligations on Member States, producers of textiles and waste management operators. They would clarify and harmonise definitions at EU level, clarify the scope of the existing reporting obligations to improve the robustness of data, clarify the scope of the separate collection obligations, and introduce new operational obligations for waste operators to ensure sorting for re-use and recycling. The flagship measure of this option is introducing a mandate for Member States to set up national EPR schemes for textiles and harmonise its scope, objectives and key organisational and operational features. This option addresses all problem drivers and both specific objectives </w:t>
      </w:r>
    </w:p>
    <w:p w14:paraId="4E914323" w14:textId="77777777" w:rsidR="00995829" w:rsidRPr="00E50A7A" w:rsidRDefault="006C5377" w:rsidP="00016D72">
      <w:pPr>
        <w:pStyle w:val="Tiret0"/>
        <w:rPr>
          <w:rStyle w:val="normaltextrun"/>
          <w:noProof/>
          <w:lang w:val="en-IE"/>
        </w:rPr>
      </w:pPr>
      <w:r w:rsidRPr="00E50A7A">
        <w:rPr>
          <w:rStyle w:val="normaltextrun"/>
          <w:noProof/>
          <w:lang w:val="en-IE"/>
        </w:rPr>
        <w:t xml:space="preserve">Option 3 – Prescribing waste management performance targets at EU level. This option entails an amendment to the WFD establishing binding waste management performance targets operationalising the waste hierarchy for the Member States and economic operators. Harmonisation of scopes and definitions would be integral to the definition of the target in the WFD and subsequent implementing acts defining more detailed rules on the calculation methodology for each of the target. This option addresses both specific objectives and all problem drivers, albeit it would not bring about a level of harmonisation as provided by Option 2 since it leaves the decisions on the means to attain the performance levels to the Member States. Since the current data on textile waste generation is not sufficiently robust, which is partly due to the fragmented understanding of whether collected textiles are waste and the scope of the textiles covered by Member State implementation, the Impact Assessment explains the feasibility of the mechanism by which targets could be set in the future and the impacts of that process (and not the actual levels of targets). In relation to setting a target for collection, a more detailed assessment based on an interim medium-ambition target is presented. Measure 3.6 </w:t>
      </w:r>
      <w:r w:rsidR="00844909" w:rsidRPr="00E50A7A">
        <w:rPr>
          <w:rStyle w:val="normaltextrun"/>
          <w:noProof/>
          <w:lang w:val="en-IE"/>
        </w:rPr>
        <w:t>specifically</w:t>
      </w:r>
      <w:r w:rsidRPr="00E50A7A">
        <w:rPr>
          <w:rStyle w:val="normaltextrun"/>
          <w:noProof/>
          <w:lang w:val="en-IE"/>
        </w:rPr>
        <w:t xml:space="preserve"> is about setting a 50% collection target for textiles: The attainment of the target would improve separate collection rate for textiles thereby increasing re-use rates, recycling rates and decreasing disposal rates</w:t>
      </w:r>
      <w:r w:rsidR="00740E18" w:rsidRPr="00E50A7A">
        <w:rPr>
          <w:rStyle w:val="normaltextrun"/>
          <w:noProof/>
          <w:lang w:val="en-IE"/>
        </w:rPr>
        <w:t>, but it would also impose administrative burden and the existing 2025 separate collection obligation may have a similar effect on the separate collection rate. There is also large heterogeneity across the predicted rates across Member States, which may make it challenging to set a target at this stage.</w:t>
      </w:r>
      <w:r w:rsidRPr="00E50A7A">
        <w:rPr>
          <w:rStyle w:val="normaltextrun"/>
          <w:noProof/>
          <w:lang w:val="en-IE"/>
        </w:rPr>
        <w:t> </w:t>
      </w:r>
    </w:p>
    <w:p w14:paraId="35C98103" w14:textId="77777777" w:rsidR="000C1B7A" w:rsidRPr="00E50A7A" w:rsidRDefault="000C1B7A" w:rsidP="6ABD5FCF">
      <w:pPr>
        <w:pBdr>
          <w:top w:val="nil"/>
          <w:left w:val="nil"/>
          <w:bottom w:val="nil"/>
          <w:right w:val="nil"/>
          <w:between w:val="nil"/>
          <w:bar w:val="nil"/>
        </w:pBdr>
        <w:spacing w:before="0" w:after="240"/>
        <w:rPr>
          <w:rFonts w:eastAsia="Arial Unicode MS"/>
          <w:noProof/>
          <w:lang w:val="en-IE"/>
        </w:rPr>
      </w:pPr>
      <w:r w:rsidRPr="00E50A7A">
        <w:rPr>
          <w:rFonts w:eastAsia="Arial Unicode MS"/>
          <w:noProof/>
          <w:lang w:val="en-IE"/>
        </w:rPr>
        <w:t xml:space="preserve">Impacts on SMEs are assessed as part of the impact assessment process. The SME filter identified this initiative as having high overall impact on SMEs. The various SME categories are identified across the textile value chain as a basis for the IA process. </w:t>
      </w:r>
    </w:p>
    <w:p w14:paraId="0E672E21" w14:textId="77777777" w:rsidR="000C1B7A" w:rsidRPr="00E50A7A" w:rsidRDefault="000C1B7A" w:rsidP="6ABD5FCF">
      <w:pPr>
        <w:pBdr>
          <w:top w:val="nil"/>
          <w:left w:val="nil"/>
          <w:bottom w:val="nil"/>
          <w:right w:val="nil"/>
          <w:between w:val="nil"/>
          <w:bar w:val="nil"/>
        </w:pBdr>
        <w:spacing w:before="0" w:after="240"/>
        <w:rPr>
          <w:rFonts w:eastAsia="Arial Unicode MS"/>
          <w:noProof/>
          <w:lang w:val="en-IE"/>
        </w:rPr>
      </w:pPr>
      <w:r w:rsidRPr="00E50A7A">
        <w:rPr>
          <w:rFonts w:eastAsia="Arial Unicode MS"/>
          <w:noProof/>
          <w:lang w:val="en-IE"/>
        </w:rPr>
        <w:t>88% of textile companies are microenterprises (0-9 employees), 12% are other SMEs (10-249 employees) and the remaining 0.3% are large companies (more than 250 employees). SMEs were very well engaged in the public consultation as well as in the targeted consultation processes. 320 respondents to the public consultation were SMEs versus 138 large companies. Amongst the categories ‘businesses/companies’ and ‘business association’ we received 200 SME replies compared to 99 from large businesses. Also, large business associations that have expressed detailed views are largely composed of SME members representative of the composition of the textile sector in manufacturing and retail and waste management stages.   `</w:t>
      </w:r>
    </w:p>
    <w:p w14:paraId="276159E4" w14:textId="77777777" w:rsidR="000C1B7A" w:rsidRPr="00E50A7A" w:rsidRDefault="000C1B7A" w:rsidP="072CAFB5">
      <w:pPr>
        <w:pBdr>
          <w:top w:val="nil"/>
          <w:left w:val="nil"/>
          <w:bottom w:val="nil"/>
          <w:right w:val="nil"/>
          <w:between w:val="nil"/>
          <w:bar w:val="nil"/>
        </w:pBdr>
        <w:spacing w:before="0" w:after="240"/>
        <w:rPr>
          <w:rFonts w:eastAsia="Arial Unicode MS"/>
          <w:noProof/>
          <w:lang w:val="en-IE"/>
        </w:rPr>
      </w:pPr>
      <w:r w:rsidRPr="00E50A7A">
        <w:rPr>
          <w:rFonts w:eastAsia="Arial Unicode MS"/>
          <w:noProof/>
          <w:lang w:val="en-IE"/>
        </w:rPr>
        <w:lastRenderedPageBreak/>
        <w:t>In general, SMEs pointed out in their position papers that currently there is no large-scale planning to process the waste. Most of them agreed that textile production’s design and consumption patterns have to be changed, leading to the production of textiles of higher quality that can last longer. They also highlighted the importance of prioritizing waste prevention and re</w:t>
      </w:r>
      <w:r w:rsidR="2B60C6AB" w:rsidRPr="00E50A7A">
        <w:rPr>
          <w:rFonts w:eastAsia="Arial Unicode MS"/>
          <w:noProof/>
          <w:lang w:val="en-IE"/>
        </w:rPr>
        <w:t>-</w:t>
      </w:r>
      <w:r w:rsidRPr="00E50A7A">
        <w:rPr>
          <w:rFonts w:eastAsia="Arial Unicode MS"/>
          <w:noProof/>
          <w:lang w:val="en-IE"/>
        </w:rPr>
        <w:t>use and the need to set re</w:t>
      </w:r>
      <w:r w:rsidR="0DA02074" w:rsidRPr="00E50A7A">
        <w:rPr>
          <w:rFonts w:eastAsia="Arial Unicode MS"/>
          <w:noProof/>
          <w:lang w:val="en-IE"/>
        </w:rPr>
        <w:t>-</w:t>
      </w:r>
      <w:r w:rsidRPr="00E50A7A">
        <w:rPr>
          <w:rFonts w:eastAsia="Arial Unicode MS"/>
          <w:noProof/>
          <w:lang w:val="en-IE"/>
        </w:rPr>
        <w:t>use and preparation for re</w:t>
      </w:r>
      <w:r w:rsidR="38CA1E78" w:rsidRPr="00E50A7A">
        <w:rPr>
          <w:rFonts w:eastAsia="Arial Unicode MS"/>
          <w:noProof/>
          <w:lang w:val="en-IE"/>
        </w:rPr>
        <w:t>-</w:t>
      </w:r>
      <w:r w:rsidRPr="00E50A7A">
        <w:rPr>
          <w:rFonts w:eastAsia="Arial Unicode MS"/>
          <w:noProof/>
          <w:lang w:val="en-IE"/>
        </w:rPr>
        <w:t>use targets, as well as to improve separate collection systems. Regarding EPR, the main points were to ensure that EPR schemes enforce the waste hierarchy by setting quantitative targets for waste prevention and preparation for re</w:t>
      </w:r>
      <w:r w:rsidR="01B6E18E" w:rsidRPr="00E50A7A">
        <w:rPr>
          <w:rFonts w:eastAsia="Arial Unicode MS"/>
          <w:noProof/>
          <w:lang w:val="en-IE"/>
        </w:rPr>
        <w:t>-</w:t>
      </w:r>
      <w:r w:rsidRPr="00E50A7A">
        <w:rPr>
          <w:rFonts w:eastAsia="Arial Unicode MS"/>
          <w:noProof/>
          <w:lang w:val="en-IE"/>
        </w:rPr>
        <w:t>use, ensure a harmonised approach to eco-modulation of EPR fees and the fair competition in recycling markets, granting access to the waste stream to preparing for re</w:t>
      </w:r>
      <w:r w:rsidR="686CE0BC" w:rsidRPr="00E50A7A">
        <w:rPr>
          <w:rFonts w:eastAsia="Arial Unicode MS"/>
          <w:noProof/>
          <w:lang w:val="en-IE"/>
        </w:rPr>
        <w:t>-</w:t>
      </w:r>
      <w:r w:rsidRPr="00E50A7A">
        <w:rPr>
          <w:rFonts w:eastAsia="Arial Unicode MS"/>
          <w:noProof/>
          <w:lang w:val="en-IE"/>
        </w:rPr>
        <w:t>use operators, while also involving social enterprises as key stakeholders in the development, governance and functioning of these schemes. Also, the harmonisation at EU-level of end-of-waste criteria was advocated which was also endorsed by the recycling industry, as well as the insurance of the consistency with other regulatory initiatives, such as the ESPR and WSR</w:t>
      </w:r>
      <w:r w:rsidR="00DD3738">
        <w:rPr>
          <w:rFonts w:eastAsia="Arial Unicode MS"/>
          <w:noProof/>
          <w:lang w:val="en-IE"/>
        </w:rPr>
        <w:t xml:space="preserve">. </w:t>
      </w:r>
      <w:r w:rsidRPr="00E50A7A">
        <w:rPr>
          <w:rFonts w:eastAsia="Arial Unicode MS"/>
          <w:noProof/>
          <w:lang w:val="en-IE"/>
        </w:rPr>
        <w:t>Further, they pointed out that guidance to achieve high levels of separate collection of textile waste is needed, while maturing fibre sorting and pre-processing is critical to scale the recycling of post-consumer waste. Some of them reflected on the need for a harmonised definition of textile waste.</w:t>
      </w:r>
    </w:p>
    <w:p w14:paraId="5CC2589E" w14:textId="77777777" w:rsidR="000C1B7A" w:rsidRPr="00E50A7A" w:rsidRDefault="000C1B7A" w:rsidP="6ABD5FCF">
      <w:pPr>
        <w:pBdr>
          <w:top w:val="nil"/>
          <w:left w:val="nil"/>
          <w:bottom w:val="nil"/>
          <w:right w:val="nil"/>
          <w:between w:val="nil"/>
          <w:bar w:val="nil"/>
        </w:pBdr>
        <w:spacing w:before="0" w:after="240"/>
        <w:rPr>
          <w:rFonts w:eastAsia="Arial Unicode MS"/>
          <w:noProof/>
          <w:lang w:val="en-IE"/>
        </w:rPr>
      </w:pPr>
      <w:r w:rsidRPr="00E50A7A">
        <w:rPr>
          <w:rFonts w:eastAsia="Arial Unicode MS"/>
          <w:noProof/>
          <w:lang w:val="en-IE"/>
        </w:rPr>
        <w:t>In addition to the collection of stakeholder evidence on the potential impacts on SMEs additional assessment using data from Eurostat on the composition, turnover and spread of SMEs was performed in order to identify those impacts that would significantly impact on such enterprises. The consultant’s study considered the specific impacts on SMEs for each measure. In this respect measures under Option 1 are likely to place no significant administrative burden on SMEs, while at the same time the measures should simplify obligations placed on SMEs aligning the scope of textiles. The guidance and support platform foreseen under this option would have the largest impacts on SMEs overall. Measures under Option 2 and 3 are expected to have minor additional costs on SMEs. The most burdensome measure that considers the application of extended producer EPR schemes (measure 2.9) would address SMEs given the majority of producers are SMEs. Additionally, reporting obligations have been targeted to revise existing obligations in the first place to make them more fit for purpose and improve the knowledge base for the textile sector overall.</w:t>
      </w:r>
    </w:p>
    <w:p w14:paraId="26CE889B" w14:textId="77777777" w:rsidR="0014741C" w:rsidRPr="00E50A7A" w:rsidRDefault="000C1B7A" w:rsidP="6ABD5FCF">
      <w:pPr>
        <w:pBdr>
          <w:top w:val="nil"/>
          <w:left w:val="nil"/>
          <w:bottom w:val="nil"/>
          <w:right w:val="nil"/>
          <w:between w:val="nil"/>
          <w:bar w:val="nil"/>
        </w:pBdr>
        <w:spacing w:before="0" w:after="240"/>
        <w:rPr>
          <w:rFonts w:eastAsia="Arial Unicode MS"/>
          <w:noProof/>
          <w:lang w:val="en-IE"/>
        </w:rPr>
      </w:pPr>
      <w:r w:rsidRPr="00E50A7A">
        <w:rPr>
          <w:rFonts w:eastAsia="Arial Unicode MS"/>
          <w:noProof/>
          <w:lang w:val="en-IE"/>
        </w:rPr>
        <w:t>To avoid the application of unnecessary administrative and compliance burdens, the IA proposes, and the legal text excludes micro-enterprises and the re-use sector from the scope of the EPR. Re-use actors that place both new and used products on the market, would be requested to only account for and report the new ones. The knock-on consequence of such exclusions would be a minor increase in the costs applicable to enterprises with over 10 employees, with those over 250 employees facing the largest additional burdens.</w:t>
      </w:r>
    </w:p>
    <w:p w14:paraId="5C5B68AA" w14:textId="5B36595C" w:rsidR="00237D17" w:rsidRPr="00E50A7A" w:rsidRDefault="00F04466" w:rsidP="005E5B64">
      <w:pPr>
        <w:pBdr>
          <w:top w:val="nil"/>
          <w:left w:val="nil"/>
          <w:bottom w:val="nil"/>
          <w:right w:val="nil"/>
          <w:between w:val="nil"/>
          <w:bar w:val="nil"/>
        </w:pBdr>
        <w:spacing w:before="0" w:after="240"/>
        <w:rPr>
          <w:rFonts w:eastAsia="Arial Unicode MS"/>
          <w:noProof/>
          <w:lang w:val="en-IE"/>
        </w:rPr>
      </w:pPr>
      <w:r w:rsidRPr="00B314C8">
        <w:rPr>
          <w:rFonts w:eastAsia="Arial Unicode MS"/>
          <w:noProof/>
          <w:lang w:val="en-IE"/>
        </w:rPr>
        <w:t>The impacts on competitiveness have been assessed quantitatively, where possible, considering impacts on different types of competitiveness</w:t>
      </w:r>
      <w:r w:rsidR="00415D46">
        <w:rPr>
          <w:rStyle w:val="FootnoteReference"/>
          <w:rFonts w:eastAsia="Arial Unicode MS"/>
          <w:noProof/>
          <w:lang w:val="en-IE"/>
        </w:rPr>
        <w:footnoteReference w:id="66"/>
      </w:r>
      <w:r w:rsidRPr="00B314C8">
        <w:rPr>
          <w:rFonts w:eastAsia="Arial Unicode MS"/>
          <w:noProof/>
          <w:lang w:val="en-IE"/>
        </w:rPr>
        <w:t>. Price competitiveness aims to reflect the relative impacts of prices companies or company groups are able to set within a market. Dynamic competitiveness refers to the impacts on research and innovation that would enable to maintain or improve the firms’ competitiveness stance over time. Strategic competitiveness refers to the firms’ ability to partially meet their raw material or product demand through re-</w:t>
      </w:r>
      <w:r w:rsidRPr="00B314C8">
        <w:rPr>
          <w:rFonts w:eastAsia="Arial Unicode MS"/>
          <w:noProof/>
          <w:lang w:val="en-IE"/>
        </w:rPr>
        <w:lastRenderedPageBreak/>
        <w:t xml:space="preserve">used or recycled textiles within the EU. </w:t>
      </w:r>
      <w:r w:rsidR="00E308B5">
        <w:rPr>
          <w:rFonts w:eastAsia="Arial Unicode MS"/>
          <w:noProof/>
          <w:lang w:val="en-IE"/>
        </w:rPr>
        <w:t>T</w:t>
      </w:r>
      <w:r w:rsidRPr="00B314C8">
        <w:rPr>
          <w:rFonts w:eastAsia="Arial Unicode MS"/>
          <w:noProof/>
          <w:lang w:val="en-IE"/>
        </w:rPr>
        <w:t>he impacts on competitiveness are either positive or neutral.</w:t>
      </w:r>
    </w:p>
    <w:p w14:paraId="39CB311A" w14:textId="77777777" w:rsidR="006C5377" w:rsidRPr="00E50A7A" w:rsidRDefault="006C5377" w:rsidP="005E5B64">
      <w:pPr>
        <w:pBdr>
          <w:top w:val="nil"/>
          <w:left w:val="nil"/>
          <w:bottom w:val="nil"/>
          <w:right w:val="nil"/>
          <w:between w:val="nil"/>
          <w:bar w:val="nil"/>
        </w:pBdr>
        <w:spacing w:before="0" w:after="240"/>
        <w:rPr>
          <w:rFonts w:eastAsia="Arial Unicode MS"/>
          <w:noProof/>
          <w:lang w:val="en-IE"/>
        </w:rPr>
      </w:pPr>
      <w:r w:rsidRPr="00E50A7A">
        <w:rPr>
          <w:rFonts w:eastAsia="Arial Unicode MS"/>
          <w:noProof/>
          <w:lang w:val="en-IE"/>
        </w:rPr>
        <w:t>For food waste, policy options focused on different types, levels and scope of food waste reduction targets</w:t>
      </w:r>
      <w:r w:rsidR="00BF0967" w:rsidRPr="00E50A7A">
        <w:rPr>
          <w:rFonts w:eastAsia="Arial Unicode MS"/>
          <w:noProof/>
          <w:lang w:val="en-IE"/>
        </w:rPr>
        <w:t xml:space="preserve"> to be achieved by 2030</w:t>
      </w:r>
      <w:r w:rsidRPr="00E50A7A">
        <w:rPr>
          <w:rFonts w:eastAsia="Arial Unicode MS"/>
          <w:noProof/>
          <w:lang w:val="en-IE"/>
        </w:rPr>
        <w:t>, which can be summarised as follows: </w:t>
      </w:r>
    </w:p>
    <w:p w14:paraId="43278923" w14:textId="77777777" w:rsidR="006C5377" w:rsidRPr="00E50A7A" w:rsidRDefault="006C5377" w:rsidP="005E5B64">
      <w:pPr>
        <w:pBdr>
          <w:top w:val="nil"/>
          <w:left w:val="nil"/>
          <w:bottom w:val="nil"/>
          <w:right w:val="nil"/>
          <w:between w:val="nil"/>
          <w:bar w:val="nil"/>
        </w:pBdr>
        <w:spacing w:before="0" w:after="240"/>
        <w:rPr>
          <w:rFonts w:eastAsia="Arial Unicode MS"/>
          <w:noProof/>
          <w:lang w:val="en-IE"/>
        </w:rPr>
      </w:pPr>
      <w:r w:rsidRPr="00E50A7A">
        <w:rPr>
          <w:rFonts w:eastAsia="Arial Unicode MS"/>
          <w:b/>
          <w:noProof/>
          <w:lang w:val="en-IE"/>
        </w:rPr>
        <w:t>Option 1</w:t>
      </w:r>
      <w:r w:rsidRPr="00E50A7A">
        <w:rPr>
          <w:rFonts w:eastAsia="Arial Unicode MS"/>
          <w:noProof/>
          <w:lang w:val="en-IE"/>
        </w:rPr>
        <w:t xml:space="preserve"> is based on the minimum targets examined in the 2014 proposal to revise WFD</w:t>
      </w:r>
      <w:r w:rsidR="00C309FA" w:rsidRPr="00E50A7A">
        <w:rPr>
          <w:rStyle w:val="FootnoteReference"/>
          <w:rFonts w:eastAsia="Arial Unicode MS"/>
          <w:noProof/>
          <w:lang w:val="en-IE"/>
        </w:rPr>
        <w:footnoteReference w:id="67"/>
      </w:r>
      <w:r w:rsidRPr="00E50A7A">
        <w:rPr>
          <w:rFonts w:eastAsia="Arial Unicode MS"/>
          <w:noProof/>
          <w:lang w:val="en-IE"/>
        </w:rPr>
        <w:t>. </w:t>
      </w:r>
    </w:p>
    <w:p w14:paraId="5EC4E39F" w14:textId="77777777" w:rsidR="006C5377" w:rsidRPr="00E50A7A" w:rsidRDefault="006C5377" w:rsidP="00016D72">
      <w:pPr>
        <w:pStyle w:val="Tiret0"/>
        <w:rPr>
          <w:rStyle w:val="normaltextrun"/>
          <w:noProof/>
          <w:lang w:val="en-IE"/>
        </w:rPr>
      </w:pPr>
      <w:r w:rsidRPr="00E50A7A">
        <w:rPr>
          <w:rStyle w:val="normaltextrun"/>
          <w:noProof/>
          <w:lang w:val="en-IE"/>
        </w:rPr>
        <w:t xml:space="preserve">Target for primary production – </w:t>
      </w:r>
      <w:r w:rsidR="00CE4315">
        <w:rPr>
          <w:rStyle w:val="normaltextrun"/>
          <w:noProof/>
          <w:lang w:val="en-IE"/>
        </w:rPr>
        <w:t>no target</w:t>
      </w:r>
      <w:r w:rsidRPr="00E50A7A">
        <w:rPr>
          <w:rStyle w:val="normaltextrun"/>
          <w:noProof/>
          <w:lang w:val="en-IE"/>
        </w:rPr>
        <w:t>,  </w:t>
      </w:r>
    </w:p>
    <w:p w14:paraId="425D37C8" w14:textId="77777777" w:rsidR="006C5377" w:rsidRPr="00E50A7A" w:rsidRDefault="006C5377" w:rsidP="00016D72">
      <w:pPr>
        <w:pStyle w:val="Tiret0"/>
        <w:rPr>
          <w:rStyle w:val="normaltextrun"/>
          <w:noProof/>
          <w:lang w:val="en-IE"/>
        </w:rPr>
      </w:pPr>
      <w:r w:rsidRPr="00E50A7A">
        <w:rPr>
          <w:rStyle w:val="normaltextrun"/>
          <w:noProof/>
          <w:lang w:val="en-IE"/>
        </w:rPr>
        <w:t>Target for processing and manufacturing – 10%,  </w:t>
      </w:r>
    </w:p>
    <w:p w14:paraId="0D31D883" w14:textId="77777777" w:rsidR="006C5377" w:rsidRPr="00E50A7A" w:rsidRDefault="006C5377" w:rsidP="00016D72">
      <w:pPr>
        <w:pStyle w:val="Tiret0"/>
        <w:rPr>
          <w:rStyle w:val="normaltextrun"/>
          <w:noProof/>
          <w:lang w:val="en-IE"/>
        </w:rPr>
      </w:pPr>
      <w:r w:rsidRPr="00E50A7A">
        <w:rPr>
          <w:rStyle w:val="normaltextrun"/>
          <w:noProof/>
          <w:lang w:val="en-IE"/>
        </w:rPr>
        <w:t>Target for retail and consumption stages – 15% </w:t>
      </w:r>
    </w:p>
    <w:p w14:paraId="4C4BDFCC" w14:textId="77777777" w:rsidR="006C5377" w:rsidRPr="00E50A7A" w:rsidRDefault="006C5377" w:rsidP="005E5B64">
      <w:pPr>
        <w:pBdr>
          <w:top w:val="nil"/>
          <w:left w:val="nil"/>
          <w:bottom w:val="nil"/>
          <w:right w:val="nil"/>
          <w:between w:val="nil"/>
          <w:bar w:val="nil"/>
        </w:pBdr>
        <w:spacing w:before="0" w:after="240"/>
        <w:rPr>
          <w:rFonts w:eastAsia="Arial Unicode MS"/>
          <w:noProof/>
          <w:lang w:val="en-IE"/>
        </w:rPr>
      </w:pPr>
      <w:r w:rsidRPr="00E50A7A">
        <w:rPr>
          <w:rFonts w:eastAsia="Arial Unicode MS"/>
          <w:b/>
          <w:noProof/>
          <w:lang w:val="en-IE"/>
        </w:rPr>
        <w:t>Option 2</w:t>
      </w:r>
      <w:r w:rsidRPr="00E50A7A">
        <w:rPr>
          <w:rFonts w:eastAsia="Arial Unicode MS"/>
          <w:noProof/>
          <w:lang w:val="en-IE"/>
        </w:rPr>
        <w:t xml:space="preserve"> is a more ambitious variant with the maximum target examined in 2014 for retail and consumption stages. </w:t>
      </w:r>
    </w:p>
    <w:p w14:paraId="15D57685" w14:textId="77777777" w:rsidR="006C5377" w:rsidRPr="00E50A7A" w:rsidRDefault="006C5377" w:rsidP="00016D72">
      <w:pPr>
        <w:pStyle w:val="Tiret0"/>
        <w:rPr>
          <w:rStyle w:val="normaltextrun"/>
          <w:noProof/>
          <w:lang w:val="en-IE"/>
        </w:rPr>
      </w:pPr>
      <w:r w:rsidRPr="00E50A7A">
        <w:rPr>
          <w:rStyle w:val="normaltextrun"/>
          <w:noProof/>
          <w:lang w:val="en-IE"/>
        </w:rPr>
        <w:t xml:space="preserve">Target for primary production – </w:t>
      </w:r>
      <w:r w:rsidR="00636D3F">
        <w:rPr>
          <w:rStyle w:val="normaltextrun"/>
          <w:noProof/>
          <w:lang w:val="en-IE"/>
        </w:rPr>
        <w:t>no target</w:t>
      </w:r>
      <w:r w:rsidRPr="00E50A7A">
        <w:rPr>
          <w:rStyle w:val="normaltextrun"/>
          <w:noProof/>
          <w:lang w:val="en-IE"/>
        </w:rPr>
        <w:t>%,  </w:t>
      </w:r>
    </w:p>
    <w:p w14:paraId="393084E3" w14:textId="77777777" w:rsidR="006C5377" w:rsidRPr="00E50A7A" w:rsidRDefault="006C5377" w:rsidP="00016D72">
      <w:pPr>
        <w:pStyle w:val="Tiret0"/>
        <w:rPr>
          <w:rStyle w:val="normaltextrun"/>
          <w:noProof/>
          <w:lang w:val="en-IE"/>
        </w:rPr>
      </w:pPr>
      <w:r w:rsidRPr="00E50A7A">
        <w:rPr>
          <w:rStyle w:val="normaltextrun"/>
          <w:noProof/>
          <w:lang w:val="en-IE"/>
        </w:rPr>
        <w:t>Target for processing and manufacturing – 10%,  </w:t>
      </w:r>
    </w:p>
    <w:p w14:paraId="1566D7A0" w14:textId="77777777" w:rsidR="006C5377" w:rsidRPr="00E50A7A" w:rsidRDefault="006C5377" w:rsidP="00016D72">
      <w:pPr>
        <w:pStyle w:val="Tiret0"/>
        <w:rPr>
          <w:rStyle w:val="normaltextrun"/>
          <w:noProof/>
          <w:lang w:val="en-IE"/>
        </w:rPr>
      </w:pPr>
      <w:r w:rsidRPr="00E50A7A">
        <w:rPr>
          <w:rStyle w:val="normaltextrun"/>
          <w:noProof/>
          <w:lang w:val="en-IE"/>
        </w:rPr>
        <w:t>Target for retail and consumption stages – 30% </w:t>
      </w:r>
    </w:p>
    <w:p w14:paraId="256AE2D4" w14:textId="77777777" w:rsidR="006C5377" w:rsidRPr="00E50A7A" w:rsidRDefault="006C5377" w:rsidP="005E5B64">
      <w:pPr>
        <w:pBdr>
          <w:top w:val="nil"/>
          <w:left w:val="nil"/>
          <w:bottom w:val="nil"/>
          <w:right w:val="nil"/>
          <w:between w:val="nil"/>
          <w:bar w:val="nil"/>
        </w:pBdr>
        <w:spacing w:before="0" w:after="240"/>
        <w:rPr>
          <w:rFonts w:eastAsia="Arial Unicode MS"/>
          <w:noProof/>
          <w:lang w:val="en-IE"/>
        </w:rPr>
      </w:pPr>
      <w:r w:rsidRPr="00E50A7A">
        <w:rPr>
          <w:rFonts w:eastAsia="Arial Unicode MS"/>
          <w:b/>
          <w:noProof/>
          <w:lang w:val="en-IE"/>
        </w:rPr>
        <w:t>Option 3</w:t>
      </w:r>
      <w:r w:rsidRPr="00E50A7A">
        <w:rPr>
          <w:rFonts w:eastAsia="Arial Unicode MS"/>
          <w:noProof/>
          <w:lang w:val="en-IE"/>
        </w:rPr>
        <w:t xml:space="preserve"> reflects the targets set referred to in SDG Target 12.3 and additional commitment made by the </w:t>
      </w:r>
      <w:hyperlink r:id="rId34" w:tgtFrame="_blank" w:history="1">
        <w:r w:rsidRPr="00E50A7A">
          <w:rPr>
            <w:rFonts w:eastAsia="Arial Unicode MS"/>
            <w:noProof/>
            <w:lang w:val="en-IE"/>
          </w:rPr>
          <w:t>“Food is never waste” Coalition</w:t>
        </w:r>
      </w:hyperlink>
      <w:r w:rsidRPr="00E50A7A">
        <w:rPr>
          <w:rFonts w:eastAsia="Arial Unicode MS"/>
          <w:noProof/>
          <w:lang w:val="en-IE"/>
        </w:rPr>
        <w:t xml:space="preserve"> at 2021 UN Food Systems Summit.  </w:t>
      </w:r>
    </w:p>
    <w:p w14:paraId="108CA05B" w14:textId="77777777" w:rsidR="006C5377" w:rsidRPr="00E50A7A" w:rsidRDefault="006C5377" w:rsidP="00016D72">
      <w:pPr>
        <w:pStyle w:val="Tiret0"/>
        <w:rPr>
          <w:rStyle w:val="normaltextrun"/>
          <w:noProof/>
          <w:lang w:val="en-IE"/>
        </w:rPr>
      </w:pPr>
      <w:r w:rsidRPr="00E50A7A">
        <w:rPr>
          <w:rStyle w:val="normaltextrun"/>
          <w:noProof/>
          <w:lang w:val="en-IE"/>
        </w:rPr>
        <w:t>Target for primary production – 10%,  </w:t>
      </w:r>
    </w:p>
    <w:p w14:paraId="7DF08584" w14:textId="77777777" w:rsidR="006C5377" w:rsidRPr="00E50A7A" w:rsidRDefault="006C5377" w:rsidP="00016D72">
      <w:pPr>
        <w:pStyle w:val="Tiret0"/>
        <w:rPr>
          <w:rStyle w:val="normaltextrun"/>
          <w:noProof/>
          <w:lang w:val="en-IE"/>
        </w:rPr>
      </w:pPr>
      <w:r w:rsidRPr="00E50A7A">
        <w:rPr>
          <w:rStyle w:val="normaltextrun"/>
          <w:noProof/>
          <w:lang w:val="en-IE"/>
        </w:rPr>
        <w:t>Target for processing and manufacturing – 25%,  </w:t>
      </w:r>
    </w:p>
    <w:p w14:paraId="0F3F1D94" w14:textId="77777777" w:rsidR="006C5377" w:rsidRPr="00E50A7A" w:rsidRDefault="006C5377" w:rsidP="00016D72">
      <w:pPr>
        <w:pStyle w:val="Tiret0"/>
        <w:rPr>
          <w:rStyle w:val="normaltextrun"/>
          <w:noProof/>
          <w:lang w:val="en-IE"/>
        </w:rPr>
      </w:pPr>
      <w:r w:rsidRPr="00E50A7A">
        <w:rPr>
          <w:rStyle w:val="normaltextrun"/>
          <w:noProof/>
          <w:lang w:val="en-IE"/>
        </w:rPr>
        <w:t>Target for retail and consumption stages – 50% </w:t>
      </w:r>
    </w:p>
    <w:p w14:paraId="035E7DBA" w14:textId="77777777" w:rsidR="006C5377" w:rsidRPr="00E50A7A" w:rsidRDefault="006C5377" w:rsidP="005E5B64">
      <w:pPr>
        <w:pBdr>
          <w:top w:val="nil"/>
          <w:left w:val="nil"/>
          <w:bottom w:val="nil"/>
          <w:right w:val="nil"/>
          <w:between w:val="nil"/>
          <w:bar w:val="nil"/>
        </w:pBdr>
        <w:spacing w:before="0" w:after="240"/>
        <w:rPr>
          <w:rFonts w:eastAsia="Arial Unicode MS"/>
          <w:noProof/>
          <w:lang w:val="en-IE"/>
        </w:rPr>
      </w:pPr>
      <w:r w:rsidRPr="00E50A7A">
        <w:rPr>
          <w:rFonts w:eastAsia="Arial Unicode MS"/>
          <w:noProof/>
          <w:lang w:val="en-IE"/>
        </w:rPr>
        <w:t>Options 1 to 3 consist of legally binding targets i.e. they are subject to annual reporting and, if targets are not met, they can be enforced by infringement procedures.  </w:t>
      </w:r>
    </w:p>
    <w:p w14:paraId="5B09FC92" w14:textId="2574F113" w:rsidR="006C5377" w:rsidRPr="00E50A7A" w:rsidRDefault="006C5377" w:rsidP="005E5B64">
      <w:pPr>
        <w:pBdr>
          <w:top w:val="nil"/>
          <w:left w:val="nil"/>
          <w:bottom w:val="nil"/>
          <w:right w:val="nil"/>
          <w:between w:val="nil"/>
          <w:bar w:val="nil"/>
        </w:pBdr>
        <w:spacing w:before="0" w:after="240"/>
        <w:rPr>
          <w:rFonts w:eastAsia="Arial Unicode MS"/>
          <w:noProof/>
          <w:lang w:val="en-IE"/>
        </w:rPr>
      </w:pPr>
      <w:r w:rsidRPr="00E50A7A">
        <w:rPr>
          <w:rFonts w:eastAsia="Arial Unicode MS"/>
          <w:b/>
          <w:noProof/>
          <w:lang w:val="en-IE"/>
        </w:rPr>
        <w:t>Option 4</w:t>
      </w:r>
      <w:r w:rsidRPr="00E50A7A">
        <w:rPr>
          <w:rFonts w:eastAsia="Arial Unicode MS"/>
          <w:noProof/>
          <w:lang w:val="en-IE"/>
        </w:rPr>
        <w:t xml:space="preserve"> reflects setting a voluntary target at the level of the SDG 12.3 commitment regarding the retail and consumption stages (i.e. 50% reduction), with no numerical commitment assumed for earlier stages. This option would not be subject to enforcement mechanisms other than annual reporting of food waste levels. </w:t>
      </w:r>
    </w:p>
    <w:p w14:paraId="292B4921" w14:textId="12511B8E" w:rsidR="00386A8F" w:rsidRPr="00B314C8" w:rsidRDefault="00EB659D" w:rsidP="005E5B64">
      <w:pPr>
        <w:pBdr>
          <w:top w:val="nil"/>
          <w:left w:val="nil"/>
          <w:bottom w:val="nil"/>
          <w:right w:val="nil"/>
          <w:between w:val="nil"/>
          <w:bar w:val="nil"/>
        </w:pBdr>
        <w:spacing w:before="0" w:after="240"/>
        <w:rPr>
          <w:noProof/>
          <w:lang w:val="en-IE"/>
        </w:rPr>
      </w:pPr>
      <w:r w:rsidRPr="00B314C8">
        <w:rPr>
          <w:noProof/>
          <w:lang w:val="en-IE"/>
        </w:rPr>
        <w:t>The analysis of the impacts demonstrated that all options deliver significant environmental benefits. The magnitude of benefits increases with the scope and level of targets, from Option 1 to Option 3. The benefits would be lowest for Option 4</w:t>
      </w:r>
      <w:r w:rsidR="00BE4537" w:rsidRPr="00B314C8">
        <w:rPr>
          <w:noProof/>
          <w:lang w:val="en-IE"/>
        </w:rPr>
        <w:t xml:space="preserve">. The main </w:t>
      </w:r>
      <w:r w:rsidR="003B122A" w:rsidRPr="00B314C8">
        <w:rPr>
          <w:noProof/>
          <w:lang w:val="en-IE"/>
        </w:rPr>
        <w:t xml:space="preserve">gain comes from reduction of GHG </w:t>
      </w:r>
      <w:r w:rsidR="00651E8D" w:rsidRPr="00B314C8">
        <w:rPr>
          <w:noProof/>
          <w:lang w:val="en-IE"/>
        </w:rPr>
        <w:t>emissions</w:t>
      </w:r>
      <w:r w:rsidR="00451B51" w:rsidRPr="00B314C8">
        <w:rPr>
          <w:noProof/>
          <w:lang w:val="en-IE"/>
        </w:rPr>
        <w:t xml:space="preserve"> (however it differ</w:t>
      </w:r>
      <w:r w:rsidR="00F50101" w:rsidRPr="00B314C8">
        <w:rPr>
          <w:noProof/>
          <w:lang w:val="en-IE"/>
        </w:rPr>
        <w:t xml:space="preserve">s significantly depending </w:t>
      </w:r>
      <w:r w:rsidR="001216E1" w:rsidRPr="00B314C8">
        <w:rPr>
          <w:noProof/>
          <w:lang w:val="en-IE"/>
        </w:rPr>
        <w:t>on methodolog</w:t>
      </w:r>
      <w:r w:rsidR="00B41AE8" w:rsidRPr="00B314C8">
        <w:rPr>
          <w:noProof/>
          <w:lang w:val="en-IE"/>
        </w:rPr>
        <w:t>ical approach).</w:t>
      </w:r>
      <w:r w:rsidR="002F7070" w:rsidRPr="00B314C8">
        <w:rPr>
          <w:noProof/>
          <w:lang w:val="en-IE"/>
        </w:rPr>
        <w:t xml:space="preserve"> </w:t>
      </w:r>
      <w:r w:rsidR="002F7070" w:rsidRPr="00B314C8">
        <w:rPr>
          <w:rFonts w:eastAsia="Times New Roman"/>
          <w:noProof/>
          <w:color w:val="000000" w:themeColor="text1"/>
          <w:lang w:val="en-IE"/>
        </w:rPr>
        <w:t xml:space="preserve">Other environmental impacts considered for this IA – </w:t>
      </w:r>
      <w:r w:rsidR="002F7070" w:rsidRPr="00E50A7A">
        <w:rPr>
          <w:rFonts w:eastAsia="Times New Roman"/>
          <w:noProof/>
          <w:color w:val="000000" w:themeColor="text1"/>
          <w:lang w:val="en-IE"/>
        </w:rPr>
        <w:t>land use, marine eutrophication and water use</w:t>
      </w:r>
      <w:r w:rsidR="002F7070" w:rsidRPr="00B314C8">
        <w:rPr>
          <w:rFonts w:eastAsia="Times New Roman"/>
          <w:noProof/>
          <w:color w:val="000000" w:themeColor="text1"/>
          <w:lang w:val="en-IE"/>
        </w:rPr>
        <w:t xml:space="preserve"> – show a similar pattern for the impacts</w:t>
      </w:r>
      <w:r w:rsidR="000B3B3E" w:rsidRPr="00B314C8">
        <w:rPr>
          <w:rFonts w:eastAsia="Times New Roman"/>
          <w:noProof/>
          <w:color w:val="000000" w:themeColor="text1"/>
          <w:lang w:val="en-IE"/>
        </w:rPr>
        <w:t xml:space="preserve"> i.e. that </w:t>
      </w:r>
      <w:r w:rsidR="000B3B3E" w:rsidRPr="00B314C8">
        <w:rPr>
          <w:noProof/>
          <w:lang w:val="en-IE"/>
        </w:rPr>
        <w:t>magnitude of benefits increases with the scope and level of targets</w:t>
      </w:r>
      <w:r w:rsidR="002F7070" w:rsidRPr="00B314C8">
        <w:rPr>
          <w:rFonts w:eastAsia="Times New Roman"/>
          <w:noProof/>
          <w:color w:val="000000" w:themeColor="text1"/>
          <w:lang w:val="en-IE"/>
        </w:rPr>
        <w:t xml:space="preserve">. </w:t>
      </w:r>
      <w:r w:rsidR="003B122A" w:rsidRPr="00B314C8">
        <w:rPr>
          <w:noProof/>
          <w:lang w:val="en-IE"/>
        </w:rPr>
        <w:t xml:space="preserve"> </w:t>
      </w:r>
    </w:p>
    <w:p w14:paraId="7CA13387" w14:textId="77777777" w:rsidR="00B41AE8" w:rsidRPr="00B314C8" w:rsidRDefault="00B41AE8" w:rsidP="005E5B64">
      <w:pPr>
        <w:pBdr>
          <w:top w:val="nil"/>
          <w:left w:val="nil"/>
          <w:bottom w:val="nil"/>
          <w:right w:val="nil"/>
          <w:between w:val="nil"/>
          <w:bar w:val="nil"/>
        </w:pBdr>
        <w:spacing w:before="0" w:after="240"/>
        <w:rPr>
          <w:noProof/>
          <w:lang w:val="en-IE"/>
        </w:rPr>
      </w:pPr>
      <w:r w:rsidRPr="00B314C8">
        <w:rPr>
          <w:noProof/>
          <w:lang w:val="en-IE"/>
        </w:rPr>
        <w:t>Concerning economic impacts – reduction of food waste is expected to reduce deman</w:t>
      </w:r>
      <w:r w:rsidR="000C3D99" w:rsidRPr="00B314C8">
        <w:rPr>
          <w:noProof/>
          <w:lang w:val="en-IE"/>
        </w:rPr>
        <w:t xml:space="preserve">d for food which in turn could lead to </w:t>
      </w:r>
      <w:r w:rsidR="00CF1F70" w:rsidRPr="00B314C8">
        <w:rPr>
          <w:noProof/>
          <w:lang w:val="en-IE"/>
        </w:rPr>
        <w:t xml:space="preserve">marginal </w:t>
      </w:r>
      <w:r w:rsidR="00122CEC" w:rsidRPr="00B314C8">
        <w:rPr>
          <w:noProof/>
          <w:lang w:val="en-IE"/>
        </w:rPr>
        <w:t xml:space="preserve">negative impacts </w:t>
      </w:r>
      <w:r w:rsidR="00423C4A" w:rsidRPr="00B314C8">
        <w:rPr>
          <w:noProof/>
          <w:lang w:val="en-IE"/>
        </w:rPr>
        <w:t xml:space="preserve">on food production sector </w:t>
      </w:r>
      <w:r w:rsidR="00E0662A" w:rsidRPr="00B314C8">
        <w:rPr>
          <w:noProof/>
          <w:lang w:val="en-IE"/>
        </w:rPr>
        <w:t>(-3.6% in most</w:t>
      </w:r>
      <w:r w:rsidR="00423C4A" w:rsidRPr="00B314C8">
        <w:rPr>
          <w:noProof/>
          <w:lang w:val="en-IE"/>
        </w:rPr>
        <w:t xml:space="preserve"> pessimistic assumption) </w:t>
      </w:r>
      <w:r w:rsidR="007B68E1" w:rsidRPr="00B314C8">
        <w:rPr>
          <w:noProof/>
          <w:lang w:val="en-IE"/>
        </w:rPr>
        <w:t>and</w:t>
      </w:r>
      <w:r w:rsidR="00122CEC" w:rsidRPr="00B314C8">
        <w:rPr>
          <w:noProof/>
          <w:lang w:val="en-IE"/>
        </w:rPr>
        <w:t xml:space="preserve"> positive on other sectors</w:t>
      </w:r>
      <w:r w:rsidR="00423C4A" w:rsidRPr="00B314C8">
        <w:rPr>
          <w:noProof/>
          <w:lang w:val="en-IE"/>
        </w:rPr>
        <w:t xml:space="preserve">, resulting in </w:t>
      </w:r>
      <w:r w:rsidR="000E7C63" w:rsidRPr="00B314C8">
        <w:rPr>
          <w:noProof/>
          <w:lang w:val="en-IE"/>
        </w:rPr>
        <w:t xml:space="preserve">an </w:t>
      </w:r>
      <w:r w:rsidR="00423C4A" w:rsidRPr="00B314C8">
        <w:rPr>
          <w:noProof/>
          <w:lang w:val="en-IE"/>
        </w:rPr>
        <w:t xml:space="preserve">overall </w:t>
      </w:r>
      <w:r w:rsidR="00166FBF" w:rsidRPr="00B314C8">
        <w:rPr>
          <w:noProof/>
          <w:lang w:val="en-IE"/>
        </w:rPr>
        <w:t xml:space="preserve">slightly </w:t>
      </w:r>
      <w:r w:rsidR="00423C4A" w:rsidRPr="00B314C8">
        <w:rPr>
          <w:noProof/>
          <w:lang w:val="en-IE"/>
        </w:rPr>
        <w:t>positive balance</w:t>
      </w:r>
      <w:r w:rsidR="00166FBF" w:rsidRPr="00B314C8">
        <w:rPr>
          <w:noProof/>
          <w:lang w:val="en-IE"/>
        </w:rPr>
        <w:t xml:space="preserve"> (</w:t>
      </w:r>
      <w:r w:rsidR="00DC5B3A" w:rsidRPr="00B314C8">
        <w:rPr>
          <w:noProof/>
          <w:lang w:val="en-IE"/>
        </w:rPr>
        <w:t xml:space="preserve">up to </w:t>
      </w:r>
      <w:r w:rsidR="00EA66AF" w:rsidRPr="00B314C8">
        <w:rPr>
          <w:noProof/>
          <w:lang w:val="en-IE"/>
        </w:rPr>
        <w:t xml:space="preserve">EUR2.3 </w:t>
      </w:r>
      <w:r w:rsidR="00771E88" w:rsidRPr="00B314C8">
        <w:rPr>
          <w:noProof/>
          <w:lang w:val="en-IE"/>
        </w:rPr>
        <w:t>bn).</w:t>
      </w:r>
    </w:p>
    <w:p w14:paraId="4F42B941" w14:textId="77777777" w:rsidR="0039421B" w:rsidRPr="00B314C8" w:rsidRDefault="0039421B" w:rsidP="0039421B">
      <w:pPr>
        <w:rPr>
          <w:noProof/>
          <w:lang w:val="en-IE"/>
        </w:rPr>
      </w:pPr>
      <w:r w:rsidRPr="00B314C8">
        <w:rPr>
          <w:noProof/>
          <w:lang w:val="en-IE"/>
        </w:rPr>
        <w:t xml:space="preserve">Quantifiable social impacts are strongly linked to economic impacts and show a similar pattern. The greater the reduction of food waste, the better the options perform in terms of food </w:t>
      </w:r>
      <w:r w:rsidRPr="00B314C8">
        <w:rPr>
          <w:noProof/>
          <w:lang w:val="en-IE"/>
        </w:rPr>
        <w:lastRenderedPageBreak/>
        <w:t xml:space="preserve">affordability and household savings. On the other hand, the magnitude of negative impacts on employment in the agri-food sector rise from Option 1 to Option 3, which are, however, expected to be compensated through new job profiles in the </w:t>
      </w:r>
      <w:r w:rsidR="00607BFE" w:rsidRPr="00B314C8">
        <w:rPr>
          <w:noProof/>
          <w:lang w:val="en-IE"/>
        </w:rPr>
        <w:t xml:space="preserve">food </w:t>
      </w:r>
      <w:r w:rsidRPr="00B314C8">
        <w:rPr>
          <w:noProof/>
          <w:lang w:val="en-IE"/>
        </w:rPr>
        <w:t xml:space="preserve">sector and gains in other economic sectors. </w:t>
      </w:r>
    </w:p>
    <w:p w14:paraId="4DC9CC27" w14:textId="77777777" w:rsidR="00245B9B" w:rsidRPr="00B314C8" w:rsidRDefault="007C76FB" w:rsidP="0039421B">
      <w:pPr>
        <w:rPr>
          <w:noProof/>
          <w:lang w:val="en-IE"/>
        </w:rPr>
      </w:pPr>
      <w:r w:rsidRPr="00B314C8">
        <w:rPr>
          <w:rFonts w:eastAsia="Times New Roman"/>
          <w:noProof/>
          <w:lang w:val="en-IE"/>
        </w:rPr>
        <w:t xml:space="preserve">The impact on SMEs is expected to be limited. </w:t>
      </w:r>
      <w:r w:rsidR="00245B9B" w:rsidRPr="00B314C8">
        <w:rPr>
          <w:rFonts w:eastAsia="Times New Roman"/>
          <w:noProof/>
          <w:lang w:val="en-IE"/>
        </w:rPr>
        <w:t xml:space="preserve">The initiative </w:t>
      </w:r>
      <w:r w:rsidR="00607BFE" w:rsidRPr="00B314C8">
        <w:rPr>
          <w:rFonts w:eastAsia="Times New Roman"/>
          <w:noProof/>
          <w:lang w:val="en-IE"/>
        </w:rPr>
        <w:t>focuses</w:t>
      </w:r>
      <w:r w:rsidRPr="00B314C8">
        <w:rPr>
          <w:rFonts w:eastAsia="Times New Roman"/>
          <w:noProof/>
          <w:lang w:val="en-IE"/>
        </w:rPr>
        <w:t xml:space="preserve"> on</w:t>
      </w:r>
      <w:r w:rsidR="00245B9B" w:rsidRPr="00B314C8">
        <w:rPr>
          <w:rFonts w:eastAsia="Times New Roman"/>
          <w:noProof/>
          <w:lang w:val="en-IE"/>
        </w:rPr>
        <w:t xml:space="preserve"> setting </w:t>
      </w:r>
      <w:r w:rsidRPr="00B314C8">
        <w:rPr>
          <w:rFonts w:eastAsia="Times New Roman"/>
          <w:noProof/>
          <w:lang w:val="en-IE"/>
        </w:rPr>
        <w:t xml:space="preserve">of </w:t>
      </w:r>
      <w:r w:rsidR="00245B9B" w:rsidRPr="00B314C8">
        <w:rPr>
          <w:rFonts w:eastAsia="Times New Roman"/>
          <w:noProof/>
          <w:lang w:val="en-IE"/>
        </w:rPr>
        <w:t xml:space="preserve">food waste reduction targets for Member States and will not apply to </w:t>
      </w:r>
      <w:r w:rsidR="00245B9B" w:rsidRPr="00B314C8">
        <w:rPr>
          <w:noProof/>
          <w:lang w:val="en-IE"/>
        </w:rPr>
        <w:t>individual</w:t>
      </w:r>
      <w:r w:rsidR="00245B9B" w:rsidRPr="00B314C8">
        <w:rPr>
          <w:rFonts w:eastAsia="Times New Roman"/>
          <w:noProof/>
          <w:lang w:val="en-IE"/>
        </w:rPr>
        <w:t xml:space="preserve"> businesses. While Member State authorities will likely engage with all actors in the food supply chain, </w:t>
      </w:r>
      <w:r w:rsidR="00245B9B" w:rsidRPr="00B314C8">
        <w:rPr>
          <w:noProof/>
          <w:lang w:val="en-IE"/>
        </w:rPr>
        <w:t>the actions observed so far in countries which have undertaken coordinated actions to reduce food waste focus on larger businesses and on voluntary measures encouraging engagement in food waste prevention supported by government financing.</w:t>
      </w:r>
      <w:r w:rsidR="00ED2C04" w:rsidRPr="00B314C8">
        <w:rPr>
          <w:noProof/>
          <w:lang w:val="en-IE"/>
        </w:rPr>
        <w:t xml:space="preserve"> In </w:t>
      </w:r>
      <w:r w:rsidR="000E7C63" w:rsidRPr="00B314C8">
        <w:rPr>
          <w:noProof/>
          <w:lang w:val="en-IE"/>
        </w:rPr>
        <w:t xml:space="preserve">the </w:t>
      </w:r>
      <w:r w:rsidR="00ED2C04" w:rsidRPr="00B314C8">
        <w:rPr>
          <w:noProof/>
          <w:lang w:val="en-IE"/>
        </w:rPr>
        <w:t>consultation process</w:t>
      </w:r>
      <w:r w:rsidR="000E7C63" w:rsidRPr="00B314C8">
        <w:rPr>
          <w:noProof/>
          <w:lang w:val="en-IE"/>
        </w:rPr>
        <w:t>,</w:t>
      </w:r>
      <w:r w:rsidR="00ED2C04" w:rsidRPr="00B314C8">
        <w:rPr>
          <w:noProof/>
          <w:lang w:val="en-IE"/>
        </w:rPr>
        <w:t xml:space="preserve"> SMEs have not </w:t>
      </w:r>
      <w:r w:rsidR="00E0762B" w:rsidRPr="00B314C8">
        <w:rPr>
          <w:noProof/>
          <w:lang w:val="en-IE"/>
        </w:rPr>
        <w:t xml:space="preserve">expected problems caused directly by this </w:t>
      </w:r>
      <w:r w:rsidR="00FD093B" w:rsidRPr="00B314C8">
        <w:rPr>
          <w:noProof/>
          <w:lang w:val="en-IE"/>
        </w:rPr>
        <w:t>initiative</w:t>
      </w:r>
      <w:r w:rsidR="00E0762B" w:rsidRPr="00B314C8">
        <w:rPr>
          <w:noProof/>
          <w:lang w:val="en-IE"/>
        </w:rPr>
        <w:t>, although remain</w:t>
      </w:r>
      <w:r w:rsidR="00FD093B" w:rsidRPr="00B314C8">
        <w:rPr>
          <w:noProof/>
          <w:lang w:val="en-IE"/>
        </w:rPr>
        <w:t>ed</w:t>
      </w:r>
      <w:r w:rsidR="00E0762B" w:rsidRPr="00B314C8">
        <w:rPr>
          <w:noProof/>
          <w:lang w:val="en-IE"/>
        </w:rPr>
        <w:t xml:space="preserve"> </w:t>
      </w:r>
      <w:r w:rsidR="00FD093B" w:rsidRPr="00B314C8">
        <w:rPr>
          <w:noProof/>
          <w:lang w:val="en-IE"/>
        </w:rPr>
        <w:t>cautious</w:t>
      </w:r>
      <w:r w:rsidR="00E0762B" w:rsidRPr="00B314C8">
        <w:rPr>
          <w:noProof/>
          <w:lang w:val="en-IE"/>
        </w:rPr>
        <w:t xml:space="preserve"> about the</w:t>
      </w:r>
      <w:r w:rsidR="00FD093B" w:rsidRPr="00B314C8">
        <w:rPr>
          <w:noProof/>
          <w:lang w:val="en-IE"/>
        </w:rPr>
        <w:t xml:space="preserve"> potential future </w:t>
      </w:r>
      <w:r w:rsidR="00601CC3" w:rsidRPr="00B314C8">
        <w:rPr>
          <w:noProof/>
          <w:lang w:val="en-IE"/>
        </w:rPr>
        <w:t xml:space="preserve">implementing </w:t>
      </w:r>
      <w:r w:rsidR="00FD093B" w:rsidRPr="00B314C8">
        <w:rPr>
          <w:noProof/>
          <w:lang w:val="en-IE"/>
        </w:rPr>
        <w:t>action by Member States.</w:t>
      </w:r>
      <w:r w:rsidR="00564FB5" w:rsidRPr="00B314C8">
        <w:rPr>
          <w:rFonts w:eastAsia="Arial Unicode MS"/>
          <w:noProof/>
          <w:lang w:val="en-IE"/>
        </w:rPr>
        <w:t xml:space="preserve"> </w:t>
      </w:r>
      <w:r w:rsidR="00DF78BA" w:rsidRPr="00E50A7A">
        <w:rPr>
          <w:rFonts w:eastAsia="Arial Unicode MS"/>
          <w:noProof/>
          <w:lang w:val="en-IE"/>
        </w:rPr>
        <w:t xml:space="preserve"> </w:t>
      </w:r>
    </w:p>
    <w:p w14:paraId="51A9D054" w14:textId="77777777" w:rsidR="006C5377" w:rsidRPr="00E50A7A" w:rsidRDefault="006C5377" w:rsidP="005E5B64">
      <w:pPr>
        <w:pBdr>
          <w:top w:val="nil"/>
          <w:left w:val="nil"/>
          <w:bottom w:val="nil"/>
          <w:right w:val="nil"/>
          <w:between w:val="nil"/>
          <w:bar w:val="nil"/>
        </w:pBdr>
        <w:spacing w:before="0" w:after="240"/>
        <w:rPr>
          <w:rFonts w:eastAsia="Arial Unicode MS"/>
          <w:i/>
          <w:iCs/>
          <w:noProof/>
          <w:lang w:val="en-IE"/>
        </w:rPr>
      </w:pPr>
      <w:r w:rsidRPr="00E50A7A">
        <w:rPr>
          <w:rFonts w:eastAsia="Arial Unicode MS"/>
          <w:i/>
          <w:iCs/>
          <w:noProof/>
          <w:lang w:val="en-IE"/>
        </w:rPr>
        <w:t>Preferred options </w:t>
      </w:r>
    </w:p>
    <w:p w14:paraId="7AAA1063" w14:textId="77777777" w:rsidR="005E5B64" w:rsidRPr="00E50A7A" w:rsidRDefault="005E5B64" w:rsidP="005E5B64">
      <w:pPr>
        <w:pBdr>
          <w:top w:val="nil"/>
          <w:left w:val="nil"/>
          <w:bottom w:val="nil"/>
          <w:right w:val="nil"/>
          <w:between w:val="nil"/>
          <w:bar w:val="nil"/>
        </w:pBdr>
        <w:spacing w:before="0" w:after="240"/>
        <w:rPr>
          <w:rFonts w:eastAsia="Arial Unicode MS"/>
          <w:noProof/>
          <w:lang w:val="en-IE"/>
        </w:rPr>
      </w:pPr>
      <w:r w:rsidRPr="00E50A7A">
        <w:rPr>
          <w:rFonts w:eastAsia="Arial Unicode MS"/>
          <w:noProof/>
          <w:lang w:val="en-IE"/>
        </w:rPr>
        <w:t xml:space="preserve">Based on assessments of how the options contribute to the two main objectives, on the balance between economic, environmental and social impacts, and on the total costs and benefits where these could be calculated, the preferred option for the Commission is Option 2. However, the setting of a textiles waste collection target (measure 3.6) </w:t>
      </w:r>
      <w:r w:rsidR="00740E18" w:rsidRPr="00E50A7A">
        <w:rPr>
          <w:rFonts w:eastAsia="Arial Unicode MS"/>
          <w:noProof/>
          <w:lang w:val="en-IE"/>
        </w:rPr>
        <w:t xml:space="preserve">may additionally be </w:t>
      </w:r>
      <w:r w:rsidRPr="00E50A7A">
        <w:rPr>
          <w:rFonts w:eastAsia="Arial Unicode MS"/>
          <w:noProof/>
          <w:lang w:val="en-IE"/>
        </w:rPr>
        <w:t xml:space="preserve">considered </w:t>
      </w:r>
      <w:r w:rsidR="00740E18" w:rsidRPr="00E50A7A">
        <w:rPr>
          <w:rFonts w:eastAsia="Arial Unicode MS"/>
          <w:noProof/>
          <w:lang w:val="en-IE"/>
        </w:rPr>
        <w:t xml:space="preserve">to </w:t>
      </w:r>
      <w:r w:rsidRPr="00E50A7A">
        <w:rPr>
          <w:rFonts w:eastAsia="Arial Unicode MS"/>
          <w:noProof/>
          <w:lang w:val="en-IE"/>
        </w:rPr>
        <w:t xml:space="preserve">complement the measures in Option 2. Measure 3.6 </w:t>
      </w:r>
      <w:r w:rsidR="00740E18" w:rsidRPr="00E50A7A">
        <w:rPr>
          <w:rFonts w:eastAsia="Arial Unicode MS"/>
          <w:noProof/>
          <w:lang w:val="en-IE"/>
        </w:rPr>
        <w:t xml:space="preserve">could </w:t>
      </w:r>
      <w:r w:rsidRPr="00E50A7A">
        <w:rPr>
          <w:rFonts w:eastAsia="Arial Unicode MS"/>
          <w:noProof/>
          <w:lang w:val="en-IE"/>
        </w:rPr>
        <w:t xml:space="preserve">therefore also </w:t>
      </w:r>
      <w:r w:rsidR="00740E18" w:rsidRPr="00E50A7A">
        <w:rPr>
          <w:rFonts w:eastAsia="Arial Unicode MS"/>
          <w:noProof/>
          <w:lang w:val="en-IE"/>
        </w:rPr>
        <w:t xml:space="preserve">be </w:t>
      </w:r>
      <w:r w:rsidRPr="00E50A7A">
        <w:rPr>
          <w:rFonts w:eastAsia="Arial Unicode MS"/>
          <w:noProof/>
          <w:lang w:val="en-IE"/>
        </w:rPr>
        <w:t>part of the preferred option. Other textile waste management targets cannot be set at this stage due to the lack of complete and robust data. </w:t>
      </w:r>
    </w:p>
    <w:p w14:paraId="6943990D" w14:textId="77777777" w:rsidR="00390DD2" w:rsidRPr="00E50A7A" w:rsidRDefault="00390DD2" w:rsidP="005E5B64">
      <w:pPr>
        <w:pBdr>
          <w:top w:val="nil"/>
          <w:left w:val="nil"/>
          <w:bottom w:val="nil"/>
          <w:right w:val="nil"/>
          <w:between w:val="nil"/>
          <w:bar w:val="nil"/>
        </w:pBdr>
        <w:spacing w:before="0" w:after="240"/>
        <w:rPr>
          <w:rFonts w:eastAsia="Arial Unicode MS"/>
          <w:noProof/>
          <w:lang w:val="en-IE"/>
        </w:rPr>
      </w:pPr>
      <w:r w:rsidRPr="00E50A7A">
        <w:rPr>
          <w:rFonts w:eastAsia="Arial Unicode MS"/>
          <w:noProof/>
          <w:lang w:val="en-IE"/>
        </w:rPr>
        <w:t>The Impact Assessment concludes that setting a 50% target for separate collection for textiles would facilitate the concerted action of the various textile value chain, re-use operators and waste management operators to ensure the treatment of the textiles in line with the waste hierarchy, prioritising re-use and fibre to fibre recycling. It also concludes that such a target may need to be considered carefully in view of the current large variations in the separate collection rates across the EU and the overarching obligation in the WFD that such waste shall be separately collected. In view of those considerations, as well as the strengthened rules on the organisation of the separate collection through EPR and the objective to reduce administrative burden, the preferred option reflected in the legislative proposal does not include a separate collection target.</w:t>
      </w:r>
    </w:p>
    <w:p w14:paraId="615387EC" w14:textId="77777777" w:rsidR="00EF1A75" w:rsidRPr="00E50A7A" w:rsidRDefault="005E5B64" w:rsidP="00E50A7A">
      <w:pPr>
        <w:rPr>
          <w:noProof/>
          <w:lang w:val="en-IE"/>
        </w:rPr>
      </w:pPr>
      <w:r w:rsidRPr="00E50A7A">
        <w:rPr>
          <w:rFonts w:eastAsia="Arial Unicode MS"/>
          <w:noProof/>
          <w:lang w:val="en-IE"/>
        </w:rPr>
        <w:t>In the area of food waste, after comparison of economic, environmental and social impacts, but also the technical feasibility of the proposed options, the preferred option is Option 2. This option is expected to be effective in providing a strong policy impulse for Member States to take action to reduce food waste at national level and achieve substantial environmental gains, while being proportionate and feasible.</w:t>
      </w:r>
      <w:r w:rsidR="00EB33F8" w:rsidRPr="00E50A7A">
        <w:rPr>
          <w:noProof/>
          <w:lang w:val="en-IE"/>
        </w:rPr>
        <w:t xml:space="preserve"> </w:t>
      </w:r>
      <w:r w:rsidR="00EB33F8" w:rsidRPr="00E50A7A">
        <w:rPr>
          <w:rFonts w:eastAsia="Arial Unicode MS"/>
          <w:noProof/>
          <w:lang w:val="en-IE"/>
        </w:rPr>
        <w:t xml:space="preserve">The establishment of legally binding </w:t>
      </w:r>
      <w:r w:rsidR="00E63B0B" w:rsidRPr="00E50A7A">
        <w:rPr>
          <w:rFonts w:eastAsia="Arial Unicode MS"/>
          <w:noProof/>
          <w:lang w:val="en-IE"/>
        </w:rPr>
        <w:t>food waste reduction t</w:t>
      </w:r>
      <w:r w:rsidR="00EB33F8" w:rsidRPr="00E50A7A">
        <w:rPr>
          <w:rFonts w:eastAsia="Arial Unicode MS"/>
          <w:noProof/>
          <w:lang w:val="en-IE"/>
        </w:rPr>
        <w:t>argets should thus follow a step-wise approach, starting with a level which is lower than the one set under the SDG, with a view to ensuring a consistent response of Member States and tangible progress towards Target 12.3.</w:t>
      </w:r>
      <w:r w:rsidR="00AB2AB5" w:rsidRPr="00E50A7A">
        <w:rPr>
          <w:rFonts w:eastAsia="Arial Unicode MS"/>
          <w:noProof/>
          <w:lang w:val="en-IE"/>
        </w:rPr>
        <w:t xml:space="preserve"> An interim review of progress made</w:t>
      </w:r>
      <w:r w:rsidR="008330E3" w:rsidRPr="00E50A7A">
        <w:rPr>
          <w:rFonts w:eastAsia="Arial Unicode MS"/>
          <w:noProof/>
          <w:lang w:val="en-IE"/>
        </w:rPr>
        <w:t xml:space="preserve"> by Member States, based on the annual monitoring of food waste levels, </w:t>
      </w:r>
      <w:r w:rsidR="00E414B7" w:rsidRPr="00E50A7A">
        <w:rPr>
          <w:rFonts w:eastAsia="Arial Unicode MS"/>
          <w:noProof/>
          <w:lang w:val="en-IE"/>
        </w:rPr>
        <w:t>would allow for a possible adjustment of the targets in view of strengthening the Union’s contribution and further aligning with SDG Target 12.3</w:t>
      </w:r>
      <w:r w:rsidR="0013695B" w:rsidRPr="00E50A7A">
        <w:rPr>
          <w:rFonts w:eastAsia="Arial Unicode MS"/>
          <w:noProof/>
          <w:lang w:val="en-IE"/>
        </w:rPr>
        <w:t xml:space="preserve"> as well as providing direction for </w:t>
      </w:r>
      <w:r w:rsidR="00E63B0B" w:rsidRPr="00E50A7A">
        <w:rPr>
          <w:rFonts w:eastAsia="Arial Unicode MS"/>
          <w:noProof/>
          <w:lang w:val="en-IE"/>
        </w:rPr>
        <w:t>further progress</w:t>
      </w:r>
      <w:r w:rsidR="0013695B" w:rsidRPr="00E50A7A">
        <w:rPr>
          <w:rFonts w:eastAsia="Arial Unicode MS"/>
          <w:noProof/>
          <w:lang w:val="en-IE"/>
        </w:rPr>
        <w:t xml:space="preserve"> beyond 2030</w:t>
      </w:r>
      <w:r w:rsidR="00E414B7" w:rsidRPr="00E50A7A">
        <w:rPr>
          <w:rFonts w:eastAsia="Arial Unicode MS"/>
          <w:noProof/>
          <w:lang w:val="en-IE"/>
        </w:rPr>
        <w:t xml:space="preserve">. </w:t>
      </w:r>
    </w:p>
    <w:p w14:paraId="5C9260C5" w14:textId="77777777" w:rsidR="00BD152F" w:rsidRPr="00E50A7A" w:rsidRDefault="00BD152F" w:rsidP="00B00391">
      <w:pPr>
        <w:pStyle w:val="ManualHeading2"/>
        <w:rPr>
          <w:rFonts w:eastAsia="Arial Unicode MS"/>
          <w:noProof/>
          <w:u w:color="000000"/>
          <w:bdr w:val="nil"/>
          <w:lang w:val="en-IE" w:eastAsia="en-GB"/>
        </w:rPr>
      </w:pPr>
      <w:r w:rsidRPr="00E50A7A">
        <w:rPr>
          <w:rFonts w:eastAsia="Arial Unicode MS"/>
          <w:noProof/>
          <w:u w:color="000000"/>
          <w:bdr w:val="nil"/>
          <w:lang w:val="en-IE" w:eastAsia="en-GB"/>
        </w:rPr>
        <w:t>•</w:t>
      </w:r>
      <w:r w:rsidRPr="00E50A7A">
        <w:rPr>
          <w:rFonts w:eastAsia="Arial Unicode MS"/>
          <w:noProof/>
          <w:u w:color="000000"/>
          <w:bdr w:val="nil"/>
          <w:lang w:val="en-IE" w:eastAsia="en-GB"/>
        </w:rPr>
        <w:tab/>
        <w:t>Regulatory fitness and simplification</w:t>
      </w:r>
    </w:p>
    <w:p w14:paraId="76973EF4" w14:textId="77777777" w:rsidR="00844D0D" w:rsidRPr="00E50A7A" w:rsidRDefault="00844D0D" w:rsidP="00844D0D">
      <w:pPr>
        <w:pBdr>
          <w:top w:val="nil"/>
          <w:left w:val="nil"/>
          <w:bottom w:val="nil"/>
          <w:right w:val="nil"/>
          <w:between w:val="nil"/>
          <w:bar w:val="nil"/>
        </w:pBdr>
        <w:spacing w:before="0" w:after="240"/>
        <w:rPr>
          <w:rFonts w:eastAsia="Arial Unicode MS"/>
          <w:noProof/>
          <w:lang w:val="en-IE"/>
        </w:rPr>
      </w:pPr>
      <w:r w:rsidRPr="00E50A7A">
        <w:rPr>
          <w:rFonts w:eastAsia="Arial Unicode MS"/>
          <w:noProof/>
          <w:lang w:val="en-IE"/>
        </w:rPr>
        <w:t>The proposed measures have different levels of administrative burden, which would mainly result from monitoring and reporting on compliance, both for public authorities and for businesses. At the same time, this proposal makes full use of digitalisation to reduce administrative burden. </w:t>
      </w:r>
    </w:p>
    <w:p w14:paraId="23570B3B" w14:textId="77777777" w:rsidR="00844D0D" w:rsidRPr="00E50A7A" w:rsidRDefault="00844D0D" w:rsidP="6ABD5FCF">
      <w:pPr>
        <w:pBdr>
          <w:top w:val="nil"/>
          <w:left w:val="nil"/>
          <w:bottom w:val="nil"/>
          <w:right w:val="nil"/>
          <w:between w:val="nil"/>
          <w:bar w:val="nil"/>
        </w:pBdr>
        <w:spacing w:before="0" w:after="240"/>
        <w:rPr>
          <w:rFonts w:eastAsia="Arial Unicode MS"/>
          <w:noProof/>
          <w:lang w:val="en-IE"/>
        </w:rPr>
      </w:pPr>
      <w:r w:rsidRPr="00E50A7A">
        <w:rPr>
          <w:rFonts w:eastAsia="Arial Unicode MS"/>
          <w:noProof/>
          <w:lang w:val="en-IE"/>
        </w:rPr>
        <w:lastRenderedPageBreak/>
        <w:t>The proposed targets on food waste reduction are based on measures already included in the WFD, therefore create no additional administrative burden.</w:t>
      </w:r>
    </w:p>
    <w:tbl>
      <w:tblPr>
        <w:tblStyle w:val="TableGrid"/>
        <w:tblW w:w="0" w:type="auto"/>
        <w:tblLook w:val="04A0" w:firstRow="1" w:lastRow="0" w:firstColumn="1" w:lastColumn="0" w:noHBand="0" w:noVBand="1"/>
      </w:tblPr>
      <w:tblGrid>
        <w:gridCol w:w="1507"/>
        <w:gridCol w:w="5400"/>
        <w:gridCol w:w="2156"/>
      </w:tblGrid>
      <w:tr w:rsidR="00806609" w:rsidRPr="00B314C8" w14:paraId="083C76DA" w14:textId="77777777" w:rsidTr="072CAFB5">
        <w:trPr>
          <w:trHeight w:val="386"/>
        </w:trPr>
        <w:tc>
          <w:tcPr>
            <w:tcW w:w="1696"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5D56A22F" w14:textId="77777777" w:rsidR="00806609" w:rsidRPr="00B314C8" w:rsidRDefault="00806609" w:rsidP="00B00391">
            <w:pPr>
              <w:spacing w:after="160" w:line="240" w:lineRule="atLeast"/>
              <w:jc w:val="left"/>
              <w:rPr>
                <w:rFonts w:eastAsiaTheme="minorHAnsi"/>
                <w:b/>
                <w:noProof/>
                <w:color w:val="000000"/>
                <w:sz w:val="20"/>
                <w:lang w:val="en-IE" w:eastAsia="en-US"/>
              </w:rPr>
            </w:pPr>
            <w:r w:rsidRPr="00B314C8">
              <w:rPr>
                <w:rFonts w:eastAsiaTheme="minorHAnsi"/>
                <w:b/>
                <w:noProof/>
                <w:color w:val="000000"/>
                <w:sz w:val="20"/>
                <w:lang w:val="en-IE" w:eastAsia="en-US"/>
              </w:rPr>
              <w:t xml:space="preserve">Preferred combined option </w:t>
            </w:r>
          </w:p>
        </w:tc>
        <w:tc>
          <w:tcPr>
            <w:tcW w:w="9923"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5F98D76A" w14:textId="77777777" w:rsidR="00806609" w:rsidRPr="00B314C8" w:rsidRDefault="00806609" w:rsidP="00B00391">
            <w:pPr>
              <w:spacing w:after="160" w:line="240" w:lineRule="atLeast"/>
              <w:jc w:val="center"/>
              <w:rPr>
                <w:rFonts w:eastAsiaTheme="minorHAnsi"/>
                <w:b/>
                <w:noProof/>
                <w:color w:val="000000"/>
                <w:sz w:val="20"/>
                <w:lang w:val="en-IE" w:eastAsia="en-US"/>
              </w:rPr>
            </w:pPr>
            <w:r w:rsidRPr="00B314C8">
              <w:rPr>
                <w:rFonts w:eastAsiaTheme="minorHAnsi"/>
                <w:b/>
                <w:noProof/>
                <w:color w:val="000000"/>
                <w:sz w:val="20"/>
                <w:lang w:val="en-IE" w:eastAsia="en-US"/>
              </w:rPr>
              <w:t>Description of impact</w:t>
            </w:r>
          </w:p>
        </w:tc>
        <w:tc>
          <w:tcPr>
            <w:tcW w:w="3169"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058CDE65" w14:textId="77777777" w:rsidR="00806609" w:rsidRPr="00B314C8" w:rsidRDefault="00806609" w:rsidP="00B00391">
            <w:pPr>
              <w:spacing w:after="160" w:line="240" w:lineRule="atLeast"/>
              <w:jc w:val="center"/>
              <w:rPr>
                <w:rFonts w:eastAsiaTheme="minorHAnsi"/>
                <w:b/>
                <w:noProof/>
                <w:color w:val="000000"/>
                <w:sz w:val="20"/>
                <w:lang w:val="en-IE" w:eastAsia="en-US"/>
              </w:rPr>
            </w:pPr>
            <w:r w:rsidRPr="00B314C8">
              <w:rPr>
                <w:rFonts w:eastAsiaTheme="minorHAnsi"/>
                <w:b/>
                <w:noProof/>
                <w:color w:val="000000"/>
                <w:sz w:val="20"/>
                <w:lang w:val="en-IE" w:eastAsia="en-US"/>
              </w:rPr>
              <w:t>Overall balance</w:t>
            </w:r>
          </w:p>
        </w:tc>
      </w:tr>
      <w:tr w:rsidR="00806609" w:rsidRPr="00B314C8" w14:paraId="6A429D5B" w14:textId="77777777" w:rsidTr="072CAFB5">
        <w:tc>
          <w:tcPr>
            <w:tcW w:w="16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A8387A" w14:textId="77777777" w:rsidR="00806609" w:rsidRPr="00B314C8" w:rsidRDefault="00806609" w:rsidP="00B00391">
            <w:pPr>
              <w:spacing w:after="160" w:line="240" w:lineRule="atLeast"/>
              <w:jc w:val="center"/>
              <w:rPr>
                <w:b/>
                <w:noProof/>
                <w:sz w:val="20"/>
                <w:lang w:val="en-IE"/>
              </w:rPr>
            </w:pPr>
            <w:r w:rsidRPr="00B314C8">
              <w:rPr>
                <w:rFonts w:eastAsiaTheme="minorHAnsi"/>
                <w:b/>
                <w:noProof/>
                <w:color w:val="000000"/>
                <w:sz w:val="20"/>
                <w:lang w:val="en-IE" w:eastAsia="en-US"/>
              </w:rPr>
              <w:t xml:space="preserve">Option 2 - </w:t>
            </w:r>
            <w:r w:rsidRPr="00B314C8">
              <w:rPr>
                <w:b/>
                <w:noProof/>
                <w:sz w:val="20"/>
                <w:lang w:val="en-IE"/>
              </w:rPr>
              <w:t>Additional regulatory requirements + target for textiles (measure 3.6)</w:t>
            </w:r>
          </w:p>
          <w:p w14:paraId="5A8B6B66" w14:textId="77777777" w:rsidR="00806609" w:rsidRPr="00B314C8" w:rsidRDefault="00806609" w:rsidP="00B00391">
            <w:pPr>
              <w:spacing w:after="160" w:line="240" w:lineRule="atLeast"/>
              <w:jc w:val="center"/>
              <w:rPr>
                <w:b/>
                <w:noProof/>
                <w:color w:val="000000"/>
                <w:sz w:val="20"/>
                <w:lang w:val="en-IE"/>
              </w:rPr>
            </w:pPr>
            <w:r w:rsidRPr="00B314C8">
              <w:rPr>
                <w:b/>
                <w:noProof/>
                <w:color w:val="000000"/>
                <w:sz w:val="20"/>
                <w:lang w:val="en-IE"/>
              </w:rPr>
              <w:t>AND</w:t>
            </w:r>
          </w:p>
          <w:p w14:paraId="31A4020B" w14:textId="77777777" w:rsidR="00806609" w:rsidRPr="00B314C8" w:rsidRDefault="00806609" w:rsidP="00B00391">
            <w:pPr>
              <w:spacing w:after="160" w:line="240" w:lineRule="atLeast"/>
              <w:jc w:val="center"/>
              <w:rPr>
                <w:rFonts w:eastAsiaTheme="minorHAnsi"/>
                <w:b/>
                <w:noProof/>
                <w:color w:val="000000"/>
                <w:sz w:val="20"/>
                <w:lang w:val="en-IE" w:eastAsia="en-US"/>
              </w:rPr>
            </w:pPr>
            <w:r w:rsidRPr="00B314C8">
              <w:rPr>
                <w:b/>
                <w:noProof/>
                <w:color w:val="000000"/>
                <w:sz w:val="20"/>
                <w:lang w:val="en-IE"/>
              </w:rPr>
              <w:t>Option 2 for food waste reduction targets</w:t>
            </w:r>
          </w:p>
        </w:tc>
        <w:tc>
          <w:tcPr>
            <w:tcW w:w="99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EF3F9A" w14:textId="77777777" w:rsidR="00806609" w:rsidRPr="00B314C8" w:rsidRDefault="00806609" w:rsidP="00B00391">
            <w:pPr>
              <w:spacing w:after="0"/>
              <w:jc w:val="left"/>
              <w:rPr>
                <w:noProof/>
                <w:color w:val="000000" w:themeColor="text1"/>
                <w:sz w:val="20"/>
                <w:lang w:val="en-IE"/>
              </w:rPr>
            </w:pPr>
            <w:r w:rsidRPr="00B314C8">
              <w:rPr>
                <w:b/>
                <w:noProof/>
                <w:color w:val="000000" w:themeColor="text1"/>
                <w:sz w:val="20"/>
                <w:lang w:val="en-IE"/>
              </w:rPr>
              <w:t>Economic costs</w:t>
            </w:r>
          </w:p>
          <w:p w14:paraId="2467EE75" w14:textId="77777777" w:rsidR="00806609" w:rsidRPr="00B314C8" w:rsidRDefault="00806609" w:rsidP="0020411B">
            <w:pPr>
              <w:pStyle w:val="ListParagraph"/>
              <w:numPr>
                <w:ilvl w:val="0"/>
                <w:numId w:val="25"/>
              </w:numPr>
              <w:spacing w:before="0" w:after="0"/>
              <w:contextualSpacing w:val="0"/>
              <w:jc w:val="left"/>
              <w:rPr>
                <w:noProof/>
                <w:color w:val="000000" w:themeColor="text1"/>
                <w:sz w:val="20"/>
                <w:lang w:val="en-IE"/>
              </w:rPr>
            </w:pPr>
            <w:r w:rsidRPr="00B314C8">
              <w:rPr>
                <w:noProof/>
                <w:color w:val="000000" w:themeColor="text1"/>
                <w:sz w:val="20"/>
                <w:lang w:val="en-IE"/>
              </w:rPr>
              <w:t>€913 million per year for sorting obligations</w:t>
            </w:r>
          </w:p>
          <w:p w14:paraId="4233CD8E" w14:textId="77777777" w:rsidR="00806609" w:rsidRPr="00B314C8" w:rsidRDefault="00806609" w:rsidP="0020411B">
            <w:pPr>
              <w:pStyle w:val="ListParagraph"/>
              <w:numPr>
                <w:ilvl w:val="0"/>
                <w:numId w:val="25"/>
              </w:numPr>
              <w:spacing w:before="0" w:after="0"/>
              <w:contextualSpacing w:val="0"/>
              <w:jc w:val="left"/>
              <w:rPr>
                <w:noProof/>
                <w:color w:val="000000" w:themeColor="text1"/>
                <w:sz w:val="20"/>
                <w:lang w:val="en-IE"/>
              </w:rPr>
            </w:pPr>
            <w:r w:rsidRPr="00B314C8">
              <w:rPr>
                <w:noProof/>
                <w:color w:val="000000" w:themeColor="text1"/>
                <w:sz w:val="20"/>
                <w:lang w:val="en-IE"/>
              </w:rPr>
              <w:t>Register development costs of €2-12.3 million across Member States and maintenance costs of €11 200 and 69 000 per Member State per year</w:t>
            </w:r>
          </w:p>
          <w:p w14:paraId="58618C43" w14:textId="77777777" w:rsidR="00806609" w:rsidRPr="00B314C8" w:rsidRDefault="00806609" w:rsidP="0020411B">
            <w:pPr>
              <w:pStyle w:val="ListParagraph"/>
              <w:numPr>
                <w:ilvl w:val="0"/>
                <w:numId w:val="25"/>
              </w:numPr>
              <w:spacing w:before="0" w:after="0"/>
              <w:contextualSpacing w:val="0"/>
              <w:jc w:val="left"/>
              <w:rPr>
                <w:noProof/>
                <w:color w:val="000000" w:themeColor="text1"/>
                <w:sz w:val="20"/>
                <w:lang w:val="en-IE"/>
              </w:rPr>
            </w:pPr>
            <w:r w:rsidRPr="00B314C8">
              <w:rPr>
                <w:noProof/>
                <w:color w:val="000000" w:themeColor="text1"/>
                <w:sz w:val="20"/>
                <w:lang w:val="en-IE"/>
              </w:rPr>
              <w:t>€7.79 million per year for producers to report for the purpose of EPR</w:t>
            </w:r>
          </w:p>
          <w:p w14:paraId="314ED1B7" w14:textId="77777777" w:rsidR="00806609" w:rsidRPr="00B314C8" w:rsidRDefault="00806609" w:rsidP="0020411B">
            <w:pPr>
              <w:pStyle w:val="ListParagraph"/>
              <w:numPr>
                <w:ilvl w:val="0"/>
                <w:numId w:val="25"/>
              </w:numPr>
              <w:spacing w:before="0" w:after="0"/>
              <w:contextualSpacing w:val="0"/>
              <w:jc w:val="left"/>
              <w:rPr>
                <w:noProof/>
                <w:color w:val="000000" w:themeColor="text1"/>
                <w:sz w:val="20"/>
                <w:lang w:val="en-IE"/>
              </w:rPr>
            </w:pPr>
            <w:r w:rsidRPr="00B314C8">
              <w:rPr>
                <w:noProof/>
                <w:color w:val="000000" w:themeColor="text1"/>
                <w:sz w:val="20"/>
                <w:lang w:val="en-IE"/>
              </w:rPr>
              <w:t>€4.04 million costs of operating PRO registers and inspections</w:t>
            </w:r>
          </w:p>
          <w:p w14:paraId="37D0181F" w14:textId="4C9ACC29" w:rsidR="00806609" w:rsidRPr="00B314C8" w:rsidRDefault="00806609" w:rsidP="0020411B">
            <w:pPr>
              <w:pStyle w:val="ListParagraph"/>
              <w:numPr>
                <w:ilvl w:val="0"/>
                <w:numId w:val="25"/>
              </w:numPr>
              <w:spacing w:before="0" w:after="0"/>
              <w:contextualSpacing w:val="0"/>
              <w:jc w:val="left"/>
              <w:rPr>
                <w:noProof/>
                <w:color w:val="000000" w:themeColor="text1"/>
                <w:sz w:val="20"/>
                <w:lang w:val="en-IE"/>
              </w:rPr>
            </w:pPr>
            <w:r w:rsidRPr="00B314C8">
              <w:rPr>
                <w:noProof/>
                <w:color w:val="000000" w:themeColor="text1"/>
                <w:sz w:val="20"/>
                <w:lang w:val="en-IE"/>
              </w:rPr>
              <w:t xml:space="preserve">€39.2 million per year for additional textile collection, sorting and treatment to meet a 50% collection target </w:t>
            </w:r>
          </w:p>
          <w:p w14:paraId="453A3168" w14:textId="699715DC" w:rsidR="00806609" w:rsidRPr="00B314C8" w:rsidRDefault="00806609" w:rsidP="0020411B">
            <w:pPr>
              <w:pStyle w:val="ListParagraph"/>
              <w:numPr>
                <w:ilvl w:val="0"/>
                <w:numId w:val="25"/>
              </w:numPr>
              <w:spacing w:before="0" w:after="0"/>
              <w:contextualSpacing w:val="0"/>
              <w:jc w:val="left"/>
              <w:rPr>
                <w:noProof/>
                <w:color w:val="000000" w:themeColor="text1"/>
                <w:sz w:val="20"/>
                <w:lang w:val="en-IE"/>
              </w:rPr>
            </w:pPr>
            <w:r w:rsidRPr="00B314C8">
              <w:rPr>
                <w:noProof/>
                <w:color w:val="000000" w:themeColor="text1"/>
                <w:sz w:val="20"/>
                <w:lang w:val="en-IE"/>
              </w:rPr>
              <w:t xml:space="preserve">€208 per competent authority and €78 per exporter annualised per inspection </w:t>
            </w:r>
          </w:p>
          <w:p w14:paraId="64863BF2" w14:textId="77777777" w:rsidR="00806609" w:rsidRPr="00B314C8" w:rsidRDefault="00806609" w:rsidP="0020411B">
            <w:pPr>
              <w:pStyle w:val="ListParagraph"/>
              <w:numPr>
                <w:ilvl w:val="0"/>
                <w:numId w:val="25"/>
              </w:numPr>
              <w:spacing w:before="0" w:after="0"/>
              <w:jc w:val="left"/>
              <w:rPr>
                <w:noProof/>
                <w:color w:val="000000" w:themeColor="text1"/>
                <w:sz w:val="20"/>
                <w:lang w:val="en-IE"/>
              </w:rPr>
            </w:pPr>
            <w:r w:rsidRPr="00B314C8">
              <w:rPr>
                <w:noProof/>
                <w:color w:val="000000" w:themeColor="text1"/>
                <w:sz w:val="20"/>
                <w:lang w:val="en-IE"/>
              </w:rPr>
              <w:t xml:space="preserve">€750 000 per year for EU enterprises to comply with EU reporting obligations </w:t>
            </w:r>
          </w:p>
          <w:p w14:paraId="0CB6929A" w14:textId="3BDCDB5B" w:rsidR="00806609" w:rsidRPr="00B314C8" w:rsidRDefault="00806609" w:rsidP="0020411B">
            <w:pPr>
              <w:pStyle w:val="ListParagraph"/>
              <w:numPr>
                <w:ilvl w:val="0"/>
                <w:numId w:val="25"/>
              </w:numPr>
              <w:spacing w:before="0" w:after="0"/>
              <w:contextualSpacing w:val="0"/>
              <w:jc w:val="left"/>
              <w:rPr>
                <w:noProof/>
                <w:color w:val="000000" w:themeColor="text1"/>
                <w:sz w:val="20"/>
                <w:lang w:val="en-IE"/>
              </w:rPr>
            </w:pPr>
            <w:r w:rsidRPr="00B314C8">
              <w:rPr>
                <w:noProof/>
                <w:color w:val="000000" w:themeColor="text1"/>
                <w:sz w:val="20"/>
                <w:lang w:val="en-IE"/>
              </w:rPr>
              <w:t>€26.5 million landfill tax loss for Member States due to textiles diverted from landfills</w:t>
            </w:r>
          </w:p>
          <w:p w14:paraId="5322CFB2" w14:textId="77777777" w:rsidR="00806609" w:rsidRPr="00B314C8" w:rsidRDefault="00806609" w:rsidP="0020411B">
            <w:pPr>
              <w:pStyle w:val="ListParagraph"/>
              <w:numPr>
                <w:ilvl w:val="0"/>
                <w:numId w:val="25"/>
              </w:numPr>
              <w:spacing w:before="0" w:after="0"/>
              <w:contextualSpacing w:val="0"/>
              <w:jc w:val="left"/>
              <w:rPr>
                <w:noProof/>
                <w:color w:val="000000" w:themeColor="text1"/>
                <w:sz w:val="20"/>
                <w:lang w:val="en-IE"/>
              </w:rPr>
            </w:pPr>
            <w:r w:rsidRPr="00B314C8">
              <w:rPr>
                <w:noProof/>
                <w:color w:val="000000" w:themeColor="text1"/>
                <w:sz w:val="20"/>
                <w:lang w:val="en-IE"/>
              </w:rPr>
              <w:t>Reduction in demand for food of 4.2% and a change in value of agri-food production of -1.8% alongside a fall in market prices of between 0.1 and 2.6%</w:t>
            </w:r>
          </w:p>
          <w:p w14:paraId="7986D0E1" w14:textId="77777777" w:rsidR="00806609" w:rsidRPr="00B314C8" w:rsidRDefault="00806609" w:rsidP="0020411B">
            <w:pPr>
              <w:pStyle w:val="ListParagraph"/>
              <w:numPr>
                <w:ilvl w:val="0"/>
                <w:numId w:val="25"/>
              </w:numPr>
              <w:spacing w:before="0" w:after="0"/>
              <w:contextualSpacing w:val="0"/>
              <w:jc w:val="left"/>
              <w:rPr>
                <w:noProof/>
                <w:color w:val="000000" w:themeColor="text1"/>
                <w:sz w:val="20"/>
                <w:lang w:val="en-IE"/>
              </w:rPr>
            </w:pPr>
            <w:r w:rsidRPr="00B314C8">
              <w:rPr>
                <w:noProof/>
                <w:color w:val="000000" w:themeColor="text1"/>
                <w:sz w:val="20"/>
                <w:lang w:val="en-IE"/>
              </w:rPr>
              <w:t>A fall in farm income of €4.2 billion per annum</w:t>
            </w:r>
          </w:p>
          <w:p w14:paraId="54E193B3" w14:textId="77777777" w:rsidR="00CA3C44" w:rsidRDefault="00806609" w:rsidP="00B00391">
            <w:pPr>
              <w:spacing w:after="0"/>
              <w:rPr>
                <w:noProof/>
                <w:color w:val="000000" w:themeColor="text1"/>
                <w:sz w:val="20"/>
                <w:lang w:val="en-IE" w:eastAsia="en-IE"/>
              </w:rPr>
            </w:pPr>
            <w:r w:rsidRPr="00B314C8">
              <w:rPr>
                <w:noProof/>
                <w:color w:val="000000" w:themeColor="text1"/>
                <w:sz w:val="20"/>
                <w:lang w:val="en-IE" w:eastAsia="en-IE"/>
              </w:rPr>
              <w:t>Total adjustment costs for food waste reduction for actors in the food chain -</w:t>
            </w:r>
            <w:r w:rsidRPr="00B314C8" w:rsidDel="00CE5DCD">
              <w:rPr>
                <w:noProof/>
                <w:color w:val="000000" w:themeColor="text1"/>
                <w:sz w:val="20"/>
                <w:lang w:val="en-IE" w:eastAsia="en-IE"/>
              </w:rPr>
              <w:t xml:space="preserve"> </w:t>
            </w:r>
            <w:r w:rsidRPr="00B314C8">
              <w:rPr>
                <w:noProof/>
                <w:color w:val="000000" w:themeColor="text1"/>
                <w:sz w:val="20"/>
                <w:lang w:val="en-IE"/>
              </w:rPr>
              <w:t>€</w:t>
            </w:r>
            <w:r w:rsidRPr="00B314C8">
              <w:rPr>
                <w:noProof/>
                <w:color w:val="000000" w:themeColor="text1"/>
                <w:sz w:val="20"/>
                <w:lang w:val="en-IE" w:eastAsia="en-IE"/>
              </w:rPr>
              <w:t>2 bln [</w:t>
            </w:r>
            <w:r w:rsidRPr="00B314C8">
              <w:rPr>
                <w:noProof/>
                <w:color w:val="000000" w:themeColor="text1"/>
                <w:sz w:val="20"/>
                <w:lang w:val="en-IE"/>
              </w:rPr>
              <w:t>€</w:t>
            </w:r>
            <w:r w:rsidRPr="00B314C8">
              <w:rPr>
                <w:noProof/>
                <w:color w:val="000000" w:themeColor="text1"/>
                <w:sz w:val="20"/>
                <w:lang w:val="en-IE" w:eastAsia="en-IE"/>
              </w:rPr>
              <w:t xml:space="preserve">41/ton of food waste avoided]  </w:t>
            </w:r>
          </w:p>
          <w:p w14:paraId="4408332F" w14:textId="15F78CCF" w:rsidR="00806609" w:rsidRPr="00B314C8" w:rsidRDefault="00806609" w:rsidP="00B00391">
            <w:pPr>
              <w:spacing w:after="0"/>
              <w:rPr>
                <w:b/>
                <w:noProof/>
                <w:color w:val="000000"/>
                <w:sz w:val="20"/>
                <w:lang w:val="en-IE"/>
              </w:rPr>
            </w:pPr>
            <w:r w:rsidRPr="00B314C8">
              <w:rPr>
                <w:b/>
                <w:noProof/>
                <w:color w:val="000000"/>
                <w:sz w:val="20"/>
                <w:lang w:val="en-IE"/>
              </w:rPr>
              <w:t>Economic benefits for textile sector</w:t>
            </w:r>
          </w:p>
          <w:p w14:paraId="09A07E33" w14:textId="77777777" w:rsidR="00806609" w:rsidRPr="00B314C8" w:rsidRDefault="00806609" w:rsidP="0020411B">
            <w:pPr>
              <w:pStyle w:val="ListParagraph"/>
              <w:numPr>
                <w:ilvl w:val="0"/>
                <w:numId w:val="23"/>
              </w:numPr>
              <w:spacing w:before="0" w:after="0"/>
              <w:contextualSpacing w:val="0"/>
              <w:jc w:val="left"/>
              <w:rPr>
                <w:noProof/>
                <w:color w:val="000000"/>
                <w:sz w:val="20"/>
                <w:lang w:val="en-IE"/>
              </w:rPr>
            </w:pPr>
            <w:r w:rsidRPr="00B314C8">
              <w:rPr>
                <w:noProof/>
                <w:color w:val="000000"/>
                <w:sz w:val="20"/>
                <w:u w:val="single"/>
                <w:lang w:val="en-IE"/>
              </w:rPr>
              <w:t>EPR</w:t>
            </w:r>
            <w:r w:rsidRPr="00B314C8">
              <w:rPr>
                <w:noProof/>
                <w:color w:val="000000"/>
                <w:sz w:val="20"/>
                <w:lang w:val="en-IE"/>
              </w:rPr>
              <w:t xml:space="preserve">: </w:t>
            </w:r>
            <w:r w:rsidRPr="00B314C8">
              <w:rPr>
                <w:noProof/>
                <w:color w:val="000000" w:themeColor="text1"/>
                <w:sz w:val="20"/>
                <w:lang w:val="en-IE"/>
              </w:rPr>
              <w:t>€</w:t>
            </w:r>
            <w:r w:rsidRPr="00B314C8">
              <w:rPr>
                <w:noProof/>
                <w:color w:val="000000"/>
                <w:sz w:val="20"/>
                <w:lang w:val="en-IE"/>
              </w:rPr>
              <w:t>3.5-4.5 billion annual overall returns on recycling investment (including the benefits indicated for the other measures)</w:t>
            </w:r>
          </w:p>
          <w:p w14:paraId="6D16221F" w14:textId="77777777" w:rsidR="00806609" w:rsidRPr="00B314C8" w:rsidRDefault="1AADFA35" w:rsidP="0020411B">
            <w:pPr>
              <w:pStyle w:val="ListParagraph"/>
              <w:numPr>
                <w:ilvl w:val="0"/>
                <w:numId w:val="23"/>
              </w:numPr>
              <w:spacing w:before="0" w:after="0"/>
              <w:rPr>
                <w:noProof/>
                <w:color w:val="000000"/>
                <w:sz w:val="20"/>
                <w:lang w:val="en-IE"/>
              </w:rPr>
            </w:pPr>
            <w:r w:rsidRPr="00B314C8">
              <w:rPr>
                <w:noProof/>
                <w:color w:val="000000" w:themeColor="text1"/>
                <w:sz w:val="20"/>
                <w:u w:val="single"/>
                <w:lang w:val="en-IE"/>
              </w:rPr>
              <w:t>Additional sorting</w:t>
            </w:r>
            <w:r w:rsidRPr="00B314C8">
              <w:rPr>
                <w:noProof/>
                <w:color w:val="000000" w:themeColor="text1"/>
                <w:sz w:val="20"/>
                <w:lang w:val="en-IE"/>
              </w:rPr>
              <w:t>: €</w:t>
            </w:r>
            <w:r w:rsidRPr="00B314C8">
              <w:rPr>
                <w:noProof/>
                <w:sz w:val="20"/>
                <w:lang w:val="en-IE"/>
              </w:rPr>
              <w:t>534 million per year</w:t>
            </w:r>
            <w:r w:rsidRPr="00B314C8">
              <w:rPr>
                <w:noProof/>
                <w:color w:val="000000" w:themeColor="text1"/>
                <w:sz w:val="20"/>
                <w:lang w:val="en-IE"/>
              </w:rPr>
              <w:t xml:space="preserve"> of re</w:t>
            </w:r>
            <w:r w:rsidR="3B6DC2CD" w:rsidRPr="00B314C8">
              <w:rPr>
                <w:noProof/>
                <w:color w:val="000000" w:themeColor="text1"/>
                <w:sz w:val="20"/>
                <w:lang w:val="en-IE"/>
              </w:rPr>
              <w:t>-</w:t>
            </w:r>
            <w:r w:rsidRPr="00B314C8">
              <w:rPr>
                <w:noProof/>
                <w:color w:val="000000" w:themeColor="text1"/>
                <w:sz w:val="20"/>
                <w:lang w:val="en-IE"/>
              </w:rPr>
              <w:t>use value and €94 million per year of recycling value</w:t>
            </w:r>
          </w:p>
          <w:p w14:paraId="0527F6ED" w14:textId="77777777" w:rsidR="00806609" w:rsidRPr="00B314C8" w:rsidRDefault="1AADFA35" w:rsidP="0020411B">
            <w:pPr>
              <w:pStyle w:val="ListParagraph"/>
              <w:numPr>
                <w:ilvl w:val="0"/>
                <w:numId w:val="23"/>
              </w:numPr>
              <w:spacing w:before="0" w:after="0"/>
              <w:jc w:val="left"/>
              <w:rPr>
                <w:noProof/>
                <w:color w:val="000000"/>
                <w:sz w:val="20"/>
                <w:lang w:val="en-IE"/>
              </w:rPr>
            </w:pPr>
            <w:r w:rsidRPr="00B314C8">
              <w:rPr>
                <w:noProof/>
                <w:color w:val="000000" w:themeColor="text1"/>
                <w:sz w:val="20"/>
                <w:u w:val="single"/>
                <w:lang w:val="en-IE"/>
              </w:rPr>
              <w:t>Additional collection</w:t>
            </w:r>
            <w:r w:rsidRPr="00B314C8">
              <w:rPr>
                <w:b/>
                <w:bCs/>
                <w:noProof/>
                <w:color w:val="000000" w:themeColor="text1"/>
                <w:sz w:val="20"/>
                <w:lang w:val="en-IE"/>
              </w:rPr>
              <w:t>:</w:t>
            </w:r>
            <w:r w:rsidRPr="00B314C8">
              <w:rPr>
                <w:noProof/>
                <w:color w:val="000000" w:themeColor="text1"/>
                <w:sz w:val="20"/>
                <w:lang w:val="en-IE"/>
              </w:rPr>
              <w:t xml:space="preserve"> €28 million per year of combined re</w:t>
            </w:r>
            <w:r w:rsidR="1C8881BB" w:rsidRPr="00B314C8">
              <w:rPr>
                <w:noProof/>
                <w:color w:val="000000" w:themeColor="text1"/>
                <w:sz w:val="20"/>
                <w:lang w:val="en-IE"/>
              </w:rPr>
              <w:t>-</w:t>
            </w:r>
            <w:r w:rsidRPr="00B314C8">
              <w:rPr>
                <w:noProof/>
                <w:color w:val="000000" w:themeColor="text1"/>
                <w:sz w:val="20"/>
                <w:lang w:val="en-IE"/>
              </w:rPr>
              <w:t>use and recycling value</w:t>
            </w:r>
          </w:p>
          <w:p w14:paraId="693898B8" w14:textId="77777777" w:rsidR="00806609" w:rsidRPr="00B314C8" w:rsidRDefault="00806609" w:rsidP="00B00391">
            <w:pPr>
              <w:spacing w:after="0"/>
              <w:jc w:val="left"/>
              <w:rPr>
                <w:b/>
                <w:noProof/>
                <w:color w:val="000000"/>
                <w:sz w:val="20"/>
                <w:lang w:val="en-IE"/>
              </w:rPr>
            </w:pPr>
            <w:r w:rsidRPr="00B314C8">
              <w:rPr>
                <w:b/>
                <w:noProof/>
                <w:color w:val="000000"/>
                <w:sz w:val="20"/>
                <w:lang w:val="en-IE"/>
              </w:rPr>
              <w:t>Economic benefits for food waste reduction</w:t>
            </w:r>
          </w:p>
          <w:p w14:paraId="3B47B4A5" w14:textId="77777777" w:rsidR="00806609" w:rsidRPr="00B314C8" w:rsidRDefault="00806609" w:rsidP="0020411B">
            <w:pPr>
              <w:pStyle w:val="ListParagraph"/>
              <w:numPr>
                <w:ilvl w:val="0"/>
                <w:numId w:val="26"/>
              </w:numPr>
              <w:spacing w:before="0" w:after="0"/>
              <w:jc w:val="left"/>
              <w:rPr>
                <w:noProof/>
                <w:color w:val="000000"/>
                <w:sz w:val="20"/>
                <w:lang w:val="en-IE"/>
              </w:rPr>
            </w:pPr>
            <w:r w:rsidRPr="00B314C8">
              <w:rPr>
                <w:noProof/>
                <w:color w:val="000000"/>
                <w:sz w:val="20"/>
                <w:lang w:val="en-IE"/>
              </w:rPr>
              <w:t>overall</w:t>
            </w:r>
            <w:r w:rsidRPr="00B314C8">
              <w:rPr>
                <w:bCs/>
                <w:noProof/>
                <w:color w:val="000000"/>
                <w:sz w:val="20"/>
                <w:lang w:val="en-IE"/>
              </w:rPr>
              <w:t xml:space="preserve"> value added for EU economy </w:t>
            </w:r>
            <w:r w:rsidRPr="00B314C8">
              <w:rPr>
                <w:noProof/>
                <w:color w:val="000000" w:themeColor="text1"/>
                <w:sz w:val="20"/>
                <w:lang w:val="en-IE"/>
              </w:rPr>
              <w:t>€</w:t>
            </w:r>
            <w:r w:rsidRPr="00B314C8">
              <w:rPr>
                <w:bCs/>
                <w:noProof/>
                <w:color w:val="000000"/>
                <w:sz w:val="20"/>
                <w:lang w:val="en-IE"/>
              </w:rPr>
              <w:t>1.6 bn (including abovementioned costs)</w:t>
            </w:r>
          </w:p>
          <w:p w14:paraId="48E9E3B3" w14:textId="77777777" w:rsidR="00806609" w:rsidRPr="00B314C8" w:rsidRDefault="00806609" w:rsidP="0020411B">
            <w:pPr>
              <w:pStyle w:val="ListParagraph"/>
              <w:numPr>
                <w:ilvl w:val="0"/>
                <w:numId w:val="24"/>
              </w:numPr>
              <w:spacing w:before="0" w:after="0"/>
              <w:contextualSpacing w:val="0"/>
              <w:jc w:val="left"/>
              <w:rPr>
                <w:noProof/>
                <w:color w:val="000000"/>
                <w:sz w:val="20"/>
                <w:lang w:val="en-IE"/>
              </w:rPr>
            </w:pPr>
            <w:r w:rsidRPr="00B314C8">
              <w:rPr>
                <w:noProof/>
                <w:color w:val="000000"/>
                <w:sz w:val="20"/>
                <w:lang w:val="en-IE"/>
              </w:rPr>
              <w:t xml:space="preserve">savings in household food expenditure of </w:t>
            </w:r>
            <w:r w:rsidRPr="00B314C8">
              <w:rPr>
                <w:noProof/>
                <w:color w:val="000000" w:themeColor="text1"/>
                <w:sz w:val="20"/>
                <w:lang w:val="en-IE"/>
              </w:rPr>
              <w:t>€</w:t>
            </w:r>
            <w:r w:rsidRPr="00B314C8">
              <w:rPr>
                <w:noProof/>
                <w:color w:val="000000"/>
                <w:sz w:val="20"/>
                <w:lang w:val="en-IE"/>
              </w:rPr>
              <w:t>439 per year per household (4 pers.)</w:t>
            </w:r>
          </w:p>
          <w:p w14:paraId="4FD127FD" w14:textId="77777777" w:rsidR="00806609" w:rsidRPr="00B314C8" w:rsidRDefault="00806609" w:rsidP="00B00391">
            <w:pPr>
              <w:spacing w:after="0"/>
              <w:rPr>
                <w:noProof/>
                <w:color w:val="000000"/>
                <w:sz w:val="20"/>
                <w:lang w:val="en-IE"/>
              </w:rPr>
            </w:pPr>
            <w:r w:rsidRPr="00B314C8">
              <w:rPr>
                <w:b/>
                <w:noProof/>
                <w:color w:val="000000"/>
                <w:sz w:val="20"/>
                <w:lang w:val="en-IE"/>
              </w:rPr>
              <w:t>Environmental benefits</w:t>
            </w:r>
          </w:p>
          <w:p w14:paraId="25F7E636" w14:textId="77777777" w:rsidR="00806609" w:rsidRPr="00B314C8" w:rsidRDefault="00806609" w:rsidP="0020411B">
            <w:pPr>
              <w:pStyle w:val="ListParagraph"/>
              <w:numPr>
                <w:ilvl w:val="0"/>
                <w:numId w:val="24"/>
              </w:numPr>
              <w:spacing w:before="0" w:after="0"/>
              <w:contextualSpacing w:val="0"/>
              <w:rPr>
                <w:noProof/>
                <w:color w:val="000000"/>
                <w:sz w:val="20"/>
                <w:lang w:val="en-IE"/>
              </w:rPr>
            </w:pPr>
            <w:r w:rsidRPr="00B314C8">
              <w:rPr>
                <w:noProof/>
                <w:color w:val="000000" w:themeColor="text1"/>
                <w:sz w:val="20"/>
                <w:lang w:val="en-IE"/>
              </w:rPr>
              <w:t>€</w:t>
            </w:r>
            <w:r w:rsidRPr="00B314C8">
              <w:rPr>
                <w:noProof/>
                <w:color w:val="000000"/>
                <w:sz w:val="20"/>
                <w:lang w:val="en-IE"/>
              </w:rPr>
              <w:t>16 million from GHG emission reduction from textile waste as well as reduction in release of pollutants to air, water and land that would otherwise result from poor waste management.</w:t>
            </w:r>
          </w:p>
          <w:p w14:paraId="32475C2B" w14:textId="77777777" w:rsidR="00806609" w:rsidRPr="00B314C8" w:rsidRDefault="00806609" w:rsidP="0020411B">
            <w:pPr>
              <w:pStyle w:val="ListParagraph"/>
              <w:numPr>
                <w:ilvl w:val="0"/>
                <w:numId w:val="24"/>
              </w:numPr>
              <w:spacing w:before="0" w:after="0"/>
              <w:contextualSpacing w:val="0"/>
              <w:rPr>
                <w:noProof/>
                <w:color w:val="000000"/>
                <w:sz w:val="20"/>
                <w:lang w:val="en-IE"/>
              </w:rPr>
            </w:pPr>
            <w:r w:rsidRPr="00B314C8">
              <w:rPr>
                <w:noProof/>
                <w:color w:val="000000"/>
                <w:sz w:val="20"/>
                <w:lang w:val="en-IE"/>
              </w:rPr>
              <w:t xml:space="preserve">3.9 (in EU) and 12.6 (out of EU) million tonnes GHG emission reduction (including rebound effect) </w:t>
            </w:r>
            <w:r w:rsidRPr="00B314C8">
              <w:rPr>
                <w:b/>
                <w:noProof/>
                <w:color w:val="000000"/>
                <w:sz w:val="20"/>
                <w:lang w:val="en-IE"/>
              </w:rPr>
              <w:t>OR</w:t>
            </w:r>
            <w:r w:rsidRPr="00B314C8">
              <w:rPr>
                <w:noProof/>
                <w:color w:val="000000"/>
                <w:sz w:val="20"/>
                <w:lang w:val="en-IE"/>
              </w:rPr>
              <w:t xml:space="preserve"> 62 million tonnes of GHG </w:t>
            </w:r>
            <w:r w:rsidRPr="00B314C8">
              <w:rPr>
                <w:noProof/>
                <w:sz w:val="20"/>
                <w:lang w:val="en-IE"/>
              </w:rPr>
              <w:t>avoided</w:t>
            </w:r>
            <w:r w:rsidRPr="00B314C8">
              <w:rPr>
                <w:noProof/>
                <w:color w:val="000000"/>
                <w:sz w:val="20"/>
                <w:lang w:val="en-IE"/>
              </w:rPr>
              <w:t xml:space="preserve"> (</w:t>
            </w:r>
            <w:r w:rsidRPr="00B314C8">
              <w:rPr>
                <w:noProof/>
                <w:sz w:val="20"/>
                <w:lang w:val="en-IE"/>
              </w:rPr>
              <w:t>without counting the rebound effect)</w:t>
            </w:r>
          </w:p>
          <w:p w14:paraId="76A79A16" w14:textId="77777777" w:rsidR="00806609" w:rsidRPr="00B314C8" w:rsidRDefault="00806609" w:rsidP="0020411B">
            <w:pPr>
              <w:pStyle w:val="ListParagraph"/>
              <w:numPr>
                <w:ilvl w:val="0"/>
                <w:numId w:val="24"/>
              </w:numPr>
              <w:spacing w:before="0" w:after="0"/>
              <w:contextualSpacing w:val="0"/>
              <w:rPr>
                <w:noProof/>
                <w:color w:val="000000"/>
                <w:sz w:val="20"/>
                <w:lang w:val="en-IE"/>
              </w:rPr>
            </w:pPr>
            <w:r w:rsidRPr="00B314C8">
              <w:rPr>
                <w:noProof/>
                <w:color w:val="000000"/>
                <w:sz w:val="20"/>
                <w:lang w:val="en-IE"/>
              </w:rPr>
              <w:t xml:space="preserve">reduction in release of pollutants to air, water and land that would otherwise result from poor waste management </w:t>
            </w:r>
          </w:p>
          <w:p w14:paraId="16CF2E3D" w14:textId="77777777" w:rsidR="00806609" w:rsidRPr="00B314C8" w:rsidRDefault="00806609" w:rsidP="0020411B">
            <w:pPr>
              <w:pStyle w:val="ListParagraph"/>
              <w:numPr>
                <w:ilvl w:val="0"/>
                <w:numId w:val="24"/>
              </w:numPr>
              <w:spacing w:before="0" w:after="0"/>
              <w:contextualSpacing w:val="0"/>
              <w:rPr>
                <w:noProof/>
                <w:color w:val="000000"/>
                <w:sz w:val="20"/>
                <w:lang w:val="en-IE"/>
              </w:rPr>
            </w:pPr>
            <w:r w:rsidRPr="00B314C8">
              <w:rPr>
                <w:noProof/>
                <w:color w:val="000000"/>
                <w:sz w:val="20"/>
                <w:lang w:val="en-IE"/>
              </w:rPr>
              <w:t xml:space="preserve">Reduced impact on land use of 2.2 Trillion Pt, </w:t>
            </w:r>
          </w:p>
          <w:p w14:paraId="252D9189" w14:textId="77777777" w:rsidR="00806609" w:rsidRPr="00B314C8" w:rsidRDefault="00806609" w:rsidP="0020411B">
            <w:pPr>
              <w:pStyle w:val="ListParagraph"/>
              <w:numPr>
                <w:ilvl w:val="0"/>
                <w:numId w:val="24"/>
              </w:numPr>
              <w:spacing w:before="0" w:after="0"/>
              <w:contextualSpacing w:val="0"/>
              <w:rPr>
                <w:noProof/>
                <w:color w:val="000000"/>
                <w:sz w:val="20"/>
                <w:lang w:val="en-IE"/>
              </w:rPr>
            </w:pPr>
            <w:r w:rsidRPr="00B314C8">
              <w:rPr>
                <w:noProof/>
                <w:color w:val="000000"/>
                <w:sz w:val="20"/>
                <w:lang w:val="en-IE"/>
              </w:rPr>
              <w:t xml:space="preserve">reduction in marine eutrophication of 532 million kg of Neq </w:t>
            </w:r>
          </w:p>
          <w:p w14:paraId="6034F129" w14:textId="77777777" w:rsidR="00806609" w:rsidRPr="00B314C8" w:rsidRDefault="00806609" w:rsidP="0020411B">
            <w:pPr>
              <w:pStyle w:val="ListParagraph"/>
              <w:numPr>
                <w:ilvl w:val="0"/>
                <w:numId w:val="24"/>
              </w:numPr>
              <w:spacing w:before="0" w:after="0"/>
              <w:contextualSpacing w:val="0"/>
              <w:rPr>
                <w:noProof/>
                <w:color w:val="000000"/>
                <w:sz w:val="20"/>
                <w:lang w:val="en-IE"/>
              </w:rPr>
            </w:pPr>
            <w:r w:rsidRPr="00B314C8">
              <w:rPr>
                <w:noProof/>
                <w:color w:val="000000"/>
                <w:sz w:val="20"/>
                <w:lang w:val="en-IE"/>
              </w:rPr>
              <w:lastRenderedPageBreak/>
              <w:t>reduction in water scarcity of 80 billion m3 per annum.</w:t>
            </w:r>
          </w:p>
          <w:p w14:paraId="6A149B2B" w14:textId="77777777" w:rsidR="00806609" w:rsidRPr="00B314C8" w:rsidRDefault="00806609" w:rsidP="0020411B">
            <w:pPr>
              <w:pStyle w:val="ListParagraph"/>
              <w:numPr>
                <w:ilvl w:val="0"/>
                <w:numId w:val="24"/>
              </w:numPr>
              <w:spacing w:before="0" w:after="0"/>
              <w:contextualSpacing w:val="0"/>
              <w:rPr>
                <w:b/>
                <w:noProof/>
                <w:color w:val="000000"/>
                <w:sz w:val="20"/>
                <w:lang w:val="en-IE"/>
              </w:rPr>
            </w:pPr>
            <w:r w:rsidRPr="00B314C8">
              <w:rPr>
                <w:b/>
                <w:noProof/>
                <w:sz w:val="20"/>
                <w:lang w:val="en-IE"/>
              </w:rPr>
              <w:t xml:space="preserve">Overall environmental savings </w:t>
            </w:r>
            <w:r w:rsidRPr="00B314C8">
              <w:rPr>
                <w:b/>
                <w:noProof/>
                <w:color w:val="000000" w:themeColor="text1"/>
                <w:sz w:val="20"/>
                <w:lang w:val="en-IE"/>
              </w:rPr>
              <w:t xml:space="preserve">monetised - €9-23 bn </w:t>
            </w:r>
          </w:p>
          <w:p w14:paraId="3391A254" w14:textId="77777777" w:rsidR="00806609" w:rsidRPr="00B314C8" w:rsidRDefault="00806609" w:rsidP="00B00391">
            <w:pPr>
              <w:spacing w:after="0"/>
              <w:rPr>
                <w:noProof/>
                <w:color w:val="000000"/>
                <w:sz w:val="20"/>
                <w:lang w:val="en-IE"/>
              </w:rPr>
            </w:pPr>
            <w:r w:rsidRPr="00B314C8">
              <w:rPr>
                <w:b/>
                <w:noProof/>
                <w:color w:val="000000"/>
                <w:sz w:val="20"/>
                <w:lang w:val="en-IE"/>
              </w:rPr>
              <w:t>Social benefits</w:t>
            </w:r>
          </w:p>
          <w:p w14:paraId="750D44F5" w14:textId="77777777" w:rsidR="00806609" w:rsidRPr="00B314C8" w:rsidRDefault="00806609" w:rsidP="0020411B">
            <w:pPr>
              <w:pStyle w:val="ListParagraph"/>
              <w:numPr>
                <w:ilvl w:val="0"/>
                <w:numId w:val="24"/>
              </w:numPr>
              <w:spacing w:before="0" w:after="0"/>
              <w:contextualSpacing w:val="0"/>
              <w:rPr>
                <w:rFonts w:eastAsiaTheme="minorHAnsi"/>
                <w:noProof/>
                <w:color w:val="000000"/>
                <w:sz w:val="20"/>
                <w:lang w:val="en-IE" w:eastAsia="en-US"/>
              </w:rPr>
            </w:pPr>
            <w:r w:rsidRPr="00B314C8">
              <w:rPr>
                <w:noProof/>
                <w:color w:val="000000" w:themeColor="text1"/>
                <w:sz w:val="20"/>
                <w:lang w:val="en-IE"/>
              </w:rPr>
              <w:t xml:space="preserve">8 740 jobs created in relation to textiles and social impacts of EU waste in third countries mitigated </w:t>
            </w:r>
            <w:r w:rsidRPr="00B314C8">
              <w:rPr>
                <w:noProof/>
                <w:color w:val="000000"/>
                <w:sz w:val="20"/>
                <w:lang w:val="en-IE"/>
              </w:rPr>
              <w:t>(no net impact assessment; see Annex 4 for details and underlying assumptions)</w:t>
            </w:r>
          </w:p>
          <w:p w14:paraId="191B600B" w14:textId="77777777" w:rsidR="00806609" w:rsidRPr="00B314C8" w:rsidRDefault="00806609" w:rsidP="0020411B">
            <w:pPr>
              <w:pStyle w:val="ListParagraph"/>
              <w:numPr>
                <w:ilvl w:val="0"/>
                <w:numId w:val="24"/>
              </w:numPr>
              <w:spacing w:before="0" w:after="0"/>
              <w:contextualSpacing w:val="0"/>
              <w:rPr>
                <w:rFonts w:eastAsiaTheme="minorHAnsi"/>
                <w:noProof/>
                <w:color w:val="000000"/>
                <w:sz w:val="20"/>
                <w:lang w:val="en-IE" w:eastAsia="en-US"/>
              </w:rPr>
            </w:pPr>
            <w:r w:rsidRPr="00B314C8">
              <w:rPr>
                <w:noProof/>
                <w:color w:val="000000" w:themeColor="text1"/>
                <w:sz w:val="20"/>
                <w:lang w:val="en-IE"/>
              </w:rPr>
              <w:t>Up to 135 000 jobs lost in agri-food sectors (expected to be compensated in other sectors)</w:t>
            </w:r>
          </w:p>
        </w:tc>
        <w:tc>
          <w:tcPr>
            <w:tcW w:w="31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405558" w14:textId="77777777" w:rsidR="00806609" w:rsidRPr="00B314C8" w:rsidRDefault="00806609" w:rsidP="00B00391">
            <w:pPr>
              <w:spacing w:after="0" w:line="240" w:lineRule="atLeast"/>
              <w:jc w:val="center"/>
              <w:rPr>
                <w:noProof/>
                <w:color w:val="000000"/>
                <w:sz w:val="20"/>
                <w:lang w:val="en-IE"/>
              </w:rPr>
            </w:pPr>
            <w:r w:rsidRPr="00B314C8">
              <w:rPr>
                <w:b/>
                <w:noProof/>
                <w:color w:val="000000" w:themeColor="text1"/>
                <w:sz w:val="20"/>
                <w:lang w:val="en-IE"/>
              </w:rPr>
              <w:lastRenderedPageBreak/>
              <w:t>Costs</w:t>
            </w:r>
            <w:r w:rsidRPr="00B314C8">
              <w:rPr>
                <w:noProof/>
                <w:color w:val="000000" w:themeColor="text1"/>
                <w:sz w:val="20"/>
                <w:lang w:val="en-IE"/>
              </w:rPr>
              <w:t xml:space="preserve">: </w:t>
            </w:r>
          </w:p>
          <w:p w14:paraId="2116F886" w14:textId="77777777" w:rsidR="00806609" w:rsidRPr="00B314C8" w:rsidRDefault="00806609" w:rsidP="00B00391">
            <w:pPr>
              <w:spacing w:after="160" w:line="240" w:lineRule="atLeast"/>
              <w:jc w:val="center"/>
              <w:rPr>
                <w:noProof/>
                <w:color w:val="000000" w:themeColor="text1"/>
                <w:sz w:val="20"/>
                <w:lang w:val="en-IE"/>
              </w:rPr>
            </w:pPr>
            <w:r w:rsidRPr="00B314C8">
              <w:rPr>
                <w:noProof/>
                <w:color w:val="000000" w:themeColor="text1"/>
                <w:sz w:val="20"/>
                <w:lang w:val="en-IE"/>
              </w:rPr>
              <w:t xml:space="preserve">€975 million (these costs may fall on consumers, producers or a mix of both). </w:t>
            </w:r>
          </w:p>
          <w:p w14:paraId="0948E135" w14:textId="77777777" w:rsidR="00806609" w:rsidRPr="00B314C8" w:rsidRDefault="00806609" w:rsidP="00B00391">
            <w:pPr>
              <w:spacing w:after="0"/>
              <w:jc w:val="left"/>
              <w:rPr>
                <w:noProof/>
                <w:color w:val="000000"/>
                <w:sz w:val="20"/>
                <w:lang w:val="en-IE"/>
              </w:rPr>
            </w:pPr>
            <w:r w:rsidRPr="00B314C8">
              <w:rPr>
                <w:bCs/>
                <w:noProof/>
                <w:color w:val="000000"/>
                <w:sz w:val="20"/>
                <w:lang w:val="en-IE"/>
              </w:rPr>
              <w:t>Overall</w:t>
            </w:r>
            <w:r w:rsidRPr="00B314C8">
              <w:rPr>
                <w:noProof/>
                <w:color w:val="000000"/>
                <w:sz w:val="20"/>
                <w:lang w:val="en-IE"/>
              </w:rPr>
              <w:t xml:space="preserve"> value added for EU economy</w:t>
            </w:r>
            <w:r w:rsidRPr="00B314C8">
              <w:rPr>
                <w:bCs/>
                <w:noProof/>
                <w:color w:val="000000"/>
                <w:sz w:val="20"/>
                <w:lang w:val="en-IE"/>
              </w:rPr>
              <w:t xml:space="preserve"> form the reduction of food waste</w:t>
            </w:r>
            <w:r w:rsidRPr="00B314C8">
              <w:rPr>
                <w:noProof/>
                <w:color w:val="000000"/>
                <w:sz w:val="20"/>
                <w:lang w:val="en-IE"/>
              </w:rPr>
              <w:t xml:space="preserve"> 1.6 bn EUR (</w:t>
            </w:r>
            <w:r w:rsidRPr="00B314C8">
              <w:rPr>
                <w:bCs/>
                <w:noProof/>
                <w:color w:val="000000"/>
                <w:sz w:val="20"/>
                <w:lang w:val="en-IE"/>
              </w:rPr>
              <w:t>0.016%)</w:t>
            </w:r>
          </w:p>
          <w:p w14:paraId="4BF46E64" w14:textId="77777777" w:rsidR="00806609" w:rsidRPr="00B314C8" w:rsidRDefault="00806609" w:rsidP="00B00391">
            <w:pPr>
              <w:spacing w:after="0" w:line="240" w:lineRule="atLeast"/>
              <w:jc w:val="center"/>
              <w:rPr>
                <w:noProof/>
                <w:color w:val="000000"/>
                <w:sz w:val="20"/>
                <w:lang w:val="en-IE"/>
              </w:rPr>
            </w:pPr>
            <w:r w:rsidRPr="00B314C8">
              <w:rPr>
                <w:b/>
                <w:noProof/>
                <w:color w:val="000000" w:themeColor="text1"/>
                <w:sz w:val="20"/>
                <w:lang w:val="en-IE"/>
              </w:rPr>
              <w:t>Benefits</w:t>
            </w:r>
            <w:r w:rsidRPr="00B314C8">
              <w:rPr>
                <w:noProof/>
                <w:color w:val="000000" w:themeColor="text1"/>
                <w:sz w:val="20"/>
                <w:lang w:val="en-IE"/>
              </w:rPr>
              <w:t xml:space="preserve">: </w:t>
            </w:r>
          </w:p>
          <w:p w14:paraId="7B3BDEBF" w14:textId="77777777" w:rsidR="00806609" w:rsidRPr="00B314C8" w:rsidRDefault="1AADFA35" w:rsidP="072CAFB5">
            <w:pPr>
              <w:spacing w:after="160" w:line="240" w:lineRule="atLeast"/>
              <w:jc w:val="center"/>
              <w:rPr>
                <w:noProof/>
                <w:color w:val="000000"/>
                <w:sz w:val="20"/>
                <w:lang w:val="en-IE"/>
              </w:rPr>
            </w:pPr>
            <w:r w:rsidRPr="00B314C8">
              <w:rPr>
                <w:noProof/>
                <w:color w:val="000000" w:themeColor="text1"/>
                <w:sz w:val="20"/>
                <w:lang w:val="en-IE"/>
              </w:rPr>
              <w:t>Direct benefits of €656 million of reusable and recyclable textiles for the EU re</w:t>
            </w:r>
            <w:r w:rsidR="5103F485" w:rsidRPr="00B314C8">
              <w:rPr>
                <w:noProof/>
                <w:color w:val="000000" w:themeColor="text1"/>
                <w:sz w:val="20"/>
                <w:lang w:val="en-IE"/>
              </w:rPr>
              <w:t>-</w:t>
            </w:r>
            <w:r w:rsidRPr="00B314C8">
              <w:rPr>
                <w:noProof/>
                <w:color w:val="000000" w:themeColor="text1"/>
                <w:sz w:val="20"/>
                <w:lang w:val="en-IE"/>
              </w:rPr>
              <w:t>use and recycling market as well as support to €3.5-4.5 billion annual overall returns from EPR investments.</w:t>
            </w:r>
          </w:p>
          <w:p w14:paraId="42DD3F38" w14:textId="77777777" w:rsidR="00806609" w:rsidRPr="00B314C8" w:rsidRDefault="00806609" w:rsidP="00B00391">
            <w:pPr>
              <w:spacing w:after="160" w:line="240" w:lineRule="atLeast"/>
              <w:jc w:val="center"/>
              <w:rPr>
                <w:noProof/>
                <w:color w:val="000000"/>
                <w:sz w:val="20"/>
                <w:lang w:val="en-IE"/>
              </w:rPr>
            </w:pPr>
            <w:r w:rsidRPr="00B314C8">
              <w:rPr>
                <w:noProof/>
                <w:color w:val="000000"/>
                <w:sz w:val="20"/>
                <w:lang w:val="en-IE"/>
              </w:rPr>
              <w:t>Savings in household food</w:t>
            </w:r>
            <w:r w:rsidRPr="00B314C8">
              <w:rPr>
                <w:b/>
                <w:noProof/>
                <w:color w:val="000000"/>
                <w:sz w:val="20"/>
                <w:lang w:val="en-IE"/>
              </w:rPr>
              <w:t xml:space="preserve"> </w:t>
            </w:r>
            <w:r w:rsidRPr="00B314C8">
              <w:rPr>
                <w:noProof/>
                <w:color w:val="000000"/>
                <w:sz w:val="20"/>
                <w:lang w:val="en-IE"/>
              </w:rPr>
              <w:t xml:space="preserve">expenditure of </w:t>
            </w:r>
            <w:r w:rsidRPr="00B314C8">
              <w:rPr>
                <w:noProof/>
                <w:color w:val="000000" w:themeColor="text1"/>
                <w:sz w:val="20"/>
                <w:lang w:val="en-IE"/>
              </w:rPr>
              <w:t>€</w:t>
            </w:r>
            <w:r w:rsidRPr="00B314C8">
              <w:rPr>
                <w:noProof/>
                <w:color w:val="000000"/>
                <w:sz w:val="20"/>
                <w:lang w:val="en-IE"/>
              </w:rPr>
              <w:t>439 per year per household (4 pers.)</w:t>
            </w:r>
          </w:p>
          <w:p w14:paraId="3CCF2EAC" w14:textId="77777777" w:rsidR="00806609" w:rsidRPr="00B314C8" w:rsidRDefault="00806609" w:rsidP="00B00391">
            <w:pPr>
              <w:spacing w:after="160" w:line="240" w:lineRule="atLeast"/>
              <w:jc w:val="center"/>
              <w:rPr>
                <w:noProof/>
                <w:color w:val="000000"/>
                <w:sz w:val="20"/>
                <w:lang w:val="en-IE"/>
              </w:rPr>
            </w:pPr>
            <w:r w:rsidRPr="00B314C8">
              <w:rPr>
                <w:noProof/>
                <w:color w:val="000000"/>
                <w:sz w:val="20"/>
                <w:lang w:val="en-IE"/>
              </w:rPr>
              <w:t xml:space="preserve">Additional GHG emission reduction equal to </w:t>
            </w:r>
            <w:r w:rsidRPr="00B314C8">
              <w:rPr>
                <w:noProof/>
                <w:color w:val="000000" w:themeColor="text1"/>
                <w:sz w:val="20"/>
                <w:lang w:val="en-IE"/>
              </w:rPr>
              <w:t>€</w:t>
            </w:r>
            <w:r w:rsidRPr="00B314C8">
              <w:rPr>
                <w:noProof/>
                <w:color w:val="000000"/>
                <w:sz w:val="20"/>
                <w:lang w:val="en-IE"/>
              </w:rPr>
              <w:t xml:space="preserve">16 million per year from textiles and additional GHG emission reduction equal to 62 million tonnes per year (overall environmental savings monetised - </w:t>
            </w:r>
            <w:r w:rsidRPr="00B314C8">
              <w:rPr>
                <w:noProof/>
                <w:color w:val="000000" w:themeColor="text1"/>
                <w:sz w:val="20"/>
                <w:lang w:val="en-IE"/>
              </w:rPr>
              <w:t>€</w:t>
            </w:r>
            <w:r w:rsidRPr="00B314C8">
              <w:rPr>
                <w:noProof/>
                <w:color w:val="000000"/>
                <w:sz w:val="20"/>
                <w:lang w:val="en-IE"/>
              </w:rPr>
              <w:t xml:space="preserve">9-23 bn), </w:t>
            </w:r>
          </w:p>
          <w:p w14:paraId="733E4277" w14:textId="77777777" w:rsidR="00806609" w:rsidRPr="00B314C8" w:rsidRDefault="00806609" w:rsidP="00B00391">
            <w:pPr>
              <w:spacing w:after="160" w:line="240" w:lineRule="atLeast"/>
              <w:jc w:val="center"/>
              <w:rPr>
                <w:noProof/>
                <w:sz w:val="20"/>
                <w:lang w:val="en-IE"/>
              </w:rPr>
            </w:pPr>
            <w:r w:rsidRPr="00B314C8">
              <w:rPr>
                <w:noProof/>
                <w:color w:val="000000"/>
                <w:sz w:val="20"/>
                <w:lang w:val="en-IE"/>
              </w:rPr>
              <w:t>8 740 jobs created in waste management but up to 135 000 lost in agri-food sectors (expected to be compensated in other sectors)</w:t>
            </w:r>
          </w:p>
          <w:p w14:paraId="3688C219" w14:textId="77777777" w:rsidR="00806609" w:rsidRPr="00B314C8" w:rsidRDefault="00806609" w:rsidP="00B00391">
            <w:pPr>
              <w:spacing w:after="160" w:line="240" w:lineRule="atLeast"/>
              <w:jc w:val="center"/>
              <w:rPr>
                <w:rFonts w:eastAsiaTheme="minorHAnsi"/>
                <w:noProof/>
                <w:color w:val="000000"/>
                <w:sz w:val="20"/>
                <w:lang w:val="en-IE" w:eastAsia="en-US"/>
              </w:rPr>
            </w:pPr>
            <w:r w:rsidRPr="00B314C8">
              <w:rPr>
                <w:rFonts w:eastAsiaTheme="minorHAnsi"/>
                <w:b/>
                <w:noProof/>
                <w:color w:val="000000"/>
                <w:sz w:val="20"/>
                <w:lang w:val="en-IE" w:eastAsia="en-US"/>
              </w:rPr>
              <w:t>Overall effectiveness, efficiency and coherence</w:t>
            </w:r>
            <w:r w:rsidRPr="00B314C8">
              <w:rPr>
                <w:rFonts w:eastAsiaTheme="minorHAnsi"/>
                <w:noProof/>
                <w:color w:val="000000"/>
                <w:sz w:val="20"/>
                <w:lang w:val="en-IE" w:eastAsia="en-US"/>
              </w:rPr>
              <w:t>: positive</w:t>
            </w:r>
          </w:p>
          <w:p w14:paraId="378AFE18" w14:textId="77777777" w:rsidR="00806609" w:rsidRPr="00B314C8" w:rsidRDefault="00806609" w:rsidP="00B00391">
            <w:pPr>
              <w:spacing w:after="160" w:line="240" w:lineRule="atLeast"/>
              <w:jc w:val="center"/>
              <w:rPr>
                <w:rFonts w:eastAsiaTheme="minorHAnsi"/>
                <w:noProof/>
                <w:color w:val="000000"/>
                <w:sz w:val="20"/>
                <w:lang w:val="en-IE" w:eastAsia="en-US"/>
              </w:rPr>
            </w:pPr>
          </w:p>
        </w:tc>
      </w:tr>
    </w:tbl>
    <w:p w14:paraId="189BA692" w14:textId="77777777" w:rsidR="00BD152F" w:rsidRPr="00E50A7A" w:rsidRDefault="00BD152F" w:rsidP="00B00391">
      <w:pPr>
        <w:pStyle w:val="ManualHeading2"/>
        <w:rPr>
          <w:rFonts w:eastAsia="Arial Unicode MS"/>
          <w:noProof/>
          <w:u w:color="000000"/>
          <w:bdr w:val="nil"/>
          <w:lang w:val="en-IE" w:eastAsia="en-GB"/>
        </w:rPr>
      </w:pPr>
      <w:r w:rsidRPr="00E50A7A">
        <w:rPr>
          <w:rFonts w:eastAsia="Arial Unicode MS"/>
          <w:noProof/>
          <w:u w:color="000000"/>
          <w:bdr w:val="nil"/>
          <w:lang w:val="en-IE" w:eastAsia="en-GB"/>
        </w:rPr>
        <w:lastRenderedPageBreak/>
        <w:t>•</w:t>
      </w:r>
      <w:r w:rsidRPr="00E50A7A">
        <w:rPr>
          <w:rFonts w:eastAsia="Arial Unicode MS"/>
          <w:noProof/>
          <w:u w:color="000000"/>
          <w:bdr w:val="nil"/>
          <w:lang w:val="en-IE" w:eastAsia="en-GB"/>
        </w:rPr>
        <w:tab/>
        <w:t>Fundamental rights</w:t>
      </w:r>
    </w:p>
    <w:p w14:paraId="2651E1D8" w14:textId="77777777" w:rsidR="00BD152F" w:rsidRPr="00E50A7A" w:rsidRDefault="00844D0D" w:rsidP="00B00391">
      <w:pPr>
        <w:pBdr>
          <w:top w:val="nil"/>
          <w:left w:val="nil"/>
          <w:bottom w:val="nil"/>
          <w:right w:val="nil"/>
          <w:between w:val="nil"/>
          <w:bar w:val="nil"/>
        </w:pBdr>
        <w:spacing w:before="0" w:after="240"/>
        <w:rPr>
          <w:rFonts w:eastAsia="Arial Unicode MS"/>
          <w:noProof/>
          <w:lang w:val="en-IE"/>
        </w:rPr>
      </w:pPr>
      <w:r w:rsidRPr="00E50A7A">
        <w:rPr>
          <w:rFonts w:eastAsia="Arial Unicode MS"/>
          <w:noProof/>
          <w:lang w:val="en-IE"/>
        </w:rPr>
        <w:t>The proposal has no consequences for the protection of fundamental rights. </w:t>
      </w:r>
    </w:p>
    <w:p w14:paraId="2E51D4CA" w14:textId="77777777" w:rsidR="00BD152F" w:rsidRPr="00E50A7A" w:rsidRDefault="00BD152F" w:rsidP="00B00391">
      <w:pPr>
        <w:pStyle w:val="ManualHeading1"/>
        <w:rPr>
          <w:noProof/>
          <w:lang w:val="en-IE"/>
        </w:rPr>
      </w:pPr>
      <w:r w:rsidRPr="00E50A7A">
        <w:rPr>
          <w:noProof/>
          <w:lang w:val="en-IE"/>
        </w:rPr>
        <w:t>4.</w:t>
      </w:r>
      <w:r w:rsidRPr="00E50A7A">
        <w:rPr>
          <w:noProof/>
          <w:lang w:val="en-IE"/>
        </w:rPr>
        <w:tab/>
        <w:t>BUDGETARY IMPLICATIONS</w:t>
      </w:r>
    </w:p>
    <w:p w14:paraId="145D2180" w14:textId="77777777" w:rsidR="0088274B" w:rsidRPr="00E50A7A" w:rsidRDefault="0088274B" w:rsidP="0088274B">
      <w:pPr>
        <w:pBdr>
          <w:top w:val="nil"/>
          <w:left w:val="nil"/>
          <w:bottom w:val="nil"/>
          <w:right w:val="nil"/>
          <w:between w:val="nil"/>
          <w:bar w:val="nil"/>
        </w:pBdr>
        <w:spacing w:before="0" w:after="240"/>
        <w:rPr>
          <w:rFonts w:eastAsia="Arial Unicode MS"/>
          <w:noProof/>
          <w:lang w:val="en-IE"/>
        </w:rPr>
      </w:pPr>
      <w:r w:rsidRPr="00E50A7A">
        <w:rPr>
          <w:rFonts w:eastAsia="Arial Unicode MS"/>
          <w:noProof/>
          <w:lang w:val="en-IE"/>
        </w:rPr>
        <w:t>The financial statement included shows the detailed budgetary implications and the human and administrative resources required by this proposal. </w:t>
      </w:r>
    </w:p>
    <w:p w14:paraId="53DAF65A" w14:textId="77777777" w:rsidR="0088274B" w:rsidRPr="00E50A7A" w:rsidRDefault="0088274B" w:rsidP="0088274B">
      <w:pPr>
        <w:pBdr>
          <w:top w:val="nil"/>
          <w:left w:val="nil"/>
          <w:bottom w:val="nil"/>
          <w:right w:val="nil"/>
          <w:between w:val="nil"/>
          <w:bar w:val="nil"/>
        </w:pBdr>
        <w:spacing w:before="0" w:after="240"/>
        <w:rPr>
          <w:rFonts w:eastAsia="Arial Unicode MS"/>
          <w:noProof/>
          <w:lang w:val="en-IE"/>
        </w:rPr>
      </w:pPr>
      <w:r w:rsidRPr="00E50A7A">
        <w:rPr>
          <w:rFonts w:eastAsia="Arial Unicode MS"/>
          <w:noProof/>
          <w:lang w:val="en-IE"/>
        </w:rPr>
        <w:t>The European Commission, and more specifically the Directorate-Generals for Environment (DG ENV) and for Health and Food Safety (DG SANTE), will be responsible for negotiating the Directive through the regular co-decision procedure, as well as for its general implementation and adoption of all the implementing and delegated acts envisaged in it. Other Directorate-Generals and agencies that will provide input include DG Joint Research Centre (JRC) and the European Environmental Agency (EEA). </w:t>
      </w:r>
    </w:p>
    <w:p w14:paraId="1229C625" w14:textId="44C42E84" w:rsidR="005C18D2" w:rsidRPr="00E50A7A" w:rsidRDefault="005C18D2" w:rsidP="005C18D2">
      <w:pPr>
        <w:pBdr>
          <w:top w:val="nil"/>
          <w:left w:val="nil"/>
          <w:bottom w:val="nil"/>
          <w:right w:val="nil"/>
          <w:between w:val="nil"/>
          <w:bar w:val="nil"/>
        </w:pBdr>
        <w:spacing w:before="0" w:after="240"/>
        <w:rPr>
          <w:rFonts w:eastAsia="Arial Unicode MS"/>
          <w:noProof/>
          <w:lang w:val="en-IE"/>
        </w:rPr>
      </w:pPr>
      <w:r w:rsidRPr="00E50A7A">
        <w:rPr>
          <w:rFonts w:eastAsia="Arial Unicode MS"/>
          <w:noProof/>
          <w:lang w:val="en-IE"/>
        </w:rPr>
        <w:t xml:space="preserve">For DG Environment, the current financial simulations are based on existing 0.75 FTE (AD) for the co-decisions process and implementation as well as new </w:t>
      </w:r>
      <w:r w:rsidR="00596343">
        <w:rPr>
          <w:rFonts w:eastAsia="Arial Unicode MS"/>
          <w:noProof/>
          <w:lang w:val="en-IE"/>
        </w:rPr>
        <w:t>3</w:t>
      </w:r>
      <w:r w:rsidRPr="00E50A7A">
        <w:rPr>
          <w:rFonts w:eastAsia="Arial Unicode MS"/>
          <w:noProof/>
          <w:lang w:val="en-IE"/>
        </w:rPr>
        <w:t>.0 FTE contractual agents for the technical implementation of developing the implementing acts foreseen. </w:t>
      </w:r>
    </w:p>
    <w:p w14:paraId="67A33F0C" w14:textId="77777777" w:rsidR="005C18D2" w:rsidRPr="00E50A7A" w:rsidRDefault="005C18D2" w:rsidP="005C18D2">
      <w:pPr>
        <w:pBdr>
          <w:top w:val="nil"/>
          <w:left w:val="nil"/>
          <w:bottom w:val="nil"/>
          <w:right w:val="nil"/>
          <w:between w:val="nil"/>
          <w:bar w:val="nil"/>
        </w:pBdr>
        <w:spacing w:before="0" w:after="240"/>
        <w:rPr>
          <w:rFonts w:eastAsia="Arial Unicode MS"/>
          <w:noProof/>
          <w:lang w:val="en-IE"/>
        </w:rPr>
      </w:pPr>
      <w:r w:rsidRPr="00E50A7A">
        <w:rPr>
          <w:rFonts w:eastAsia="Arial Unicode MS"/>
          <w:noProof/>
          <w:lang w:val="en-IE"/>
        </w:rPr>
        <w:t>For DG SANTE, the financial simulations are based on existing 0.5 FTE (AD) for the co-decision process and the monitoring of implementation across Member States.   </w:t>
      </w:r>
    </w:p>
    <w:p w14:paraId="7CB6A5BE" w14:textId="013D48DE" w:rsidR="00FB6EC2" w:rsidRPr="00E50A7A" w:rsidRDefault="005C18D2" w:rsidP="005C18D2">
      <w:pPr>
        <w:pBdr>
          <w:top w:val="nil"/>
          <w:left w:val="nil"/>
          <w:bottom w:val="nil"/>
          <w:right w:val="nil"/>
          <w:between w:val="nil"/>
          <w:bar w:val="nil"/>
        </w:pBdr>
        <w:spacing w:before="0" w:after="240"/>
        <w:rPr>
          <w:rFonts w:eastAsia="Arial Unicode MS"/>
          <w:noProof/>
          <w:lang w:val="en-IE"/>
        </w:rPr>
      </w:pPr>
      <w:r w:rsidRPr="00E50A7A">
        <w:rPr>
          <w:rFonts w:eastAsia="Arial Unicode MS"/>
          <w:noProof/>
          <w:lang w:val="en-IE"/>
        </w:rPr>
        <w:t xml:space="preserve">The costs for Commission staff amount to a total of EUR </w:t>
      </w:r>
      <w:r w:rsidR="008B5470">
        <w:rPr>
          <w:rFonts w:eastAsia="Arial Unicode MS"/>
          <w:noProof/>
          <w:lang w:val="en-IE"/>
        </w:rPr>
        <w:t>2 033 000</w:t>
      </w:r>
      <w:r w:rsidRPr="00E50A7A">
        <w:rPr>
          <w:rFonts w:eastAsia="Arial Unicode MS"/>
          <w:noProof/>
          <w:lang w:val="en-IE"/>
        </w:rPr>
        <w:t xml:space="preserve"> based on the latest salary scales, which are publicly available</w:t>
      </w:r>
      <w:r w:rsidR="00FB6EC2" w:rsidRPr="00E50A7A">
        <w:rPr>
          <w:rFonts w:eastAsia="Arial Unicode MS"/>
          <w:noProof/>
          <w:lang w:val="en-IE"/>
        </w:rPr>
        <w:t>.</w:t>
      </w:r>
    </w:p>
    <w:p w14:paraId="060169EE" w14:textId="77777777" w:rsidR="00BD152F" w:rsidRPr="00E50A7A" w:rsidRDefault="00BD152F" w:rsidP="00B00391">
      <w:pPr>
        <w:pStyle w:val="ManualHeading1"/>
        <w:rPr>
          <w:noProof/>
          <w:lang w:val="en-IE"/>
        </w:rPr>
      </w:pPr>
      <w:r w:rsidRPr="00E50A7A">
        <w:rPr>
          <w:noProof/>
          <w:lang w:val="en-IE"/>
        </w:rPr>
        <w:t>5.</w:t>
      </w:r>
      <w:r w:rsidRPr="00E50A7A">
        <w:rPr>
          <w:noProof/>
          <w:lang w:val="en-IE"/>
        </w:rPr>
        <w:tab/>
        <w:t>OTHER ELEMENTS</w:t>
      </w:r>
    </w:p>
    <w:p w14:paraId="7F498555" w14:textId="77777777" w:rsidR="00BD152F" w:rsidRPr="00E50A7A" w:rsidRDefault="00BD152F" w:rsidP="00B00391">
      <w:pPr>
        <w:pStyle w:val="ManualHeading2"/>
        <w:rPr>
          <w:rFonts w:eastAsia="Arial Unicode MS"/>
          <w:noProof/>
          <w:u w:color="000000"/>
          <w:bdr w:val="nil"/>
          <w:lang w:val="en-IE" w:eastAsia="en-GB"/>
        </w:rPr>
      </w:pPr>
      <w:r w:rsidRPr="00E50A7A">
        <w:rPr>
          <w:rFonts w:eastAsia="Arial Unicode MS"/>
          <w:noProof/>
          <w:u w:color="000000"/>
          <w:bdr w:val="nil"/>
          <w:lang w:val="en-IE" w:eastAsia="en-GB"/>
        </w:rPr>
        <w:t>•</w:t>
      </w:r>
      <w:r w:rsidRPr="00E50A7A">
        <w:rPr>
          <w:rFonts w:eastAsia="Arial Unicode MS"/>
          <w:noProof/>
          <w:u w:color="000000"/>
          <w:bdr w:val="nil"/>
          <w:lang w:val="en-IE" w:eastAsia="en-GB"/>
        </w:rPr>
        <w:tab/>
        <w:t>Implementation plans and monitoring, evaluation and reporting arrangements</w:t>
      </w:r>
    </w:p>
    <w:p w14:paraId="428CFEB9" w14:textId="77777777" w:rsidR="00734727" w:rsidRPr="00E50A7A" w:rsidRDefault="00734727" w:rsidP="00734727">
      <w:pPr>
        <w:pBdr>
          <w:top w:val="nil"/>
          <w:left w:val="nil"/>
          <w:bottom w:val="nil"/>
          <w:right w:val="nil"/>
          <w:between w:val="nil"/>
          <w:bar w:val="nil"/>
        </w:pBdr>
        <w:spacing w:before="0" w:after="240"/>
        <w:rPr>
          <w:rFonts w:eastAsia="Arial Unicode MS"/>
          <w:noProof/>
          <w:lang w:val="en-IE"/>
        </w:rPr>
      </w:pPr>
      <w:r w:rsidRPr="00E50A7A">
        <w:rPr>
          <w:rFonts w:eastAsia="Arial Unicode MS"/>
          <w:noProof/>
          <w:lang w:val="en-IE"/>
        </w:rPr>
        <w:t>The proposal includes several provisions to improve monitoring. Annex 14 of the Impact Assessment details the monitoring and evaluation tools. The impact of the preferred policy option in the attainment of the objectives to reduce textile waste and residual textile waste generation is monitored through the indicators and targets set out in measure 3.6. and based on the improved data flows on textiles as a result of measure 2.14. The latter will also enable further performance targets to be set that is currently assessed as not feasible under option 3. Monitoring is based on annual data on textiles prepared for re-use under the EPR schemes (measure 2.14 and see Annex 10 for details).  </w:t>
      </w:r>
    </w:p>
    <w:p w14:paraId="3614C7F7" w14:textId="77777777" w:rsidR="00734727" w:rsidRPr="00E50A7A" w:rsidRDefault="00734727" w:rsidP="00734727">
      <w:pPr>
        <w:pBdr>
          <w:top w:val="nil"/>
          <w:left w:val="nil"/>
          <w:bottom w:val="nil"/>
          <w:right w:val="nil"/>
          <w:between w:val="nil"/>
          <w:bar w:val="nil"/>
        </w:pBdr>
        <w:spacing w:before="0" w:after="240"/>
        <w:rPr>
          <w:rFonts w:eastAsia="Arial Unicode MS"/>
          <w:noProof/>
          <w:lang w:val="en-IE"/>
        </w:rPr>
      </w:pPr>
      <w:r w:rsidRPr="00E50A7A">
        <w:rPr>
          <w:rFonts w:eastAsia="Arial Unicode MS"/>
          <w:noProof/>
          <w:lang w:val="en-IE"/>
        </w:rPr>
        <w:t>In case of food waste, monitoring will rely on existing reporting obligations i.e. annual reporting from Member States of arising amounts of food waste (Article 37(3) of the WFD) and the biennial review of progress on implementation on food waste prevention programmes by the European Environment Agency (Article 30 of the WFD).</w:t>
      </w:r>
    </w:p>
    <w:p w14:paraId="56481084" w14:textId="77777777" w:rsidR="00BD152F" w:rsidRPr="00E50A7A" w:rsidRDefault="00BD152F" w:rsidP="00B00391">
      <w:pPr>
        <w:pStyle w:val="ManualHeading2"/>
        <w:rPr>
          <w:rFonts w:eastAsia="Arial Unicode MS"/>
          <w:noProof/>
          <w:u w:color="000000"/>
          <w:bdr w:val="nil"/>
          <w:lang w:val="en-IE" w:eastAsia="en-GB"/>
        </w:rPr>
      </w:pPr>
      <w:r w:rsidRPr="00E50A7A">
        <w:rPr>
          <w:rFonts w:eastAsia="Arial Unicode MS"/>
          <w:noProof/>
          <w:u w:color="000000"/>
          <w:bdr w:val="nil"/>
          <w:lang w:val="en-IE" w:eastAsia="en-GB"/>
        </w:rPr>
        <w:lastRenderedPageBreak/>
        <w:t>•</w:t>
      </w:r>
      <w:r w:rsidRPr="00E50A7A">
        <w:rPr>
          <w:rFonts w:eastAsia="Arial Unicode MS"/>
          <w:noProof/>
          <w:u w:color="000000"/>
          <w:bdr w:val="nil"/>
          <w:lang w:val="en-IE" w:eastAsia="en-GB"/>
        </w:rPr>
        <w:tab/>
        <w:t>Detailed explanation of the specific provisions of the proposal</w:t>
      </w:r>
    </w:p>
    <w:p w14:paraId="25AE843A" w14:textId="642E985F" w:rsidR="00734727" w:rsidRPr="00E50A7A" w:rsidRDefault="00734727" w:rsidP="00734727">
      <w:pPr>
        <w:pBdr>
          <w:top w:val="nil"/>
          <w:left w:val="nil"/>
          <w:bottom w:val="nil"/>
          <w:right w:val="nil"/>
          <w:between w:val="nil"/>
          <w:bar w:val="nil"/>
        </w:pBdr>
        <w:spacing w:before="0" w:after="240"/>
        <w:rPr>
          <w:noProof/>
          <w:lang w:val="en-IE"/>
        </w:rPr>
      </w:pPr>
      <w:r w:rsidRPr="00E50A7A">
        <w:rPr>
          <w:noProof/>
          <w:lang w:val="en-IE"/>
        </w:rPr>
        <w:t xml:space="preserve">Article 1 lays down the amendments for </w:t>
      </w:r>
      <w:r w:rsidR="004151DC">
        <w:rPr>
          <w:noProof/>
          <w:lang w:val="en-IE"/>
        </w:rPr>
        <w:t>the WFD</w:t>
      </w:r>
      <w:r w:rsidRPr="00E50A7A">
        <w:rPr>
          <w:noProof/>
          <w:lang w:val="en-IE"/>
        </w:rPr>
        <w:t>, in particular the following articles of that Directive:  </w:t>
      </w:r>
    </w:p>
    <w:p w14:paraId="33136A9B" w14:textId="77777777" w:rsidR="00734727" w:rsidRPr="00E50A7A" w:rsidRDefault="00734727" w:rsidP="00734727">
      <w:pPr>
        <w:pBdr>
          <w:top w:val="nil"/>
          <w:left w:val="nil"/>
          <w:bottom w:val="nil"/>
          <w:right w:val="nil"/>
          <w:between w:val="nil"/>
          <w:bar w:val="nil"/>
        </w:pBdr>
        <w:spacing w:before="0" w:after="240"/>
        <w:rPr>
          <w:noProof/>
          <w:lang w:val="en-IE"/>
        </w:rPr>
      </w:pPr>
      <w:r w:rsidRPr="00E50A7A">
        <w:rPr>
          <w:noProof/>
          <w:lang w:val="en-IE"/>
        </w:rPr>
        <w:t>Article 2(1)(a) lays down the revised scope of the exclusion from the scope of the Directive for gaseous effluents emitted into the atmosphere and carbon dioxide captured and transported for the purposes of geological storage and geologically stored. </w:t>
      </w:r>
    </w:p>
    <w:p w14:paraId="0AED855E" w14:textId="783EDAC0" w:rsidR="00734727" w:rsidRPr="00E50A7A" w:rsidRDefault="00734727" w:rsidP="00734727">
      <w:pPr>
        <w:pBdr>
          <w:top w:val="nil"/>
          <w:left w:val="nil"/>
          <w:bottom w:val="nil"/>
          <w:right w:val="nil"/>
          <w:between w:val="nil"/>
          <w:bar w:val="nil"/>
        </w:pBdr>
        <w:spacing w:before="0" w:after="240"/>
        <w:rPr>
          <w:noProof/>
          <w:lang w:val="en-IE"/>
        </w:rPr>
      </w:pPr>
      <w:r w:rsidRPr="00E50A7A">
        <w:rPr>
          <w:noProof/>
          <w:lang w:val="en-IE"/>
        </w:rPr>
        <w:t>Article 3 lays down new definitions for ‘producer of textile</w:t>
      </w:r>
      <w:r w:rsidR="004151DC">
        <w:rPr>
          <w:noProof/>
          <w:lang w:val="en-IE"/>
        </w:rPr>
        <w:t>, textile-related</w:t>
      </w:r>
      <w:r w:rsidRPr="00E50A7A">
        <w:rPr>
          <w:noProof/>
          <w:lang w:val="en-IE"/>
        </w:rPr>
        <w:t xml:space="preserve"> and footwear products listed in Annex IVc', </w:t>
      </w:r>
      <w:r w:rsidR="004151DC">
        <w:rPr>
          <w:noProof/>
          <w:lang w:val="en-IE"/>
        </w:rPr>
        <w:t xml:space="preserve">‘making available on the market’, </w:t>
      </w:r>
      <w:r w:rsidRPr="00E50A7A">
        <w:rPr>
          <w:noProof/>
          <w:lang w:val="en-IE"/>
        </w:rPr>
        <w:t>‘producer responsibility organisation’, ‘online platform’ and ‘consumer’. </w:t>
      </w:r>
    </w:p>
    <w:p w14:paraId="55221E72" w14:textId="77777777" w:rsidR="00734727" w:rsidRPr="00E50A7A" w:rsidRDefault="00734727" w:rsidP="00734727">
      <w:pPr>
        <w:pBdr>
          <w:top w:val="nil"/>
          <w:left w:val="nil"/>
          <w:bottom w:val="nil"/>
          <w:right w:val="nil"/>
          <w:between w:val="nil"/>
          <w:bar w:val="nil"/>
        </w:pBdr>
        <w:spacing w:before="0" w:after="240"/>
        <w:rPr>
          <w:noProof/>
          <w:lang w:val="en-IE"/>
        </w:rPr>
      </w:pPr>
      <w:r w:rsidRPr="00E50A7A">
        <w:rPr>
          <w:noProof/>
          <w:lang w:val="en-IE"/>
        </w:rPr>
        <w:t>Article 9a lays down requirements as regards measures to be taken by Member States to prevent food waste concerning supporting behavioural change and supply chain cooperation (1) and defines food waste reduction targets to be achieved by Member States by 2030 (4). </w:t>
      </w:r>
    </w:p>
    <w:p w14:paraId="18F6D734" w14:textId="27210CF2" w:rsidR="00734727" w:rsidRPr="00E50A7A" w:rsidRDefault="00734727" w:rsidP="00734727">
      <w:pPr>
        <w:pBdr>
          <w:top w:val="nil"/>
          <w:left w:val="nil"/>
          <w:bottom w:val="nil"/>
          <w:right w:val="nil"/>
          <w:between w:val="nil"/>
          <w:bar w:val="nil"/>
        </w:pBdr>
        <w:spacing w:before="0" w:after="240"/>
        <w:rPr>
          <w:noProof/>
          <w:lang w:val="en-IE"/>
        </w:rPr>
      </w:pPr>
      <w:r w:rsidRPr="00E50A7A">
        <w:rPr>
          <w:noProof/>
          <w:lang w:val="en-IE"/>
        </w:rPr>
        <w:t>Article 22a lays down requirement</w:t>
      </w:r>
      <w:r w:rsidR="000A58C2">
        <w:rPr>
          <w:noProof/>
          <w:lang w:val="en-IE"/>
        </w:rPr>
        <w:t>s</w:t>
      </w:r>
      <w:r w:rsidRPr="00E50A7A">
        <w:rPr>
          <w:noProof/>
          <w:lang w:val="en-IE"/>
        </w:rPr>
        <w:t xml:space="preserve"> </w:t>
      </w:r>
      <w:r w:rsidR="000A58C2" w:rsidRPr="00E50A7A">
        <w:rPr>
          <w:noProof/>
          <w:lang w:val="en-IE"/>
        </w:rPr>
        <w:t xml:space="preserve">as regards measures to be taken by Member States </w:t>
      </w:r>
      <w:r w:rsidRPr="00E50A7A">
        <w:rPr>
          <w:noProof/>
          <w:lang w:val="en-IE"/>
        </w:rPr>
        <w:t>to introduce extended producer responsibility scheme for textiles</w:t>
      </w:r>
      <w:r w:rsidR="004151DC">
        <w:rPr>
          <w:noProof/>
          <w:lang w:val="en-IE"/>
        </w:rPr>
        <w:t>, textile-related</w:t>
      </w:r>
      <w:r w:rsidRPr="00E50A7A">
        <w:rPr>
          <w:noProof/>
          <w:lang w:val="en-IE"/>
        </w:rPr>
        <w:t xml:space="preserve"> and footwear products and harmonised rules for its application, including on the products in its scope and the scope of the financial responsibility of the producers. </w:t>
      </w:r>
    </w:p>
    <w:p w14:paraId="50AAACEC" w14:textId="342CACCC" w:rsidR="00734727" w:rsidRPr="00E50A7A" w:rsidRDefault="00734727" w:rsidP="00734727">
      <w:pPr>
        <w:pBdr>
          <w:top w:val="nil"/>
          <w:left w:val="nil"/>
          <w:bottom w:val="nil"/>
          <w:right w:val="nil"/>
          <w:between w:val="nil"/>
          <w:bar w:val="nil"/>
        </w:pBdr>
        <w:spacing w:before="0" w:after="240"/>
        <w:rPr>
          <w:noProof/>
          <w:lang w:val="en-IE"/>
        </w:rPr>
      </w:pPr>
      <w:r w:rsidRPr="00E50A7A">
        <w:rPr>
          <w:noProof/>
          <w:lang w:val="en-IE"/>
        </w:rPr>
        <w:t xml:space="preserve">Article 22b lays down </w:t>
      </w:r>
      <w:r w:rsidR="000A58C2" w:rsidRPr="00E50A7A">
        <w:rPr>
          <w:noProof/>
          <w:lang w:val="en-IE"/>
        </w:rPr>
        <w:t xml:space="preserve">requirements as regards measures to be taken by Member States </w:t>
      </w:r>
      <w:r w:rsidR="000A58C2">
        <w:rPr>
          <w:noProof/>
          <w:lang w:val="en-IE"/>
        </w:rPr>
        <w:t xml:space="preserve">for </w:t>
      </w:r>
      <w:r w:rsidRPr="00E50A7A">
        <w:rPr>
          <w:noProof/>
          <w:lang w:val="en-IE"/>
        </w:rPr>
        <w:t>the establishment of the textiles</w:t>
      </w:r>
      <w:r w:rsidR="004151DC">
        <w:rPr>
          <w:noProof/>
          <w:lang w:val="en-IE"/>
        </w:rPr>
        <w:t>, textile-related and footwear</w:t>
      </w:r>
      <w:r w:rsidRPr="00E50A7A">
        <w:rPr>
          <w:noProof/>
          <w:lang w:val="en-IE"/>
        </w:rPr>
        <w:t xml:space="preserve"> producer register to implement the extended producer responsibility schemes. </w:t>
      </w:r>
    </w:p>
    <w:p w14:paraId="3EB8BB11" w14:textId="6FA865E6" w:rsidR="00734727" w:rsidRPr="00E50A7A" w:rsidRDefault="00734727" w:rsidP="00734727">
      <w:pPr>
        <w:pBdr>
          <w:top w:val="nil"/>
          <w:left w:val="nil"/>
          <w:bottom w:val="nil"/>
          <w:right w:val="nil"/>
          <w:between w:val="nil"/>
          <w:bar w:val="nil"/>
        </w:pBdr>
        <w:spacing w:before="0" w:after="240"/>
        <w:rPr>
          <w:noProof/>
          <w:lang w:val="en-IE"/>
        </w:rPr>
      </w:pPr>
      <w:r w:rsidRPr="00E50A7A">
        <w:rPr>
          <w:noProof/>
          <w:lang w:val="en-IE"/>
        </w:rPr>
        <w:t xml:space="preserve">Article 22c lays down </w:t>
      </w:r>
      <w:r w:rsidR="000A58C2" w:rsidRPr="00E50A7A">
        <w:rPr>
          <w:noProof/>
          <w:lang w:val="en-IE"/>
        </w:rPr>
        <w:t xml:space="preserve">requirements as regards measures to be taken by Member States </w:t>
      </w:r>
      <w:r w:rsidR="000A58C2">
        <w:rPr>
          <w:noProof/>
          <w:lang w:val="en-IE"/>
        </w:rPr>
        <w:t xml:space="preserve">for </w:t>
      </w:r>
      <w:r w:rsidRPr="00E50A7A">
        <w:rPr>
          <w:noProof/>
          <w:lang w:val="en-IE"/>
        </w:rPr>
        <w:t>the establishment and responsibilities for producer responsibility organisations for textiles. </w:t>
      </w:r>
    </w:p>
    <w:p w14:paraId="4FED5324" w14:textId="2DDD81DC" w:rsidR="00734727" w:rsidRPr="00E50A7A" w:rsidRDefault="00734727" w:rsidP="00734727">
      <w:pPr>
        <w:pBdr>
          <w:top w:val="nil"/>
          <w:left w:val="nil"/>
          <w:bottom w:val="nil"/>
          <w:right w:val="nil"/>
          <w:between w:val="nil"/>
          <w:bar w:val="nil"/>
        </w:pBdr>
        <w:spacing w:before="0" w:after="240"/>
        <w:rPr>
          <w:noProof/>
          <w:lang w:val="en-IE"/>
        </w:rPr>
      </w:pPr>
      <w:r w:rsidRPr="00E50A7A">
        <w:rPr>
          <w:noProof/>
          <w:lang w:val="en-IE"/>
        </w:rPr>
        <w:t xml:space="preserve">Article 22d lays down requirements </w:t>
      </w:r>
      <w:r w:rsidR="000A58C2" w:rsidRPr="00E50A7A">
        <w:rPr>
          <w:noProof/>
          <w:lang w:val="en-IE"/>
        </w:rPr>
        <w:t xml:space="preserve">as regards measures to be taken by Member States </w:t>
      </w:r>
      <w:r w:rsidRPr="00E50A7A">
        <w:rPr>
          <w:noProof/>
          <w:lang w:val="en-IE"/>
        </w:rPr>
        <w:t>for the management of textile waste. </w:t>
      </w:r>
    </w:p>
    <w:p w14:paraId="5E9B6F5B" w14:textId="531B7BC7" w:rsidR="00734727" w:rsidRPr="00E50A7A" w:rsidRDefault="00734727" w:rsidP="00734727">
      <w:pPr>
        <w:pBdr>
          <w:top w:val="nil"/>
          <w:left w:val="nil"/>
          <w:bottom w:val="nil"/>
          <w:right w:val="nil"/>
          <w:between w:val="nil"/>
          <w:bar w:val="nil"/>
        </w:pBdr>
        <w:spacing w:before="0" w:after="240"/>
        <w:rPr>
          <w:noProof/>
          <w:lang w:val="en-IE"/>
        </w:rPr>
      </w:pPr>
      <w:r w:rsidRPr="00E50A7A">
        <w:rPr>
          <w:noProof/>
          <w:lang w:val="en-IE"/>
        </w:rPr>
        <w:t xml:space="preserve">Article 29a lays down obligations </w:t>
      </w:r>
      <w:r w:rsidR="000A58C2">
        <w:rPr>
          <w:noProof/>
          <w:lang w:val="en-IE"/>
        </w:rPr>
        <w:t>as regards measures to be taken by</w:t>
      </w:r>
      <w:r w:rsidR="000A58C2" w:rsidRPr="00E50A7A">
        <w:rPr>
          <w:noProof/>
          <w:lang w:val="en-IE"/>
        </w:rPr>
        <w:t xml:space="preserve"> </w:t>
      </w:r>
      <w:r w:rsidRPr="00E50A7A">
        <w:rPr>
          <w:noProof/>
          <w:lang w:val="en-IE"/>
        </w:rPr>
        <w:t>for Member States to review and adapt their food waste prevention programmes in view of attaining the reduction targets (1) and to designate the competent authorities responsible for the coordination of food waste reduction measures (2).  </w:t>
      </w:r>
    </w:p>
    <w:p w14:paraId="0C0BE9C0" w14:textId="0E06F228" w:rsidR="00734727" w:rsidRPr="00E50A7A" w:rsidRDefault="00734727" w:rsidP="00734727">
      <w:pPr>
        <w:pBdr>
          <w:top w:val="nil"/>
          <w:left w:val="nil"/>
          <w:bottom w:val="nil"/>
          <w:right w:val="nil"/>
          <w:between w:val="nil"/>
          <w:bar w:val="nil"/>
        </w:pBdr>
        <w:spacing w:before="0" w:after="240"/>
        <w:rPr>
          <w:noProof/>
          <w:lang w:val="en-IE"/>
        </w:rPr>
      </w:pPr>
      <w:r w:rsidRPr="00E50A7A">
        <w:rPr>
          <w:noProof/>
          <w:lang w:val="en-IE"/>
        </w:rPr>
        <w:t xml:space="preserve">Article 37 lays down reporting requirements </w:t>
      </w:r>
      <w:r w:rsidR="000A58C2" w:rsidRPr="00E50A7A">
        <w:rPr>
          <w:noProof/>
          <w:lang w:val="en-IE"/>
        </w:rPr>
        <w:t xml:space="preserve">as regards measures to be taken by Member States </w:t>
      </w:r>
      <w:r w:rsidRPr="00E50A7A">
        <w:rPr>
          <w:noProof/>
          <w:lang w:val="en-IE"/>
        </w:rPr>
        <w:t>with regard to textiles and change in the reporting requirements of Member States with regard to the re-use of products data flow to the European Environmental Agency. </w:t>
      </w:r>
    </w:p>
    <w:p w14:paraId="40132F9C" w14:textId="77777777" w:rsidR="00734727" w:rsidRPr="00E50A7A" w:rsidRDefault="00734727" w:rsidP="00734727">
      <w:pPr>
        <w:pBdr>
          <w:top w:val="nil"/>
          <w:left w:val="nil"/>
          <w:bottom w:val="nil"/>
          <w:right w:val="nil"/>
          <w:between w:val="nil"/>
          <w:bar w:val="nil"/>
        </w:pBdr>
        <w:spacing w:before="0" w:after="240"/>
        <w:rPr>
          <w:noProof/>
          <w:lang w:val="en-IE"/>
        </w:rPr>
      </w:pPr>
      <w:r w:rsidRPr="00E50A7A">
        <w:rPr>
          <w:noProof/>
          <w:lang w:val="en-IE"/>
        </w:rPr>
        <w:t>Article 2 lays down the transposition of the amendments to the Directive. </w:t>
      </w:r>
    </w:p>
    <w:p w14:paraId="3B164ABD" w14:textId="77777777" w:rsidR="00734727" w:rsidRPr="00E50A7A" w:rsidRDefault="00734727" w:rsidP="00734727">
      <w:pPr>
        <w:pBdr>
          <w:top w:val="nil"/>
          <w:left w:val="nil"/>
          <w:bottom w:val="nil"/>
          <w:right w:val="nil"/>
          <w:between w:val="nil"/>
          <w:bar w:val="nil"/>
        </w:pBdr>
        <w:spacing w:before="0" w:after="240"/>
        <w:rPr>
          <w:noProof/>
          <w:lang w:val="en-IE"/>
        </w:rPr>
      </w:pPr>
      <w:r w:rsidRPr="00E50A7A">
        <w:rPr>
          <w:noProof/>
          <w:lang w:val="en-IE"/>
        </w:rPr>
        <w:t>Article 3 lays down entry into force of the amendments to the Directive.  </w:t>
      </w:r>
    </w:p>
    <w:p w14:paraId="613E110C" w14:textId="77777777" w:rsidR="00734727" w:rsidRPr="00E50A7A" w:rsidRDefault="00734727" w:rsidP="00734727">
      <w:pPr>
        <w:pBdr>
          <w:top w:val="nil"/>
          <w:left w:val="nil"/>
          <w:bottom w:val="nil"/>
          <w:right w:val="nil"/>
          <w:between w:val="nil"/>
          <w:bar w:val="nil"/>
        </w:pBdr>
        <w:spacing w:before="0" w:after="240"/>
        <w:rPr>
          <w:noProof/>
          <w:lang w:val="en-IE"/>
        </w:rPr>
      </w:pPr>
      <w:r w:rsidRPr="00E50A7A">
        <w:rPr>
          <w:noProof/>
          <w:lang w:val="en-IE"/>
        </w:rPr>
        <w:t>Article 4 lays down the addresses of the amendments to the Directive.</w:t>
      </w:r>
    </w:p>
    <w:p w14:paraId="2520D1C7" w14:textId="77777777" w:rsidR="00BD152F" w:rsidRPr="00E50A7A" w:rsidRDefault="00BD152F" w:rsidP="00B00391">
      <w:pPr>
        <w:spacing w:before="0" w:after="0"/>
        <w:jc w:val="left"/>
        <w:rPr>
          <w:noProof/>
          <w:lang w:val="en-IE"/>
        </w:rPr>
        <w:sectPr w:rsidR="00BD152F" w:rsidRPr="00E50A7A" w:rsidSect="001F75A6">
          <w:footerReference w:type="default" r:id="rId35"/>
          <w:footerReference w:type="first" r:id="rId36"/>
          <w:pgSz w:w="11907" w:h="16839"/>
          <w:pgMar w:top="1134" w:right="1417" w:bottom="1134" w:left="1417" w:header="709" w:footer="709" w:gutter="0"/>
          <w:cols w:space="708"/>
          <w:docGrid w:linePitch="360"/>
        </w:sectPr>
      </w:pPr>
    </w:p>
    <w:p w14:paraId="2CEE3C53" w14:textId="238CB91E" w:rsidR="00355C06" w:rsidRDefault="00355C06" w:rsidP="00355C06">
      <w:pPr>
        <w:pStyle w:val="Rfrenceinterinstitutionnelle"/>
        <w:rPr>
          <w:noProof/>
        </w:rPr>
      </w:pPr>
      <w:r w:rsidRPr="00355C06">
        <w:lastRenderedPageBreak/>
        <w:t>2023/0234 (COD)</w:t>
      </w:r>
    </w:p>
    <w:p w14:paraId="771C7FA7" w14:textId="7EA2218E" w:rsidR="00BD152F" w:rsidRPr="00E50A7A" w:rsidRDefault="00165536" w:rsidP="00165536">
      <w:pPr>
        <w:pStyle w:val="Statut"/>
        <w:rPr>
          <w:noProof/>
          <w:lang w:val="en-IE"/>
        </w:rPr>
      </w:pPr>
      <w:r w:rsidRPr="00165536">
        <w:rPr>
          <w:noProof/>
        </w:rPr>
        <w:t>Proposal for a</w:t>
      </w:r>
    </w:p>
    <w:p w14:paraId="1B5A2AFF" w14:textId="7D303B54" w:rsidR="00BD152F" w:rsidRPr="00E50A7A" w:rsidRDefault="00165536" w:rsidP="00165536">
      <w:pPr>
        <w:pStyle w:val="Typedudocument"/>
        <w:rPr>
          <w:noProof/>
          <w:lang w:val="en-IE"/>
        </w:rPr>
      </w:pPr>
      <w:r w:rsidRPr="00165536">
        <w:rPr>
          <w:noProof/>
        </w:rPr>
        <w:t>DIRECTIVE OF THE EUROPEAN PARLIAMENT AND OF THE COUNCIL</w:t>
      </w:r>
    </w:p>
    <w:p w14:paraId="6D303FE4" w14:textId="2A985C01" w:rsidR="00BD152F" w:rsidRPr="00E50A7A" w:rsidRDefault="00165536" w:rsidP="00165536">
      <w:pPr>
        <w:pStyle w:val="Titreobjet"/>
        <w:rPr>
          <w:noProof/>
          <w:lang w:val="en-IE"/>
        </w:rPr>
      </w:pPr>
      <w:r w:rsidRPr="00165536">
        <w:rPr>
          <w:noProof/>
        </w:rPr>
        <w:t>amending Directive 2008/98/EC on waste</w:t>
      </w:r>
    </w:p>
    <w:p w14:paraId="6F100410" w14:textId="6C23920A" w:rsidR="00BD152F" w:rsidRPr="00E50A7A" w:rsidRDefault="00165536" w:rsidP="00165536">
      <w:pPr>
        <w:pStyle w:val="IntrtEEE"/>
        <w:rPr>
          <w:noProof/>
          <w:lang w:val="en-IE"/>
        </w:rPr>
      </w:pPr>
      <w:r w:rsidRPr="00165536">
        <w:rPr>
          <w:noProof/>
        </w:rPr>
        <w:t>(Text with EEA relevance)</w:t>
      </w:r>
    </w:p>
    <w:p w14:paraId="5478CBED" w14:textId="77777777" w:rsidR="00BD152F" w:rsidRPr="00E50A7A" w:rsidRDefault="00BD152F" w:rsidP="00B00391">
      <w:pPr>
        <w:pStyle w:val="Institutionquiagit"/>
        <w:rPr>
          <w:noProof/>
          <w:lang w:val="en-IE"/>
        </w:rPr>
      </w:pPr>
      <w:r w:rsidRPr="00E50A7A">
        <w:rPr>
          <w:noProof/>
          <w:lang w:val="en-IE"/>
        </w:rPr>
        <w:t>THE EUROPEAN PARLIAMENT AND THE COUNCIL OF THE EUROPEAN UNION,</w:t>
      </w:r>
    </w:p>
    <w:p w14:paraId="39343584" w14:textId="77777777" w:rsidR="00BD152F" w:rsidRPr="00E50A7A" w:rsidRDefault="00BD152F" w:rsidP="00B00391">
      <w:pPr>
        <w:rPr>
          <w:noProof/>
          <w:lang w:val="en-IE"/>
        </w:rPr>
      </w:pPr>
      <w:r w:rsidRPr="00E50A7A">
        <w:rPr>
          <w:noProof/>
          <w:lang w:val="en-IE"/>
        </w:rPr>
        <w:t>Having regard to the Treaty on the Functioning of the European Union, and in particular Article</w:t>
      </w:r>
      <w:r w:rsidR="00A41EB2" w:rsidRPr="00E50A7A">
        <w:rPr>
          <w:noProof/>
          <w:lang w:val="en-IE"/>
        </w:rPr>
        <w:t xml:space="preserve"> 192(1)</w:t>
      </w:r>
      <w:r w:rsidRPr="00E50A7A">
        <w:rPr>
          <w:noProof/>
          <w:lang w:val="en-IE"/>
        </w:rPr>
        <w:t xml:space="preserve"> thereof,</w:t>
      </w:r>
    </w:p>
    <w:p w14:paraId="22F5CA71" w14:textId="77777777" w:rsidR="00BD152F" w:rsidRPr="00E50A7A" w:rsidRDefault="00BD152F" w:rsidP="00B00391">
      <w:pPr>
        <w:rPr>
          <w:noProof/>
          <w:lang w:val="en-IE"/>
        </w:rPr>
      </w:pPr>
      <w:r w:rsidRPr="00E50A7A">
        <w:rPr>
          <w:noProof/>
          <w:lang w:val="en-IE"/>
        </w:rPr>
        <w:t>Having regard to the proposal from the European Commission,</w:t>
      </w:r>
    </w:p>
    <w:p w14:paraId="4A642173" w14:textId="77777777" w:rsidR="00BD152F" w:rsidRPr="00E50A7A" w:rsidRDefault="00BD152F" w:rsidP="00B00391">
      <w:pPr>
        <w:rPr>
          <w:noProof/>
          <w:lang w:val="en-IE"/>
        </w:rPr>
      </w:pPr>
      <w:r w:rsidRPr="00E50A7A">
        <w:rPr>
          <w:noProof/>
          <w:lang w:val="en-IE"/>
        </w:rPr>
        <w:t>After transmission of the draft legislative act to the national parliaments,</w:t>
      </w:r>
    </w:p>
    <w:p w14:paraId="7E640ECB" w14:textId="77777777" w:rsidR="00BD152F" w:rsidRPr="00E50A7A" w:rsidRDefault="00BD152F" w:rsidP="00B00391">
      <w:pPr>
        <w:rPr>
          <w:noProof/>
          <w:lang w:val="en-IE"/>
        </w:rPr>
      </w:pPr>
      <w:r w:rsidRPr="00E50A7A">
        <w:rPr>
          <w:noProof/>
          <w:lang w:val="en-IE"/>
        </w:rPr>
        <w:t>Having regard to the opinion of the European Economic and Social Committee</w:t>
      </w:r>
      <w:r w:rsidRPr="00E50A7A">
        <w:rPr>
          <w:rStyle w:val="FootnoteReference"/>
          <w:noProof/>
          <w:lang w:val="en-IE"/>
        </w:rPr>
        <w:footnoteReference w:id="68"/>
      </w:r>
      <w:r w:rsidRPr="00E50A7A">
        <w:rPr>
          <w:noProof/>
          <w:lang w:val="en-IE"/>
        </w:rPr>
        <w:t xml:space="preserve">, </w:t>
      </w:r>
    </w:p>
    <w:p w14:paraId="5F986FAA" w14:textId="77777777" w:rsidR="00BD152F" w:rsidRPr="00E50A7A" w:rsidRDefault="00BD152F" w:rsidP="00B00391">
      <w:pPr>
        <w:rPr>
          <w:noProof/>
          <w:lang w:val="en-IE"/>
        </w:rPr>
      </w:pPr>
      <w:r w:rsidRPr="00E50A7A">
        <w:rPr>
          <w:noProof/>
          <w:lang w:val="en-IE"/>
        </w:rPr>
        <w:t>Having regard to the opinion of the Committee of the Regions</w:t>
      </w:r>
      <w:r w:rsidRPr="00E50A7A">
        <w:rPr>
          <w:rStyle w:val="FootnoteReference"/>
          <w:noProof/>
          <w:lang w:val="en-IE"/>
        </w:rPr>
        <w:footnoteReference w:id="69"/>
      </w:r>
      <w:r w:rsidRPr="00E50A7A">
        <w:rPr>
          <w:noProof/>
          <w:lang w:val="en-IE"/>
        </w:rPr>
        <w:t>,</w:t>
      </w:r>
    </w:p>
    <w:p w14:paraId="7600B894" w14:textId="77777777" w:rsidR="00BD152F" w:rsidRPr="00E50A7A" w:rsidRDefault="00BD152F" w:rsidP="00B00391">
      <w:pPr>
        <w:rPr>
          <w:noProof/>
          <w:lang w:val="en-IE"/>
        </w:rPr>
      </w:pPr>
      <w:r w:rsidRPr="00E50A7A">
        <w:rPr>
          <w:noProof/>
          <w:lang w:val="en-IE"/>
        </w:rPr>
        <w:t>Acting in accordance with the ordinary legislative procedure,</w:t>
      </w:r>
    </w:p>
    <w:p w14:paraId="14B5EE38" w14:textId="77777777" w:rsidR="00BD152F" w:rsidRPr="00E50A7A" w:rsidRDefault="00BD152F" w:rsidP="00B00391">
      <w:pPr>
        <w:rPr>
          <w:noProof/>
          <w:lang w:val="en-IE"/>
        </w:rPr>
      </w:pPr>
      <w:r w:rsidRPr="00E50A7A">
        <w:rPr>
          <w:noProof/>
          <w:lang w:val="en-IE"/>
        </w:rPr>
        <w:t>Whereas:</w:t>
      </w:r>
    </w:p>
    <w:p w14:paraId="228095EA" w14:textId="7FA8420D" w:rsidR="00F84CFF" w:rsidRPr="00E50A7A" w:rsidRDefault="00384B96" w:rsidP="00384B96">
      <w:pPr>
        <w:pStyle w:val="ManualConsidrant"/>
        <w:rPr>
          <w:noProof/>
          <w:lang w:val="en-IE"/>
        </w:rPr>
      </w:pPr>
      <w:r w:rsidRPr="00384B96">
        <w:t>(1)</w:t>
      </w:r>
      <w:r w:rsidRPr="00384B96">
        <w:tab/>
      </w:r>
      <w:r w:rsidR="00A41EB2" w:rsidRPr="00E50A7A">
        <w:rPr>
          <w:noProof/>
          <w:color w:val="333333"/>
          <w:lang w:val="en-IE"/>
        </w:rPr>
        <w:t>The</w:t>
      </w:r>
      <w:r w:rsidR="00A41EB2" w:rsidRPr="00E50A7A">
        <w:rPr>
          <w:noProof/>
          <w:lang w:val="en-IE"/>
        </w:rPr>
        <w:t xml:space="preserve"> European Green Deal and the Circular Economy Action Plan</w:t>
      </w:r>
      <w:r w:rsidR="0074680C" w:rsidRPr="00E50A7A">
        <w:rPr>
          <w:rStyle w:val="FootnoteReference"/>
          <w:noProof/>
          <w:lang w:val="en-IE"/>
        </w:rPr>
        <w:footnoteReference w:id="70"/>
      </w:r>
      <w:r w:rsidR="00A41EB2" w:rsidRPr="00E50A7A">
        <w:rPr>
          <w:noProof/>
          <w:lang w:val="en-IE"/>
        </w:rPr>
        <w:t xml:space="preserve"> call for reinforced and accelerated U</w:t>
      </w:r>
      <w:r w:rsidR="007C63E2" w:rsidRPr="00E50A7A">
        <w:rPr>
          <w:noProof/>
          <w:lang w:val="en-IE"/>
        </w:rPr>
        <w:t>nion</w:t>
      </w:r>
      <w:r w:rsidR="00A41EB2" w:rsidRPr="00E50A7A">
        <w:rPr>
          <w:noProof/>
          <w:lang w:val="en-IE"/>
        </w:rPr>
        <w:t xml:space="preserve"> and Member State action to </w:t>
      </w:r>
      <w:r w:rsidR="00F84CFF" w:rsidRPr="00E50A7A">
        <w:rPr>
          <w:noProof/>
          <w:lang w:val="en-IE"/>
        </w:rPr>
        <w:t>ensure environmen</w:t>
      </w:r>
      <w:r w:rsidR="00BD08F6" w:rsidRPr="00E50A7A">
        <w:rPr>
          <w:noProof/>
          <w:lang w:val="en-IE"/>
        </w:rPr>
        <w:t>t</w:t>
      </w:r>
      <w:r w:rsidR="00F84CFF" w:rsidRPr="00E50A7A">
        <w:rPr>
          <w:noProof/>
          <w:lang w:val="en-IE"/>
        </w:rPr>
        <w:t xml:space="preserve">al </w:t>
      </w:r>
      <w:r w:rsidR="000C65FB" w:rsidRPr="00E50A7A">
        <w:rPr>
          <w:noProof/>
          <w:lang w:val="en-IE"/>
        </w:rPr>
        <w:t xml:space="preserve">and social </w:t>
      </w:r>
      <w:r w:rsidR="00F84CFF" w:rsidRPr="00E50A7A">
        <w:rPr>
          <w:noProof/>
          <w:lang w:val="en-IE"/>
        </w:rPr>
        <w:t>sustainability of</w:t>
      </w:r>
      <w:r w:rsidR="00A41EB2" w:rsidRPr="00E50A7A">
        <w:rPr>
          <w:noProof/>
          <w:lang w:val="en-IE"/>
        </w:rPr>
        <w:t xml:space="preserve"> the textiles and food sectors as they represent top resource intensive sectors </w:t>
      </w:r>
      <w:r w:rsidR="00D173B1" w:rsidRPr="00E50A7A">
        <w:rPr>
          <w:noProof/>
          <w:lang w:val="en-IE"/>
        </w:rPr>
        <w:t xml:space="preserve">that </w:t>
      </w:r>
      <w:r w:rsidR="00A41EB2" w:rsidRPr="00E50A7A">
        <w:rPr>
          <w:noProof/>
          <w:lang w:val="en-IE"/>
        </w:rPr>
        <w:t>caus</w:t>
      </w:r>
      <w:r w:rsidR="00D173B1" w:rsidRPr="00E50A7A">
        <w:rPr>
          <w:noProof/>
          <w:lang w:val="en-IE"/>
        </w:rPr>
        <w:t>e</w:t>
      </w:r>
      <w:r w:rsidR="00A41EB2" w:rsidRPr="00E50A7A">
        <w:rPr>
          <w:noProof/>
          <w:lang w:val="en-IE"/>
        </w:rPr>
        <w:t xml:space="preserve"> significant negative environmental externalities</w:t>
      </w:r>
      <w:r w:rsidR="00D173B1" w:rsidRPr="00E50A7A">
        <w:rPr>
          <w:noProof/>
          <w:lang w:val="en-IE"/>
        </w:rPr>
        <w:t>. In those sectors,</w:t>
      </w:r>
      <w:r w:rsidR="00A41EB2" w:rsidRPr="00E50A7A">
        <w:rPr>
          <w:noProof/>
          <w:lang w:val="en-IE"/>
        </w:rPr>
        <w:t xml:space="preserve"> financing and technological gaps impede progress towards the transition to a circular economy</w:t>
      </w:r>
      <w:r w:rsidR="00F84CFF" w:rsidRPr="00E50A7A">
        <w:rPr>
          <w:noProof/>
          <w:lang w:val="en-IE"/>
        </w:rPr>
        <w:t xml:space="preserve"> and decarbonisation</w:t>
      </w:r>
      <w:r w:rsidR="00A41EB2" w:rsidRPr="00E50A7A">
        <w:rPr>
          <w:noProof/>
          <w:lang w:val="en-IE"/>
        </w:rPr>
        <w:t xml:space="preserve">. </w:t>
      </w:r>
      <w:r w:rsidR="00416DBB" w:rsidRPr="00E50A7A">
        <w:rPr>
          <w:noProof/>
          <w:lang w:val="en-IE"/>
        </w:rPr>
        <w:t xml:space="preserve">The </w:t>
      </w:r>
      <w:r w:rsidR="009263D7" w:rsidRPr="00E50A7A">
        <w:rPr>
          <w:noProof/>
          <w:lang w:val="en-IE"/>
        </w:rPr>
        <w:t>f</w:t>
      </w:r>
      <w:r w:rsidR="00A41EB2" w:rsidRPr="00E50A7A">
        <w:rPr>
          <w:noProof/>
          <w:lang w:val="en-IE"/>
        </w:rPr>
        <w:t xml:space="preserve">ood and textiles </w:t>
      </w:r>
      <w:r w:rsidR="009263D7" w:rsidRPr="00E50A7A">
        <w:rPr>
          <w:noProof/>
          <w:lang w:val="en-IE"/>
        </w:rPr>
        <w:t xml:space="preserve">sectors </w:t>
      </w:r>
      <w:r w:rsidR="00A41EB2" w:rsidRPr="00E50A7A">
        <w:rPr>
          <w:noProof/>
          <w:lang w:val="en-IE"/>
        </w:rPr>
        <w:t>are the first</w:t>
      </w:r>
      <w:r w:rsidR="00AB520C" w:rsidRPr="00E50A7A">
        <w:rPr>
          <w:noProof/>
          <w:lang w:val="en-IE"/>
        </w:rPr>
        <w:t>-</w:t>
      </w:r>
      <w:r w:rsidR="00A41EB2" w:rsidRPr="00E50A7A">
        <w:rPr>
          <w:noProof/>
          <w:lang w:val="en-IE"/>
        </w:rPr>
        <w:t xml:space="preserve"> and the fourth</w:t>
      </w:r>
      <w:r w:rsidR="00AB520C" w:rsidRPr="00E50A7A">
        <w:rPr>
          <w:noProof/>
          <w:lang w:val="en-IE"/>
        </w:rPr>
        <w:t>-</w:t>
      </w:r>
      <w:r w:rsidR="00A41EB2" w:rsidRPr="00E50A7A">
        <w:rPr>
          <w:noProof/>
          <w:lang w:val="en-IE"/>
        </w:rPr>
        <w:t xml:space="preserve"> most resource</w:t>
      </w:r>
      <w:r w:rsidR="00EB54A9" w:rsidRPr="00E50A7A">
        <w:rPr>
          <w:noProof/>
          <w:lang w:val="en-IE"/>
        </w:rPr>
        <w:t>-</w:t>
      </w:r>
      <w:r w:rsidR="00A41EB2" w:rsidRPr="00E50A7A">
        <w:rPr>
          <w:noProof/>
          <w:lang w:val="en-IE"/>
        </w:rPr>
        <w:t>intensive sectors respectively</w:t>
      </w:r>
      <w:r w:rsidR="0074680C" w:rsidRPr="00E50A7A">
        <w:rPr>
          <w:rStyle w:val="FootnoteReference"/>
          <w:noProof/>
          <w:lang w:val="en-IE"/>
        </w:rPr>
        <w:footnoteReference w:id="71"/>
      </w:r>
      <w:r w:rsidR="00A41EB2" w:rsidRPr="00E50A7A">
        <w:rPr>
          <w:noProof/>
          <w:lang w:val="en-IE"/>
        </w:rPr>
        <w:t xml:space="preserve"> and </w:t>
      </w:r>
      <w:r w:rsidR="00690C7C" w:rsidRPr="00E50A7A">
        <w:rPr>
          <w:noProof/>
          <w:lang w:val="en-IE"/>
        </w:rPr>
        <w:t xml:space="preserve">they </w:t>
      </w:r>
      <w:r w:rsidR="00A41EB2" w:rsidRPr="00E50A7A">
        <w:rPr>
          <w:noProof/>
          <w:lang w:val="en-IE"/>
        </w:rPr>
        <w:t>do not fully adhere to the fundamental U</w:t>
      </w:r>
      <w:r w:rsidR="00690C7C" w:rsidRPr="00E50A7A">
        <w:rPr>
          <w:noProof/>
          <w:lang w:val="en-IE"/>
        </w:rPr>
        <w:t>nion</w:t>
      </w:r>
      <w:r w:rsidR="00A41EB2" w:rsidRPr="00E50A7A">
        <w:rPr>
          <w:noProof/>
          <w:lang w:val="en-IE"/>
        </w:rPr>
        <w:t xml:space="preserve"> waste management principles set out </w:t>
      </w:r>
      <w:r w:rsidR="00690C7C" w:rsidRPr="00E50A7A">
        <w:rPr>
          <w:noProof/>
          <w:lang w:val="en-IE"/>
        </w:rPr>
        <w:t>in</w:t>
      </w:r>
      <w:r w:rsidR="00A41EB2" w:rsidRPr="00E50A7A">
        <w:rPr>
          <w:noProof/>
          <w:lang w:val="en-IE"/>
        </w:rPr>
        <w:t xml:space="preserve"> the waste hierarchy which require</w:t>
      </w:r>
      <w:r w:rsidR="00817CB4" w:rsidRPr="00E50A7A">
        <w:rPr>
          <w:noProof/>
          <w:lang w:val="en-IE"/>
        </w:rPr>
        <w:t>s</w:t>
      </w:r>
      <w:r w:rsidR="00A41EB2" w:rsidRPr="00E50A7A">
        <w:rPr>
          <w:noProof/>
          <w:lang w:val="en-IE"/>
        </w:rPr>
        <w:t xml:space="preserve"> the prioritisation of waste prevention followed by preparation for re-use and recycling. These challenges require systemic solutions with a lifecycle approach. </w:t>
      </w:r>
    </w:p>
    <w:p w14:paraId="3A03F4FF" w14:textId="04E927CB" w:rsidR="00BD152F" w:rsidRPr="00B13603" w:rsidRDefault="00384B96" w:rsidP="00384B96">
      <w:pPr>
        <w:pStyle w:val="ManualConsidrant"/>
        <w:rPr>
          <w:noProof/>
          <w:lang w:val="en-IE"/>
        </w:rPr>
      </w:pPr>
      <w:r w:rsidRPr="00384B96">
        <w:t>(2)</w:t>
      </w:r>
      <w:r w:rsidRPr="00384B96">
        <w:tab/>
      </w:r>
      <w:r w:rsidR="00A41EB2" w:rsidRPr="00E50A7A">
        <w:rPr>
          <w:noProof/>
          <w:color w:val="333333"/>
          <w:lang w:val="en-IE"/>
        </w:rPr>
        <w:t>According</w:t>
      </w:r>
      <w:r w:rsidR="00A41EB2" w:rsidRPr="00E50A7A">
        <w:rPr>
          <w:noProof/>
          <w:lang w:val="en-IE"/>
        </w:rPr>
        <w:t xml:space="preserve"> to the EU Strategy for Sustainable and Circular Textiles</w:t>
      </w:r>
      <w:r w:rsidR="0074680C" w:rsidRPr="00E50A7A">
        <w:rPr>
          <w:rStyle w:val="FootnoteReference"/>
          <w:noProof/>
          <w:lang w:val="en-IE"/>
        </w:rPr>
        <w:footnoteReference w:id="72"/>
      </w:r>
      <w:r w:rsidR="758D505E" w:rsidRPr="00E50A7A">
        <w:rPr>
          <w:rStyle w:val="FootnoteReference"/>
          <w:noProof/>
          <w:lang w:val="en-IE"/>
        </w:rPr>
        <w:t>,</w:t>
      </w:r>
      <w:r w:rsidR="00A41EB2" w:rsidRPr="00E50A7A">
        <w:rPr>
          <w:noProof/>
          <w:lang w:val="en-IE"/>
        </w:rPr>
        <w:t xml:space="preserve">  important changes </w:t>
      </w:r>
      <w:r w:rsidR="40D98A43" w:rsidRPr="00E50A7A">
        <w:rPr>
          <w:noProof/>
          <w:lang w:val="en-IE"/>
        </w:rPr>
        <w:t xml:space="preserve">are needed to </w:t>
      </w:r>
      <w:r w:rsidR="310E9CCD" w:rsidRPr="00E50A7A">
        <w:rPr>
          <w:noProof/>
          <w:lang w:val="en-IE"/>
        </w:rPr>
        <w:t>move away from</w:t>
      </w:r>
      <w:r w:rsidR="00A41EB2" w:rsidRPr="00E50A7A">
        <w:rPr>
          <w:noProof/>
          <w:lang w:val="en-IE"/>
        </w:rPr>
        <w:t xml:space="preserve"> the currently prevailing linear way in which textile products are designed, produced, used and discarded</w:t>
      </w:r>
      <w:r w:rsidR="00F84CFF" w:rsidRPr="00E50A7A">
        <w:rPr>
          <w:noProof/>
          <w:szCs w:val="24"/>
          <w:lang w:val="en-IE"/>
        </w:rPr>
        <w:t xml:space="preserve">, </w:t>
      </w:r>
      <w:r w:rsidR="00F84CFF" w:rsidRPr="00E50A7A">
        <w:rPr>
          <w:noProof/>
          <w:lang w:val="en-IE"/>
        </w:rPr>
        <w:t>with a particular need to limit fast fashion. Th</w:t>
      </w:r>
      <w:r w:rsidR="2BFABCF5" w:rsidRPr="00E50A7A">
        <w:rPr>
          <w:noProof/>
          <w:lang w:val="en-IE"/>
        </w:rPr>
        <w:t>at</w:t>
      </w:r>
      <w:r w:rsidR="00F84CFF" w:rsidRPr="00E50A7A">
        <w:rPr>
          <w:noProof/>
          <w:lang w:val="en-IE"/>
        </w:rPr>
        <w:t xml:space="preserve"> Strategy considers it important to make producers responsible for the waste that their products create and </w:t>
      </w:r>
      <w:r w:rsidR="69029952" w:rsidRPr="00E50A7A">
        <w:rPr>
          <w:noProof/>
          <w:lang w:val="en-IE"/>
        </w:rPr>
        <w:t xml:space="preserve">refers to </w:t>
      </w:r>
      <w:r w:rsidR="00F84CFF" w:rsidRPr="00E50A7A">
        <w:rPr>
          <w:noProof/>
          <w:lang w:val="en-IE"/>
        </w:rPr>
        <w:t xml:space="preserve">the establishment of harmonised </w:t>
      </w:r>
      <w:r w:rsidR="0AE80C33" w:rsidRPr="00E50A7A">
        <w:rPr>
          <w:noProof/>
          <w:lang w:val="en-IE"/>
        </w:rPr>
        <w:t xml:space="preserve">Union </w:t>
      </w:r>
      <w:r w:rsidR="00F84CFF" w:rsidRPr="00E50A7A">
        <w:rPr>
          <w:noProof/>
          <w:lang w:val="en-IE"/>
        </w:rPr>
        <w:t>extended producer respons</w:t>
      </w:r>
      <w:r w:rsidR="6080CE6F" w:rsidRPr="00E50A7A">
        <w:rPr>
          <w:noProof/>
          <w:lang w:val="en-IE"/>
        </w:rPr>
        <w:t>i</w:t>
      </w:r>
      <w:r w:rsidR="00F84CFF" w:rsidRPr="00E50A7A">
        <w:rPr>
          <w:noProof/>
          <w:lang w:val="en-IE"/>
        </w:rPr>
        <w:t>bility rules for textiles with eco</w:t>
      </w:r>
      <w:r w:rsidR="0D8991AE" w:rsidRPr="00E50A7A">
        <w:rPr>
          <w:noProof/>
          <w:lang w:val="en-IE"/>
        </w:rPr>
        <w:t>-</w:t>
      </w:r>
      <w:r w:rsidR="00F84CFF" w:rsidRPr="00E50A7A">
        <w:rPr>
          <w:noProof/>
          <w:lang w:val="en-IE"/>
        </w:rPr>
        <w:t xml:space="preserve">modulation of fees. It </w:t>
      </w:r>
      <w:r w:rsidR="6D8B79E9" w:rsidRPr="00E50A7A">
        <w:rPr>
          <w:noProof/>
          <w:lang w:val="en-IE"/>
        </w:rPr>
        <w:t>provides</w:t>
      </w:r>
      <w:r w:rsidR="00F84CFF" w:rsidRPr="00E50A7A">
        <w:rPr>
          <w:noProof/>
          <w:lang w:val="en-IE"/>
        </w:rPr>
        <w:t xml:space="preserve"> that the key objective of </w:t>
      </w:r>
      <w:r w:rsidR="091B822A" w:rsidRPr="00E50A7A">
        <w:rPr>
          <w:noProof/>
          <w:lang w:val="en-IE"/>
        </w:rPr>
        <w:t xml:space="preserve">such </w:t>
      </w:r>
      <w:r w:rsidR="00F84CFF" w:rsidRPr="00E50A7A">
        <w:rPr>
          <w:noProof/>
          <w:lang w:val="en-IE"/>
        </w:rPr>
        <w:t>rules is to create an economy for collection, sorting, re</w:t>
      </w:r>
      <w:r w:rsidR="539DDD7F" w:rsidRPr="00E50A7A">
        <w:rPr>
          <w:noProof/>
          <w:lang w:val="en-IE"/>
        </w:rPr>
        <w:t>-</w:t>
      </w:r>
      <w:r w:rsidR="00F84CFF" w:rsidRPr="00E50A7A">
        <w:rPr>
          <w:noProof/>
          <w:lang w:val="en-IE"/>
        </w:rPr>
        <w:t>use, preparation for re</w:t>
      </w:r>
      <w:r w:rsidR="27BAC489" w:rsidRPr="00E50A7A">
        <w:rPr>
          <w:noProof/>
          <w:lang w:val="en-IE"/>
        </w:rPr>
        <w:t>-</w:t>
      </w:r>
      <w:r w:rsidR="00F84CFF" w:rsidRPr="00E50A7A">
        <w:rPr>
          <w:noProof/>
          <w:lang w:val="en-IE"/>
        </w:rPr>
        <w:t xml:space="preserve">use and recycling, and to incentivise producers to ensure that their products are designed in respect of circularity principles. To that end, it foresees that a notable share of contributions made </w:t>
      </w:r>
      <w:r w:rsidR="7B6D3FAF" w:rsidRPr="00E50A7A">
        <w:rPr>
          <w:noProof/>
          <w:lang w:val="en-IE"/>
        </w:rPr>
        <w:t xml:space="preserve">by producers </w:t>
      </w:r>
      <w:r w:rsidR="00F84CFF" w:rsidRPr="00E50A7A">
        <w:rPr>
          <w:noProof/>
          <w:lang w:val="en-IE"/>
        </w:rPr>
        <w:t xml:space="preserve">to extended </w:t>
      </w:r>
      <w:r w:rsidR="00F84CFF" w:rsidRPr="00B13603">
        <w:rPr>
          <w:noProof/>
          <w:lang w:val="en-IE"/>
        </w:rPr>
        <w:t xml:space="preserve">producer </w:t>
      </w:r>
      <w:r w:rsidR="00F84CFF" w:rsidRPr="00B13603">
        <w:rPr>
          <w:noProof/>
          <w:lang w:val="en-IE"/>
        </w:rPr>
        <w:lastRenderedPageBreak/>
        <w:t>responsibility schemes have to be dedicated to waste prevention measures and prepar</w:t>
      </w:r>
      <w:r w:rsidR="26FF8F56" w:rsidRPr="00B13603">
        <w:rPr>
          <w:noProof/>
          <w:lang w:val="en-IE"/>
        </w:rPr>
        <w:t>ation</w:t>
      </w:r>
      <w:r w:rsidR="00F84CFF" w:rsidRPr="00B13603">
        <w:rPr>
          <w:noProof/>
          <w:lang w:val="en-IE"/>
        </w:rPr>
        <w:t xml:space="preserve"> for re</w:t>
      </w:r>
      <w:r w:rsidR="26FF8ABD" w:rsidRPr="00B13603">
        <w:rPr>
          <w:noProof/>
          <w:lang w:val="en-IE"/>
        </w:rPr>
        <w:t>-</w:t>
      </w:r>
      <w:r w:rsidR="00F84CFF" w:rsidRPr="00B13603">
        <w:rPr>
          <w:noProof/>
          <w:lang w:val="en-IE"/>
        </w:rPr>
        <w:t>use.</w:t>
      </w:r>
      <w:r w:rsidR="6CB7672C" w:rsidRPr="00B13603">
        <w:rPr>
          <w:noProof/>
          <w:lang w:val="en-IE"/>
        </w:rPr>
        <w:t xml:space="preserve"> It also supports the need for </w:t>
      </w:r>
      <w:r w:rsidR="4573C22C" w:rsidRPr="00B13603">
        <w:rPr>
          <w:noProof/>
          <w:lang w:val="en-IE"/>
        </w:rPr>
        <w:t>strengthened</w:t>
      </w:r>
      <w:r w:rsidR="6CB7672C" w:rsidRPr="00B13603">
        <w:rPr>
          <w:noProof/>
          <w:lang w:val="en-IE"/>
        </w:rPr>
        <w:t xml:space="preserve"> and more innovative</w:t>
      </w:r>
      <w:r w:rsidR="5A3A2F87" w:rsidRPr="00B13603">
        <w:rPr>
          <w:noProof/>
          <w:lang w:val="en-IE"/>
        </w:rPr>
        <w:t xml:space="preserve"> approaches to</w:t>
      </w:r>
      <w:r w:rsidR="2CED9109" w:rsidRPr="00B13603">
        <w:rPr>
          <w:noProof/>
          <w:lang w:val="en-IE"/>
        </w:rPr>
        <w:t xml:space="preserve"> sustainable management of biological resources</w:t>
      </w:r>
      <w:r w:rsidR="5A3A2F87" w:rsidRPr="00B13603">
        <w:rPr>
          <w:noProof/>
          <w:lang w:val="en-IE"/>
        </w:rPr>
        <w:t xml:space="preserve"> to increase the circularity and valorisation of food waste and re-use of bio-based textiles.</w:t>
      </w:r>
    </w:p>
    <w:p w14:paraId="44DA9CF3" w14:textId="4AB4608F" w:rsidR="00BD152F" w:rsidRPr="00E50A7A" w:rsidRDefault="00384B96" w:rsidP="00384B96">
      <w:pPr>
        <w:pStyle w:val="ManualConsidrant"/>
        <w:rPr>
          <w:noProof/>
          <w:lang w:val="en-IE"/>
        </w:rPr>
      </w:pPr>
      <w:r w:rsidRPr="00384B96">
        <w:t>(3)</w:t>
      </w:r>
      <w:r w:rsidRPr="00384B96">
        <w:tab/>
      </w:r>
      <w:r w:rsidR="150E1885" w:rsidRPr="00B13603">
        <w:rPr>
          <w:noProof/>
          <w:lang w:val="en-IE"/>
        </w:rPr>
        <w:t xml:space="preserve">Having regard to the negative effects of food waste, Member States committed </w:t>
      </w:r>
      <w:r w:rsidR="007F578C" w:rsidRPr="00B13603">
        <w:rPr>
          <w:noProof/>
          <w:lang w:val="en-IE"/>
        </w:rPr>
        <w:t xml:space="preserve">themselves </w:t>
      </w:r>
      <w:r w:rsidR="150E1885" w:rsidRPr="00B13603">
        <w:rPr>
          <w:noProof/>
          <w:lang w:val="en-IE"/>
        </w:rPr>
        <w:t>to tak</w:t>
      </w:r>
      <w:r w:rsidR="007F578C" w:rsidRPr="00B13603">
        <w:rPr>
          <w:noProof/>
          <w:lang w:val="en-IE"/>
        </w:rPr>
        <w:t>ing</w:t>
      </w:r>
      <w:r w:rsidR="150E1885" w:rsidRPr="00B13603">
        <w:rPr>
          <w:noProof/>
          <w:lang w:val="en-IE"/>
        </w:rPr>
        <w:t xml:space="preserve"> measures to promote the prevention and reduction of food waste in line with the 2030 Agenda for Sustainable Development, adopted by the United Nations (UN) General Assembly on 25 September 2015, and in particular its target of halving per capita </w:t>
      </w:r>
      <w:r w:rsidR="150E1885" w:rsidRPr="00B314C8">
        <w:rPr>
          <w:noProof/>
          <w:lang w:val="en-IE"/>
        </w:rPr>
        <w:t>global food waste at the retail and consumer levels and reduce food losses along production and supply chains, including post-harvest losses, by 2030. Those measures aimed to prevent and reduce food waste in primary production, in processing and manufacturing, in retail and other distribution of food, in restaurants and food services as well as in households</w:t>
      </w:r>
      <w:r w:rsidR="76754597" w:rsidRPr="00E50A7A">
        <w:rPr>
          <w:noProof/>
          <w:lang w:val="en-IE"/>
        </w:rPr>
        <w:t>.</w:t>
      </w:r>
    </w:p>
    <w:p w14:paraId="11C3E69B" w14:textId="7CE079FA" w:rsidR="00A41EB2" w:rsidRPr="00E50A7A" w:rsidRDefault="00384B96" w:rsidP="00384B96">
      <w:pPr>
        <w:pStyle w:val="ManualConsidrant"/>
        <w:rPr>
          <w:noProof/>
          <w:lang w:val="en-IE"/>
        </w:rPr>
      </w:pPr>
      <w:r w:rsidRPr="00384B96">
        <w:t>(4)</w:t>
      </w:r>
      <w:r w:rsidRPr="00384B96">
        <w:tab/>
      </w:r>
      <w:r w:rsidR="150E1885" w:rsidRPr="00E50A7A">
        <w:rPr>
          <w:noProof/>
          <w:lang w:val="en-IE"/>
        </w:rPr>
        <w:t xml:space="preserve">As a follow-up to the Conference on the Future of Europe, the Commission committed </w:t>
      </w:r>
      <w:r w:rsidR="002A0FBA" w:rsidRPr="00E50A7A">
        <w:rPr>
          <w:noProof/>
          <w:lang w:val="en-IE"/>
        </w:rPr>
        <w:t xml:space="preserve">itself </w:t>
      </w:r>
      <w:r w:rsidR="150E1885" w:rsidRPr="00E50A7A">
        <w:rPr>
          <w:noProof/>
          <w:lang w:val="en-IE"/>
        </w:rPr>
        <w:t>to enabl</w:t>
      </w:r>
      <w:r w:rsidR="002A0FBA" w:rsidRPr="00E50A7A">
        <w:rPr>
          <w:noProof/>
          <w:lang w:val="en-IE"/>
        </w:rPr>
        <w:t>ing</w:t>
      </w:r>
      <w:r w:rsidR="150E1885" w:rsidRPr="00E50A7A">
        <w:rPr>
          <w:noProof/>
          <w:lang w:val="en-IE"/>
        </w:rPr>
        <w:t xml:space="preserve"> citizens’ panels to deliberate and make recommendations ahead of certain key proposals. In this</w:t>
      </w:r>
      <w:r w:rsidR="009362D0" w:rsidRPr="00E50A7A">
        <w:rPr>
          <w:noProof/>
          <w:lang w:val="en-IE"/>
        </w:rPr>
        <w:t xml:space="preserve"> </w:t>
      </w:r>
      <w:r w:rsidR="005C11D4" w:rsidRPr="00E50A7A">
        <w:rPr>
          <w:noProof/>
          <w:lang w:val="en-IE"/>
        </w:rPr>
        <w:t>context</w:t>
      </w:r>
      <w:r w:rsidR="150E1885" w:rsidRPr="00E50A7A">
        <w:rPr>
          <w:noProof/>
          <w:lang w:val="en-IE"/>
        </w:rPr>
        <w:t>, a European Citizens’ panel was convened, from December 2022 to February 2023 to elaborate a list of recommendations</w:t>
      </w:r>
      <w:r w:rsidR="00415D46">
        <w:rPr>
          <w:rStyle w:val="FootnoteReference"/>
          <w:noProof/>
          <w:lang w:val="en-IE"/>
        </w:rPr>
        <w:footnoteReference w:id="73"/>
      </w:r>
      <w:r w:rsidR="150E1885" w:rsidRPr="00E50A7A">
        <w:rPr>
          <w:noProof/>
          <w:lang w:val="en-IE"/>
        </w:rPr>
        <w:t xml:space="preserve"> on how</w:t>
      </w:r>
      <w:r w:rsidR="007F19EC" w:rsidRPr="00E50A7A">
        <w:rPr>
          <w:noProof/>
          <w:lang w:val="en-IE"/>
        </w:rPr>
        <w:t xml:space="preserve"> </w:t>
      </w:r>
      <w:r w:rsidR="150E1885" w:rsidRPr="00E50A7A">
        <w:rPr>
          <w:noProof/>
          <w:lang w:val="en-IE"/>
        </w:rPr>
        <w:t>to step-up actions to reduce food waste in the U</w:t>
      </w:r>
      <w:r w:rsidR="0036306E" w:rsidRPr="00E50A7A">
        <w:rPr>
          <w:noProof/>
          <w:lang w:val="en-IE"/>
        </w:rPr>
        <w:t>nion</w:t>
      </w:r>
      <w:r w:rsidR="150E1885" w:rsidRPr="00E50A7A">
        <w:rPr>
          <w:noProof/>
          <w:lang w:val="en-IE"/>
        </w:rPr>
        <w:t xml:space="preserve">. </w:t>
      </w:r>
      <w:r w:rsidR="150E1885" w:rsidRPr="00B314C8">
        <w:rPr>
          <w:noProof/>
          <w:lang w:val="en-IE"/>
        </w:rPr>
        <w:t>As households account for over half of food waste generated in the U</w:t>
      </w:r>
      <w:r w:rsidR="0036306E" w:rsidRPr="00B314C8">
        <w:rPr>
          <w:noProof/>
          <w:lang w:val="en-IE"/>
        </w:rPr>
        <w:t>nion</w:t>
      </w:r>
      <w:r w:rsidR="150E1885" w:rsidRPr="00B314C8">
        <w:rPr>
          <w:noProof/>
          <w:lang w:val="en-IE"/>
        </w:rPr>
        <w:t xml:space="preserve">, citizens’ insights on food waste prevention are particularly relevant. Citizens recommended three principal lines of action including strengthening cooperation in the food value chain, food business initiatives and supporting consumer behavioural change. The panel’s recommendations will </w:t>
      </w:r>
      <w:r w:rsidR="008150B2" w:rsidRPr="00B314C8">
        <w:rPr>
          <w:noProof/>
          <w:lang w:val="en-IE"/>
        </w:rPr>
        <w:t xml:space="preserve">continue to </w:t>
      </w:r>
      <w:r w:rsidR="150E1885" w:rsidRPr="00B314C8">
        <w:rPr>
          <w:noProof/>
          <w:lang w:val="en-IE"/>
        </w:rPr>
        <w:t>support the Commission’s overall work programme related to food waste prevention and may serve as a guide to help Member States in achieving the food waste reduction targets.</w:t>
      </w:r>
    </w:p>
    <w:p w14:paraId="237270FF" w14:textId="3135ED61" w:rsidR="00A41EB2" w:rsidRPr="00E50A7A" w:rsidRDefault="00384B96" w:rsidP="00384B96">
      <w:pPr>
        <w:pStyle w:val="ManualConsidrant"/>
        <w:rPr>
          <w:noProof/>
          <w:lang w:val="en-IE"/>
        </w:rPr>
      </w:pPr>
      <w:r w:rsidRPr="00384B96">
        <w:t>(5)</w:t>
      </w:r>
      <w:r w:rsidRPr="00384B96">
        <w:tab/>
      </w:r>
      <w:r w:rsidR="150E1885" w:rsidRPr="00E50A7A">
        <w:rPr>
          <w:rFonts w:eastAsia="Roboto"/>
          <w:noProof/>
          <w:lang w:val="en-IE"/>
        </w:rPr>
        <w:t>Directive 2009/31/EC of the European Parliament and of the Council</w:t>
      </w:r>
      <w:r w:rsidR="0074680C" w:rsidRPr="00E50A7A">
        <w:rPr>
          <w:rStyle w:val="FootnoteReference"/>
          <w:rFonts w:eastAsia="Roboto"/>
          <w:noProof/>
          <w:lang w:val="en-IE"/>
        </w:rPr>
        <w:footnoteReference w:id="74"/>
      </w:r>
      <w:r w:rsidR="150E1885" w:rsidRPr="00E50A7A">
        <w:rPr>
          <w:noProof/>
          <w:lang w:val="en-IE"/>
        </w:rPr>
        <w:t xml:space="preserve"> excluded from the scope of Directive 2006/12/EC </w:t>
      </w:r>
      <w:r w:rsidR="53718F2A" w:rsidRPr="00E50A7A">
        <w:rPr>
          <w:noProof/>
          <w:lang w:val="en-IE"/>
        </w:rPr>
        <w:t>of the European Parliament and of the Council</w:t>
      </w:r>
      <w:r w:rsidR="0074680C" w:rsidRPr="00E50A7A">
        <w:rPr>
          <w:rStyle w:val="FootnoteReference"/>
          <w:noProof/>
          <w:lang w:val="en-IE"/>
        </w:rPr>
        <w:footnoteReference w:id="75"/>
      </w:r>
      <w:r w:rsidR="150E1885" w:rsidRPr="00E50A7A">
        <w:rPr>
          <w:noProof/>
          <w:lang w:val="en-IE"/>
        </w:rPr>
        <w:t xml:space="preserve"> carbon dioxide captured and </w:t>
      </w:r>
      <w:r w:rsidR="556F62D5" w:rsidRPr="00E50A7A">
        <w:rPr>
          <w:noProof/>
          <w:lang w:val="en-IE"/>
        </w:rPr>
        <w:t>t</w:t>
      </w:r>
      <w:r w:rsidR="150E1885" w:rsidRPr="00E50A7A">
        <w:rPr>
          <w:noProof/>
          <w:lang w:val="en-IE"/>
        </w:rPr>
        <w:t>ransported for the purposes of geological storage and geologically stored pursuant to the requirements of Directive</w:t>
      </w:r>
      <w:r w:rsidR="0EAF0059" w:rsidRPr="00E50A7A">
        <w:rPr>
          <w:noProof/>
          <w:lang w:val="en-IE"/>
        </w:rPr>
        <w:t xml:space="preserve"> 2006/12/EC</w:t>
      </w:r>
      <w:r w:rsidR="150E1885" w:rsidRPr="00E50A7A">
        <w:rPr>
          <w:noProof/>
          <w:lang w:val="en-IE"/>
        </w:rPr>
        <w:t>. Th</w:t>
      </w:r>
      <w:r w:rsidR="7CF37987" w:rsidRPr="00E50A7A">
        <w:rPr>
          <w:noProof/>
          <w:lang w:val="en-IE"/>
        </w:rPr>
        <w:t>e provision in Directive 2009/31/EC amending Directive 2006/12/EC</w:t>
      </w:r>
      <w:r w:rsidR="150E1885" w:rsidRPr="00E50A7A">
        <w:rPr>
          <w:noProof/>
          <w:lang w:val="en-IE"/>
        </w:rPr>
        <w:t xml:space="preserve"> was not, however, incorporated in Directive 2008/98/EC of the European Parliament and of the Council</w:t>
      </w:r>
      <w:r w:rsidR="0074680C" w:rsidRPr="00E50A7A">
        <w:rPr>
          <w:rStyle w:val="FootnoteReference"/>
          <w:noProof/>
          <w:lang w:val="en-IE"/>
        </w:rPr>
        <w:footnoteReference w:id="76"/>
      </w:r>
      <w:r w:rsidR="00EA6E29">
        <w:rPr>
          <w:noProof/>
          <w:lang w:val="en-IE"/>
        </w:rPr>
        <w:t xml:space="preserve">, </w:t>
      </w:r>
      <w:r w:rsidR="150E1885" w:rsidRPr="00E50A7A">
        <w:rPr>
          <w:noProof/>
          <w:lang w:val="en-IE"/>
        </w:rPr>
        <w:t>which repealed Directive 2006/12/EC. Therefore, for the purposes of ensuring legal certainty</w:t>
      </w:r>
      <w:r w:rsidR="0B92E607" w:rsidRPr="00E50A7A">
        <w:rPr>
          <w:noProof/>
          <w:lang w:val="en-IE"/>
        </w:rPr>
        <w:t>,</w:t>
      </w:r>
      <w:r w:rsidR="150E1885" w:rsidRPr="00E50A7A">
        <w:rPr>
          <w:noProof/>
          <w:lang w:val="en-IE"/>
        </w:rPr>
        <w:t xml:space="preserve"> this Directive incorporates the amendments of Directive 2009/31/EC </w:t>
      </w:r>
      <w:r w:rsidR="2ABA62A2" w:rsidRPr="00E50A7A">
        <w:rPr>
          <w:noProof/>
          <w:lang w:val="en-IE"/>
        </w:rPr>
        <w:t>concerning</w:t>
      </w:r>
      <w:r w:rsidR="150E1885" w:rsidRPr="00E50A7A">
        <w:rPr>
          <w:noProof/>
          <w:lang w:val="en-IE"/>
        </w:rPr>
        <w:t xml:space="preserve"> the </w:t>
      </w:r>
      <w:r w:rsidR="1D3D851F" w:rsidRPr="00E50A7A">
        <w:rPr>
          <w:noProof/>
          <w:lang w:val="en-IE"/>
        </w:rPr>
        <w:t xml:space="preserve">exclusion of carbon dioxide captured and transported for the purposes of geological storage and geologically stored from the </w:t>
      </w:r>
      <w:r w:rsidR="150E1885" w:rsidRPr="00E50A7A">
        <w:rPr>
          <w:noProof/>
          <w:lang w:val="en-IE"/>
        </w:rPr>
        <w:t>scope of Directive 2008/98/EC.</w:t>
      </w:r>
    </w:p>
    <w:p w14:paraId="7865B250" w14:textId="35BD10B0" w:rsidR="00A41EB2" w:rsidRPr="00E50A7A" w:rsidRDefault="00384B96" w:rsidP="00384B96">
      <w:pPr>
        <w:pStyle w:val="ManualConsidrant"/>
        <w:rPr>
          <w:noProof/>
          <w:lang w:val="en-IE"/>
        </w:rPr>
      </w:pPr>
      <w:r w:rsidRPr="00384B96">
        <w:t>(6)</w:t>
      </w:r>
      <w:r w:rsidRPr="00384B96">
        <w:tab/>
      </w:r>
      <w:r w:rsidR="150E1885" w:rsidRPr="00E50A7A">
        <w:rPr>
          <w:noProof/>
          <w:lang w:val="en-IE"/>
        </w:rPr>
        <w:t>Definitions of producers of textile products, online platforms and producer responsibility organisations linked to the implementation of the extended producer responsibility for textiles need to be included in Directive 2008/98/EC so that the scope of these concepts and linked obligations is clarified.</w:t>
      </w:r>
    </w:p>
    <w:p w14:paraId="7076926F" w14:textId="237AB6A1" w:rsidR="00A41EB2" w:rsidRPr="00E50A7A" w:rsidRDefault="00384B96" w:rsidP="00384B96">
      <w:pPr>
        <w:pStyle w:val="ManualConsidrant"/>
        <w:rPr>
          <w:noProof/>
          <w:lang w:val="en-IE"/>
        </w:rPr>
      </w:pPr>
      <w:r w:rsidRPr="00384B96">
        <w:t>(7)</w:t>
      </w:r>
      <w:r w:rsidRPr="00384B96">
        <w:tab/>
      </w:r>
      <w:r w:rsidR="150E1885" w:rsidRPr="00B314C8">
        <w:rPr>
          <w:noProof/>
          <w:lang w:val="en-IE"/>
        </w:rPr>
        <w:t xml:space="preserve">Member States have, to a certain extent, developed materials and carried out campaigns targeting food waste prevention for consumers and food business operators; however, these mainly focus on raising awareness rather than eliciting behavioural change. In order to reach the full potential for reducing food waste and ensure progress over time, behavioural change interventions </w:t>
      </w:r>
      <w:r w:rsidR="00AE51FE" w:rsidRPr="00B314C8">
        <w:rPr>
          <w:noProof/>
          <w:lang w:val="en-IE"/>
        </w:rPr>
        <w:t xml:space="preserve">have to </w:t>
      </w:r>
      <w:r w:rsidR="150E1885" w:rsidRPr="00B314C8">
        <w:rPr>
          <w:noProof/>
          <w:lang w:val="en-IE"/>
        </w:rPr>
        <w:t xml:space="preserve">be developed, tailored to the specific situations </w:t>
      </w:r>
      <w:r w:rsidR="150E1885" w:rsidRPr="00B314C8">
        <w:rPr>
          <w:noProof/>
          <w:lang w:val="en-IE"/>
        </w:rPr>
        <w:lastRenderedPageBreak/>
        <w:t>and needs in Member States, and fully integrated in national food waste prevention programmes.</w:t>
      </w:r>
      <w:r w:rsidR="0041378F" w:rsidRPr="0041378F">
        <w:rPr>
          <w:noProof/>
        </w:rPr>
        <w:t xml:space="preserve"> </w:t>
      </w:r>
      <w:r w:rsidR="0041378F" w:rsidRPr="0041378F">
        <w:rPr>
          <w:noProof/>
          <w:lang w:val="en-IE"/>
        </w:rPr>
        <w:t xml:space="preserve">Importance should also be given to regional circular solutions, including public-private partnerships and citizen engagement as well adaptation to specific regional needs such </w:t>
      </w:r>
      <w:r w:rsidR="00735D7E">
        <w:rPr>
          <w:noProof/>
          <w:lang w:val="en-IE"/>
        </w:rPr>
        <w:t>a</w:t>
      </w:r>
      <w:r w:rsidR="0041378F" w:rsidRPr="0041378F">
        <w:rPr>
          <w:noProof/>
          <w:lang w:val="en-IE"/>
        </w:rPr>
        <w:t>s outermost regions or islands.</w:t>
      </w:r>
    </w:p>
    <w:p w14:paraId="0FDC9168" w14:textId="6A6E45DA" w:rsidR="00A41EB2" w:rsidRPr="00E50A7A" w:rsidRDefault="00384B96" w:rsidP="00384B96">
      <w:pPr>
        <w:pStyle w:val="ManualConsidrant"/>
        <w:rPr>
          <w:noProof/>
          <w:lang w:val="en-IE"/>
        </w:rPr>
      </w:pPr>
      <w:r w:rsidRPr="00384B96">
        <w:t>(8)</w:t>
      </w:r>
      <w:r w:rsidRPr="00384B96">
        <w:tab/>
      </w:r>
      <w:r w:rsidR="150E1885" w:rsidRPr="00B314C8">
        <w:rPr>
          <w:noProof/>
          <w:lang w:val="en-IE"/>
        </w:rPr>
        <w:t xml:space="preserve">Despite the growing awareness of the negative impacts and consequences of food waste, </w:t>
      </w:r>
      <w:r w:rsidR="73CBCE8F" w:rsidRPr="00B314C8">
        <w:rPr>
          <w:noProof/>
          <w:lang w:val="en-IE"/>
        </w:rPr>
        <w:t xml:space="preserve">the </w:t>
      </w:r>
      <w:r w:rsidR="150E1885" w:rsidRPr="00B314C8">
        <w:rPr>
          <w:noProof/>
          <w:lang w:val="en-IE"/>
        </w:rPr>
        <w:t>political commitments made at EU and Member State levels</w:t>
      </w:r>
      <w:r w:rsidR="73CBCE8F" w:rsidRPr="00B314C8">
        <w:rPr>
          <w:noProof/>
          <w:lang w:val="en-IE"/>
        </w:rPr>
        <w:t>,</w:t>
      </w:r>
      <w:r w:rsidR="150E1885" w:rsidRPr="00B314C8">
        <w:rPr>
          <w:noProof/>
          <w:lang w:val="en-IE"/>
        </w:rPr>
        <w:t xml:space="preserve"> and </w:t>
      </w:r>
      <w:r w:rsidR="3941E4DC" w:rsidRPr="00B314C8">
        <w:rPr>
          <w:noProof/>
          <w:lang w:val="en-IE"/>
        </w:rPr>
        <w:t xml:space="preserve">Union </w:t>
      </w:r>
      <w:r w:rsidR="150E1885" w:rsidRPr="00B314C8">
        <w:rPr>
          <w:noProof/>
          <w:lang w:val="en-IE"/>
        </w:rPr>
        <w:t xml:space="preserve">measures implemented since the 2015 Circular Economy Action Plan, food waste generation is not </w:t>
      </w:r>
      <w:r w:rsidR="73CBCE8F" w:rsidRPr="00B314C8">
        <w:rPr>
          <w:noProof/>
          <w:lang w:val="en-IE"/>
        </w:rPr>
        <w:t xml:space="preserve">sufficiently </w:t>
      </w:r>
      <w:r w:rsidR="150E1885" w:rsidRPr="00B314C8">
        <w:rPr>
          <w:noProof/>
          <w:lang w:val="en-IE"/>
        </w:rPr>
        <w:t xml:space="preserve">decreasing to make significant progress towards </w:t>
      </w:r>
      <w:r w:rsidR="00123696" w:rsidRPr="00B314C8">
        <w:rPr>
          <w:noProof/>
          <w:lang w:val="en-IE"/>
        </w:rPr>
        <w:t xml:space="preserve">achieving </w:t>
      </w:r>
      <w:r w:rsidR="150E1885" w:rsidRPr="00B314C8">
        <w:rPr>
          <w:noProof/>
          <w:lang w:val="en-IE"/>
        </w:rPr>
        <w:t>Target 12.3</w:t>
      </w:r>
      <w:r w:rsidR="00123696" w:rsidRPr="00B314C8">
        <w:rPr>
          <w:noProof/>
          <w:lang w:val="en-IE"/>
        </w:rPr>
        <w:t xml:space="preserve"> of t</w:t>
      </w:r>
      <w:r w:rsidR="00014DDB" w:rsidRPr="00B314C8">
        <w:rPr>
          <w:noProof/>
          <w:lang w:val="en-IE"/>
        </w:rPr>
        <w:t>he UN Sustainable Development Goal (SDG) 12</w:t>
      </w:r>
      <w:r w:rsidR="150E1885" w:rsidRPr="00B314C8">
        <w:rPr>
          <w:noProof/>
          <w:lang w:val="en-IE"/>
        </w:rPr>
        <w:t xml:space="preserve">. In order to ensure significant contribution towards the attainment of </w:t>
      </w:r>
      <w:r w:rsidR="00DA5AE4" w:rsidRPr="00B314C8">
        <w:rPr>
          <w:noProof/>
          <w:lang w:val="en-IE"/>
        </w:rPr>
        <w:t>SDG Target 12.3</w:t>
      </w:r>
      <w:r w:rsidR="150E1885" w:rsidRPr="00B314C8">
        <w:rPr>
          <w:noProof/>
          <w:lang w:val="en-IE"/>
        </w:rPr>
        <w:t>, the measures to be taken by Member States should be strengthened to make progress in the implementation of this Directive and</w:t>
      </w:r>
      <w:r w:rsidR="00C770F8" w:rsidRPr="00B314C8">
        <w:rPr>
          <w:noProof/>
          <w:lang w:val="en-IE"/>
        </w:rPr>
        <w:t xml:space="preserve"> of</w:t>
      </w:r>
      <w:r w:rsidR="150E1885" w:rsidRPr="00B314C8">
        <w:rPr>
          <w:noProof/>
          <w:lang w:val="en-IE"/>
        </w:rPr>
        <w:t xml:space="preserve"> other appropriate measures to reduce food waste generation.</w:t>
      </w:r>
    </w:p>
    <w:p w14:paraId="1BC2F79C" w14:textId="333DF1B4" w:rsidR="00A41EB2" w:rsidRPr="00E50A7A" w:rsidRDefault="00384B96" w:rsidP="00384B96">
      <w:pPr>
        <w:pStyle w:val="ManualConsidrant"/>
        <w:rPr>
          <w:noProof/>
          <w:lang w:val="en-IE"/>
        </w:rPr>
      </w:pPr>
      <w:r w:rsidRPr="00384B96">
        <w:t>(9)</w:t>
      </w:r>
      <w:r w:rsidRPr="00384B96">
        <w:tab/>
      </w:r>
      <w:r w:rsidR="150E1885" w:rsidRPr="00B314C8">
        <w:rPr>
          <w:noProof/>
          <w:lang w:val="en-IE"/>
        </w:rPr>
        <w:t>In order to achieve results in the short term, and to give food business operators, consumers and public authorities the necessary perspective for the longer term, quantified targets for reduction of food waste generation, to be achieved by Member States by 2030, should be set.</w:t>
      </w:r>
    </w:p>
    <w:p w14:paraId="21A1D153" w14:textId="4802ECA9" w:rsidR="00A41EB2" w:rsidRPr="00E50A7A" w:rsidRDefault="00384B96" w:rsidP="00384B96">
      <w:pPr>
        <w:pStyle w:val="ManualConsidrant"/>
        <w:rPr>
          <w:noProof/>
          <w:lang w:val="en-IE"/>
        </w:rPr>
      </w:pPr>
      <w:r w:rsidRPr="00384B96">
        <w:t>(10)</w:t>
      </w:r>
      <w:r w:rsidRPr="00384B96">
        <w:tab/>
      </w:r>
      <w:r w:rsidR="73CBCE8F" w:rsidRPr="00B314C8">
        <w:rPr>
          <w:noProof/>
          <w:lang w:val="en-IE"/>
        </w:rPr>
        <w:t>Having regard to the U</w:t>
      </w:r>
      <w:r w:rsidR="00C770F8" w:rsidRPr="00B314C8">
        <w:rPr>
          <w:noProof/>
          <w:lang w:val="en-IE"/>
        </w:rPr>
        <w:t>nion</w:t>
      </w:r>
      <w:r w:rsidR="73CBCE8F" w:rsidRPr="00B314C8">
        <w:rPr>
          <w:noProof/>
          <w:lang w:val="en-IE"/>
        </w:rPr>
        <w:t xml:space="preserve">’s commitment to the ambition set out in </w:t>
      </w:r>
      <w:r w:rsidR="00391872" w:rsidRPr="00B314C8">
        <w:rPr>
          <w:noProof/>
          <w:lang w:val="en-IE"/>
        </w:rPr>
        <w:t xml:space="preserve">SDG </w:t>
      </w:r>
      <w:r w:rsidR="73CBCE8F" w:rsidRPr="00B314C8">
        <w:rPr>
          <w:noProof/>
          <w:lang w:val="en-IE"/>
        </w:rPr>
        <w:t>Target 12.3, the setting of food waste reduction targets to be achieved by Member States by 2030 should provide a strong policy impulse to take action and ensure a significant contribution to global targets. However, given the legally binding nature of such targets, they should be proportionate and feasible</w:t>
      </w:r>
      <w:r w:rsidR="00C25797" w:rsidRPr="00B314C8">
        <w:rPr>
          <w:noProof/>
          <w:lang w:val="en-IE"/>
        </w:rPr>
        <w:t xml:space="preserve">, </w:t>
      </w:r>
      <w:r w:rsidR="00A556BA" w:rsidRPr="00B314C8">
        <w:rPr>
          <w:noProof/>
          <w:lang w:val="en-IE"/>
        </w:rPr>
        <w:t xml:space="preserve">and take into account </w:t>
      </w:r>
      <w:r w:rsidR="00BB3ECD" w:rsidRPr="00B314C8">
        <w:rPr>
          <w:noProof/>
          <w:lang w:val="en-IE"/>
        </w:rPr>
        <w:t xml:space="preserve">the role </w:t>
      </w:r>
      <w:r w:rsidR="00F6695F" w:rsidRPr="00B314C8">
        <w:rPr>
          <w:noProof/>
          <w:lang w:val="en-IE"/>
        </w:rPr>
        <w:t>of different actors in the food supply chain as well as their</w:t>
      </w:r>
      <w:r w:rsidR="00BB3ECD" w:rsidRPr="00B314C8">
        <w:rPr>
          <w:noProof/>
          <w:lang w:val="en-IE"/>
        </w:rPr>
        <w:t xml:space="preserve"> </w:t>
      </w:r>
      <w:r w:rsidR="00ED703D" w:rsidRPr="00B314C8">
        <w:rPr>
          <w:noProof/>
          <w:lang w:val="en-IE"/>
        </w:rPr>
        <w:t>capacity</w:t>
      </w:r>
      <w:r w:rsidR="00F6695F" w:rsidRPr="00B314C8">
        <w:rPr>
          <w:noProof/>
          <w:lang w:val="en-IE"/>
        </w:rPr>
        <w:t xml:space="preserve"> </w:t>
      </w:r>
      <w:r w:rsidR="00A91FD7" w:rsidRPr="00B314C8">
        <w:rPr>
          <w:noProof/>
          <w:lang w:val="en-IE"/>
        </w:rPr>
        <w:t>(in particular micro and small enterprises)</w:t>
      </w:r>
      <w:r w:rsidR="004213D7" w:rsidRPr="00B314C8">
        <w:rPr>
          <w:noProof/>
          <w:lang w:val="en-IE"/>
        </w:rPr>
        <w:t xml:space="preserve">. </w:t>
      </w:r>
      <w:r w:rsidR="73CBCE8F" w:rsidRPr="00B314C8">
        <w:rPr>
          <w:noProof/>
          <w:lang w:val="en-IE"/>
        </w:rPr>
        <w:t>The establishment of legally binding targets should thus follow a step-wise approach, starting with a level which is lower than the one set under the SDG, with a view to ensur</w:t>
      </w:r>
      <w:r w:rsidR="00391872" w:rsidRPr="00B314C8">
        <w:rPr>
          <w:noProof/>
          <w:lang w:val="en-IE"/>
        </w:rPr>
        <w:t>ing</w:t>
      </w:r>
      <w:r w:rsidR="73CBCE8F" w:rsidRPr="00B314C8">
        <w:rPr>
          <w:noProof/>
          <w:lang w:val="en-IE"/>
        </w:rPr>
        <w:t xml:space="preserve"> a consistent response of Member States and tangible progress towards </w:t>
      </w:r>
      <w:r w:rsidR="0093504C" w:rsidRPr="00B314C8">
        <w:rPr>
          <w:noProof/>
          <w:lang w:val="en-IE"/>
        </w:rPr>
        <w:t>Target 12.3</w:t>
      </w:r>
      <w:r w:rsidR="41ACD382" w:rsidRPr="00B314C8">
        <w:rPr>
          <w:noProof/>
          <w:lang w:val="en-IE"/>
        </w:rPr>
        <w:t>.</w:t>
      </w:r>
    </w:p>
    <w:p w14:paraId="57E812BA" w14:textId="14B03C38" w:rsidR="0044258C" w:rsidRPr="00E50A7A" w:rsidRDefault="00384B96" w:rsidP="00384B96">
      <w:pPr>
        <w:pStyle w:val="ManualConsidrant"/>
        <w:rPr>
          <w:noProof/>
          <w:lang w:val="en-IE"/>
        </w:rPr>
      </w:pPr>
      <w:r w:rsidRPr="00384B96">
        <w:t>(11)</w:t>
      </w:r>
      <w:r w:rsidRPr="00384B96">
        <w:tab/>
      </w:r>
      <w:r w:rsidR="41ACD382" w:rsidRPr="00B314C8">
        <w:rPr>
          <w:noProof/>
          <w:lang w:val="en-IE"/>
        </w:rPr>
        <w:t xml:space="preserve">Reducing food waste at the production and consumption stages requires different approaches and measures and involves different stakeholder groups. Therefore, one target should be proposed for the processing and manufacturing stage and another one for </w:t>
      </w:r>
      <w:r w:rsidR="00745AFD" w:rsidRPr="00B314C8">
        <w:rPr>
          <w:noProof/>
          <w:lang w:val="en-IE"/>
        </w:rPr>
        <w:t xml:space="preserve">the </w:t>
      </w:r>
      <w:r w:rsidR="41ACD382" w:rsidRPr="00B314C8">
        <w:rPr>
          <w:noProof/>
          <w:lang w:val="en-IE"/>
        </w:rPr>
        <w:t>retail and other distribution of food, restaurants and food services and households.</w:t>
      </w:r>
    </w:p>
    <w:p w14:paraId="7D233E89" w14:textId="39DAA9C8" w:rsidR="0044258C" w:rsidRPr="00E50A7A" w:rsidRDefault="00384B96" w:rsidP="00384B96">
      <w:pPr>
        <w:pStyle w:val="ManualConsidrant"/>
        <w:rPr>
          <w:noProof/>
          <w:lang w:val="en-IE"/>
        </w:rPr>
      </w:pPr>
      <w:r w:rsidRPr="00384B96">
        <w:t>(12)</w:t>
      </w:r>
      <w:r w:rsidRPr="00384B96">
        <w:tab/>
      </w:r>
      <w:r w:rsidR="41ACD382" w:rsidRPr="00B314C8">
        <w:rPr>
          <w:noProof/>
          <w:lang w:val="en-IE"/>
        </w:rPr>
        <w:t xml:space="preserve">Bearing in mind the interdependence between the distribution and consumption stages in the food supply chain, in particular the influence of retail practices on consumer behaviour and the relation between food consumption in- and out-of-home, it is </w:t>
      </w:r>
      <w:r w:rsidR="00745AFD" w:rsidRPr="00B314C8">
        <w:rPr>
          <w:noProof/>
          <w:lang w:val="en-IE"/>
        </w:rPr>
        <w:t xml:space="preserve">advisable </w:t>
      </w:r>
      <w:r w:rsidR="41ACD382" w:rsidRPr="00B314C8">
        <w:rPr>
          <w:noProof/>
          <w:lang w:val="en-IE"/>
        </w:rPr>
        <w:t>to set up one joint target for these stages of the food supply chain. Setting separate targets for each of these stages would add unnecessary complexity and would limit Member States’ flexibility in focusing on their specific areas of concern.</w:t>
      </w:r>
      <w:r w:rsidR="0057350E" w:rsidRPr="00B314C8">
        <w:rPr>
          <w:noProof/>
          <w:lang w:val="en-IE"/>
        </w:rPr>
        <w:t xml:space="preserve"> </w:t>
      </w:r>
      <w:r w:rsidR="006C2F48" w:rsidRPr="00E50A7A">
        <w:rPr>
          <w:noProof/>
          <w:lang w:val="en-IE"/>
        </w:rPr>
        <w:t xml:space="preserve">In order to avoid that a joint target results in excessive burden on certain operators, Member States will be advised </w:t>
      </w:r>
      <w:r w:rsidR="008C0A62" w:rsidRPr="00E50A7A">
        <w:rPr>
          <w:noProof/>
          <w:lang w:val="en-IE"/>
        </w:rPr>
        <w:t xml:space="preserve">to </w:t>
      </w:r>
      <w:r w:rsidR="006C2F48" w:rsidRPr="00E50A7A">
        <w:rPr>
          <w:noProof/>
          <w:lang w:val="en-IE"/>
        </w:rPr>
        <w:t>consider the principle or proportionality in setting up measures to reach the joint target.</w:t>
      </w:r>
      <w:r w:rsidR="006C2F48" w:rsidRPr="00E50A7A">
        <w:rPr>
          <w:rStyle w:val="eop"/>
          <w:noProof/>
          <w:color w:val="000000" w:themeColor="text1"/>
          <w:lang w:val="en-IE"/>
        </w:rPr>
        <w:t> </w:t>
      </w:r>
    </w:p>
    <w:p w14:paraId="4C230D39" w14:textId="2D79EF36" w:rsidR="0044258C" w:rsidRPr="00E50A7A" w:rsidRDefault="00384B96" w:rsidP="00384B96">
      <w:pPr>
        <w:pStyle w:val="ManualConsidrant"/>
        <w:rPr>
          <w:noProof/>
          <w:lang w:val="en-IE"/>
        </w:rPr>
      </w:pPr>
      <w:r w:rsidRPr="00384B96">
        <w:t>(13)</w:t>
      </w:r>
      <w:r w:rsidRPr="00384B96">
        <w:tab/>
      </w:r>
      <w:r w:rsidR="41ACD382" w:rsidRPr="00B314C8">
        <w:rPr>
          <w:noProof/>
          <w:lang w:val="en-IE"/>
        </w:rPr>
        <w:t xml:space="preserve">Demographic changes have </w:t>
      </w:r>
      <w:r w:rsidR="002F41E3" w:rsidRPr="00B314C8">
        <w:rPr>
          <w:noProof/>
          <w:lang w:val="en-IE"/>
        </w:rPr>
        <w:t xml:space="preserve">a </w:t>
      </w:r>
      <w:r w:rsidR="41ACD382" w:rsidRPr="00B314C8">
        <w:rPr>
          <w:noProof/>
          <w:lang w:val="en-IE"/>
        </w:rPr>
        <w:t>significant impact on the amount of food consumed and food waste generated. Therefore, a joint food waste reduction target, applying to retail and other distribution of food, restaurants and food services and households, should be expressed as a percentage change in food waste levels per capita in order to take into account population changes.</w:t>
      </w:r>
      <w:r w:rsidR="004C5F0A" w:rsidRPr="00B314C8">
        <w:rPr>
          <w:noProof/>
          <w:lang w:val="en-IE"/>
        </w:rPr>
        <w:t xml:space="preserve"> </w:t>
      </w:r>
    </w:p>
    <w:p w14:paraId="77BF1C7E" w14:textId="75E00057" w:rsidR="0044258C" w:rsidRPr="00E50A7A" w:rsidRDefault="00384B96" w:rsidP="00384B96">
      <w:pPr>
        <w:pStyle w:val="ManualConsidrant"/>
        <w:rPr>
          <w:noProof/>
          <w:lang w:val="en-IE"/>
        </w:rPr>
      </w:pPr>
      <w:r w:rsidRPr="00384B96">
        <w:lastRenderedPageBreak/>
        <w:t>(14)</w:t>
      </w:r>
      <w:r w:rsidRPr="00384B96">
        <w:tab/>
      </w:r>
      <w:r w:rsidR="41ACD382" w:rsidRPr="00B314C8">
        <w:rPr>
          <w:noProof/>
          <w:lang w:val="en-IE"/>
        </w:rPr>
        <w:t xml:space="preserve">Based on </w:t>
      </w:r>
      <w:r w:rsidR="41ACD382" w:rsidRPr="00E50A7A">
        <w:rPr>
          <w:noProof/>
          <w:lang w:val="en-IE"/>
        </w:rPr>
        <w:t>the harmonised methodology set out in Commission Delegated Decision (EU) 2019/</w:t>
      </w:r>
      <w:r w:rsidR="00F2326D" w:rsidRPr="00E50A7A">
        <w:rPr>
          <w:noProof/>
          <w:lang w:val="en-IE"/>
        </w:rPr>
        <w:t>1597</w:t>
      </w:r>
      <w:r w:rsidR="00415D46">
        <w:rPr>
          <w:rStyle w:val="FootnoteReference"/>
          <w:noProof/>
          <w:lang w:val="en-IE"/>
        </w:rPr>
        <w:footnoteReference w:id="77"/>
      </w:r>
      <w:r w:rsidR="00F2326D" w:rsidRPr="00E50A7A">
        <w:rPr>
          <w:noProof/>
          <w:lang w:val="en-IE"/>
        </w:rPr>
        <w:t xml:space="preserve">, </w:t>
      </w:r>
      <w:r w:rsidR="41ACD382" w:rsidRPr="00E50A7A">
        <w:rPr>
          <w:noProof/>
          <w:lang w:val="en-IE"/>
        </w:rPr>
        <w:t>the first year for which data on food waste levels were collected was 2020. Therefore</w:t>
      </w:r>
      <w:r w:rsidR="41ACD382" w:rsidRPr="00B314C8">
        <w:rPr>
          <w:noProof/>
          <w:lang w:val="en-IE"/>
        </w:rPr>
        <w:t xml:space="preserve">, </w:t>
      </w:r>
      <w:r w:rsidR="41ACD382" w:rsidRPr="00E50A7A">
        <w:rPr>
          <w:noProof/>
          <w:lang w:val="en-IE"/>
        </w:rPr>
        <w:t>the year 2020 should be used as a baseline for setting food waste reduction targets. For Member States, which can demonstrate</w:t>
      </w:r>
      <w:r w:rsidR="73CBCE8F" w:rsidRPr="00E50A7A">
        <w:rPr>
          <w:noProof/>
          <w:lang w:val="en-IE"/>
        </w:rPr>
        <w:t xml:space="preserve"> that they performed food was</w:t>
      </w:r>
      <w:r w:rsidR="225FEA3C" w:rsidRPr="00E50A7A">
        <w:rPr>
          <w:noProof/>
          <w:lang w:val="en-IE"/>
        </w:rPr>
        <w:t>t</w:t>
      </w:r>
      <w:r w:rsidR="73CBCE8F" w:rsidRPr="00E50A7A">
        <w:rPr>
          <w:noProof/>
          <w:lang w:val="en-IE"/>
        </w:rPr>
        <w:t xml:space="preserve">e </w:t>
      </w:r>
      <w:r w:rsidR="41ACD382" w:rsidRPr="00E50A7A">
        <w:rPr>
          <w:noProof/>
          <w:lang w:val="en-IE"/>
        </w:rPr>
        <w:t>measurement</w:t>
      </w:r>
      <w:r w:rsidR="73CBCE8F" w:rsidRPr="00E50A7A">
        <w:rPr>
          <w:noProof/>
          <w:lang w:val="en-IE"/>
        </w:rPr>
        <w:t>s</w:t>
      </w:r>
      <w:r w:rsidR="41ACD382" w:rsidRPr="00E50A7A">
        <w:rPr>
          <w:noProof/>
          <w:lang w:val="en-IE"/>
        </w:rPr>
        <w:t xml:space="preserve"> before 2020, using methods consistent with Delegated Decision (EU) 2019/1597, </w:t>
      </w:r>
      <w:r w:rsidR="73CBCE8F" w:rsidRPr="00E50A7A">
        <w:rPr>
          <w:noProof/>
          <w:lang w:val="en-IE"/>
        </w:rPr>
        <w:t xml:space="preserve">the </w:t>
      </w:r>
      <w:r w:rsidR="41ACD382" w:rsidRPr="00E50A7A">
        <w:rPr>
          <w:noProof/>
          <w:lang w:val="en-IE"/>
        </w:rPr>
        <w:t>use of an earlier baseline should be allowed.</w:t>
      </w:r>
    </w:p>
    <w:p w14:paraId="79B51757" w14:textId="1464B0D1" w:rsidR="003E3DE6" w:rsidRPr="00E50A7A" w:rsidRDefault="00384B96" w:rsidP="00384B96">
      <w:pPr>
        <w:pStyle w:val="ManualConsidrant"/>
        <w:rPr>
          <w:noProof/>
          <w:lang w:val="en-IE"/>
        </w:rPr>
      </w:pPr>
      <w:r w:rsidRPr="00384B96">
        <w:t>(15)</w:t>
      </w:r>
      <w:r w:rsidRPr="00384B96">
        <w:tab/>
      </w:r>
      <w:r w:rsidR="73CBCE8F" w:rsidRPr="00E50A7A">
        <w:rPr>
          <w:noProof/>
          <w:lang w:val="en-IE"/>
        </w:rPr>
        <w:t>In order to ensure that the step-wise approach towards the achievement of the global target delivers its objectives, the levels set for the legally binding targets on reduction of food waste, should be reviewed and revised, if appropriate, to take into account the progress made by Member States over time. This would allow for a possible adjustment of the targets in view of strengthening the U</w:t>
      </w:r>
      <w:r w:rsidR="00291AB9" w:rsidRPr="00E50A7A">
        <w:rPr>
          <w:noProof/>
          <w:lang w:val="en-IE"/>
        </w:rPr>
        <w:t>nion</w:t>
      </w:r>
      <w:r w:rsidR="73CBCE8F" w:rsidRPr="00E50A7A">
        <w:rPr>
          <w:noProof/>
          <w:lang w:val="en-IE"/>
        </w:rPr>
        <w:t>’s contribution and further aligning with SDG Target 12.3</w:t>
      </w:r>
      <w:r w:rsidR="00FE54DF" w:rsidRPr="00E50A7A">
        <w:rPr>
          <w:noProof/>
          <w:lang w:val="en-IE"/>
        </w:rPr>
        <w:t>,</w:t>
      </w:r>
      <w:r w:rsidR="73CBCE8F" w:rsidRPr="00E50A7A">
        <w:rPr>
          <w:noProof/>
          <w:lang w:val="en-IE"/>
        </w:rPr>
        <w:t xml:space="preserve"> to be reached by 2030 and providing direction for further progress beyond that date.</w:t>
      </w:r>
    </w:p>
    <w:p w14:paraId="334D5154" w14:textId="2845AF59" w:rsidR="0044258C" w:rsidRPr="00E50A7A" w:rsidRDefault="00384B96" w:rsidP="00384B96">
      <w:pPr>
        <w:pStyle w:val="ManualConsidrant"/>
        <w:rPr>
          <w:noProof/>
          <w:lang w:val="en-IE"/>
        </w:rPr>
      </w:pPr>
      <w:r w:rsidRPr="00384B96">
        <w:t>(16)</w:t>
      </w:r>
      <w:r w:rsidRPr="00384B96">
        <w:tab/>
      </w:r>
      <w:r w:rsidR="41ACD382" w:rsidRPr="00E50A7A">
        <w:rPr>
          <w:noProof/>
          <w:lang w:val="en-IE"/>
        </w:rPr>
        <w:t xml:space="preserve">In order to ensure better, </w:t>
      </w:r>
      <w:r w:rsidR="009A54A7" w:rsidRPr="00E50A7A">
        <w:rPr>
          <w:noProof/>
          <w:lang w:val="en-IE"/>
        </w:rPr>
        <w:t>timelier</w:t>
      </w:r>
      <w:r w:rsidR="41ACD382" w:rsidRPr="00E50A7A">
        <w:rPr>
          <w:noProof/>
          <w:lang w:val="en-IE"/>
        </w:rPr>
        <w:t>, and more uniform implementation of the provisions related to food waste prevention</w:t>
      </w:r>
      <w:r w:rsidR="00491BCA" w:rsidRPr="00E50A7A">
        <w:rPr>
          <w:noProof/>
          <w:lang w:val="en-IE"/>
        </w:rPr>
        <w:t>,</w:t>
      </w:r>
      <w:r w:rsidR="41ACD382" w:rsidRPr="00E50A7A">
        <w:rPr>
          <w:noProof/>
          <w:lang w:val="en-IE"/>
        </w:rPr>
        <w:t xml:space="preserve"> </w:t>
      </w:r>
      <w:r w:rsidR="00491BCA" w:rsidRPr="00E50A7A">
        <w:rPr>
          <w:noProof/>
          <w:lang w:val="en-IE"/>
        </w:rPr>
        <w:t xml:space="preserve">to </w:t>
      </w:r>
      <w:r w:rsidR="41ACD382" w:rsidRPr="00E50A7A">
        <w:rPr>
          <w:noProof/>
          <w:lang w:val="en-IE"/>
        </w:rPr>
        <w:t>anticipate any implementation weaknesses</w:t>
      </w:r>
      <w:r w:rsidR="00182D28" w:rsidRPr="00E50A7A">
        <w:rPr>
          <w:noProof/>
          <w:lang w:val="en-IE"/>
        </w:rPr>
        <w:t>,</w:t>
      </w:r>
      <w:r w:rsidR="41ACD382" w:rsidRPr="00E50A7A">
        <w:rPr>
          <w:noProof/>
          <w:lang w:val="en-IE"/>
        </w:rPr>
        <w:t xml:space="preserve"> and </w:t>
      </w:r>
      <w:r w:rsidR="00182D28" w:rsidRPr="00E50A7A">
        <w:rPr>
          <w:noProof/>
          <w:lang w:val="en-IE"/>
        </w:rPr>
        <w:t xml:space="preserve">to </w:t>
      </w:r>
      <w:r w:rsidR="41ACD382" w:rsidRPr="00E50A7A">
        <w:rPr>
          <w:noProof/>
          <w:lang w:val="en-IE"/>
        </w:rPr>
        <w:t>allow taking action ahead of the deadlines for meeting the targets, the system of early warning reports</w:t>
      </w:r>
      <w:r w:rsidR="00F20BDC">
        <w:rPr>
          <w:noProof/>
          <w:lang w:val="en-IE"/>
        </w:rPr>
        <w:t>, introduced in 2018,</w:t>
      </w:r>
      <w:r w:rsidR="41ACD382" w:rsidRPr="00E50A7A">
        <w:rPr>
          <w:noProof/>
          <w:lang w:val="en-IE"/>
        </w:rPr>
        <w:t xml:space="preserve"> should be extended to cover</w:t>
      </w:r>
      <w:r w:rsidR="41ACD382" w:rsidRPr="00B314C8">
        <w:rPr>
          <w:noProof/>
          <w:lang w:val="en-IE"/>
        </w:rPr>
        <w:t xml:space="preserve"> food waste reduction targets.</w:t>
      </w:r>
    </w:p>
    <w:p w14:paraId="3835CC92" w14:textId="56AF9075" w:rsidR="0044258C" w:rsidRPr="00E50A7A" w:rsidRDefault="00384B96" w:rsidP="00384B96">
      <w:pPr>
        <w:pStyle w:val="ManualConsidrant"/>
        <w:rPr>
          <w:noProof/>
          <w:lang w:val="en-IE"/>
        </w:rPr>
      </w:pPr>
      <w:r w:rsidRPr="00384B96">
        <w:t>(17)</w:t>
      </w:r>
      <w:r w:rsidRPr="00384B96">
        <w:tab/>
      </w:r>
      <w:r w:rsidR="41ACD382" w:rsidRPr="00E50A7A">
        <w:rPr>
          <w:noProof/>
          <w:lang w:val="en-IE"/>
        </w:rPr>
        <w:t>In line with the polluter-pays principle</w:t>
      </w:r>
      <w:r w:rsidR="2EED1B6A" w:rsidRPr="00E50A7A">
        <w:rPr>
          <w:noProof/>
          <w:lang w:val="en-IE"/>
        </w:rPr>
        <w:t>, as referred to</w:t>
      </w:r>
      <w:r w:rsidR="41ACD382" w:rsidRPr="00E50A7A">
        <w:rPr>
          <w:noProof/>
          <w:lang w:val="en-IE"/>
        </w:rPr>
        <w:t xml:space="preserve"> in Article 191(2) of the Treaty</w:t>
      </w:r>
      <w:r w:rsidR="16CE10CA" w:rsidRPr="00E50A7A">
        <w:rPr>
          <w:noProof/>
          <w:lang w:val="en-IE"/>
        </w:rPr>
        <w:t xml:space="preserve"> on the Functioning of the European Union</w:t>
      </w:r>
      <w:r w:rsidR="54AB510D" w:rsidRPr="00E50A7A">
        <w:rPr>
          <w:noProof/>
          <w:lang w:val="en-IE"/>
        </w:rPr>
        <w:t xml:space="preserve"> (TFEU)</w:t>
      </w:r>
      <w:r w:rsidR="41ACD382" w:rsidRPr="00E50A7A">
        <w:rPr>
          <w:noProof/>
          <w:lang w:val="en-IE"/>
        </w:rPr>
        <w:t xml:space="preserve">, it is essential that the producers placing on the Union market </w:t>
      </w:r>
      <w:r w:rsidR="68B9E1D6" w:rsidRPr="00E50A7A">
        <w:rPr>
          <w:noProof/>
          <w:lang w:val="en-IE"/>
        </w:rPr>
        <w:t xml:space="preserve">certain </w:t>
      </w:r>
      <w:r w:rsidR="41ACD382" w:rsidRPr="00E50A7A">
        <w:rPr>
          <w:noProof/>
          <w:lang w:val="en-IE"/>
        </w:rPr>
        <w:t>textile</w:t>
      </w:r>
      <w:r w:rsidR="0FA98F40" w:rsidRPr="00E50A7A">
        <w:rPr>
          <w:noProof/>
          <w:lang w:val="en-IE"/>
        </w:rPr>
        <w:t>, textile-related</w:t>
      </w:r>
      <w:r w:rsidR="41ACD382" w:rsidRPr="00E50A7A">
        <w:rPr>
          <w:noProof/>
          <w:lang w:val="en-IE"/>
        </w:rPr>
        <w:t xml:space="preserve"> and footwear products take responsibility for their management at their end-of life as well as extending their lifetime through making </w:t>
      </w:r>
      <w:r w:rsidR="476354EA" w:rsidRPr="00E50A7A">
        <w:rPr>
          <w:noProof/>
          <w:lang w:val="en-IE"/>
        </w:rPr>
        <w:t>used</w:t>
      </w:r>
      <w:r w:rsidR="41ACD382" w:rsidRPr="00E50A7A">
        <w:rPr>
          <w:noProof/>
          <w:lang w:val="en-IE"/>
        </w:rPr>
        <w:t xml:space="preserve"> textile</w:t>
      </w:r>
      <w:r w:rsidR="73F4BA86" w:rsidRPr="00E50A7A">
        <w:rPr>
          <w:noProof/>
          <w:lang w:val="en-IE"/>
        </w:rPr>
        <w:t>, textile-related</w:t>
      </w:r>
      <w:r w:rsidR="41ACD382" w:rsidRPr="00E50A7A">
        <w:rPr>
          <w:noProof/>
          <w:lang w:val="en-IE"/>
        </w:rPr>
        <w:t xml:space="preserve"> and footwear products available on the market for re-use. To implement the polluter pays principle, it is appropriate to lay </w:t>
      </w:r>
      <w:r w:rsidR="7FD28925" w:rsidRPr="00E50A7A">
        <w:rPr>
          <w:noProof/>
          <w:lang w:val="en-IE"/>
        </w:rPr>
        <w:t xml:space="preserve">down </w:t>
      </w:r>
      <w:r w:rsidR="41ACD382" w:rsidRPr="00E50A7A">
        <w:rPr>
          <w:noProof/>
          <w:lang w:val="en-IE"/>
        </w:rPr>
        <w:t>the obligations for the management of textile</w:t>
      </w:r>
      <w:r w:rsidR="21BF2E99" w:rsidRPr="00E50A7A">
        <w:rPr>
          <w:noProof/>
          <w:lang w:val="en-IE"/>
        </w:rPr>
        <w:t>, textile-related</w:t>
      </w:r>
      <w:r w:rsidR="41ACD382" w:rsidRPr="00E50A7A">
        <w:rPr>
          <w:noProof/>
          <w:lang w:val="en-IE"/>
        </w:rPr>
        <w:t xml:space="preserve"> and footwear producers, which include any manufacturer, importer or distributor, </w:t>
      </w:r>
      <w:r w:rsidR="3479D5CD" w:rsidRPr="00E50A7A">
        <w:rPr>
          <w:noProof/>
          <w:lang w:val="en-IE"/>
        </w:rPr>
        <w:t>that</w:t>
      </w:r>
      <w:r w:rsidR="41ACD382" w:rsidRPr="00E50A7A">
        <w:rPr>
          <w:noProof/>
          <w:lang w:val="en-IE"/>
        </w:rPr>
        <w:t>, irrespective of the selling technique used, including by means of distance contracts as defined in Article 2</w:t>
      </w:r>
      <w:r w:rsidR="600A542F" w:rsidRPr="00E50A7A">
        <w:rPr>
          <w:noProof/>
          <w:lang w:val="en-IE"/>
        </w:rPr>
        <w:t xml:space="preserve">, point </w:t>
      </w:r>
      <w:r w:rsidR="41ACD382" w:rsidRPr="00E50A7A">
        <w:rPr>
          <w:noProof/>
          <w:lang w:val="en-IE"/>
        </w:rPr>
        <w:t>(7)</w:t>
      </w:r>
      <w:r w:rsidR="028925AF" w:rsidRPr="00E50A7A">
        <w:rPr>
          <w:noProof/>
          <w:lang w:val="en-IE"/>
        </w:rPr>
        <w:t>,</w:t>
      </w:r>
      <w:r w:rsidR="41ACD382" w:rsidRPr="00E50A7A">
        <w:rPr>
          <w:noProof/>
          <w:lang w:val="en-IE"/>
        </w:rPr>
        <w:t xml:space="preserve"> of Directive 2011/83/EU of the European Parliament and of the Council</w:t>
      </w:r>
      <w:r w:rsidR="0074680C" w:rsidRPr="00E50A7A">
        <w:rPr>
          <w:rStyle w:val="FootnoteReference"/>
          <w:noProof/>
          <w:lang w:val="en-IE"/>
        </w:rPr>
        <w:footnoteReference w:id="78"/>
      </w:r>
      <w:r w:rsidR="41ACD382" w:rsidRPr="00E50A7A">
        <w:rPr>
          <w:noProof/>
          <w:lang w:val="en-IE"/>
        </w:rPr>
        <w:t xml:space="preserve">, makes available those products </w:t>
      </w:r>
      <w:r w:rsidR="00B36661" w:rsidRPr="00E50A7A">
        <w:rPr>
          <w:noProof/>
          <w:lang w:val="en-IE"/>
        </w:rPr>
        <w:t xml:space="preserve">on the market </w:t>
      </w:r>
      <w:r w:rsidR="41ACD382" w:rsidRPr="00E50A7A">
        <w:rPr>
          <w:noProof/>
          <w:lang w:val="en-IE"/>
        </w:rPr>
        <w:t xml:space="preserve">for the first time within a territory of a Member States on a professional basis under its own name or trademark. The scope of the producers covered by the extended producer responsibility should exclude micro enterprises </w:t>
      </w:r>
      <w:r w:rsidR="1BF22920" w:rsidRPr="00E50A7A">
        <w:rPr>
          <w:noProof/>
          <w:lang w:val="en-IE"/>
        </w:rPr>
        <w:t xml:space="preserve">and self-employed tailors producing customised products </w:t>
      </w:r>
      <w:r w:rsidR="41ACD382" w:rsidRPr="00E50A7A">
        <w:rPr>
          <w:noProof/>
          <w:lang w:val="en-IE"/>
        </w:rPr>
        <w:t xml:space="preserve">in view of their reduced role in the textile market as well as </w:t>
      </w:r>
      <w:r w:rsidR="01B73A05" w:rsidRPr="00E50A7A">
        <w:rPr>
          <w:noProof/>
          <w:lang w:val="en-IE"/>
        </w:rPr>
        <w:t>those</w:t>
      </w:r>
      <w:r w:rsidR="41ACD382" w:rsidRPr="00E50A7A">
        <w:rPr>
          <w:noProof/>
          <w:lang w:val="en-IE"/>
        </w:rPr>
        <w:t xml:space="preserve"> placing on the market used textiles</w:t>
      </w:r>
      <w:r w:rsidR="730C297B" w:rsidRPr="00E50A7A">
        <w:rPr>
          <w:noProof/>
          <w:lang w:val="en-IE"/>
        </w:rPr>
        <w:t>, textile-related and footwear products</w:t>
      </w:r>
      <w:r w:rsidR="48378A31" w:rsidRPr="00E50A7A">
        <w:rPr>
          <w:noProof/>
          <w:lang w:val="en-IE"/>
        </w:rPr>
        <w:t xml:space="preserve"> or </w:t>
      </w:r>
      <w:r w:rsidR="67BAF67C" w:rsidRPr="00E50A7A">
        <w:rPr>
          <w:noProof/>
          <w:lang w:val="en-IE"/>
        </w:rPr>
        <w:t>such products derived from used or waste of those products</w:t>
      </w:r>
      <w:r w:rsidR="41ACD382" w:rsidRPr="00E50A7A">
        <w:rPr>
          <w:noProof/>
          <w:lang w:val="en-IE"/>
        </w:rPr>
        <w:t xml:space="preserve"> in view of supporting re-use</w:t>
      </w:r>
      <w:r w:rsidR="488092B4" w:rsidRPr="00E50A7A">
        <w:rPr>
          <w:noProof/>
          <w:lang w:val="en-IE"/>
        </w:rPr>
        <w:t>, including through repair, refurbishment</w:t>
      </w:r>
      <w:r w:rsidR="75A0D4C1" w:rsidRPr="00E50A7A">
        <w:rPr>
          <w:noProof/>
          <w:lang w:val="en-IE"/>
        </w:rPr>
        <w:t xml:space="preserve"> and upcycling whereby certain functionalities of the original product is changed,</w:t>
      </w:r>
      <w:r w:rsidR="41ACD382" w:rsidRPr="00E50A7A">
        <w:rPr>
          <w:noProof/>
          <w:lang w:val="en-IE"/>
        </w:rPr>
        <w:t xml:space="preserve"> within the Union.</w:t>
      </w:r>
    </w:p>
    <w:p w14:paraId="02F5DAB4" w14:textId="793739C1" w:rsidR="0044258C" w:rsidRPr="00E50A7A" w:rsidRDefault="00384B96" w:rsidP="00384B96">
      <w:pPr>
        <w:pStyle w:val="ManualConsidrant"/>
        <w:rPr>
          <w:noProof/>
          <w:lang w:val="en-IE"/>
        </w:rPr>
      </w:pPr>
      <w:r w:rsidRPr="00384B96">
        <w:t>(18)</w:t>
      </w:r>
      <w:r w:rsidRPr="00384B96">
        <w:tab/>
      </w:r>
      <w:r w:rsidR="41ACD382" w:rsidRPr="00E50A7A">
        <w:rPr>
          <w:noProof/>
          <w:lang w:val="en-IE"/>
        </w:rPr>
        <w:t xml:space="preserve">There are wide disparities in the way separate collection of textiles are or are planned to be set up, whether through extended producer responsibility schemes or other approaches. Where extended producer responsibility schemes are considered, there are also broad disparities, such as on the products in their scope and the responsibility of producers as well as governance models. The rules on extended producer responsibility </w:t>
      </w:r>
      <w:r w:rsidR="41ACD382" w:rsidRPr="00E50A7A">
        <w:rPr>
          <w:noProof/>
          <w:lang w:val="en-IE"/>
        </w:rPr>
        <w:lastRenderedPageBreak/>
        <w:t>laid down in Directive 2008/98/EC should therefore in general apply to extended producer responsibility schemes for producers of textile</w:t>
      </w:r>
      <w:r w:rsidR="41785BB0" w:rsidRPr="00E50A7A">
        <w:rPr>
          <w:noProof/>
          <w:lang w:val="en-IE"/>
        </w:rPr>
        <w:t>, textile-related</w:t>
      </w:r>
      <w:r w:rsidR="41ACD382" w:rsidRPr="00E50A7A">
        <w:rPr>
          <w:noProof/>
          <w:lang w:val="en-IE"/>
        </w:rPr>
        <w:t xml:space="preserve"> and footwear products. However, they should be complemented by further specific provisions relevant for the textile sector characteristics, in particular, the high share of </w:t>
      </w:r>
      <w:r w:rsidR="25C99A42" w:rsidRPr="00E50A7A">
        <w:rPr>
          <w:noProof/>
          <w:lang w:val="en-IE"/>
        </w:rPr>
        <w:t>small and medium-sized enterprises (</w:t>
      </w:r>
      <w:r w:rsidR="41ACD382" w:rsidRPr="00E50A7A">
        <w:rPr>
          <w:noProof/>
          <w:lang w:val="en-IE"/>
        </w:rPr>
        <w:t>SMEs</w:t>
      </w:r>
      <w:r w:rsidR="6453AE60" w:rsidRPr="00E50A7A">
        <w:rPr>
          <w:noProof/>
          <w:lang w:val="en-IE"/>
        </w:rPr>
        <w:t>)</w:t>
      </w:r>
      <w:r w:rsidR="41ACD382" w:rsidRPr="00E50A7A">
        <w:rPr>
          <w:noProof/>
          <w:lang w:val="en-IE"/>
        </w:rPr>
        <w:t xml:space="preserve"> among the producers, the role of social enterprises and the importance of re-use in increasing the sustainability of the textile value chain. They should also be more detailed and harmonised to avoid creating a fragmented market that could have a negative impact on the sector, particularly on micro enterprises and SMEs, for the collection, treatment and recycling, as well as to provide clear incentives for sustainable textile product design and policies and facilitate the markets of secondary raw materials.</w:t>
      </w:r>
      <w:r w:rsidR="415A98DD" w:rsidRPr="00E50A7A">
        <w:rPr>
          <w:noProof/>
          <w:lang w:val="en-IE"/>
        </w:rPr>
        <w:t xml:space="preserve"> In this context, Member States are encouraged to consider authorising multiple producer responsibility organisations as competition among such producer responsibility organisations may lead to greater consumer benefits, increase innovation, lower costs, improve collection rates, and increase choices for producers seeking to contract with such organisations.</w:t>
      </w:r>
    </w:p>
    <w:p w14:paraId="2CD3E0D1" w14:textId="42E57E9E" w:rsidR="0044258C" w:rsidRDefault="00384B96" w:rsidP="00384B96">
      <w:pPr>
        <w:pStyle w:val="ManualConsidrant"/>
        <w:rPr>
          <w:noProof/>
          <w:lang w:val="en-IE"/>
        </w:rPr>
      </w:pPr>
      <w:r w:rsidRPr="00384B96">
        <w:t>(19)</w:t>
      </w:r>
      <w:r w:rsidRPr="00384B96">
        <w:tab/>
      </w:r>
      <w:r w:rsidR="41ACD382" w:rsidRPr="00E50A7A">
        <w:rPr>
          <w:noProof/>
          <w:lang w:val="en-IE"/>
        </w:rPr>
        <w:t>The household textile and apparel clothing comprise the largest share of Union tex</w:t>
      </w:r>
      <w:r w:rsidR="10BDD227" w:rsidRPr="00E50A7A">
        <w:rPr>
          <w:noProof/>
          <w:lang w:val="en-IE"/>
        </w:rPr>
        <w:t>t</w:t>
      </w:r>
      <w:r w:rsidR="41ACD382" w:rsidRPr="00E50A7A">
        <w:rPr>
          <w:noProof/>
          <w:lang w:val="en-IE"/>
        </w:rPr>
        <w:t>ile consumption and the biggest contributor to unsustainable patterns of over production and overconsumption. Household textiles and apparel are also the focus of all existing separate collection systems in Member States along with other post-consumer apparel and accessories and footwear that are not primarily composed of textiles. Therefore, the scope of the established extended producer responsibility scheme should cover household textile products and other articles of apparel, clothing accessories and footwear. In order to ensure the legal certainty for the producers on the products subject to the extended producer responsibili</w:t>
      </w:r>
      <w:r w:rsidR="4967A0DD" w:rsidRPr="00E50A7A">
        <w:rPr>
          <w:noProof/>
          <w:lang w:val="en-IE"/>
        </w:rPr>
        <w:t>t</w:t>
      </w:r>
      <w:r w:rsidR="41ACD382" w:rsidRPr="00E50A7A">
        <w:rPr>
          <w:noProof/>
          <w:lang w:val="en-IE"/>
        </w:rPr>
        <w:t xml:space="preserve">y, the products in scope should be identified by reference to the </w:t>
      </w:r>
      <w:r w:rsidR="003031FF" w:rsidRPr="00E50A7A">
        <w:rPr>
          <w:noProof/>
          <w:lang w:val="en-IE"/>
        </w:rPr>
        <w:t>C</w:t>
      </w:r>
      <w:r w:rsidR="00BE31BA" w:rsidRPr="00E50A7A">
        <w:rPr>
          <w:noProof/>
          <w:lang w:val="en-IE"/>
        </w:rPr>
        <w:t xml:space="preserve">ombined </w:t>
      </w:r>
      <w:r w:rsidR="003031FF" w:rsidRPr="00E50A7A">
        <w:rPr>
          <w:noProof/>
          <w:lang w:val="en-IE"/>
        </w:rPr>
        <w:t>N</w:t>
      </w:r>
      <w:r w:rsidR="41ACD382" w:rsidRPr="00E50A7A">
        <w:rPr>
          <w:noProof/>
          <w:lang w:val="en-IE"/>
        </w:rPr>
        <w:t>omencla</w:t>
      </w:r>
      <w:r w:rsidR="7432F28E" w:rsidRPr="00E50A7A">
        <w:rPr>
          <w:noProof/>
          <w:lang w:val="en-IE"/>
        </w:rPr>
        <w:t>t</w:t>
      </w:r>
      <w:r w:rsidR="41ACD382" w:rsidRPr="00E50A7A">
        <w:rPr>
          <w:noProof/>
          <w:lang w:val="en-IE"/>
        </w:rPr>
        <w:t>ure codes pursuan</w:t>
      </w:r>
      <w:r w:rsidR="7EFAC4E0" w:rsidRPr="00E50A7A">
        <w:rPr>
          <w:noProof/>
          <w:lang w:val="en-IE"/>
        </w:rPr>
        <w:t>t</w:t>
      </w:r>
      <w:r w:rsidR="41ACD382" w:rsidRPr="00E50A7A">
        <w:rPr>
          <w:noProof/>
          <w:lang w:val="en-IE"/>
        </w:rPr>
        <w:t xml:space="preserve"> to </w:t>
      </w:r>
      <w:r w:rsidR="0071582D" w:rsidRPr="00E50A7A">
        <w:rPr>
          <w:noProof/>
          <w:lang w:val="en-IE"/>
        </w:rPr>
        <w:t xml:space="preserve">Annex I to </w:t>
      </w:r>
      <w:r w:rsidR="41ACD382" w:rsidRPr="00E50A7A">
        <w:rPr>
          <w:noProof/>
          <w:lang w:val="en-IE"/>
        </w:rPr>
        <w:t>Council Regulation (EEC) No 2658/87</w:t>
      </w:r>
      <w:r w:rsidR="0074680C" w:rsidRPr="00E50A7A">
        <w:rPr>
          <w:rStyle w:val="FootnoteReference"/>
          <w:noProof/>
          <w:lang w:val="en-IE"/>
        </w:rPr>
        <w:footnoteReference w:id="79"/>
      </w:r>
      <w:r w:rsidR="41ACD382" w:rsidRPr="00E50A7A">
        <w:rPr>
          <w:noProof/>
          <w:lang w:val="en-IE"/>
        </w:rPr>
        <w:t xml:space="preserve">. </w:t>
      </w:r>
    </w:p>
    <w:p w14:paraId="7C88D0BB" w14:textId="42BF607D" w:rsidR="00F20BDC" w:rsidRPr="00E50A7A" w:rsidRDefault="00384B96" w:rsidP="00384B96">
      <w:pPr>
        <w:pStyle w:val="ManualConsidrant"/>
        <w:rPr>
          <w:noProof/>
          <w:lang w:val="en-IE"/>
        </w:rPr>
      </w:pPr>
      <w:r w:rsidRPr="00384B96">
        <w:t>(20)</w:t>
      </w:r>
      <w:r w:rsidRPr="00384B96">
        <w:tab/>
      </w:r>
      <w:r w:rsidR="00F20BDC" w:rsidRPr="005B1356">
        <w:rPr>
          <w:noProof/>
          <w:lang w:val="en-IE"/>
        </w:rPr>
        <w:t>The textile sector is resource intensive. While, in relation to both the production of raw materials and textiles, most of the pressures and impacts related to the consumption of clothing, footwear and household textiles in the Union occur in third countries, they also affect the Union due to their global impact on climate and the environment. Therefore, preventing, preparing for re-use and recycling textile waste can help reduce the global environmental footprint of the sector, including in the Union. In addition, the current resource-inefficient waste management of textile waste is not in line with the waste hierarchy and leads to environmental harm both in the Union and in third countries, including through greenhouse gas emissions from incineration and landfilling</w:t>
      </w:r>
      <w:r w:rsidR="00F20BDC">
        <w:rPr>
          <w:noProof/>
          <w:lang w:val="en-IE"/>
        </w:rPr>
        <w:t>.</w:t>
      </w:r>
    </w:p>
    <w:p w14:paraId="576478F6" w14:textId="6A54654E" w:rsidR="0044258C" w:rsidRPr="00E50A7A" w:rsidRDefault="00384B96" w:rsidP="00384B96">
      <w:pPr>
        <w:pStyle w:val="ManualConsidrant"/>
        <w:rPr>
          <w:noProof/>
          <w:lang w:val="en-IE"/>
        </w:rPr>
      </w:pPr>
      <w:r w:rsidRPr="00384B96">
        <w:t>(21)</w:t>
      </w:r>
      <w:r w:rsidRPr="00384B96">
        <w:tab/>
      </w:r>
      <w:r w:rsidR="41ACD382" w:rsidRPr="00E50A7A">
        <w:rPr>
          <w:noProof/>
          <w:lang w:val="en-IE"/>
        </w:rPr>
        <w:t>The purpose of the extended producer responsibility for textiles</w:t>
      </w:r>
      <w:r w:rsidR="008333A8">
        <w:rPr>
          <w:noProof/>
          <w:lang w:val="en-IE"/>
        </w:rPr>
        <w:t>, textile-related</w:t>
      </w:r>
      <w:r w:rsidR="41ACD382" w:rsidRPr="00E50A7A">
        <w:rPr>
          <w:noProof/>
          <w:lang w:val="en-IE"/>
        </w:rPr>
        <w:t xml:space="preserve"> and footwear products is to ensure a high level of environmental and health protection in the Union, create an economy for collection, sorting, re</w:t>
      </w:r>
      <w:r w:rsidR="3B18BBC9" w:rsidRPr="00E50A7A">
        <w:rPr>
          <w:noProof/>
          <w:lang w:val="en-IE"/>
        </w:rPr>
        <w:t>-</w:t>
      </w:r>
      <w:r w:rsidR="41ACD382" w:rsidRPr="00E50A7A">
        <w:rPr>
          <w:noProof/>
          <w:lang w:val="en-IE"/>
        </w:rPr>
        <w:t>use, preparation for re</w:t>
      </w:r>
      <w:r w:rsidR="76A3AD86" w:rsidRPr="00E50A7A">
        <w:rPr>
          <w:noProof/>
          <w:lang w:val="en-IE"/>
        </w:rPr>
        <w:t>-</w:t>
      </w:r>
      <w:r w:rsidR="41ACD382" w:rsidRPr="00E50A7A">
        <w:rPr>
          <w:noProof/>
          <w:lang w:val="en-IE"/>
        </w:rPr>
        <w:t>use and recycling,</w:t>
      </w:r>
      <w:r w:rsidR="002D162B">
        <w:rPr>
          <w:noProof/>
          <w:lang w:val="en-IE"/>
        </w:rPr>
        <w:t xml:space="preserve"> in particular, fibre-to-fibre recycling,</w:t>
      </w:r>
      <w:r w:rsidR="41ACD382" w:rsidRPr="00E50A7A">
        <w:rPr>
          <w:noProof/>
          <w:lang w:val="en-IE"/>
        </w:rPr>
        <w:t xml:space="preserve"> as well as incentives for producers to ensure that their products are designed in respect of circularity principles. The producers of textiles and footwear should finance the costs of collecting, sorting for re-use, prepar</w:t>
      </w:r>
      <w:r w:rsidR="008333A8">
        <w:rPr>
          <w:noProof/>
          <w:lang w:val="en-IE"/>
        </w:rPr>
        <w:t>ing</w:t>
      </w:r>
      <w:r w:rsidR="41ACD382" w:rsidRPr="00E50A7A">
        <w:rPr>
          <w:noProof/>
          <w:lang w:val="en-IE"/>
        </w:rPr>
        <w:t xml:space="preserve"> for re-use and recycling, </w:t>
      </w:r>
      <w:r w:rsidR="41ACD382" w:rsidRPr="00E50A7A">
        <w:rPr>
          <w:rFonts w:eastAsia="Times New Roman"/>
          <w:noProof/>
          <w:lang w:val="en-IE"/>
        </w:rPr>
        <w:t xml:space="preserve">and of the </w:t>
      </w:r>
      <w:r w:rsidR="41ACD382" w:rsidRPr="00E50A7A">
        <w:rPr>
          <w:noProof/>
          <w:lang w:val="en-IE"/>
        </w:rPr>
        <w:t xml:space="preserve">recycling and other treatment of collected used and waste textiles and footwear, </w:t>
      </w:r>
      <w:r w:rsidR="41ACD382" w:rsidRPr="00E50A7A">
        <w:rPr>
          <w:rFonts w:eastAsia="Times New Roman"/>
          <w:noProof/>
          <w:lang w:val="en-IE"/>
        </w:rPr>
        <w:t xml:space="preserve">including unsold consumer products </w:t>
      </w:r>
      <w:r w:rsidR="008333A8">
        <w:rPr>
          <w:rFonts w:eastAsia="Times New Roman"/>
          <w:noProof/>
          <w:lang w:val="en-IE"/>
        </w:rPr>
        <w:t>considered</w:t>
      </w:r>
      <w:r w:rsidR="41ACD382" w:rsidRPr="00E50A7A">
        <w:rPr>
          <w:rFonts w:eastAsia="Times New Roman"/>
          <w:noProof/>
          <w:lang w:val="en-IE"/>
        </w:rPr>
        <w:t xml:space="preserve"> waste</w:t>
      </w:r>
      <w:r w:rsidR="605AE54F" w:rsidRPr="00E50A7A">
        <w:rPr>
          <w:rFonts w:eastAsia="Times New Roman"/>
          <w:noProof/>
          <w:lang w:val="en-IE"/>
        </w:rPr>
        <w:t xml:space="preserve"> that were supplied on the territory of the Member States after the entry into force of this amending Directive</w:t>
      </w:r>
      <w:r w:rsidR="00CB12C5">
        <w:rPr>
          <w:rFonts w:eastAsia="Times New Roman"/>
          <w:noProof/>
          <w:lang w:val="en-IE"/>
        </w:rPr>
        <w:t xml:space="preserve"> to ensure that the extended producer responsibility obligations do not apply retroactively</w:t>
      </w:r>
      <w:r w:rsidR="00262495">
        <w:rPr>
          <w:rFonts w:eastAsia="Times New Roman"/>
          <w:noProof/>
          <w:lang w:val="en-IE"/>
        </w:rPr>
        <w:t xml:space="preserve"> and comply with the principle of legal certainty</w:t>
      </w:r>
      <w:r w:rsidR="1BD39BDC" w:rsidRPr="00E50A7A">
        <w:rPr>
          <w:rFonts w:eastAsia="Times New Roman"/>
          <w:noProof/>
          <w:lang w:val="en-IE"/>
        </w:rPr>
        <w:t>.</w:t>
      </w:r>
      <w:r w:rsidR="41ACD382" w:rsidRPr="00E50A7A">
        <w:rPr>
          <w:rFonts w:eastAsia="Times New Roman"/>
          <w:noProof/>
          <w:lang w:val="en-IE"/>
        </w:rPr>
        <w:t xml:space="preserve"> Those producers should also finance the costs of</w:t>
      </w:r>
      <w:r w:rsidR="41ACD382" w:rsidRPr="00E50A7A">
        <w:rPr>
          <w:noProof/>
          <w:lang w:val="en-IE"/>
        </w:rPr>
        <w:t xml:space="preserve"> carrying out compositional surveys of </w:t>
      </w:r>
      <w:r w:rsidR="41ACD382" w:rsidRPr="00E50A7A">
        <w:rPr>
          <w:noProof/>
          <w:lang w:val="en-IE"/>
        </w:rPr>
        <w:lastRenderedPageBreak/>
        <w:t>mixed collected municipal waste, support to research and development in sorting and recycling technologies, reporting on separate collection, re-use and other treatment and of providing information to end-users about the impact and sustainable management of textiles.</w:t>
      </w:r>
    </w:p>
    <w:p w14:paraId="44814757" w14:textId="2BE77A87" w:rsidR="0044258C" w:rsidRPr="00E50A7A" w:rsidRDefault="00384B96" w:rsidP="00384B96">
      <w:pPr>
        <w:pStyle w:val="ManualConsidrant"/>
        <w:rPr>
          <w:rFonts w:eastAsia="Calibri"/>
          <w:noProof/>
          <w:lang w:val="en-IE"/>
        </w:rPr>
      </w:pPr>
      <w:r w:rsidRPr="00384B96">
        <w:t>(22)</w:t>
      </w:r>
      <w:r w:rsidRPr="00384B96">
        <w:tab/>
      </w:r>
      <w:r w:rsidR="41ACD382" w:rsidRPr="00E50A7A">
        <w:rPr>
          <w:noProof/>
          <w:lang w:val="en-IE"/>
        </w:rPr>
        <w:t xml:space="preserve">Producers should be responsible for setting up collection </w:t>
      </w:r>
      <w:r w:rsidR="040D6795" w:rsidRPr="00E50A7A">
        <w:rPr>
          <w:noProof/>
          <w:lang w:val="en-IE"/>
        </w:rPr>
        <w:t>systems for the collection of all</w:t>
      </w:r>
      <w:r w:rsidR="41ACD382" w:rsidRPr="00E50A7A">
        <w:rPr>
          <w:noProof/>
          <w:lang w:val="en-IE"/>
        </w:rPr>
        <w:t xml:space="preserve"> used and waste textiles</w:t>
      </w:r>
      <w:r w:rsidR="6B0112AE" w:rsidRPr="00E50A7A">
        <w:rPr>
          <w:noProof/>
          <w:lang w:val="en-IE"/>
        </w:rPr>
        <w:t>, textile-related</w:t>
      </w:r>
      <w:r w:rsidR="41ACD382" w:rsidRPr="00E50A7A">
        <w:rPr>
          <w:noProof/>
          <w:lang w:val="en-IE"/>
        </w:rPr>
        <w:t xml:space="preserve"> and footwear products and ensuring that </w:t>
      </w:r>
      <w:r w:rsidR="5A58FAF4" w:rsidRPr="00E50A7A">
        <w:rPr>
          <w:noProof/>
          <w:lang w:val="en-IE"/>
        </w:rPr>
        <w:t>they are subsequently</w:t>
      </w:r>
      <w:r w:rsidR="41ACD382" w:rsidRPr="00E50A7A">
        <w:rPr>
          <w:noProof/>
          <w:lang w:val="en-IE"/>
        </w:rPr>
        <w:t xml:space="preserve"> subject to sorting for re-use, preparation for re-use and recycling to maximise the availability of second-hand clothing and footwear and reduce the volumes for types of waste treatment that are lower in the waste hierarchy. E</w:t>
      </w:r>
      <w:r w:rsidR="496B4524" w:rsidRPr="00E50A7A">
        <w:rPr>
          <w:noProof/>
          <w:lang w:val="en-IE"/>
        </w:rPr>
        <w:t xml:space="preserve">nsuring that </w:t>
      </w:r>
      <w:r w:rsidR="41ACD382" w:rsidRPr="00E50A7A">
        <w:rPr>
          <w:noProof/>
          <w:lang w:val="en-IE"/>
        </w:rPr>
        <w:t xml:space="preserve">textile products </w:t>
      </w:r>
      <w:r w:rsidR="496B4524" w:rsidRPr="00E50A7A">
        <w:rPr>
          <w:noProof/>
          <w:lang w:val="en-IE"/>
        </w:rPr>
        <w:t>can be and are used and re</w:t>
      </w:r>
      <w:r w:rsidR="199DB965" w:rsidRPr="00E50A7A">
        <w:rPr>
          <w:noProof/>
          <w:lang w:val="en-IE"/>
        </w:rPr>
        <w:t>-</w:t>
      </w:r>
      <w:r w:rsidR="496B4524" w:rsidRPr="00E50A7A">
        <w:rPr>
          <w:noProof/>
          <w:lang w:val="en-IE"/>
        </w:rPr>
        <w:t xml:space="preserve">used </w:t>
      </w:r>
      <w:r w:rsidR="1416533C" w:rsidRPr="00E50A7A">
        <w:rPr>
          <w:noProof/>
          <w:lang w:val="en-IE"/>
        </w:rPr>
        <w:t>for</w:t>
      </w:r>
      <w:r w:rsidR="496B4524" w:rsidRPr="00E50A7A">
        <w:rPr>
          <w:noProof/>
          <w:lang w:val="en-IE"/>
        </w:rPr>
        <w:t xml:space="preserve"> longer </w:t>
      </w:r>
      <w:r w:rsidR="41ACD382" w:rsidRPr="00E50A7A">
        <w:rPr>
          <w:noProof/>
          <w:lang w:val="en-IE"/>
        </w:rPr>
        <w:t>is the most effective way of significantly reducing their impact on the climate and the environment. This should also enable sustainable and circular business models such as re</w:t>
      </w:r>
      <w:r w:rsidR="65E40D7A" w:rsidRPr="00E50A7A">
        <w:rPr>
          <w:noProof/>
          <w:lang w:val="en-IE"/>
        </w:rPr>
        <w:t>-</w:t>
      </w:r>
      <w:r w:rsidR="41ACD382" w:rsidRPr="00E50A7A">
        <w:rPr>
          <w:noProof/>
          <w:lang w:val="en-IE"/>
        </w:rPr>
        <w:t xml:space="preserve">use, renting and repair, take-back services and second-hand retail creating new green </w:t>
      </w:r>
      <w:r w:rsidR="000E18DA">
        <w:rPr>
          <w:noProof/>
          <w:lang w:val="en-IE"/>
        </w:rPr>
        <w:t xml:space="preserve">quality </w:t>
      </w:r>
      <w:r w:rsidR="41ACD382" w:rsidRPr="00E50A7A">
        <w:rPr>
          <w:noProof/>
          <w:lang w:val="en-IE"/>
        </w:rPr>
        <w:t>jobs and cost-saving opportunities to citizens. Making producers responsible for the waste that their products create is essential to decouple textile waste generation from the growth of the sector.</w:t>
      </w:r>
      <w:r w:rsidR="040D6795" w:rsidRPr="00E50A7A">
        <w:rPr>
          <w:noProof/>
          <w:lang w:val="en-IE"/>
        </w:rPr>
        <w:t xml:space="preserve"> Therefore, the producers should also be responsible for the recycling, in particu</w:t>
      </w:r>
      <w:r w:rsidR="14835211" w:rsidRPr="00E50A7A">
        <w:rPr>
          <w:noProof/>
          <w:lang w:val="en-IE"/>
        </w:rPr>
        <w:t>lar</w:t>
      </w:r>
      <w:r w:rsidR="040D6795" w:rsidRPr="00E50A7A">
        <w:rPr>
          <w:noProof/>
          <w:lang w:val="en-IE"/>
        </w:rPr>
        <w:t>, prioritising the scaling up of fibre-to-fibre recycling, and other recovery operations and disposal.</w:t>
      </w:r>
    </w:p>
    <w:p w14:paraId="2E9AA382" w14:textId="3F0E8A96" w:rsidR="0044258C" w:rsidRPr="00E50A7A" w:rsidRDefault="00384B96" w:rsidP="00384B96">
      <w:pPr>
        <w:pStyle w:val="ManualConsidrant"/>
        <w:rPr>
          <w:noProof/>
          <w:lang w:val="en-IE"/>
        </w:rPr>
      </w:pPr>
      <w:r w:rsidRPr="00384B96">
        <w:t>(23)</w:t>
      </w:r>
      <w:r w:rsidRPr="00384B96">
        <w:tab/>
      </w:r>
      <w:r w:rsidR="41ACD382" w:rsidRPr="00E50A7A">
        <w:rPr>
          <w:noProof/>
          <w:lang w:val="en-IE"/>
        </w:rPr>
        <w:t xml:space="preserve">Producers and producer responsibility organisations should finance the scaling up of textile recycling, in particular, fibre-to-fibre recycling enabling the recycling of a broader variety materials and creating a source of raw materials for textile production in </w:t>
      </w:r>
      <w:r w:rsidR="7C662CF7" w:rsidRPr="00E50A7A">
        <w:rPr>
          <w:noProof/>
          <w:lang w:val="en-IE"/>
        </w:rPr>
        <w:t>the Union</w:t>
      </w:r>
      <w:r w:rsidR="41ACD382" w:rsidRPr="00E50A7A">
        <w:rPr>
          <w:noProof/>
          <w:lang w:val="en-IE"/>
        </w:rPr>
        <w:t xml:space="preserve">. It is </w:t>
      </w:r>
      <w:r w:rsidR="136C446E" w:rsidRPr="00E50A7A">
        <w:rPr>
          <w:noProof/>
          <w:lang w:val="en-IE"/>
        </w:rPr>
        <w:t xml:space="preserve">also </w:t>
      </w:r>
      <w:r w:rsidR="41ACD382" w:rsidRPr="00E50A7A">
        <w:rPr>
          <w:noProof/>
          <w:lang w:val="en-IE"/>
        </w:rPr>
        <w:t xml:space="preserve">important that the producers support financially research and innovation into technological developments in automatic sorting and composition sorting solutions that allow the separation and recycling of mixed materials and the decontamination of the waste to enable high-quality fibre-to-fibre recycling solutions and the uptake of recycled fibre content. </w:t>
      </w:r>
      <w:r w:rsidR="00D20AE4" w:rsidRPr="00D20AE4">
        <w:rPr>
          <w:noProof/>
          <w:szCs w:val="24"/>
          <w:lang w:val="en-IE"/>
        </w:rPr>
        <w:t xml:space="preserve">To facilitate compliance with this Directive, Member States should ensure that information and assistance are available to economic operators from the textile sector, especially small and medium enterprises, which </w:t>
      </w:r>
      <w:r w:rsidR="000A58C2">
        <w:rPr>
          <w:noProof/>
          <w:szCs w:val="24"/>
          <w:lang w:val="en-IE"/>
        </w:rPr>
        <w:t>should</w:t>
      </w:r>
      <w:r w:rsidR="00D20AE4" w:rsidRPr="00D20AE4">
        <w:rPr>
          <w:noProof/>
          <w:szCs w:val="24"/>
          <w:lang w:val="en-IE"/>
        </w:rPr>
        <w:t xml:space="preserve"> take the form of guidance, financial support, access to finance, specialised management and staff training material, or organisational and technical assistance.</w:t>
      </w:r>
      <w:r w:rsidR="00D20AE4" w:rsidRPr="00815230">
        <w:rPr>
          <w:rFonts w:ascii="Arial" w:hAnsi="Arial" w:cs="Arial"/>
          <w:noProof/>
          <w:sz w:val="20"/>
          <w:szCs w:val="20"/>
          <w:lang w:val="en-IE"/>
        </w:rPr>
        <w:t xml:space="preserve"> </w:t>
      </w:r>
      <w:r w:rsidR="00C15268" w:rsidRPr="00E50A7A">
        <w:rPr>
          <w:noProof/>
          <w:lang w:val="en-IE"/>
        </w:rPr>
        <w:t xml:space="preserve">If support is financed through state resources, including when wholly financed by contributions imposed by the public authority and levied on the undertakings concerned, it may constitute State aid within the meaning of Article 107(1) TFEU; in such cases, Member States have to ensure compliance with State aid rules. </w:t>
      </w:r>
      <w:r w:rsidR="41ACD382" w:rsidRPr="00E50A7A">
        <w:rPr>
          <w:noProof/>
          <w:lang w:val="en-IE"/>
        </w:rPr>
        <w:t>The mobilisation of private and public investment in the circularity and decarbonisation of the textile sector are also the focus of several Union funding programmes and roadmaps such as Hubs for Circularity and specific calls under Horizon Europe. It is also necessary to further assess the feasibility of setting Union targets for the recycling of textiles to support and drive technological development and the investments into recycling infrastructure as well as the push for ecodesign for recycling.</w:t>
      </w:r>
    </w:p>
    <w:p w14:paraId="7D7F6FF7" w14:textId="5A1A53D2" w:rsidR="0044258C" w:rsidRPr="00E50A7A" w:rsidRDefault="00384B96" w:rsidP="00384B96">
      <w:pPr>
        <w:pStyle w:val="ManualConsidrant"/>
        <w:rPr>
          <w:noProof/>
          <w:lang w:val="en-IE"/>
        </w:rPr>
      </w:pPr>
      <w:r w:rsidRPr="00384B96">
        <w:t>(24)</w:t>
      </w:r>
      <w:r w:rsidRPr="00384B96">
        <w:tab/>
      </w:r>
      <w:r w:rsidR="41ACD382" w:rsidRPr="00E50A7A">
        <w:rPr>
          <w:noProof/>
          <w:lang w:val="en-IE"/>
        </w:rPr>
        <w:t>Used and waste textiles</w:t>
      </w:r>
      <w:r w:rsidR="008333A8">
        <w:rPr>
          <w:noProof/>
          <w:lang w:val="en-IE"/>
        </w:rPr>
        <w:t>, textile-related</w:t>
      </w:r>
      <w:r w:rsidR="41ACD382" w:rsidRPr="00E50A7A">
        <w:rPr>
          <w:noProof/>
          <w:lang w:val="en-IE"/>
        </w:rPr>
        <w:t xml:space="preserve"> and footwear </w:t>
      </w:r>
      <w:r w:rsidR="008333A8">
        <w:rPr>
          <w:noProof/>
          <w:lang w:val="en-IE"/>
        </w:rPr>
        <w:t xml:space="preserve">products </w:t>
      </w:r>
      <w:r w:rsidR="41ACD382" w:rsidRPr="00E50A7A">
        <w:rPr>
          <w:noProof/>
          <w:lang w:val="en-IE"/>
        </w:rPr>
        <w:t xml:space="preserve">should be collected separately from other waste streams, such as metals, paper and cardboard, glass, plastics, wood and bio-waste from 1 January 2025 to maintain their reusability and potential for high-quality recycling. </w:t>
      </w:r>
      <w:r w:rsidR="11F09370" w:rsidRPr="00E50A7A">
        <w:rPr>
          <w:noProof/>
          <w:lang w:val="en-IE"/>
        </w:rPr>
        <w:t xml:space="preserve">Considering the environmental impact and the loss of materials due to used and waste textiles not being separately collected, and consequently not treated in an environmentally sound </w:t>
      </w:r>
      <w:r w:rsidR="008333A8">
        <w:rPr>
          <w:noProof/>
          <w:lang w:val="en-IE"/>
        </w:rPr>
        <w:t>manner</w:t>
      </w:r>
      <w:r w:rsidR="11F09370" w:rsidRPr="00E50A7A">
        <w:rPr>
          <w:noProof/>
          <w:lang w:val="en-IE"/>
        </w:rPr>
        <w:t xml:space="preserve">, </w:t>
      </w:r>
      <w:r w:rsidR="41ACD382" w:rsidRPr="00E50A7A">
        <w:rPr>
          <w:noProof/>
          <w:lang w:val="en-IE"/>
        </w:rPr>
        <w:t xml:space="preserve">the collection </w:t>
      </w:r>
      <w:r w:rsidR="15D0756C" w:rsidRPr="00E50A7A">
        <w:rPr>
          <w:noProof/>
          <w:lang w:val="en-IE"/>
        </w:rPr>
        <w:t xml:space="preserve">network </w:t>
      </w:r>
      <w:r w:rsidR="41ACD382" w:rsidRPr="00E50A7A">
        <w:rPr>
          <w:noProof/>
          <w:lang w:val="en-IE"/>
        </w:rPr>
        <w:t>of used and waste textiles</w:t>
      </w:r>
      <w:r w:rsidR="008333A8">
        <w:rPr>
          <w:noProof/>
          <w:lang w:val="en-IE"/>
        </w:rPr>
        <w:t>, textile-related</w:t>
      </w:r>
      <w:r w:rsidR="41ACD382" w:rsidRPr="00E50A7A">
        <w:rPr>
          <w:noProof/>
          <w:lang w:val="en-IE"/>
        </w:rPr>
        <w:t xml:space="preserve"> and footwear </w:t>
      </w:r>
      <w:r w:rsidR="008333A8">
        <w:rPr>
          <w:noProof/>
          <w:lang w:val="en-IE"/>
        </w:rPr>
        <w:t xml:space="preserve">products </w:t>
      </w:r>
      <w:r w:rsidR="55C538F9" w:rsidRPr="00E50A7A">
        <w:rPr>
          <w:noProof/>
          <w:lang w:val="en-IE"/>
        </w:rPr>
        <w:t xml:space="preserve">should </w:t>
      </w:r>
      <w:r w:rsidR="41ACD382" w:rsidRPr="00E50A7A">
        <w:rPr>
          <w:noProof/>
          <w:lang w:val="en-IE"/>
        </w:rPr>
        <w:t>cover the whole territory of Member States</w:t>
      </w:r>
      <w:r w:rsidR="00A64E5B">
        <w:rPr>
          <w:noProof/>
          <w:lang w:val="en-IE"/>
        </w:rPr>
        <w:t xml:space="preserve"> including the outermost regions</w:t>
      </w:r>
      <w:r w:rsidR="41ACD382" w:rsidRPr="00E50A7A">
        <w:rPr>
          <w:noProof/>
          <w:lang w:val="en-IE"/>
        </w:rPr>
        <w:t xml:space="preserve">, </w:t>
      </w:r>
      <w:r w:rsidR="53FBDD37" w:rsidRPr="00E50A7A">
        <w:rPr>
          <w:noProof/>
          <w:lang w:val="en-IE"/>
        </w:rPr>
        <w:t>be</w:t>
      </w:r>
      <w:r w:rsidR="41ACD382" w:rsidRPr="00E50A7A">
        <w:rPr>
          <w:noProof/>
          <w:lang w:val="en-IE"/>
        </w:rPr>
        <w:t xml:space="preserve"> close to the end-user and not target </w:t>
      </w:r>
      <w:r w:rsidR="7107C0AA" w:rsidRPr="00E50A7A">
        <w:rPr>
          <w:noProof/>
          <w:lang w:val="en-IE"/>
        </w:rPr>
        <w:t xml:space="preserve">only </w:t>
      </w:r>
      <w:r w:rsidR="41ACD382" w:rsidRPr="00E50A7A">
        <w:rPr>
          <w:noProof/>
          <w:lang w:val="en-IE"/>
        </w:rPr>
        <w:t xml:space="preserve">areas and products where the collection is profitable. The collection network should </w:t>
      </w:r>
      <w:r w:rsidR="41ACD382" w:rsidRPr="00E50A7A">
        <w:rPr>
          <w:noProof/>
          <w:lang w:val="en-IE"/>
        </w:rPr>
        <w:lastRenderedPageBreak/>
        <w:t>be organised in cooperation with other actors active in the waste management and re-use sectors, such as municipalities and social enterprises. In view of the significant environmental and climate benefits associated with re-use, the primary and secondary purpose of the collection network should be the collection of re-usable and recyclable textile</w:t>
      </w:r>
      <w:r w:rsidR="0F6CE45E" w:rsidRPr="00E50A7A">
        <w:rPr>
          <w:noProof/>
          <w:lang w:val="en-IE"/>
        </w:rPr>
        <w:t>, textile-related</w:t>
      </w:r>
      <w:r w:rsidR="41ACD382" w:rsidRPr="00E50A7A">
        <w:rPr>
          <w:noProof/>
          <w:lang w:val="en-IE"/>
        </w:rPr>
        <w:t xml:space="preserve"> and footwear </w:t>
      </w:r>
      <w:r w:rsidR="008333A8">
        <w:rPr>
          <w:noProof/>
          <w:lang w:val="en-IE"/>
        </w:rPr>
        <w:t xml:space="preserve">products </w:t>
      </w:r>
      <w:r w:rsidR="41ACD382" w:rsidRPr="00E50A7A">
        <w:rPr>
          <w:noProof/>
          <w:lang w:val="en-IE"/>
        </w:rPr>
        <w:t xml:space="preserve">accordingly. Since the consumer is not trained to distinguish between re-usable and recyclable items, the collection systems should, including for logistical efficiency purposes, provide for the collection receptacles that collect both used and waste items together. </w:t>
      </w:r>
      <w:r w:rsidR="0B9BE226" w:rsidRPr="00E50A7A">
        <w:rPr>
          <w:noProof/>
          <w:lang w:val="en-IE"/>
        </w:rPr>
        <w:t xml:space="preserve">High collection rates would drive high re-use performance and quality recycling in the textile supply chains, boost the uptake of quality secondary raw materials and support the investment planning in the textile sorting and processing infrastructure. </w:t>
      </w:r>
      <w:r w:rsidR="41ACD382" w:rsidRPr="00E50A7A">
        <w:rPr>
          <w:noProof/>
          <w:lang w:val="en-IE"/>
        </w:rPr>
        <w:t>In order to verify and improve the effectiveness of the collection network and the information campaigns, regular compositional surveys at least at NUTS 2 level</w:t>
      </w:r>
      <w:r w:rsidR="41ACD382" w:rsidRPr="00E50A7A">
        <w:rPr>
          <w:b/>
          <w:bCs/>
          <w:i/>
          <w:iCs/>
          <w:noProof/>
          <w:lang w:val="en-IE"/>
        </w:rPr>
        <w:t xml:space="preserve"> </w:t>
      </w:r>
      <w:r w:rsidR="41ACD382" w:rsidRPr="00E50A7A">
        <w:rPr>
          <w:noProof/>
          <w:lang w:val="en-IE"/>
        </w:rPr>
        <w:t>should be carried out on mixed municipal waste collected to determine the amount of waste textiles and footwear therein.</w:t>
      </w:r>
      <w:r w:rsidR="2AF662EA" w:rsidRPr="00E50A7A">
        <w:rPr>
          <w:noProof/>
          <w:lang w:val="en-IE"/>
        </w:rPr>
        <w:t xml:space="preserve"> </w:t>
      </w:r>
      <w:r w:rsidR="50621CF7" w:rsidRPr="00E50A7A">
        <w:rPr>
          <w:noProof/>
          <w:lang w:val="en-IE"/>
        </w:rPr>
        <w:t xml:space="preserve">In addition, information on the performance of the separate collection systems and the attained annual separate collection rate should be calculated and made publicly available annually by the producer responsibility organisations. </w:t>
      </w:r>
    </w:p>
    <w:p w14:paraId="1CF74A59" w14:textId="0AD64B7B" w:rsidR="0044258C" w:rsidRPr="00E50A7A" w:rsidRDefault="00384B96" w:rsidP="00384B96">
      <w:pPr>
        <w:pStyle w:val="ManualConsidrant"/>
        <w:rPr>
          <w:noProof/>
          <w:color w:val="000000" w:themeColor="text1"/>
          <w:lang w:val="en-IE"/>
        </w:rPr>
      </w:pPr>
      <w:r w:rsidRPr="00384B96">
        <w:t>(25)</w:t>
      </w:r>
      <w:r w:rsidRPr="00384B96">
        <w:tab/>
      </w:r>
      <w:r w:rsidR="41ACD382" w:rsidRPr="00E50A7A">
        <w:rPr>
          <w:noProof/>
          <w:lang w:val="en-IE"/>
        </w:rPr>
        <w:t>In view of the key role of social enterprises</w:t>
      </w:r>
      <w:r w:rsidR="000E18DA">
        <w:rPr>
          <w:noProof/>
          <w:lang w:val="en-IE"/>
        </w:rPr>
        <w:t xml:space="preserve"> and social economy entities</w:t>
      </w:r>
      <w:r w:rsidR="41ACD382" w:rsidRPr="00E50A7A">
        <w:rPr>
          <w:noProof/>
          <w:lang w:val="en-IE"/>
        </w:rPr>
        <w:t xml:space="preserve"> in the existing textile collection systems and their potential to create local, sustainable</w:t>
      </w:r>
      <w:r w:rsidR="000E18DA">
        <w:rPr>
          <w:noProof/>
          <w:lang w:val="en-IE"/>
        </w:rPr>
        <w:t>, participatory</w:t>
      </w:r>
      <w:r w:rsidR="41ACD382" w:rsidRPr="00E50A7A">
        <w:rPr>
          <w:noProof/>
          <w:lang w:val="en-IE"/>
        </w:rPr>
        <w:t xml:space="preserve"> and inclusive businesses</w:t>
      </w:r>
      <w:r w:rsidR="000E18DA">
        <w:rPr>
          <w:noProof/>
          <w:lang w:val="en-IE"/>
        </w:rPr>
        <w:t xml:space="preserve"> models</w:t>
      </w:r>
      <w:r w:rsidR="41ACD382" w:rsidRPr="00E50A7A">
        <w:rPr>
          <w:noProof/>
          <w:lang w:val="en-IE"/>
        </w:rPr>
        <w:t xml:space="preserve"> and </w:t>
      </w:r>
      <w:r w:rsidR="000E18DA">
        <w:rPr>
          <w:noProof/>
          <w:lang w:val="en-IE"/>
        </w:rPr>
        <w:t xml:space="preserve">quality </w:t>
      </w:r>
      <w:r w:rsidR="41ACD382" w:rsidRPr="00E50A7A">
        <w:rPr>
          <w:noProof/>
          <w:lang w:val="en-IE"/>
        </w:rPr>
        <w:t xml:space="preserve">jobs in the Union, in line with the objectives of the </w:t>
      </w:r>
      <w:r w:rsidR="41ACD382" w:rsidRPr="00E50A7A">
        <w:rPr>
          <w:noProof/>
          <w:color w:val="000000" w:themeColor="text1"/>
          <w:lang w:val="en-IE"/>
        </w:rPr>
        <w:t>EU Social Economy Action Plan</w:t>
      </w:r>
      <w:r w:rsidR="0074680C" w:rsidRPr="00E50A7A">
        <w:rPr>
          <w:rStyle w:val="FootnoteReference"/>
          <w:noProof/>
          <w:color w:val="000000" w:themeColor="text1"/>
          <w:lang w:val="en-IE"/>
        </w:rPr>
        <w:footnoteReference w:id="80"/>
      </w:r>
      <w:r w:rsidR="00951CF6" w:rsidRPr="00E50A7A">
        <w:rPr>
          <w:noProof/>
          <w:color w:val="000000" w:themeColor="text1"/>
          <w:lang w:val="en-IE"/>
        </w:rPr>
        <w:t>,</w:t>
      </w:r>
      <w:r w:rsidR="41ACD382" w:rsidRPr="00E50A7A">
        <w:rPr>
          <w:noProof/>
          <w:color w:val="000000" w:themeColor="text1"/>
          <w:lang w:val="en-IE"/>
        </w:rPr>
        <w:t xml:space="preserve"> </w:t>
      </w:r>
      <w:r w:rsidR="41ACD382" w:rsidRPr="00E50A7A">
        <w:rPr>
          <w:noProof/>
          <w:lang w:val="en-IE"/>
        </w:rPr>
        <w:t xml:space="preserve">the introduction of extended producer responsibility schemes should maintain and support the activities of social enterprises </w:t>
      </w:r>
      <w:r w:rsidR="000E18DA">
        <w:rPr>
          <w:noProof/>
          <w:lang w:val="en-IE"/>
        </w:rPr>
        <w:t xml:space="preserve">and social economy entities </w:t>
      </w:r>
      <w:r w:rsidR="41ACD382" w:rsidRPr="00E50A7A">
        <w:rPr>
          <w:noProof/>
          <w:lang w:val="en-IE"/>
        </w:rPr>
        <w:t>involved in used textiles management.</w:t>
      </w:r>
      <w:r w:rsidR="41ACD382" w:rsidRPr="00E50A7A">
        <w:rPr>
          <w:noProof/>
          <w:color w:val="000000" w:themeColor="text1"/>
          <w:lang w:val="en-IE"/>
        </w:rPr>
        <w:t xml:space="preserve"> The</w:t>
      </w:r>
      <w:r w:rsidR="000E18DA">
        <w:rPr>
          <w:noProof/>
          <w:color w:val="000000" w:themeColor="text1"/>
          <w:lang w:val="en-IE"/>
        </w:rPr>
        <w:t>se entities</w:t>
      </w:r>
      <w:r w:rsidR="41ACD382" w:rsidRPr="00E50A7A">
        <w:rPr>
          <w:noProof/>
          <w:color w:val="000000" w:themeColor="text1"/>
          <w:lang w:val="en-IE"/>
        </w:rPr>
        <w:t xml:space="preserve"> therefore should be regarded as partners in the separate collection systems supporting the scale-up of re-use and repair</w:t>
      </w:r>
      <w:r w:rsidR="2FE049E6" w:rsidRPr="00E50A7A">
        <w:rPr>
          <w:noProof/>
          <w:color w:val="000000" w:themeColor="text1"/>
          <w:lang w:val="en-IE"/>
        </w:rPr>
        <w:t xml:space="preserve"> and creating </w:t>
      </w:r>
      <w:r w:rsidR="00951CF6" w:rsidRPr="00E50A7A">
        <w:rPr>
          <w:noProof/>
          <w:color w:val="000000" w:themeColor="text1"/>
          <w:lang w:val="en-IE"/>
        </w:rPr>
        <w:t>quality</w:t>
      </w:r>
      <w:r w:rsidR="2FE049E6" w:rsidRPr="00E50A7A">
        <w:rPr>
          <w:noProof/>
          <w:color w:val="000000" w:themeColor="text1"/>
          <w:lang w:val="en-IE"/>
        </w:rPr>
        <w:t xml:space="preserve"> jobs</w:t>
      </w:r>
      <w:r w:rsidR="000E18DA">
        <w:rPr>
          <w:noProof/>
          <w:color w:val="000000" w:themeColor="text1"/>
          <w:lang w:val="en-IE"/>
        </w:rPr>
        <w:t xml:space="preserve"> for all and</w:t>
      </w:r>
      <w:r w:rsidR="2FE049E6" w:rsidRPr="00E50A7A">
        <w:rPr>
          <w:noProof/>
          <w:color w:val="000000" w:themeColor="text1"/>
          <w:lang w:val="en-IE"/>
        </w:rPr>
        <w:t xml:space="preserve"> in particular for vulnerable groups</w:t>
      </w:r>
      <w:r w:rsidR="41ACD382" w:rsidRPr="00E50A7A">
        <w:rPr>
          <w:noProof/>
          <w:color w:val="000000" w:themeColor="text1"/>
          <w:lang w:val="en-IE"/>
        </w:rPr>
        <w:t>.</w:t>
      </w:r>
    </w:p>
    <w:p w14:paraId="55EBF64C" w14:textId="21D88796" w:rsidR="007378F4" w:rsidRPr="00E50A7A" w:rsidRDefault="00384B96" w:rsidP="00384B96">
      <w:pPr>
        <w:pStyle w:val="ManualConsidrant"/>
        <w:rPr>
          <w:noProof/>
          <w:lang w:val="en-IE"/>
        </w:rPr>
      </w:pPr>
      <w:r w:rsidRPr="00384B96">
        <w:t>(26)</w:t>
      </w:r>
      <w:r w:rsidRPr="00384B96">
        <w:tab/>
      </w:r>
      <w:r w:rsidR="468AA518" w:rsidRPr="00E50A7A">
        <w:rPr>
          <w:noProof/>
          <w:color w:val="000000" w:themeColor="text1"/>
          <w:lang w:val="en-IE"/>
        </w:rPr>
        <w:t xml:space="preserve">Producers and </w:t>
      </w:r>
      <w:r w:rsidR="468AA518" w:rsidRPr="00E50A7A">
        <w:rPr>
          <w:noProof/>
          <w:lang w:val="en-IE"/>
        </w:rPr>
        <w:t xml:space="preserve">producer responsibility organisations should be actively involved in providing information to end users, in particular consumers, that used and waste textiles and footwear should be collected separately, that collection </w:t>
      </w:r>
      <w:r w:rsidR="4D59D806" w:rsidRPr="00E50A7A">
        <w:rPr>
          <w:noProof/>
          <w:lang w:val="en-IE"/>
        </w:rPr>
        <w:t xml:space="preserve">systems </w:t>
      </w:r>
      <w:r w:rsidR="468AA518" w:rsidRPr="00E50A7A">
        <w:rPr>
          <w:noProof/>
          <w:lang w:val="en-IE"/>
        </w:rPr>
        <w:t>are available and that end-users have an important role in ensuring waste prevention and an environmentally optimal management of textiles waste. This information should include availability of re-use arrangements for textiles and footwear and the environmental benefits of sustainable consumption and the environmental, health and</w:t>
      </w:r>
      <w:r w:rsidR="22876939" w:rsidRPr="00E50A7A">
        <w:rPr>
          <w:noProof/>
          <w:lang w:val="en-IE"/>
        </w:rPr>
        <w:t xml:space="preserve"> </w:t>
      </w:r>
      <w:r w:rsidR="468AA518" w:rsidRPr="00E50A7A">
        <w:rPr>
          <w:noProof/>
          <w:lang w:val="en-IE"/>
        </w:rPr>
        <w:t>social impacts of the textile apparel industry</w:t>
      </w:r>
      <w:r w:rsidR="468AA518" w:rsidRPr="00E50A7A">
        <w:rPr>
          <w:noProof/>
          <w:color w:val="000000" w:themeColor="text1"/>
          <w:lang w:val="en-IE"/>
        </w:rPr>
        <w:t>. The end users should also be inform</w:t>
      </w:r>
      <w:r w:rsidR="468AA518" w:rsidRPr="00E50A7A">
        <w:rPr>
          <w:noProof/>
          <w:lang w:val="en-IE"/>
        </w:rPr>
        <w:t xml:space="preserve">ed about their important role in making informed, responsible and sustainable textile consumption choices and ensuring an environmentally optimal management of textile and footwear waste. </w:t>
      </w:r>
      <w:r w:rsidR="4F0DE9D7" w:rsidRPr="00E50A7A">
        <w:rPr>
          <w:noProof/>
          <w:lang w:val="en-IE"/>
        </w:rPr>
        <w:t xml:space="preserve">These information requirements </w:t>
      </w:r>
      <w:r w:rsidR="008333A8">
        <w:rPr>
          <w:noProof/>
          <w:lang w:val="en-IE"/>
        </w:rPr>
        <w:t xml:space="preserve">apply in addition to </w:t>
      </w:r>
      <w:r w:rsidR="4F0DE9D7" w:rsidRPr="00E50A7A">
        <w:rPr>
          <w:noProof/>
          <w:lang w:val="en-IE"/>
        </w:rPr>
        <w:t xml:space="preserve">the </w:t>
      </w:r>
      <w:r w:rsidR="7FC2A9F9" w:rsidRPr="00E50A7A">
        <w:rPr>
          <w:noProof/>
          <w:lang w:val="en-IE"/>
        </w:rPr>
        <w:t>requirements on the provision of information</w:t>
      </w:r>
      <w:r w:rsidR="4F0DE9D7" w:rsidRPr="00E50A7A">
        <w:rPr>
          <w:noProof/>
          <w:lang w:val="en-IE"/>
        </w:rPr>
        <w:t xml:space="preserve"> </w:t>
      </w:r>
      <w:r w:rsidR="355BF3F2" w:rsidRPr="00E50A7A">
        <w:rPr>
          <w:noProof/>
          <w:lang w:val="en-IE"/>
        </w:rPr>
        <w:t xml:space="preserve">to end-users in relation to the textile products laid down in </w:t>
      </w:r>
      <w:r w:rsidR="25913786" w:rsidRPr="00E50A7A">
        <w:rPr>
          <w:noProof/>
          <w:lang w:val="en-IE"/>
        </w:rPr>
        <w:t>the Ecodesign for Sustainable Product Regulation</w:t>
      </w:r>
      <w:r w:rsidR="00B13603">
        <w:rPr>
          <w:rStyle w:val="FootnoteReference"/>
          <w:noProof/>
          <w:lang w:val="en-IE"/>
        </w:rPr>
        <w:footnoteReference w:id="81"/>
      </w:r>
      <w:r w:rsidR="25913786" w:rsidRPr="00E50A7A">
        <w:rPr>
          <w:noProof/>
          <w:lang w:val="en-IE"/>
        </w:rPr>
        <w:t xml:space="preserve"> </w:t>
      </w:r>
      <w:r w:rsidR="4F0DE9D7" w:rsidRPr="00E50A7A">
        <w:rPr>
          <w:noProof/>
          <w:lang w:val="en-IE"/>
        </w:rPr>
        <w:t xml:space="preserve">and </w:t>
      </w:r>
      <w:r w:rsidR="430CF25F" w:rsidRPr="00E50A7A">
        <w:rPr>
          <w:noProof/>
          <w:lang w:val="en-IE"/>
        </w:rPr>
        <w:t>the Regulation (EU) No</w:t>
      </w:r>
      <w:r w:rsidR="29572E1F" w:rsidRPr="00E50A7A">
        <w:rPr>
          <w:noProof/>
          <w:lang w:val="en-IE"/>
        </w:rPr>
        <w:t xml:space="preserve"> 1007/2011</w:t>
      </w:r>
      <w:r w:rsidR="4A01E46C" w:rsidRPr="00E50A7A">
        <w:rPr>
          <w:noProof/>
          <w:lang w:val="en-IE"/>
        </w:rPr>
        <w:t xml:space="preserve"> of the European Parliament and of the Council</w:t>
      </w:r>
      <w:r w:rsidR="00B13603">
        <w:rPr>
          <w:rStyle w:val="FootnoteReference"/>
          <w:noProof/>
          <w:lang w:val="en-IE"/>
        </w:rPr>
        <w:footnoteReference w:id="82"/>
      </w:r>
      <w:r w:rsidR="007E4A66">
        <w:rPr>
          <w:noProof/>
          <w:lang w:val="en-IE"/>
        </w:rPr>
        <w:t>.</w:t>
      </w:r>
      <w:r w:rsidR="29572E1F" w:rsidRPr="00E50A7A">
        <w:rPr>
          <w:noProof/>
          <w:lang w:val="en-IE"/>
        </w:rPr>
        <w:t xml:space="preserve"> </w:t>
      </w:r>
      <w:r w:rsidR="468AA518" w:rsidRPr="00E50A7A">
        <w:rPr>
          <w:noProof/>
          <w:lang w:val="en-IE"/>
        </w:rPr>
        <w:t xml:space="preserve">The disclosure of information to all end users should make use of modern information technologies. The information should be provided </w:t>
      </w:r>
      <w:r w:rsidR="00C41939">
        <w:rPr>
          <w:noProof/>
          <w:lang w:val="en-IE"/>
        </w:rPr>
        <w:t>both</w:t>
      </w:r>
      <w:r w:rsidR="00C41939" w:rsidRPr="00E50A7A">
        <w:rPr>
          <w:noProof/>
          <w:lang w:val="en-IE"/>
        </w:rPr>
        <w:t xml:space="preserve"> </w:t>
      </w:r>
      <w:r w:rsidR="468AA518" w:rsidRPr="00E50A7A">
        <w:rPr>
          <w:noProof/>
          <w:lang w:val="en-IE"/>
        </w:rPr>
        <w:t xml:space="preserve">by classical means, such as posters both indoors and outdoors and social </w:t>
      </w:r>
      <w:r w:rsidR="468AA518" w:rsidRPr="00E50A7A">
        <w:rPr>
          <w:noProof/>
          <w:lang w:val="en-IE"/>
        </w:rPr>
        <w:lastRenderedPageBreak/>
        <w:t xml:space="preserve">media campaigns, </w:t>
      </w:r>
      <w:r w:rsidR="00C41939">
        <w:rPr>
          <w:noProof/>
          <w:lang w:val="en-IE"/>
        </w:rPr>
        <w:t>and</w:t>
      </w:r>
      <w:r w:rsidR="00C41939" w:rsidRPr="00E50A7A">
        <w:rPr>
          <w:noProof/>
          <w:lang w:val="en-IE"/>
        </w:rPr>
        <w:t xml:space="preserve"> </w:t>
      </w:r>
      <w:r w:rsidR="468AA518" w:rsidRPr="00E50A7A">
        <w:rPr>
          <w:noProof/>
          <w:lang w:val="en-IE"/>
        </w:rPr>
        <w:t>by more innovative means, such as electronic access to websites provided by QR codes.</w:t>
      </w:r>
    </w:p>
    <w:p w14:paraId="5854A3C4" w14:textId="0A3B592B" w:rsidR="00061843" w:rsidRPr="00E50A7A" w:rsidRDefault="00384B96" w:rsidP="00384B96">
      <w:pPr>
        <w:pStyle w:val="ManualConsidrant"/>
        <w:rPr>
          <w:noProof/>
          <w:lang w:val="en-IE"/>
        </w:rPr>
      </w:pPr>
      <w:r w:rsidRPr="00384B96">
        <w:t>(27)</w:t>
      </w:r>
      <w:r w:rsidRPr="00384B96">
        <w:tab/>
      </w:r>
      <w:r w:rsidR="496B4524" w:rsidRPr="00E50A7A">
        <w:rPr>
          <w:noProof/>
          <w:lang w:val="en-IE"/>
        </w:rPr>
        <w:t xml:space="preserve">In order to increase textiles’ circularity and environmental sustainability and to reduce the adverse impacts on climate and the environment, </w:t>
      </w:r>
      <w:r w:rsidR="3FBFEF97" w:rsidRPr="00E50A7A">
        <w:rPr>
          <w:noProof/>
          <w:lang w:val="en-IE"/>
        </w:rPr>
        <w:t>Regulation …/... [PO insert the serial number and institutions</w:t>
      </w:r>
      <w:r w:rsidR="468AA518" w:rsidRPr="00E50A7A">
        <w:rPr>
          <w:noProof/>
          <w:lang w:val="en-IE"/>
        </w:rPr>
        <w:t xml:space="preserve"> for </w:t>
      </w:r>
      <w:r w:rsidR="496B4524" w:rsidRPr="00E50A7A">
        <w:rPr>
          <w:noProof/>
          <w:lang w:val="en-IE"/>
        </w:rPr>
        <w:t>t</w:t>
      </w:r>
      <w:r w:rsidR="468AA518" w:rsidRPr="00E50A7A">
        <w:rPr>
          <w:noProof/>
          <w:lang w:val="en-IE"/>
        </w:rPr>
        <w:t>he Ecodesign for Sustainable Product Regulation</w:t>
      </w:r>
      <w:r w:rsidR="1B02FEFF" w:rsidRPr="00E50A7A">
        <w:rPr>
          <w:noProof/>
          <w:lang w:val="en-IE"/>
        </w:rPr>
        <w:t>, and complete the footnote]</w:t>
      </w:r>
      <w:r w:rsidR="0074680C" w:rsidRPr="00E50A7A">
        <w:rPr>
          <w:rStyle w:val="FootnoteReference"/>
          <w:noProof/>
          <w:lang w:val="en-IE"/>
        </w:rPr>
        <w:footnoteReference w:id="83"/>
      </w:r>
      <w:r w:rsidR="468AA518" w:rsidRPr="00E50A7A">
        <w:rPr>
          <w:noProof/>
          <w:szCs w:val="24"/>
          <w:lang w:val="en-IE"/>
        </w:rPr>
        <w:t xml:space="preserve"> </w:t>
      </w:r>
      <w:r w:rsidR="468AA518" w:rsidRPr="00E50A7A">
        <w:rPr>
          <w:noProof/>
          <w:color w:val="000000" w:themeColor="text1"/>
          <w:lang w:val="en-IE"/>
        </w:rPr>
        <w:t xml:space="preserve">will </w:t>
      </w:r>
      <w:r w:rsidR="468AA518" w:rsidRPr="00E50A7A">
        <w:rPr>
          <w:noProof/>
          <w:lang w:val="en-IE"/>
        </w:rPr>
        <w:t>develop binding textile product ecodesign requirements</w:t>
      </w:r>
      <w:r w:rsidR="040D6795" w:rsidRPr="00E50A7A">
        <w:rPr>
          <w:noProof/>
          <w:lang w:val="en-IE"/>
        </w:rPr>
        <w:t>, which will, depending on what the impact assessment will show to be beneficial for increasing textile environmental sustainability, regulate</w:t>
      </w:r>
      <w:r w:rsidR="468AA518" w:rsidRPr="00E50A7A">
        <w:rPr>
          <w:noProof/>
          <w:lang w:val="en-IE"/>
        </w:rPr>
        <w:t xml:space="preserve"> durability, reusability, reparability</w:t>
      </w:r>
      <w:r w:rsidR="0A9FD90A" w:rsidRPr="00E50A7A">
        <w:rPr>
          <w:noProof/>
          <w:lang w:val="en-IE"/>
        </w:rPr>
        <w:t xml:space="preserve">, </w:t>
      </w:r>
      <w:r w:rsidR="040D6795" w:rsidRPr="00E50A7A">
        <w:rPr>
          <w:noProof/>
          <w:lang w:val="en-IE"/>
        </w:rPr>
        <w:t xml:space="preserve"> and</w:t>
      </w:r>
      <w:r w:rsidR="468AA518" w:rsidRPr="00E50A7A">
        <w:rPr>
          <w:noProof/>
          <w:lang w:val="en-IE"/>
        </w:rPr>
        <w:t xml:space="preserve"> fibre-to-fibre recyclability </w:t>
      </w:r>
      <w:r w:rsidR="040D6795" w:rsidRPr="00E50A7A">
        <w:rPr>
          <w:noProof/>
          <w:lang w:val="en-IE"/>
        </w:rPr>
        <w:t xml:space="preserve">of textiles, </w:t>
      </w:r>
      <w:r w:rsidR="468AA518" w:rsidRPr="00E50A7A">
        <w:rPr>
          <w:noProof/>
          <w:lang w:val="en-IE"/>
        </w:rPr>
        <w:t>and mandatory recycled fibre content</w:t>
      </w:r>
      <w:r w:rsidR="040D6795" w:rsidRPr="00E50A7A">
        <w:rPr>
          <w:noProof/>
          <w:lang w:val="en-IE"/>
        </w:rPr>
        <w:t xml:space="preserve"> in textiles</w:t>
      </w:r>
      <w:r w:rsidR="77976332" w:rsidRPr="00E50A7A">
        <w:rPr>
          <w:noProof/>
          <w:lang w:val="en-IE"/>
        </w:rPr>
        <w:t>.</w:t>
      </w:r>
      <w:r w:rsidR="040D6795" w:rsidRPr="00E50A7A">
        <w:rPr>
          <w:noProof/>
          <w:lang w:val="en-IE"/>
        </w:rPr>
        <w:t xml:space="preserve"> It will also regulate the </w:t>
      </w:r>
      <w:r w:rsidR="468AA518" w:rsidRPr="00E50A7A">
        <w:rPr>
          <w:noProof/>
          <w:lang w:val="en-IE"/>
        </w:rPr>
        <w:t xml:space="preserve">presence of substances of concern </w:t>
      </w:r>
      <w:r w:rsidR="040D6795" w:rsidRPr="00E50A7A">
        <w:rPr>
          <w:noProof/>
          <w:lang w:val="en-IE"/>
        </w:rPr>
        <w:t>to allow their minimisation and tracking</w:t>
      </w:r>
      <w:r w:rsidR="6F6261B0" w:rsidRPr="00E50A7A">
        <w:rPr>
          <w:noProof/>
          <w:lang w:val="en-IE"/>
        </w:rPr>
        <w:t xml:space="preserve"> in view of reducing waste generation and improving recycling</w:t>
      </w:r>
      <w:r w:rsidR="00847F34">
        <w:rPr>
          <w:noProof/>
          <w:lang w:val="en-IE"/>
        </w:rPr>
        <w:t>, as well as</w:t>
      </w:r>
      <w:r w:rsidR="00847F34" w:rsidRPr="00E50A7A">
        <w:rPr>
          <w:noProof/>
          <w:lang w:val="en-IE"/>
        </w:rPr>
        <w:t xml:space="preserve"> </w:t>
      </w:r>
      <w:r w:rsidR="040D6795" w:rsidRPr="00E50A7A">
        <w:rPr>
          <w:noProof/>
          <w:lang w:val="en-IE"/>
        </w:rPr>
        <w:t>the prevention and reduction of synthetic fibres shed into the environment to significantly reduce microplastic release</w:t>
      </w:r>
      <w:r w:rsidR="468AA518" w:rsidRPr="00E50A7A">
        <w:rPr>
          <w:noProof/>
          <w:lang w:val="en-IE"/>
        </w:rPr>
        <w:t xml:space="preserve">. At the same time, modulation of extended producer responsibility fees is an effective economic instrument to incentivise more sustainable textile design leading to improved </w:t>
      </w:r>
      <w:r w:rsidR="040D6795" w:rsidRPr="00E50A7A">
        <w:rPr>
          <w:noProof/>
          <w:lang w:val="en-IE"/>
        </w:rPr>
        <w:t>circular design</w:t>
      </w:r>
      <w:r w:rsidR="468AA518" w:rsidRPr="00E50A7A">
        <w:rPr>
          <w:noProof/>
          <w:lang w:val="en-IE"/>
        </w:rPr>
        <w:t xml:space="preserve">. </w:t>
      </w:r>
      <w:r w:rsidR="77976332" w:rsidRPr="00E50A7A">
        <w:rPr>
          <w:noProof/>
          <w:lang w:val="en-IE"/>
        </w:rPr>
        <w:t xml:space="preserve">In order to provide a strong incentive for ecodesign while taking into account the objectives of the internal market and the composition of the textile sector which is primarily composed of SMEs, it is </w:t>
      </w:r>
      <w:r w:rsidR="468AA518" w:rsidRPr="00E50A7A">
        <w:rPr>
          <w:noProof/>
          <w:lang w:val="en-IE"/>
        </w:rPr>
        <w:t xml:space="preserve">necessary to harmonise criteria for the modulation of extended producer responsibility fees based on the </w:t>
      </w:r>
      <w:r w:rsidR="2022D3A1" w:rsidRPr="00E50A7A">
        <w:rPr>
          <w:noProof/>
          <w:lang w:val="en-IE"/>
        </w:rPr>
        <w:t xml:space="preserve">most relevant </w:t>
      </w:r>
      <w:r w:rsidR="1DDE6DFD" w:rsidRPr="00E50A7A">
        <w:rPr>
          <w:noProof/>
          <w:lang w:val="en-IE"/>
        </w:rPr>
        <w:t xml:space="preserve">ecodesign </w:t>
      </w:r>
      <w:r w:rsidR="2022D3A1" w:rsidRPr="00E50A7A">
        <w:rPr>
          <w:noProof/>
          <w:lang w:val="en-IE"/>
        </w:rPr>
        <w:t>parameters</w:t>
      </w:r>
      <w:r w:rsidR="45290D89" w:rsidRPr="00E50A7A">
        <w:rPr>
          <w:noProof/>
          <w:lang w:val="en-IE"/>
        </w:rPr>
        <w:t xml:space="preserve"> to enable the treatment of textiles</w:t>
      </w:r>
      <w:r w:rsidR="2022D3A1" w:rsidRPr="00E50A7A">
        <w:rPr>
          <w:noProof/>
          <w:lang w:val="en-IE"/>
        </w:rPr>
        <w:t xml:space="preserve"> in line with the waste hierarchy</w:t>
      </w:r>
      <w:r w:rsidR="45290D89" w:rsidRPr="00E50A7A">
        <w:rPr>
          <w:noProof/>
          <w:lang w:val="en-IE"/>
        </w:rPr>
        <w:t xml:space="preserve">. </w:t>
      </w:r>
      <w:r w:rsidR="4AEE126C" w:rsidRPr="00E50A7A">
        <w:rPr>
          <w:noProof/>
          <w:lang w:val="en-IE"/>
        </w:rPr>
        <w:t>The fee modulation according to the ecodesign criteria should be based on the Ecodesign requirements and their measurement methodologies that are adopted pursuant to the Ecodesign for Sustainable Product Regulation for textile products</w:t>
      </w:r>
      <w:r w:rsidR="4AEE126C" w:rsidRPr="00E50A7A">
        <w:rPr>
          <w:noProof/>
          <w:lang w:val="en-IE" w:eastAsia="en-GB"/>
        </w:rPr>
        <w:t xml:space="preserve"> or to other Union law establishing harmonized sustainability criteria and measurement </w:t>
      </w:r>
      <w:r w:rsidR="444F3E3D" w:rsidRPr="00E50A7A">
        <w:rPr>
          <w:noProof/>
          <w:lang w:val="en-IE" w:eastAsia="en-GB"/>
        </w:rPr>
        <w:t>methods</w:t>
      </w:r>
      <w:r w:rsidR="09DB4EBC" w:rsidRPr="00E50A7A">
        <w:rPr>
          <w:noProof/>
          <w:lang w:val="en-IE" w:eastAsia="en-GB"/>
        </w:rPr>
        <w:t xml:space="preserve"> </w:t>
      </w:r>
      <w:r w:rsidR="4AEE126C" w:rsidRPr="00E50A7A">
        <w:rPr>
          <w:noProof/>
          <w:lang w:val="en-IE" w:eastAsia="en-GB"/>
        </w:rPr>
        <w:t>for textile products</w:t>
      </w:r>
      <w:r w:rsidR="4AEE126C" w:rsidRPr="00E50A7A">
        <w:rPr>
          <w:noProof/>
          <w:lang w:val="en-IE"/>
        </w:rPr>
        <w:t xml:space="preserve"> and only where the latter are adopted. </w:t>
      </w:r>
      <w:r w:rsidR="4AEE126C" w:rsidRPr="00E50A7A">
        <w:rPr>
          <w:noProof/>
          <w:color w:val="000000" w:themeColor="text1"/>
          <w:lang w:val="en-IE"/>
        </w:rPr>
        <w:t>It is appropriate to empower the Commission to adopt harmonised rules for the fee modulation to ensure the alignment of the fee modulation criteria with those product requirements</w:t>
      </w:r>
      <w:r w:rsidR="4AEE126C" w:rsidRPr="00E50A7A">
        <w:rPr>
          <w:noProof/>
          <w:lang w:val="en-IE"/>
        </w:rPr>
        <w:t>.</w:t>
      </w:r>
    </w:p>
    <w:p w14:paraId="421B6E18" w14:textId="6B8C8E48" w:rsidR="007378F4" w:rsidRPr="00E50A7A" w:rsidRDefault="00384B96" w:rsidP="00384B96">
      <w:pPr>
        <w:pStyle w:val="ManualConsidrant"/>
        <w:rPr>
          <w:noProof/>
          <w:lang w:val="en-IE"/>
        </w:rPr>
      </w:pPr>
      <w:r w:rsidRPr="00384B96">
        <w:t>(28)</w:t>
      </w:r>
      <w:r w:rsidRPr="00384B96">
        <w:tab/>
      </w:r>
      <w:r w:rsidR="468AA518" w:rsidRPr="00E50A7A">
        <w:rPr>
          <w:noProof/>
          <w:lang w:val="en-IE"/>
        </w:rPr>
        <w:t>In order to monitor that producers meet their obligations relating to their financial, and organisational obligations to ensuring the management of used and waste textile</w:t>
      </w:r>
      <w:r w:rsidR="00C41939">
        <w:rPr>
          <w:noProof/>
          <w:lang w:val="en-IE"/>
        </w:rPr>
        <w:t>, textile-related</w:t>
      </w:r>
      <w:r w:rsidR="468AA518" w:rsidRPr="00E50A7A">
        <w:rPr>
          <w:noProof/>
          <w:lang w:val="en-IE"/>
        </w:rPr>
        <w:t xml:space="preserve"> and footwear products they make available </w:t>
      </w:r>
      <w:r w:rsidR="006105C4" w:rsidRPr="00E50A7A">
        <w:rPr>
          <w:noProof/>
          <w:lang w:val="en-IE"/>
        </w:rPr>
        <w:t>on the m</w:t>
      </w:r>
      <w:r w:rsidR="003855DD" w:rsidRPr="00E50A7A">
        <w:rPr>
          <w:noProof/>
          <w:lang w:val="en-IE"/>
        </w:rPr>
        <w:t xml:space="preserve">arket </w:t>
      </w:r>
      <w:r w:rsidR="468AA518" w:rsidRPr="00E50A7A">
        <w:rPr>
          <w:noProof/>
          <w:lang w:val="en-IE"/>
        </w:rPr>
        <w:t xml:space="preserve">for the first time </w:t>
      </w:r>
      <w:r w:rsidR="00000AB9" w:rsidRPr="00E50A7A">
        <w:rPr>
          <w:noProof/>
          <w:lang w:val="en-IE"/>
        </w:rPr>
        <w:t>within the territory</w:t>
      </w:r>
      <w:r w:rsidR="468AA518" w:rsidRPr="00E50A7A">
        <w:rPr>
          <w:noProof/>
          <w:lang w:val="en-IE"/>
        </w:rPr>
        <w:t xml:space="preserve"> of a Member State, it is necessary that a register </w:t>
      </w:r>
      <w:r w:rsidR="1ACD99DF" w:rsidRPr="00E50A7A">
        <w:rPr>
          <w:noProof/>
          <w:lang w:val="en-IE"/>
        </w:rPr>
        <w:t xml:space="preserve">of producers </w:t>
      </w:r>
      <w:r w:rsidR="468AA518" w:rsidRPr="00E50A7A">
        <w:rPr>
          <w:noProof/>
          <w:lang w:val="en-IE"/>
        </w:rPr>
        <w:t>is established and managed by each Member State and that producers should be obliged to register. The registration requirements</w:t>
      </w:r>
      <w:r w:rsidR="436B7BE0" w:rsidRPr="00E50A7A">
        <w:rPr>
          <w:noProof/>
          <w:lang w:val="en-IE"/>
        </w:rPr>
        <w:t xml:space="preserve"> and format</w:t>
      </w:r>
      <w:r w:rsidR="468AA518" w:rsidRPr="00E50A7A">
        <w:rPr>
          <w:noProof/>
          <w:lang w:val="en-IE"/>
        </w:rPr>
        <w:t xml:space="preserve"> should be harmonised across the Union to the greatest extent possible so as to facilitate registration in particular where producers make textile</w:t>
      </w:r>
      <w:r w:rsidR="1EBFB621" w:rsidRPr="00E50A7A">
        <w:rPr>
          <w:noProof/>
          <w:lang w:val="en-IE"/>
        </w:rPr>
        <w:t>, textile-related</w:t>
      </w:r>
      <w:r w:rsidR="468AA518" w:rsidRPr="00E50A7A">
        <w:rPr>
          <w:noProof/>
          <w:lang w:val="en-IE"/>
        </w:rPr>
        <w:t xml:space="preserve"> and footwear products available </w:t>
      </w:r>
      <w:r w:rsidR="00952785" w:rsidRPr="00E50A7A">
        <w:rPr>
          <w:noProof/>
          <w:lang w:val="en-IE"/>
        </w:rPr>
        <w:t xml:space="preserve">on the market for the first time </w:t>
      </w:r>
      <w:r w:rsidR="468AA518" w:rsidRPr="00E50A7A">
        <w:rPr>
          <w:noProof/>
          <w:lang w:val="en-IE"/>
        </w:rPr>
        <w:t>in different Member States. The information in the register should be accessible to those entities that play a role in the verification of the compliance with the extended producer responsibility obligations and their enforcement.</w:t>
      </w:r>
    </w:p>
    <w:p w14:paraId="315B6B08" w14:textId="7D27664D" w:rsidR="007378F4" w:rsidRPr="00E50A7A" w:rsidRDefault="00384B96" w:rsidP="00384B96">
      <w:pPr>
        <w:pStyle w:val="ManualConsidrant"/>
        <w:rPr>
          <w:noProof/>
          <w:lang w:val="en-IE"/>
        </w:rPr>
      </w:pPr>
      <w:r w:rsidRPr="00384B96">
        <w:t>(29)</w:t>
      </w:r>
      <w:r w:rsidRPr="00384B96">
        <w:tab/>
      </w:r>
      <w:r w:rsidR="468AA518" w:rsidRPr="00E50A7A">
        <w:rPr>
          <w:noProof/>
          <w:lang w:val="en-IE"/>
        </w:rPr>
        <w:t>Since the textile sector is 99% comprised of small and medium sized enterprises, the implementation of an extended producer responsibility scheme for textiles</w:t>
      </w:r>
      <w:r w:rsidR="00C41939">
        <w:rPr>
          <w:noProof/>
          <w:lang w:val="en-IE"/>
        </w:rPr>
        <w:t xml:space="preserve">, </w:t>
      </w:r>
      <w:r w:rsidR="007D36FF">
        <w:rPr>
          <w:noProof/>
          <w:lang w:val="en-IE"/>
        </w:rPr>
        <w:t>t</w:t>
      </w:r>
      <w:r w:rsidR="00C41939">
        <w:rPr>
          <w:noProof/>
          <w:lang w:val="en-IE"/>
        </w:rPr>
        <w:t>extile-related</w:t>
      </w:r>
      <w:r w:rsidR="468AA518" w:rsidRPr="00E50A7A">
        <w:rPr>
          <w:noProof/>
          <w:lang w:val="en-IE"/>
        </w:rPr>
        <w:t xml:space="preserve"> and footwear products should aim to reduce as much as possible administrative burdens. Therefore, the fulfilment of the extended producer responsibilities should be exercise</w:t>
      </w:r>
      <w:r w:rsidR="4348E7D0" w:rsidRPr="00E50A7A">
        <w:rPr>
          <w:noProof/>
          <w:lang w:val="en-IE"/>
        </w:rPr>
        <w:t>d</w:t>
      </w:r>
      <w:r w:rsidR="468AA518" w:rsidRPr="00E50A7A">
        <w:rPr>
          <w:noProof/>
          <w:lang w:val="en-IE"/>
        </w:rPr>
        <w:t xml:space="preserve"> collectively by means of producer responsibility organisations taking up the responsibility on their behalf. Producer responsibility organisations should be subject to authorisation by Member States and should document, inter alia, that they have the </w:t>
      </w:r>
      <w:r w:rsidR="468AA518" w:rsidRPr="00E50A7A">
        <w:rPr>
          <w:noProof/>
          <w:lang w:val="en-IE"/>
        </w:rPr>
        <w:lastRenderedPageBreak/>
        <w:t>financial means to cover the costs entailed by the extended producer responsibility and that they fulfil that responsibility.</w:t>
      </w:r>
    </w:p>
    <w:p w14:paraId="1B25E35B" w14:textId="2F7D836B" w:rsidR="007378F4" w:rsidRPr="00E50A7A" w:rsidRDefault="00384B96" w:rsidP="00384B96">
      <w:pPr>
        <w:pStyle w:val="ManualConsidrant"/>
        <w:rPr>
          <w:noProof/>
          <w:lang w:val="en-IE"/>
        </w:rPr>
      </w:pPr>
      <w:r w:rsidRPr="00384B96">
        <w:t>(30)</w:t>
      </w:r>
      <w:r w:rsidRPr="00384B96">
        <w:tab/>
      </w:r>
      <w:r w:rsidR="00C41939">
        <w:rPr>
          <w:noProof/>
          <w:lang w:val="en-IE"/>
        </w:rPr>
        <w:t xml:space="preserve">Article 30(1) of </w:t>
      </w:r>
      <w:r w:rsidR="468AA518" w:rsidRPr="00E50A7A">
        <w:rPr>
          <w:noProof/>
          <w:lang w:val="en-IE"/>
        </w:rPr>
        <w:t>Regulation (EU) 2022/2065 of the European Parliament and of the Council</w:t>
      </w:r>
      <w:r w:rsidR="0074680C" w:rsidRPr="00E50A7A">
        <w:rPr>
          <w:rStyle w:val="FootnoteReference"/>
          <w:noProof/>
          <w:lang w:val="en-IE"/>
        </w:rPr>
        <w:footnoteReference w:id="84"/>
      </w:r>
      <w:r w:rsidR="468AA518" w:rsidRPr="00E50A7A">
        <w:rPr>
          <w:noProof/>
          <w:lang w:val="en-IE"/>
        </w:rPr>
        <w:t xml:space="preserve"> </w:t>
      </w:r>
      <w:r w:rsidR="00C41939" w:rsidRPr="00A467A8">
        <w:rPr>
          <w:noProof/>
        </w:rPr>
        <w:t>obliges</w:t>
      </w:r>
      <w:r w:rsidR="00C41939">
        <w:rPr>
          <w:noProof/>
        </w:rPr>
        <w:t xml:space="preserve"> certain</w:t>
      </w:r>
      <w:r w:rsidR="00C41939" w:rsidRPr="00A467A8">
        <w:rPr>
          <w:noProof/>
        </w:rPr>
        <w:t xml:space="preserve"> providers of online platforms allowing consumers to conclude distance contracts with </w:t>
      </w:r>
      <w:r w:rsidR="00C41939" w:rsidRPr="0C363BF0">
        <w:rPr>
          <w:noProof/>
        </w:rPr>
        <w:t>producers offering textile</w:t>
      </w:r>
      <w:r w:rsidR="00C41939">
        <w:rPr>
          <w:noProof/>
        </w:rPr>
        <w:t>, textile-related</w:t>
      </w:r>
      <w:r w:rsidR="00C41939" w:rsidRPr="0C363BF0">
        <w:rPr>
          <w:noProof/>
        </w:rPr>
        <w:t xml:space="preserve"> and footwear products to consumers located in the Union</w:t>
      </w:r>
      <w:r w:rsidR="00C41939" w:rsidRPr="00A467A8">
        <w:rPr>
          <w:noProof/>
        </w:rPr>
        <w:t xml:space="preserve">, prior to allowing a </w:t>
      </w:r>
      <w:r w:rsidR="00C41939">
        <w:rPr>
          <w:noProof/>
        </w:rPr>
        <w:t>producer</w:t>
      </w:r>
      <w:r w:rsidR="00C41939" w:rsidRPr="00A467A8">
        <w:rPr>
          <w:noProof/>
        </w:rPr>
        <w:t xml:space="preserve"> to use its services, to obtain certain identification information from th</w:t>
      </w:r>
      <w:r w:rsidR="00C41939">
        <w:rPr>
          <w:noProof/>
        </w:rPr>
        <w:t>at producer</w:t>
      </w:r>
      <w:r w:rsidR="00C41939" w:rsidRPr="00A467A8">
        <w:rPr>
          <w:noProof/>
        </w:rPr>
        <w:t xml:space="preserve"> and a self-certification by the </w:t>
      </w:r>
      <w:r w:rsidR="00C41939">
        <w:rPr>
          <w:noProof/>
        </w:rPr>
        <w:t>producer</w:t>
      </w:r>
      <w:r w:rsidR="00C41939" w:rsidRPr="00A467A8">
        <w:rPr>
          <w:noProof/>
        </w:rPr>
        <w:t xml:space="preserve"> committing to only offer products or services that comply with the applicable rules of Union law. </w:t>
      </w:r>
      <w:r w:rsidR="00C41939" w:rsidRPr="0C363BF0">
        <w:rPr>
          <w:noProof/>
        </w:rPr>
        <w:t xml:space="preserve">In order to </w:t>
      </w:r>
      <w:r w:rsidR="00C41939">
        <w:rPr>
          <w:noProof/>
        </w:rPr>
        <w:t>ensure the effective enforcement of</w:t>
      </w:r>
      <w:r w:rsidR="00C41939" w:rsidRPr="0C363BF0">
        <w:rPr>
          <w:noProof/>
        </w:rPr>
        <w:t xml:space="preserve"> the extended producer responsibility obligations, it should be specified </w:t>
      </w:r>
      <w:r w:rsidR="00C41939">
        <w:rPr>
          <w:noProof/>
        </w:rPr>
        <w:t>that</w:t>
      </w:r>
      <w:r w:rsidR="00C41939" w:rsidRPr="0C363BF0">
        <w:rPr>
          <w:noProof/>
        </w:rPr>
        <w:t xml:space="preserve"> providers of online platforms falling within the scope of Chapter 3</w:t>
      </w:r>
      <w:r w:rsidR="00C41939">
        <w:rPr>
          <w:noProof/>
        </w:rPr>
        <w:t>,</w:t>
      </w:r>
      <w:r w:rsidR="00C41939" w:rsidRPr="0C363BF0">
        <w:rPr>
          <w:noProof/>
        </w:rPr>
        <w:t xml:space="preserve"> Section 4</w:t>
      </w:r>
      <w:r w:rsidR="00C41939">
        <w:rPr>
          <w:noProof/>
        </w:rPr>
        <w:t>,</w:t>
      </w:r>
      <w:r w:rsidR="00C41939" w:rsidRPr="0C363BF0">
        <w:rPr>
          <w:noProof/>
        </w:rPr>
        <w:t xml:space="preserve"> of Regulation (EU) 2022/2065</w:t>
      </w:r>
      <w:r w:rsidR="00C41939">
        <w:rPr>
          <w:noProof/>
        </w:rPr>
        <w:t xml:space="preserve"> </w:t>
      </w:r>
      <w:r w:rsidR="00C41939" w:rsidRPr="0C363BF0">
        <w:rPr>
          <w:noProof/>
        </w:rPr>
        <w:t>should</w:t>
      </w:r>
      <w:r w:rsidR="00C41939">
        <w:rPr>
          <w:noProof/>
        </w:rPr>
        <w:t xml:space="preserve"> </w:t>
      </w:r>
      <w:r w:rsidR="00C41939" w:rsidRPr="0C363BF0">
        <w:rPr>
          <w:noProof/>
        </w:rPr>
        <w:t xml:space="preserve">obtain from those producers information </w:t>
      </w:r>
      <w:r w:rsidR="00C41939">
        <w:rPr>
          <w:noProof/>
        </w:rPr>
        <w:t xml:space="preserve">on the registration in the textile producer register </w:t>
      </w:r>
      <w:r w:rsidR="007E4A66">
        <w:rPr>
          <w:noProof/>
        </w:rPr>
        <w:t xml:space="preserve">that </w:t>
      </w:r>
      <w:r w:rsidR="00C41939">
        <w:rPr>
          <w:noProof/>
        </w:rPr>
        <w:t>Member State are obliged to set up pursuant to this Directive, as well as the registration number(s) of the producer in that register, and a self-certification by the producer committing itself to only offer textile, textile-related and footwear products</w:t>
      </w:r>
      <w:r w:rsidR="00C41939" w:rsidRPr="0C363BF0">
        <w:rPr>
          <w:noProof/>
        </w:rPr>
        <w:t xml:space="preserve"> </w:t>
      </w:r>
      <w:r w:rsidR="00C41939">
        <w:rPr>
          <w:noProof/>
        </w:rPr>
        <w:t>to which the extended producer responsibility requirements laid down by this Directive apply.</w:t>
      </w:r>
      <w:r w:rsidR="00C41939" w:rsidRPr="0C363BF0">
        <w:rPr>
          <w:noProof/>
        </w:rPr>
        <w:t xml:space="preserve"> </w:t>
      </w:r>
      <w:r w:rsidR="00C41939">
        <w:rPr>
          <w:noProof/>
        </w:rPr>
        <w:t>T</w:t>
      </w:r>
      <w:r w:rsidR="00C41939" w:rsidRPr="0C363BF0">
        <w:rPr>
          <w:noProof/>
        </w:rPr>
        <w:t>he rules</w:t>
      </w:r>
      <w:r w:rsidR="00C41939">
        <w:rPr>
          <w:noProof/>
        </w:rPr>
        <w:t xml:space="preserve"> on enforcement laid down in Chapter IV</w:t>
      </w:r>
      <w:r w:rsidR="00C41939" w:rsidRPr="0C363BF0">
        <w:rPr>
          <w:noProof/>
        </w:rPr>
        <w:t xml:space="preserve"> </w:t>
      </w:r>
      <w:r w:rsidR="00C41939">
        <w:rPr>
          <w:noProof/>
        </w:rPr>
        <w:t>of</w:t>
      </w:r>
      <w:r w:rsidR="00C41939" w:rsidRPr="0C363BF0">
        <w:rPr>
          <w:noProof/>
        </w:rPr>
        <w:t xml:space="preserve"> Regulation (EU) 2022/2065</w:t>
      </w:r>
      <w:r w:rsidR="00C41939">
        <w:rPr>
          <w:noProof/>
        </w:rPr>
        <w:t xml:space="preserve"> apply to providers of such platforms in relation to these traceability rules</w:t>
      </w:r>
      <w:r w:rsidR="468AA518" w:rsidRPr="00E50A7A">
        <w:rPr>
          <w:noProof/>
          <w:lang w:val="en-IE"/>
        </w:rPr>
        <w:t>.</w:t>
      </w:r>
    </w:p>
    <w:p w14:paraId="178FDE8C" w14:textId="3EB7E29D" w:rsidR="007378F4" w:rsidRPr="00E50A7A" w:rsidRDefault="00384B96" w:rsidP="00384B96">
      <w:pPr>
        <w:pStyle w:val="ManualConsidrant"/>
        <w:rPr>
          <w:noProof/>
          <w:lang w:val="en-IE"/>
        </w:rPr>
      </w:pPr>
      <w:r w:rsidRPr="00384B96">
        <w:t>(31)</w:t>
      </w:r>
      <w:r w:rsidRPr="00384B96">
        <w:tab/>
      </w:r>
      <w:r w:rsidR="468AA518" w:rsidRPr="00E50A7A">
        <w:rPr>
          <w:noProof/>
          <w:lang w:val="en-IE"/>
        </w:rPr>
        <w:t>In order to ensure the treatment of textiles in line with the waste hierarchy set out in Directive 2008/98/EC, producer responsibility organisations should ensure that all separately collected textiles and footwear are subject to sorting operations that generate both items that are fit for re-use meeting the needs of the receiving second-hand textile and the recycling feedstock markets in the Union and globally. In view of the greater environmental benefits associated with extending the lifetime of textiles, re-use should be the main objective of the sorting operations followed by sorting for recycling where the items are professionally assessed as not re-useable. These</w:t>
      </w:r>
      <w:r w:rsidR="2DAED184" w:rsidRPr="00E50A7A">
        <w:rPr>
          <w:noProof/>
          <w:lang w:val="en-IE"/>
        </w:rPr>
        <w:t xml:space="preserve"> sorting</w:t>
      </w:r>
      <w:r w:rsidR="468AA518" w:rsidRPr="00E50A7A">
        <w:rPr>
          <w:noProof/>
          <w:lang w:val="en-IE"/>
        </w:rPr>
        <w:t xml:space="preserve"> requirements should be </w:t>
      </w:r>
      <w:r w:rsidR="53672984" w:rsidRPr="00E50A7A">
        <w:rPr>
          <w:noProof/>
          <w:lang w:val="en-IE"/>
        </w:rPr>
        <w:t xml:space="preserve">developed by the Commission as a priority as </w:t>
      </w:r>
      <w:r w:rsidR="468AA518" w:rsidRPr="00E50A7A">
        <w:rPr>
          <w:noProof/>
          <w:lang w:val="en-IE"/>
        </w:rPr>
        <w:t xml:space="preserve">part of the </w:t>
      </w:r>
      <w:r w:rsidR="12E87BE1" w:rsidRPr="00E50A7A">
        <w:rPr>
          <w:noProof/>
          <w:lang w:val="en-IE"/>
        </w:rPr>
        <w:t xml:space="preserve">harmonised </w:t>
      </w:r>
      <w:r w:rsidR="0A587254" w:rsidRPr="00E50A7A">
        <w:rPr>
          <w:noProof/>
          <w:lang w:val="en-IE"/>
        </w:rPr>
        <w:t xml:space="preserve">Union </w:t>
      </w:r>
      <w:r w:rsidR="468AA518" w:rsidRPr="00E50A7A">
        <w:rPr>
          <w:noProof/>
          <w:lang w:val="en-IE"/>
        </w:rPr>
        <w:t>end-of-waste criteria for re-useable textiles and recycled textiles</w:t>
      </w:r>
      <w:r w:rsidR="53672984" w:rsidRPr="00E50A7A">
        <w:rPr>
          <w:noProof/>
          <w:lang w:val="en-IE"/>
        </w:rPr>
        <w:t>, inc</w:t>
      </w:r>
      <w:r w:rsidR="0CF161ED" w:rsidRPr="00E50A7A">
        <w:rPr>
          <w:noProof/>
          <w:lang w:val="en-IE"/>
        </w:rPr>
        <w:t>l</w:t>
      </w:r>
      <w:r w:rsidR="53672984" w:rsidRPr="00E50A7A">
        <w:rPr>
          <w:noProof/>
          <w:lang w:val="en-IE"/>
        </w:rPr>
        <w:t>uding on initial sorting that may take place at the collection point</w:t>
      </w:r>
      <w:r w:rsidR="468AA518" w:rsidRPr="00E50A7A">
        <w:rPr>
          <w:noProof/>
          <w:lang w:val="en-IE"/>
        </w:rPr>
        <w:t xml:space="preserve">. Such harmonised criteria should bring about consistency and high quality in the collected fractions as well as </w:t>
      </w:r>
      <w:r w:rsidR="12E87BE1" w:rsidRPr="00E50A7A">
        <w:rPr>
          <w:noProof/>
          <w:lang w:val="en-IE"/>
        </w:rPr>
        <w:t xml:space="preserve">in </w:t>
      </w:r>
      <w:r w:rsidR="468AA518" w:rsidRPr="00E50A7A">
        <w:rPr>
          <w:noProof/>
          <w:lang w:val="en-IE"/>
        </w:rPr>
        <w:t xml:space="preserve">material flows for sorting, waste recovery operations and secondary raw materials </w:t>
      </w:r>
      <w:r w:rsidR="0B1BF82B" w:rsidRPr="00E50A7A">
        <w:rPr>
          <w:noProof/>
          <w:lang w:val="en-IE"/>
        </w:rPr>
        <w:t xml:space="preserve">across borders </w:t>
      </w:r>
      <w:r w:rsidR="468AA518" w:rsidRPr="00E50A7A">
        <w:rPr>
          <w:noProof/>
          <w:lang w:val="en-IE"/>
        </w:rPr>
        <w:t>which in turn should facilitate the scaling up re-use and recycling value chains.</w:t>
      </w:r>
      <w:r w:rsidR="12E87BE1" w:rsidRPr="00E50A7A">
        <w:rPr>
          <w:noProof/>
          <w:lang w:val="en-IE"/>
        </w:rPr>
        <w:t xml:space="preserve"> </w:t>
      </w:r>
      <w:r w:rsidR="53672984" w:rsidRPr="00E50A7A">
        <w:rPr>
          <w:noProof/>
          <w:lang w:val="en-IE"/>
        </w:rPr>
        <w:t xml:space="preserve">Used clothes </w:t>
      </w:r>
      <w:r w:rsidR="46922269" w:rsidRPr="00E50A7A">
        <w:rPr>
          <w:noProof/>
          <w:lang w:val="en-IE"/>
        </w:rPr>
        <w:t xml:space="preserve">professionally </w:t>
      </w:r>
      <w:r w:rsidR="53672984" w:rsidRPr="00E50A7A">
        <w:rPr>
          <w:noProof/>
          <w:lang w:val="en-IE"/>
        </w:rPr>
        <w:t>assessed as fit for re-use by the re-use operators or social enterprises</w:t>
      </w:r>
      <w:r w:rsidR="00BF4E20">
        <w:rPr>
          <w:noProof/>
          <w:lang w:val="en-IE"/>
        </w:rPr>
        <w:t xml:space="preserve"> and social economy entities</w:t>
      </w:r>
      <w:r w:rsidR="53672984" w:rsidRPr="00E50A7A">
        <w:rPr>
          <w:noProof/>
          <w:lang w:val="en-IE"/>
        </w:rPr>
        <w:t xml:space="preserve"> at the collection point from end-users should not be considered waste. </w:t>
      </w:r>
      <w:r w:rsidR="632D1736" w:rsidRPr="00E50A7A">
        <w:rPr>
          <w:noProof/>
          <w:lang w:val="en-IE"/>
        </w:rPr>
        <w:t>In case re-use or recycling is not technically possible, the waste hierarchy should still be applied, avoiding landfilling where possible</w:t>
      </w:r>
      <w:r w:rsidR="002B0754" w:rsidRPr="00E50A7A">
        <w:rPr>
          <w:noProof/>
          <w:lang w:val="en-IE"/>
        </w:rPr>
        <w:t>,</w:t>
      </w:r>
      <w:r w:rsidR="632D1736" w:rsidRPr="00E50A7A">
        <w:rPr>
          <w:noProof/>
          <w:lang w:val="en-IE"/>
        </w:rPr>
        <w:t xml:space="preserve"> </w:t>
      </w:r>
      <w:r w:rsidR="002B0754" w:rsidRPr="00E50A7A">
        <w:rPr>
          <w:noProof/>
          <w:lang w:val="en-IE"/>
        </w:rPr>
        <w:t>in particular of</w:t>
      </w:r>
      <w:r w:rsidR="632D1736" w:rsidRPr="00E50A7A">
        <w:rPr>
          <w:noProof/>
          <w:lang w:val="en-IE"/>
        </w:rPr>
        <w:t xml:space="preserve"> </w:t>
      </w:r>
      <w:r w:rsidR="008E1E84" w:rsidRPr="00E50A7A">
        <w:rPr>
          <w:noProof/>
          <w:lang w:val="en-IE"/>
        </w:rPr>
        <w:t>biod</w:t>
      </w:r>
      <w:r w:rsidR="00771257" w:rsidRPr="00E50A7A">
        <w:rPr>
          <w:noProof/>
          <w:lang w:val="en-IE"/>
        </w:rPr>
        <w:t>egradable textiles that are a source of</w:t>
      </w:r>
      <w:r w:rsidR="632D1736" w:rsidRPr="00E50A7A">
        <w:rPr>
          <w:noProof/>
          <w:lang w:val="en-IE"/>
        </w:rPr>
        <w:t xml:space="preserve"> methane emissions, and applying energy recovery when incineration is applied.</w:t>
      </w:r>
    </w:p>
    <w:p w14:paraId="05595517" w14:textId="52D133AA" w:rsidR="007378F4" w:rsidRPr="00E50A7A" w:rsidRDefault="00384B96" w:rsidP="00384B96">
      <w:pPr>
        <w:pStyle w:val="ManualConsidrant"/>
        <w:rPr>
          <w:noProof/>
          <w:lang w:val="en-IE"/>
        </w:rPr>
      </w:pPr>
      <w:r w:rsidRPr="00384B96">
        <w:t>(32)</w:t>
      </w:r>
      <w:r w:rsidRPr="00384B96">
        <w:tab/>
      </w:r>
      <w:r w:rsidR="468AA518" w:rsidRPr="00E50A7A">
        <w:rPr>
          <w:noProof/>
          <w:lang w:val="en-IE"/>
        </w:rPr>
        <w:t xml:space="preserve">Exports of used and waste textiles outside the EU have been steadily increasing with exports representing the greatest share of the re-use market for post-consumer textiles generated in the EU. In view of the significant increase of the collected textile waste after the introduction of separate collection by 2025 it is important to strengthen the efforts to combat illegal shipments of waste to third countries disguised as non-waste for the purpose of ensuring high environmental protection. Building on Regulation </w:t>
      </w:r>
      <w:r w:rsidR="007E4A66">
        <w:rPr>
          <w:noProof/>
          <w:lang w:val="en-IE"/>
        </w:rPr>
        <w:t>…/… [</w:t>
      </w:r>
      <w:r w:rsidR="007E4A66" w:rsidRPr="00815230">
        <w:rPr>
          <w:i/>
          <w:iCs/>
          <w:noProof/>
          <w:lang w:val="en-IE"/>
        </w:rPr>
        <w:t>P</w:t>
      </w:r>
      <w:r w:rsidR="007E4A66" w:rsidRPr="00165EF1">
        <w:rPr>
          <w:i/>
          <w:iCs/>
          <w:noProof/>
          <w:lang w:val="en-IE"/>
        </w:rPr>
        <w:t>.O</w:t>
      </w:r>
      <w:r w:rsidR="007E4A66" w:rsidRPr="00F06E72">
        <w:rPr>
          <w:i/>
          <w:iCs/>
          <w:noProof/>
          <w:lang w:val="en-IE"/>
        </w:rPr>
        <w:t>. insert the institutions and serial number, and complete the footnote for the Regulation on the Shipment of waste</w:t>
      </w:r>
      <w:r w:rsidR="007E4A66">
        <w:rPr>
          <w:noProof/>
          <w:lang w:val="en-IE"/>
        </w:rPr>
        <w:t>]</w:t>
      </w:r>
      <w:r w:rsidR="0074680C" w:rsidRPr="00E50A7A">
        <w:rPr>
          <w:rStyle w:val="FootnoteReference"/>
          <w:noProof/>
          <w:lang w:val="en-IE"/>
        </w:rPr>
        <w:footnoteReference w:id="85"/>
      </w:r>
      <w:r w:rsidR="468AA518" w:rsidRPr="00E50A7A">
        <w:rPr>
          <w:noProof/>
          <w:lang w:val="en-IE"/>
        </w:rPr>
        <w:t xml:space="preserve"> and </w:t>
      </w:r>
      <w:r w:rsidR="246DF693" w:rsidRPr="00E50A7A">
        <w:rPr>
          <w:noProof/>
          <w:lang w:val="en-IE"/>
        </w:rPr>
        <w:t xml:space="preserve">in view of the objective </w:t>
      </w:r>
      <w:r w:rsidR="468AA518" w:rsidRPr="00E50A7A">
        <w:rPr>
          <w:noProof/>
          <w:lang w:val="en-IE"/>
        </w:rPr>
        <w:t xml:space="preserve">to ensure the </w:t>
      </w:r>
      <w:r w:rsidR="468AA518" w:rsidRPr="00E50A7A">
        <w:rPr>
          <w:noProof/>
          <w:lang w:val="en-IE"/>
        </w:rPr>
        <w:lastRenderedPageBreak/>
        <w:t>sustainable management of post-consumer textiles</w:t>
      </w:r>
      <w:r w:rsidR="246DF693" w:rsidRPr="00E50A7A">
        <w:rPr>
          <w:noProof/>
          <w:lang w:val="en-IE"/>
        </w:rPr>
        <w:t xml:space="preserve"> and tackle illegal shipments of waste</w:t>
      </w:r>
      <w:r w:rsidR="468AA518" w:rsidRPr="00E50A7A">
        <w:rPr>
          <w:noProof/>
          <w:lang w:val="en-IE"/>
        </w:rPr>
        <w:t xml:space="preserve">, </w:t>
      </w:r>
      <w:r w:rsidR="007E4A66">
        <w:rPr>
          <w:noProof/>
          <w:lang w:val="en-IE"/>
        </w:rPr>
        <w:t xml:space="preserve">it </w:t>
      </w:r>
      <w:r w:rsidR="00F06E72">
        <w:rPr>
          <w:noProof/>
          <w:lang w:val="en-IE"/>
        </w:rPr>
        <w:t>should be provided</w:t>
      </w:r>
      <w:r w:rsidR="007E4A66">
        <w:rPr>
          <w:noProof/>
          <w:lang w:val="en-IE"/>
        </w:rPr>
        <w:t xml:space="preserve"> that </w:t>
      </w:r>
      <w:r w:rsidR="468AA518" w:rsidRPr="00E50A7A">
        <w:rPr>
          <w:noProof/>
          <w:lang w:val="en-IE"/>
        </w:rPr>
        <w:t xml:space="preserve">all separately collected </w:t>
      </w:r>
      <w:r w:rsidR="007E4A66">
        <w:rPr>
          <w:noProof/>
          <w:lang w:val="en-IE"/>
        </w:rPr>
        <w:t xml:space="preserve">used </w:t>
      </w:r>
      <w:r w:rsidR="468AA518" w:rsidRPr="00E50A7A">
        <w:rPr>
          <w:noProof/>
          <w:lang w:val="en-IE"/>
        </w:rPr>
        <w:t>textiles</w:t>
      </w:r>
      <w:r w:rsidR="007E4A66">
        <w:rPr>
          <w:noProof/>
          <w:lang w:val="en-IE"/>
        </w:rPr>
        <w:t>, textile-related and footwear products undergo a sorting operation</w:t>
      </w:r>
      <w:r w:rsidR="0068785E" w:rsidRPr="0068785E">
        <w:rPr>
          <w:noProof/>
          <w:lang w:val="en-IE"/>
        </w:rPr>
        <w:t xml:space="preserve"> prior to their shipment</w:t>
      </w:r>
      <w:r w:rsidR="00F06E72">
        <w:rPr>
          <w:noProof/>
          <w:lang w:val="en-IE"/>
        </w:rPr>
        <w:t xml:space="preserve">. Furthermore, it should be provided </w:t>
      </w:r>
      <w:r w:rsidR="468AA518" w:rsidRPr="00E50A7A">
        <w:rPr>
          <w:noProof/>
          <w:lang w:val="en-IE"/>
        </w:rPr>
        <w:t xml:space="preserve">that all </w:t>
      </w:r>
      <w:r w:rsidR="246DF693" w:rsidRPr="00E50A7A">
        <w:rPr>
          <w:noProof/>
          <w:lang w:val="en-IE"/>
        </w:rPr>
        <w:t xml:space="preserve">separately </w:t>
      </w:r>
      <w:r w:rsidR="468AA518" w:rsidRPr="00E50A7A">
        <w:rPr>
          <w:noProof/>
          <w:lang w:val="en-IE"/>
        </w:rPr>
        <w:t>collected used textile</w:t>
      </w:r>
      <w:r w:rsidR="7EFA6EC9" w:rsidRPr="00E50A7A">
        <w:rPr>
          <w:noProof/>
          <w:lang w:val="en-IE"/>
        </w:rPr>
        <w:t>, textile-related</w:t>
      </w:r>
      <w:r w:rsidR="468AA518" w:rsidRPr="00E50A7A">
        <w:rPr>
          <w:noProof/>
          <w:lang w:val="en-IE"/>
        </w:rPr>
        <w:t xml:space="preserve"> and footwear items are regarded as waste and subject to Union waste legislation, including on the shipments of waste, until they have undergone a sorting operation by a trained </w:t>
      </w:r>
      <w:r w:rsidR="1AF1A88D" w:rsidRPr="00E50A7A">
        <w:rPr>
          <w:noProof/>
          <w:lang w:val="en-IE"/>
        </w:rPr>
        <w:t>sorting for re-use and recycling operator. The sor</w:t>
      </w:r>
      <w:r w:rsidR="0BFA7F09" w:rsidRPr="00E50A7A">
        <w:rPr>
          <w:noProof/>
          <w:lang w:val="en-IE"/>
        </w:rPr>
        <w:t>ting should be carried out in accordance with the</w:t>
      </w:r>
      <w:r w:rsidR="468AA518" w:rsidRPr="00E50A7A">
        <w:rPr>
          <w:noProof/>
          <w:lang w:val="en-IE"/>
        </w:rPr>
        <w:t xml:space="preserve"> harmonised sorting requirements that deliver high quality re-usable fraction that meet the needs of the receiving second hand textile markets in the EU and globally and by establishing criteria to distinguish between used goods and waste.</w:t>
      </w:r>
      <w:r w:rsidR="5E31F7B8" w:rsidRPr="00E50A7A">
        <w:rPr>
          <w:noProof/>
          <w:lang w:val="en-IE"/>
        </w:rPr>
        <w:t xml:space="preserve"> </w:t>
      </w:r>
      <w:r w:rsidR="00F06E72">
        <w:rPr>
          <w:noProof/>
          <w:lang w:val="en-IE"/>
        </w:rPr>
        <w:t xml:space="preserve">Shipments of used </w:t>
      </w:r>
      <w:r w:rsidR="00F06E72" w:rsidRPr="00E50A7A">
        <w:rPr>
          <w:noProof/>
          <w:lang w:val="en-IE"/>
        </w:rPr>
        <w:t>textiles</w:t>
      </w:r>
      <w:r w:rsidR="00F06E72">
        <w:rPr>
          <w:noProof/>
          <w:lang w:val="en-IE"/>
        </w:rPr>
        <w:t xml:space="preserve">, textile-related and footwear products should be accompanied by information demonstrating that those items are the output of a sorting </w:t>
      </w:r>
      <w:r w:rsidR="003468A9">
        <w:rPr>
          <w:noProof/>
          <w:lang w:val="en-IE"/>
        </w:rPr>
        <w:t xml:space="preserve">or a preparing for re-use </w:t>
      </w:r>
      <w:r w:rsidR="00F06E72">
        <w:rPr>
          <w:noProof/>
          <w:lang w:val="en-IE"/>
        </w:rPr>
        <w:t xml:space="preserve">operation and that the items are suitable for re-use. </w:t>
      </w:r>
    </w:p>
    <w:p w14:paraId="4F21F79F" w14:textId="674B6792" w:rsidR="007378F4" w:rsidRPr="00B314C8" w:rsidRDefault="00384B96" w:rsidP="00384B96">
      <w:pPr>
        <w:pStyle w:val="ManualConsidrant"/>
        <w:rPr>
          <w:noProof/>
          <w:lang w:val="en-IE"/>
        </w:rPr>
      </w:pPr>
      <w:r w:rsidRPr="00384B96">
        <w:t>(33)</w:t>
      </w:r>
      <w:r w:rsidRPr="00384B96">
        <w:tab/>
      </w:r>
      <w:r w:rsidR="468AA518" w:rsidRPr="00B314C8">
        <w:rPr>
          <w:noProof/>
          <w:lang w:val="en-IE"/>
        </w:rPr>
        <w:t xml:space="preserve">In order for Member States to achieve the targets set </w:t>
      </w:r>
      <w:r w:rsidR="2246D0A0" w:rsidRPr="00B314C8">
        <w:rPr>
          <w:noProof/>
          <w:lang w:val="en-IE"/>
        </w:rPr>
        <w:t>out</w:t>
      </w:r>
      <w:r w:rsidR="468AA518" w:rsidRPr="00B314C8">
        <w:rPr>
          <w:noProof/>
          <w:lang w:val="en-IE"/>
        </w:rPr>
        <w:t xml:space="preserve"> in this Directive, Member States should revise their food waste prevention programmes to include new measures, involving multiple partners from the public and private sectors</w:t>
      </w:r>
      <w:r w:rsidR="00B83258" w:rsidRPr="00B314C8">
        <w:rPr>
          <w:noProof/>
          <w:lang w:val="en-IE"/>
        </w:rPr>
        <w:t>,</w:t>
      </w:r>
      <w:r w:rsidR="00415D46">
        <w:rPr>
          <w:rStyle w:val="CommentReference"/>
          <w:noProof/>
        </w:rPr>
        <w:t xml:space="preserve"> </w:t>
      </w:r>
      <w:r w:rsidR="468AA518" w:rsidRPr="00B314C8">
        <w:rPr>
          <w:noProof/>
          <w:lang w:val="en-IE"/>
        </w:rPr>
        <w:t>with coordinated actions tailored to address specific hotspots as well as attitudes and behaviours that lead to food waste</w:t>
      </w:r>
      <w:r w:rsidR="00CA3C44">
        <w:rPr>
          <w:noProof/>
          <w:lang w:val="en-IE"/>
        </w:rPr>
        <w:t xml:space="preserve">. </w:t>
      </w:r>
      <w:r w:rsidR="00CA3C44" w:rsidRPr="00CA3C44">
        <w:rPr>
          <w:noProof/>
        </w:rPr>
        <w:t>In the preparation of these programmes, Member States could draw inspiration from the recommendations produced by the Citizens’ Panel on Food Waste</w:t>
      </w:r>
      <w:r w:rsidR="468AA518" w:rsidRPr="00B314C8">
        <w:rPr>
          <w:noProof/>
          <w:lang w:val="en-IE"/>
        </w:rPr>
        <w:t>.</w:t>
      </w:r>
    </w:p>
    <w:p w14:paraId="6525654D" w14:textId="6993D47B" w:rsidR="007378F4" w:rsidRPr="00E50A7A" w:rsidRDefault="00384B96" w:rsidP="00384B96">
      <w:pPr>
        <w:pStyle w:val="ManualConsidrant"/>
        <w:rPr>
          <w:noProof/>
          <w:lang w:val="en-IE"/>
        </w:rPr>
      </w:pPr>
      <w:r w:rsidRPr="00384B96">
        <w:t>(34)</w:t>
      </w:r>
      <w:r w:rsidRPr="00384B96">
        <w:tab/>
      </w:r>
      <w:r w:rsidR="468AA518" w:rsidRPr="00B314C8">
        <w:rPr>
          <w:noProof/>
          <w:lang w:val="en-IE"/>
        </w:rPr>
        <w:t xml:space="preserve">Clear accountability and governance of food waste prevention measures are essential to ensure effective coordination of action to drive change and reach the targets set </w:t>
      </w:r>
      <w:r w:rsidR="20D05D08" w:rsidRPr="00B314C8">
        <w:rPr>
          <w:noProof/>
          <w:lang w:val="en-IE"/>
        </w:rPr>
        <w:t xml:space="preserve">out </w:t>
      </w:r>
      <w:r w:rsidR="468AA518" w:rsidRPr="00B314C8">
        <w:rPr>
          <w:noProof/>
          <w:lang w:val="en-IE"/>
        </w:rPr>
        <w:t>in this Directive. Due to the shared agenda amongst many authorities and the variety of stakeholders engaged in the fight against food waste in Member States, there is a need for a designated competent authority in charge of overall coordination of actions at national level.</w:t>
      </w:r>
    </w:p>
    <w:p w14:paraId="66AC334E" w14:textId="32B1C9B4" w:rsidR="007378F4" w:rsidRPr="00E50A7A" w:rsidRDefault="00384B96" w:rsidP="00384B96">
      <w:pPr>
        <w:pStyle w:val="ManualConsidrant"/>
        <w:rPr>
          <w:noProof/>
          <w:lang w:val="en-IE"/>
        </w:rPr>
      </w:pPr>
      <w:r w:rsidRPr="00384B96">
        <w:t>(35)</w:t>
      </w:r>
      <w:r w:rsidRPr="00384B96">
        <w:tab/>
      </w:r>
      <w:r w:rsidR="468AA518" w:rsidRPr="00E50A7A">
        <w:rPr>
          <w:noProof/>
          <w:lang w:val="en-IE"/>
        </w:rPr>
        <w:t xml:space="preserve">The granularity of the information on post-consumer municipal textiles management at </w:t>
      </w:r>
      <w:r w:rsidR="0B41C7D1" w:rsidRPr="00E50A7A">
        <w:rPr>
          <w:noProof/>
          <w:lang w:val="en-IE"/>
        </w:rPr>
        <w:t xml:space="preserve">Union </w:t>
      </w:r>
      <w:r w:rsidR="468AA518" w:rsidRPr="00E50A7A">
        <w:rPr>
          <w:noProof/>
          <w:lang w:val="en-IE"/>
        </w:rPr>
        <w:t>level should be improved to more effectively monitor the re-use of products, including of re-use and preparation for re-use of textiles, including in view of the potential setting of the performance targets in the future. Re-use and preparation for re-use data represent key data flows for the monitoring of the decoupling of waste generation from economic growth and the transition towards a sustainable, inclusive and circular economy. Therefore, these data flows should be managed by the European Environmental Agency.</w:t>
      </w:r>
    </w:p>
    <w:p w14:paraId="77392C98" w14:textId="16D2DE95" w:rsidR="007378F4" w:rsidRPr="00E50A7A" w:rsidRDefault="00384B96" w:rsidP="00384B96">
      <w:pPr>
        <w:pStyle w:val="ManualConsidrant"/>
        <w:rPr>
          <w:noProof/>
          <w:lang w:val="en-IE"/>
        </w:rPr>
      </w:pPr>
      <w:r w:rsidRPr="00384B96">
        <w:t>(36)</w:t>
      </w:r>
      <w:r w:rsidRPr="00384B96">
        <w:tab/>
      </w:r>
      <w:r w:rsidR="00CA3C44" w:rsidRPr="00CA3C44">
        <w:rPr>
          <w:noProof/>
          <w:lang w:val="en-IE"/>
        </w:rPr>
        <w:t>The empowerment to adopt delegated acts set out in Article 9(8) of Directive 2008/98/EC as regards a common methodology and minimum quality requirements for the uniform measurement of levels of food waste should be moved, with minor adaptations, to a new Article that deals specifically with prevention of food waste generation</w:t>
      </w:r>
      <w:r w:rsidR="468AA518" w:rsidRPr="00E50A7A">
        <w:rPr>
          <w:noProof/>
          <w:lang w:val="en-IE"/>
        </w:rPr>
        <w:t>.</w:t>
      </w:r>
    </w:p>
    <w:p w14:paraId="38407776" w14:textId="530235B2" w:rsidR="00C41939" w:rsidRPr="00C41939" w:rsidRDefault="00384B96" w:rsidP="00384B96">
      <w:pPr>
        <w:pStyle w:val="ManualConsidrant"/>
        <w:rPr>
          <w:noProof/>
          <w:lang w:val="en-IE"/>
        </w:rPr>
      </w:pPr>
      <w:r w:rsidRPr="00384B96">
        <w:t>(37)</w:t>
      </w:r>
      <w:r w:rsidRPr="00384B96">
        <w:tab/>
      </w:r>
      <w:r w:rsidR="468AA518" w:rsidRPr="00E50A7A">
        <w:rPr>
          <w:noProof/>
          <w:lang w:val="en-IE"/>
        </w:rPr>
        <w:t xml:space="preserve">In order to </w:t>
      </w:r>
      <w:r w:rsidR="00F06E72">
        <w:rPr>
          <w:noProof/>
          <w:lang w:val="en-IE"/>
        </w:rPr>
        <w:t>bring the Combined Nomenclature codes listed in Directive 2008/98/EC in line with the codes listed in Annex 1 to Council Regulation (EEC) No 2658/87</w:t>
      </w:r>
      <w:r w:rsidR="468AA518" w:rsidRPr="00E50A7A">
        <w:rPr>
          <w:noProof/>
          <w:lang w:val="en-IE"/>
        </w:rPr>
        <w:t xml:space="preserve">, </w:t>
      </w:r>
      <w:r w:rsidR="00C41939" w:rsidRPr="00FB0EDB">
        <w:rPr>
          <w:noProof/>
        </w:rPr>
        <w:t xml:space="preserve">the power to adopt acts in accordance with Article 290 of the Treaty on the Functioning of the European Union should be delegated to </w:t>
      </w:r>
      <w:r w:rsidR="468AA518" w:rsidRPr="00E50A7A">
        <w:rPr>
          <w:noProof/>
          <w:lang w:val="en-IE"/>
        </w:rPr>
        <w:t xml:space="preserve">the Commission in respect of </w:t>
      </w:r>
      <w:r w:rsidR="00F06E72">
        <w:rPr>
          <w:noProof/>
          <w:lang w:val="en-IE"/>
        </w:rPr>
        <w:t>amendments to Annex IVc to Directive 2008/98/EC</w:t>
      </w:r>
      <w:r w:rsidR="00C41939">
        <w:rPr>
          <w:noProof/>
          <w:lang w:val="en-IE"/>
        </w:rPr>
        <w:t xml:space="preserve">. </w:t>
      </w:r>
      <w:r w:rsidR="00C41939" w:rsidRPr="00FB0EDB">
        <w:rPr>
          <w:noProof/>
        </w:rPr>
        <w:t xml:space="preserve">It is of particular importance that the Commission carry out appropriate consultations during its preparatory work, including at expert level, and that those consultations be conducted in accordance with the principles laid down in the Interinstitutional Agreement of 13 April 2016 on Better Law-Making. In particular, to ensure equal participation in the preparation of delegated acts, the European Parliament and the Council receive all documents at the same time as </w:t>
      </w:r>
      <w:r w:rsidR="00C41939" w:rsidRPr="00FB0EDB">
        <w:rPr>
          <w:noProof/>
        </w:rPr>
        <w:lastRenderedPageBreak/>
        <w:t>Member States' experts, and their experts systematically have access to meetings of Commission expert groups dealing with the preparation of delegated acts.</w:t>
      </w:r>
    </w:p>
    <w:p w14:paraId="6770CDAF" w14:textId="61E96CDD" w:rsidR="007378F4" w:rsidRPr="00E50A7A" w:rsidRDefault="00384B96" w:rsidP="00384B96">
      <w:pPr>
        <w:pStyle w:val="ManualConsidrant"/>
        <w:rPr>
          <w:noProof/>
          <w:lang w:val="en-IE"/>
        </w:rPr>
      </w:pPr>
      <w:r w:rsidRPr="00384B96">
        <w:t>(38)</w:t>
      </w:r>
      <w:r w:rsidRPr="00384B96">
        <w:tab/>
      </w:r>
      <w:r w:rsidR="00C41939" w:rsidRPr="00E50A7A">
        <w:rPr>
          <w:rFonts w:cs="Calibri"/>
          <w:noProof/>
          <w:lang w:val="en-IE"/>
        </w:rPr>
        <w:t>In order to ensure uniform conditions for the implementation of</w:t>
      </w:r>
      <w:r w:rsidR="00C41939">
        <w:rPr>
          <w:rFonts w:cs="Calibri"/>
          <w:noProof/>
          <w:lang w:val="en-IE"/>
        </w:rPr>
        <w:t xml:space="preserve"> </w:t>
      </w:r>
      <w:r w:rsidR="00C41939" w:rsidRPr="00E50A7A">
        <w:rPr>
          <w:rFonts w:cs="Calibri"/>
          <w:noProof/>
          <w:lang w:val="en-IE"/>
        </w:rPr>
        <w:t>Directive 2008/98/EC,</w:t>
      </w:r>
      <w:r w:rsidR="00C41939">
        <w:rPr>
          <w:rFonts w:cs="Calibri"/>
          <w:noProof/>
          <w:lang w:val="en-IE"/>
        </w:rPr>
        <w:t xml:space="preserve"> </w:t>
      </w:r>
      <w:r w:rsidR="00C41939" w:rsidRPr="00FB0EDB">
        <w:rPr>
          <w:noProof/>
        </w:rPr>
        <w:t>implementing powers should be conferred on the Commission</w:t>
      </w:r>
      <w:r w:rsidR="00C41939">
        <w:rPr>
          <w:noProof/>
          <w:lang w:val="en-IE"/>
        </w:rPr>
        <w:t xml:space="preserve"> </w:t>
      </w:r>
      <w:r w:rsidR="003468A9" w:rsidRPr="000B3E59">
        <w:rPr>
          <w:noProof/>
          <w:lang w:val="en-IE"/>
        </w:rPr>
        <w:t xml:space="preserve">concerning </w:t>
      </w:r>
      <w:r w:rsidR="009014B9">
        <w:rPr>
          <w:noProof/>
          <w:lang w:val="en-IE"/>
        </w:rPr>
        <w:t xml:space="preserve">a </w:t>
      </w:r>
      <w:r w:rsidR="003468A9" w:rsidRPr="000B3E59">
        <w:rPr>
          <w:noProof/>
          <w:lang w:val="en-IE"/>
        </w:rPr>
        <w:t xml:space="preserve">harmonised format for registration in the register based on the information requirements set out in Article 22b(4), fee modulation criteria for the application of Article 22c(3), point (a), </w:t>
      </w:r>
      <w:r w:rsidR="000458A8">
        <w:rPr>
          <w:noProof/>
          <w:lang w:val="en-IE"/>
        </w:rPr>
        <w:t xml:space="preserve">and a </w:t>
      </w:r>
      <w:r w:rsidR="003468A9" w:rsidRPr="000B3E59">
        <w:rPr>
          <w:noProof/>
          <w:lang w:val="en-IE"/>
        </w:rPr>
        <w:t>methodology for the calculation and verification of the separate collection rate referred to in Article 22c(6), point (c)</w:t>
      </w:r>
      <w:r w:rsidR="468AA518" w:rsidRPr="00E50A7A">
        <w:rPr>
          <w:rFonts w:cs="Calibri"/>
          <w:noProof/>
          <w:lang w:val="en-IE"/>
        </w:rPr>
        <w:t>. Those powers should be exercised in accordance with Regulation (EU) No 182/2011 of the European Parliament and of the Council</w:t>
      </w:r>
      <w:r w:rsidR="00290C17" w:rsidRPr="00E50A7A">
        <w:rPr>
          <w:rStyle w:val="FootnoteReference"/>
          <w:rFonts w:cs="Calibri"/>
          <w:noProof/>
          <w:lang w:val="en-IE"/>
        </w:rPr>
        <w:footnoteReference w:id="86"/>
      </w:r>
      <w:r w:rsidR="468AA518" w:rsidRPr="00E50A7A">
        <w:rPr>
          <w:rFonts w:cs="Calibri"/>
          <w:noProof/>
          <w:lang w:val="en-IE"/>
        </w:rPr>
        <w:t>.</w:t>
      </w:r>
      <w:r w:rsidR="007E4A66">
        <w:rPr>
          <w:rFonts w:cs="Calibri"/>
          <w:noProof/>
          <w:lang w:val="en-IE"/>
        </w:rPr>
        <w:t xml:space="preserve"> </w:t>
      </w:r>
    </w:p>
    <w:p w14:paraId="6D8FA630" w14:textId="41973C19" w:rsidR="007378F4" w:rsidRPr="00E50A7A" w:rsidRDefault="00384B96" w:rsidP="00384B96">
      <w:pPr>
        <w:pStyle w:val="ManualConsidrant"/>
        <w:rPr>
          <w:rStyle w:val="CommentReference"/>
          <w:noProof/>
          <w:sz w:val="24"/>
          <w:szCs w:val="22"/>
          <w:lang w:val="en-IE"/>
        </w:rPr>
      </w:pPr>
      <w:r w:rsidRPr="00384B96">
        <w:rPr>
          <w:rStyle w:val="CommentReference"/>
        </w:rPr>
        <w:t>(39)</w:t>
      </w:r>
      <w:r w:rsidRPr="00384B96">
        <w:rPr>
          <w:rStyle w:val="CommentReference"/>
        </w:rPr>
        <w:tab/>
      </w:r>
      <w:r w:rsidR="468AA518" w:rsidRPr="00E50A7A">
        <w:rPr>
          <w:rFonts w:cs="Calibri"/>
          <w:noProof/>
          <w:lang w:val="en-IE"/>
        </w:rPr>
        <w:t>Directive</w:t>
      </w:r>
      <w:r w:rsidR="468AA518" w:rsidRPr="00E50A7A">
        <w:rPr>
          <w:noProof/>
          <w:lang w:val="en-IE"/>
        </w:rPr>
        <w:t xml:space="preserve"> 2008/98/EC should therefore be amended accordingly.</w:t>
      </w:r>
    </w:p>
    <w:p w14:paraId="3AE763B1" w14:textId="237E5BDF" w:rsidR="00BD152F" w:rsidRPr="00E50A7A" w:rsidRDefault="00384B96" w:rsidP="00384B96">
      <w:pPr>
        <w:pStyle w:val="ManualConsidrant"/>
        <w:rPr>
          <w:noProof/>
          <w:lang w:val="en-IE"/>
        </w:rPr>
      </w:pPr>
      <w:r w:rsidRPr="00384B96">
        <w:t>(40)</w:t>
      </w:r>
      <w:r w:rsidRPr="00384B96">
        <w:tab/>
      </w:r>
      <w:r w:rsidR="468AA518" w:rsidRPr="00E50A7A">
        <w:rPr>
          <w:noProof/>
          <w:lang w:val="en-IE"/>
        </w:rPr>
        <w:t>Since the objectives of this Directive, namely to improve the environmental sustainability of food and textile waste management and to ensure the free movement of used and waste textiles in the internal market, cannot be sufficiently achieved by the Member States but can rather, by reason of its scale and effects, only be achieved at Union level, the Union may adopt measures, in accordance with the principle of subsidiarity as set out in Article 5 of the Treaty on European Union. In accordance with the principle of proportionality, as set out in that Article, this Directive does not go beyond what is necessary in order to achieve that objective on subsidiarity</w:t>
      </w:r>
      <w:r w:rsidR="76754597" w:rsidRPr="00E50A7A">
        <w:rPr>
          <w:noProof/>
          <w:lang w:val="en-IE"/>
        </w:rPr>
        <w:t>,</w:t>
      </w:r>
    </w:p>
    <w:p w14:paraId="59E858A3" w14:textId="77777777" w:rsidR="00BD152F" w:rsidRPr="00E50A7A" w:rsidRDefault="00BD152F" w:rsidP="00B00391">
      <w:pPr>
        <w:pStyle w:val="Formuledadoption"/>
        <w:rPr>
          <w:noProof/>
          <w:lang w:val="en-IE"/>
        </w:rPr>
      </w:pPr>
      <w:r w:rsidRPr="00E50A7A">
        <w:rPr>
          <w:noProof/>
          <w:lang w:val="en-IE"/>
        </w:rPr>
        <w:t>HAVE ADOPTED THIS DIRECTIVE:</w:t>
      </w:r>
    </w:p>
    <w:p w14:paraId="419D4F2A" w14:textId="77777777" w:rsidR="00BD152F" w:rsidRPr="00E50A7A" w:rsidRDefault="00BD152F" w:rsidP="00B00391">
      <w:pPr>
        <w:pStyle w:val="Titrearticle"/>
        <w:rPr>
          <w:noProof/>
          <w:lang w:val="en-IE"/>
        </w:rPr>
      </w:pPr>
      <w:r w:rsidRPr="00E50A7A">
        <w:rPr>
          <w:noProof/>
          <w:lang w:val="en-IE"/>
        </w:rPr>
        <w:t>Article 1</w:t>
      </w:r>
    </w:p>
    <w:p w14:paraId="4AF2D1F4" w14:textId="77777777" w:rsidR="00D60020" w:rsidRPr="00E50A7A" w:rsidRDefault="00D60020" w:rsidP="00D60020">
      <w:pPr>
        <w:pStyle w:val="NormalCentered"/>
        <w:rPr>
          <w:b/>
          <w:noProof/>
          <w:lang w:val="en-IE"/>
        </w:rPr>
      </w:pPr>
      <w:r w:rsidRPr="00E50A7A">
        <w:rPr>
          <w:b/>
          <w:noProof/>
          <w:lang w:val="en-IE"/>
        </w:rPr>
        <w:t>Amendments</w:t>
      </w:r>
    </w:p>
    <w:p w14:paraId="606D535B" w14:textId="77777777" w:rsidR="00F25D30" w:rsidRPr="00E50A7A" w:rsidRDefault="00D60020" w:rsidP="00F25D30">
      <w:pPr>
        <w:rPr>
          <w:noProof/>
          <w:lang w:val="en-IE"/>
        </w:rPr>
      </w:pPr>
      <w:r w:rsidRPr="00E50A7A">
        <w:rPr>
          <w:noProof/>
          <w:lang w:val="en-IE"/>
        </w:rPr>
        <w:t>Directive 2008/98/EC is amended as follows:</w:t>
      </w:r>
    </w:p>
    <w:p w14:paraId="5D23C278" w14:textId="77777777" w:rsidR="00D60020" w:rsidRPr="0074459E" w:rsidRDefault="00D60020" w:rsidP="0020411B">
      <w:pPr>
        <w:pStyle w:val="ListNumber1"/>
        <w:rPr>
          <w:noProof/>
          <w:lang w:val="en-IE"/>
        </w:rPr>
      </w:pPr>
      <w:r w:rsidRPr="0074459E">
        <w:rPr>
          <w:noProof/>
          <w:lang w:val="en-IE"/>
        </w:rPr>
        <w:t>in Article 2(</w:t>
      </w:r>
      <w:r w:rsidR="00290C17" w:rsidRPr="0074459E">
        <w:rPr>
          <w:noProof/>
          <w:lang w:val="en-IE"/>
        </w:rPr>
        <w:t>1</w:t>
      </w:r>
      <w:r w:rsidRPr="0074459E">
        <w:rPr>
          <w:noProof/>
          <w:lang w:val="en-IE"/>
        </w:rPr>
        <w:t>), point (a) is replaced by the following:</w:t>
      </w:r>
    </w:p>
    <w:p w14:paraId="3FE84B76" w14:textId="77777777" w:rsidR="008B77BD" w:rsidRPr="00E50A7A" w:rsidRDefault="00660C98" w:rsidP="00EF684D">
      <w:pPr>
        <w:pStyle w:val="Text1"/>
        <w:rPr>
          <w:noProof/>
          <w:lang w:val="en-IE"/>
        </w:rPr>
      </w:pPr>
      <w:r w:rsidRPr="00E50A7A">
        <w:rPr>
          <w:noProof/>
          <w:lang w:val="en-IE"/>
        </w:rPr>
        <w:t>'(a) gaseous effluents emitted into the atmosphere and carbon dioxide captured and transported for the purposes of geological storage and geologically stored in accordance with Directive 2009/31/EC of the European Parliament and of the Council*;</w:t>
      </w:r>
      <w:bookmarkStart w:id="2" w:name="_GoBack"/>
      <w:bookmarkEnd w:id="2"/>
    </w:p>
    <w:p w14:paraId="4DA3CDDA" w14:textId="77777777" w:rsidR="00660C98" w:rsidRPr="00E50A7A" w:rsidRDefault="00660C98" w:rsidP="00EF684D">
      <w:pPr>
        <w:pStyle w:val="Text1"/>
        <w:rPr>
          <w:noProof/>
          <w:lang w:val="en-IE"/>
        </w:rPr>
      </w:pPr>
      <w:r w:rsidRPr="00E50A7A">
        <w:rPr>
          <w:noProof/>
          <w:lang w:val="en-IE"/>
        </w:rPr>
        <w:t>* Directive 2009/31/EC of the European Parliament and of the Council of 23 April 2009 on the geological storage of carbon dioxide and amending Council Directive 85/337/EEC, European Parliament and Council Directives 2000/60/EC, 2001/80/EC, 2004/35/EC, 2006/12/EC, 2008/1/EC and Regulation (EC) No 1013/2006 (OJ L 140, 5.6.2009, p. 114)</w:t>
      </w:r>
      <w:r w:rsidR="0062610F" w:rsidRPr="00E50A7A">
        <w:rPr>
          <w:noProof/>
          <w:lang w:val="en-IE"/>
        </w:rPr>
        <w:t>.</w:t>
      </w:r>
      <w:r w:rsidRPr="00E50A7A">
        <w:rPr>
          <w:noProof/>
          <w:lang w:val="en-IE"/>
        </w:rPr>
        <w:t>’;</w:t>
      </w:r>
    </w:p>
    <w:p w14:paraId="201CF1D3" w14:textId="7BFDB457" w:rsidR="00D60020" w:rsidRPr="00B6196A" w:rsidRDefault="008B77BD" w:rsidP="0020411B">
      <w:pPr>
        <w:pStyle w:val="ListNumber1"/>
        <w:rPr>
          <w:noProof/>
          <w:highlight w:val="yellow"/>
          <w:lang w:val="en-IE"/>
        </w:rPr>
      </w:pPr>
      <w:r w:rsidRPr="00B6196A">
        <w:rPr>
          <w:noProof/>
          <w:highlight w:val="yellow"/>
          <w:lang w:val="en-IE"/>
        </w:rPr>
        <w:t xml:space="preserve">in Article 3, the following </w:t>
      </w:r>
      <w:r w:rsidR="00F01109" w:rsidRPr="00B6196A">
        <w:rPr>
          <w:noProof/>
          <w:highlight w:val="yellow"/>
          <w:lang w:val="en-IE"/>
        </w:rPr>
        <w:t xml:space="preserve">paragraphs </w:t>
      </w:r>
      <w:r w:rsidRPr="00B6196A">
        <w:rPr>
          <w:noProof/>
          <w:highlight w:val="yellow"/>
          <w:lang w:val="en-IE"/>
        </w:rPr>
        <w:t xml:space="preserve">are </w:t>
      </w:r>
      <w:r w:rsidR="003468A9" w:rsidRPr="00B6196A">
        <w:rPr>
          <w:noProof/>
          <w:highlight w:val="yellow"/>
          <w:lang w:val="en-IE"/>
        </w:rPr>
        <w:t>inserted</w:t>
      </w:r>
      <w:r w:rsidRPr="00B6196A">
        <w:rPr>
          <w:noProof/>
          <w:highlight w:val="yellow"/>
          <w:lang w:val="en-IE"/>
        </w:rPr>
        <w:t>:</w:t>
      </w:r>
    </w:p>
    <w:p w14:paraId="1175E606" w14:textId="1B40B3A0" w:rsidR="008B77BD" w:rsidRPr="00B6196A" w:rsidRDefault="008B77BD" w:rsidP="0094361B">
      <w:pPr>
        <w:pStyle w:val="Text1"/>
        <w:rPr>
          <w:noProof/>
          <w:highlight w:val="yellow"/>
          <w:lang w:val="en-IE"/>
        </w:rPr>
      </w:pPr>
      <w:r w:rsidRPr="00B6196A">
        <w:rPr>
          <w:noProof/>
          <w:highlight w:val="yellow"/>
          <w:lang w:val="en-IE"/>
        </w:rPr>
        <w:t>‘</w:t>
      </w:r>
      <w:r w:rsidR="00800900" w:rsidRPr="00B6196A">
        <w:rPr>
          <w:noProof/>
          <w:highlight w:val="yellow"/>
          <w:lang w:val="en-IE"/>
        </w:rPr>
        <w:t>4b</w:t>
      </w:r>
      <w:r w:rsidRPr="00B6196A">
        <w:rPr>
          <w:noProof/>
          <w:highlight w:val="yellow"/>
          <w:lang w:val="en-IE"/>
        </w:rPr>
        <w:t>. ‘producer of textile</w:t>
      </w:r>
      <w:r w:rsidR="18B33845" w:rsidRPr="00B6196A">
        <w:rPr>
          <w:noProof/>
          <w:highlight w:val="yellow"/>
          <w:lang w:val="en-IE"/>
        </w:rPr>
        <w:t>, textile-related</w:t>
      </w:r>
      <w:r w:rsidRPr="00B6196A">
        <w:rPr>
          <w:noProof/>
          <w:highlight w:val="yellow"/>
          <w:lang w:val="en-IE"/>
        </w:rPr>
        <w:t xml:space="preserve"> and footwear products listed in Annex IVc’ means any manufacturer, importer or distributor or other natural or legal person excluding </w:t>
      </w:r>
      <w:r w:rsidR="00800900" w:rsidRPr="00B6196A">
        <w:rPr>
          <w:noProof/>
          <w:highlight w:val="yellow"/>
          <w:lang w:val="en-IE"/>
        </w:rPr>
        <w:t xml:space="preserve">those that </w:t>
      </w:r>
      <w:r w:rsidR="19F2D561" w:rsidRPr="00B6196A">
        <w:rPr>
          <w:noProof/>
          <w:highlight w:val="yellow"/>
          <w:lang w:val="en-IE"/>
        </w:rPr>
        <w:t>supply</w:t>
      </w:r>
      <w:r w:rsidR="1A1215F3" w:rsidRPr="00B6196A">
        <w:rPr>
          <w:noProof/>
          <w:highlight w:val="yellow"/>
          <w:lang w:val="en-IE"/>
        </w:rPr>
        <w:t xml:space="preserve"> </w:t>
      </w:r>
      <w:r w:rsidR="00800900" w:rsidRPr="00B6196A">
        <w:rPr>
          <w:noProof/>
          <w:highlight w:val="yellow"/>
          <w:lang w:val="en-IE"/>
        </w:rPr>
        <w:t xml:space="preserve">used textile and footwear products listed in Annex IVc </w:t>
      </w:r>
      <w:r w:rsidR="5D2A67B7" w:rsidRPr="00B6196A">
        <w:rPr>
          <w:noProof/>
          <w:highlight w:val="yellow"/>
          <w:lang w:val="en-IE"/>
        </w:rPr>
        <w:t xml:space="preserve">and </w:t>
      </w:r>
      <w:r w:rsidR="5A84D42F" w:rsidRPr="00B6196A">
        <w:rPr>
          <w:noProof/>
          <w:highlight w:val="yellow"/>
          <w:lang w:val="en-IE"/>
        </w:rPr>
        <w:t>textile</w:t>
      </w:r>
      <w:r w:rsidR="2BC06635" w:rsidRPr="00B6196A">
        <w:rPr>
          <w:noProof/>
          <w:highlight w:val="yellow"/>
          <w:lang w:val="en-IE"/>
        </w:rPr>
        <w:t>, textile-related</w:t>
      </w:r>
      <w:r w:rsidR="5A84D42F" w:rsidRPr="00B6196A">
        <w:rPr>
          <w:noProof/>
          <w:highlight w:val="yellow"/>
          <w:lang w:val="en-IE"/>
        </w:rPr>
        <w:t xml:space="preserve"> and footwear products listed in Annex IVc derived from such used or waste products or their parts </w:t>
      </w:r>
      <w:r w:rsidR="00800900" w:rsidRPr="00B6196A">
        <w:rPr>
          <w:noProof/>
          <w:highlight w:val="yellow"/>
          <w:lang w:val="en-IE"/>
        </w:rPr>
        <w:t>on the market, enterprises which employ fewer than 10 persons and whose annual turnover and balance sheet total does not exceed EUR 2 million and</w:t>
      </w:r>
      <w:r w:rsidRPr="00B6196A">
        <w:rPr>
          <w:noProof/>
          <w:highlight w:val="yellow"/>
          <w:lang w:val="en-IE"/>
        </w:rPr>
        <w:t xml:space="preserve"> self-employed tailors producing customised products</w:t>
      </w:r>
      <w:r w:rsidR="00800900" w:rsidRPr="00B6196A">
        <w:rPr>
          <w:noProof/>
          <w:highlight w:val="yellow"/>
          <w:lang w:val="en-IE"/>
        </w:rPr>
        <w:t xml:space="preserve">, </w:t>
      </w:r>
      <w:r w:rsidR="5DBC1F04" w:rsidRPr="00B6196A">
        <w:rPr>
          <w:noProof/>
          <w:highlight w:val="yellow"/>
          <w:lang w:val="en-IE"/>
        </w:rPr>
        <w:t xml:space="preserve">who, irrespective of the selling technique used, including by means of distance contracts as </w:t>
      </w:r>
      <w:r w:rsidR="5DBC1F04" w:rsidRPr="00B6196A">
        <w:rPr>
          <w:noProof/>
          <w:highlight w:val="yellow"/>
          <w:lang w:val="en-IE"/>
        </w:rPr>
        <w:lastRenderedPageBreak/>
        <w:t>defined in Article 2(7) of Directive 2011/83/EU of the European Parliament and of the Council</w:t>
      </w:r>
      <w:r w:rsidR="5BF805C7" w:rsidRPr="00B6196A">
        <w:rPr>
          <w:noProof/>
          <w:highlight w:val="yellow"/>
          <w:lang w:val="en-IE"/>
        </w:rPr>
        <w:t>*,</w:t>
      </w:r>
      <w:r w:rsidR="5DBC1F04" w:rsidRPr="00B6196A">
        <w:rPr>
          <w:noProof/>
          <w:highlight w:val="yellow"/>
          <w:lang w:val="en-IE"/>
        </w:rPr>
        <w:t xml:space="preserve"> either</w:t>
      </w:r>
      <w:r w:rsidRPr="00B6196A">
        <w:rPr>
          <w:noProof/>
          <w:highlight w:val="yellow"/>
          <w:lang w:val="en-IE"/>
        </w:rPr>
        <w:t>:</w:t>
      </w:r>
    </w:p>
    <w:p w14:paraId="73063AC2" w14:textId="4EFC6424" w:rsidR="008B77BD" w:rsidRPr="00B6196A" w:rsidRDefault="008B77BD" w:rsidP="0094361B">
      <w:pPr>
        <w:pStyle w:val="Text2"/>
        <w:rPr>
          <w:noProof/>
          <w:highlight w:val="yellow"/>
          <w:lang w:val="en-IE"/>
        </w:rPr>
      </w:pPr>
      <w:r w:rsidRPr="00B6196A">
        <w:rPr>
          <w:noProof/>
          <w:highlight w:val="yellow"/>
          <w:lang w:val="en-IE"/>
        </w:rPr>
        <w:t>(</w:t>
      </w:r>
      <w:r w:rsidR="003468A9" w:rsidRPr="00B6196A">
        <w:rPr>
          <w:noProof/>
          <w:highlight w:val="yellow"/>
          <w:lang w:val="en-IE"/>
        </w:rPr>
        <w:t>a</w:t>
      </w:r>
      <w:r w:rsidRPr="00B6196A">
        <w:rPr>
          <w:noProof/>
          <w:highlight w:val="yellow"/>
          <w:lang w:val="en-IE"/>
        </w:rPr>
        <w:t xml:space="preserve">)     </w:t>
      </w:r>
      <w:r w:rsidR="7C95C0D7" w:rsidRPr="00B6196A">
        <w:rPr>
          <w:noProof/>
          <w:highlight w:val="yellow"/>
          <w:lang w:val="en-IE"/>
        </w:rPr>
        <w:t xml:space="preserve">are </w:t>
      </w:r>
      <w:r w:rsidR="3F6F247C" w:rsidRPr="00B6196A">
        <w:rPr>
          <w:noProof/>
          <w:highlight w:val="yellow"/>
          <w:lang w:val="en-IE"/>
        </w:rPr>
        <w:t>established</w:t>
      </w:r>
      <w:r w:rsidRPr="00B6196A">
        <w:rPr>
          <w:noProof/>
          <w:highlight w:val="yellow"/>
          <w:lang w:val="en-IE"/>
        </w:rPr>
        <w:t xml:space="preserve"> in a Member State and manufactures textile</w:t>
      </w:r>
      <w:r w:rsidR="4946D67B" w:rsidRPr="00B6196A">
        <w:rPr>
          <w:noProof/>
          <w:highlight w:val="yellow"/>
          <w:lang w:val="en-IE"/>
        </w:rPr>
        <w:t>, textile-related</w:t>
      </w:r>
      <w:r w:rsidRPr="00B6196A">
        <w:rPr>
          <w:noProof/>
          <w:highlight w:val="yellow"/>
          <w:lang w:val="en-IE"/>
        </w:rPr>
        <w:t xml:space="preserve"> and footwear products listed in Annex IVc under </w:t>
      </w:r>
      <w:r w:rsidR="001E731E" w:rsidRPr="00B6196A">
        <w:rPr>
          <w:noProof/>
          <w:highlight w:val="yellow"/>
          <w:lang w:val="en-IE"/>
        </w:rPr>
        <w:t xml:space="preserve">their </w:t>
      </w:r>
      <w:r w:rsidRPr="00B6196A">
        <w:rPr>
          <w:noProof/>
          <w:highlight w:val="yellow"/>
          <w:lang w:val="en-IE"/>
        </w:rPr>
        <w:t xml:space="preserve">own name or trademark, or </w:t>
      </w:r>
      <w:r w:rsidR="3F6F247C" w:rsidRPr="00B6196A">
        <w:rPr>
          <w:noProof/>
          <w:highlight w:val="yellow"/>
          <w:lang w:val="en-IE"/>
        </w:rPr>
        <w:t>ha</w:t>
      </w:r>
      <w:r w:rsidR="2AC10017" w:rsidRPr="00B6196A">
        <w:rPr>
          <w:noProof/>
          <w:highlight w:val="yellow"/>
          <w:lang w:val="en-IE"/>
        </w:rPr>
        <w:t>ve</w:t>
      </w:r>
      <w:r w:rsidRPr="00B6196A">
        <w:rPr>
          <w:noProof/>
          <w:highlight w:val="yellow"/>
          <w:lang w:val="en-IE"/>
        </w:rPr>
        <w:t xml:space="preserve"> them designed or manufactured and </w:t>
      </w:r>
      <w:r w:rsidR="1F44ED41" w:rsidRPr="00B6196A">
        <w:rPr>
          <w:noProof/>
          <w:highlight w:val="yellow"/>
          <w:lang w:val="en-IE"/>
        </w:rPr>
        <w:t>suppl</w:t>
      </w:r>
      <w:r w:rsidR="00232315" w:rsidRPr="00B6196A">
        <w:rPr>
          <w:noProof/>
          <w:highlight w:val="yellow"/>
          <w:lang w:val="en-IE"/>
        </w:rPr>
        <w:t>y</w:t>
      </w:r>
      <w:r w:rsidR="1F44ED41" w:rsidRPr="00B6196A">
        <w:rPr>
          <w:noProof/>
          <w:highlight w:val="yellow"/>
          <w:lang w:val="en-IE"/>
        </w:rPr>
        <w:t xml:space="preserve"> them</w:t>
      </w:r>
      <w:r w:rsidR="0008239E" w:rsidRPr="00B6196A">
        <w:rPr>
          <w:noProof/>
          <w:highlight w:val="yellow"/>
          <w:lang w:val="en-IE"/>
        </w:rPr>
        <w:t xml:space="preserve"> </w:t>
      </w:r>
      <w:r w:rsidRPr="00B6196A">
        <w:rPr>
          <w:noProof/>
          <w:highlight w:val="yellow"/>
          <w:lang w:val="en-IE"/>
        </w:rPr>
        <w:t xml:space="preserve">for the first time under </w:t>
      </w:r>
      <w:r w:rsidR="001E731E" w:rsidRPr="00B6196A">
        <w:rPr>
          <w:noProof/>
          <w:highlight w:val="yellow"/>
          <w:lang w:val="en-IE"/>
        </w:rPr>
        <w:t xml:space="preserve">their </w:t>
      </w:r>
      <w:r w:rsidRPr="00B6196A">
        <w:rPr>
          <w:noProof/>
          <w:highlight w:val="yellow"/>
          <w:lang w:val="en-IE"/>
        </w:rPr>
        <w:t>own name or trademark within the territory of that Member State;</w:t>
      </w:r>
    </w:p>
    <w:p w14:paraId="510928B9" w14:textId="7F9A8244" w:rsidR="008B77BD" w:rsidRPr="00B6196A" w:rsidRDefault="008B77BD" w:rsidP="0094361B">
      <w:pPr>
        <w:pStyle w:val="Text2"/>
        <w:rPr>
          <w:noProof/>
          <w:highlight w:val="yellow"/>
          <w:lang w:val="en-IE"/>
        </w:rPr>
      </w:pPr>
      <w:r w:rsidRPr="00B6196A">
        <w:rPr>
          <w:noProof/>
          <w:highlight w:val="yellow"/>
          <w:lang w:val="en-IE"/>
        </w:rPr>
        <w:t>(</w:t>
      </w:r>
      <w:r w:rsidR="003468A9" w:rsidRPr="00B6196A">
        <w:rPr>
          <w:noProof/>
          <w:highlight w:val="yellow"/>
          <w:lang w:val="en-IE"/>
        </w:rPr>
        <w:t>b</w:t>
      </w:r>
      <w:r w:rsidRPr="00B6196A">
        <w:rPr>
          <w:noProof/>
          <w:highlight w:val="yellow"/>
          <w:lang w:val="en-IE"/>
        </w:rPr>
        <w:t xml:space="preserve">)     </w:t>
      </w:r>
      <w:r w:rsidR="33561598" w:rsidRPr="00B6196A">
        <w:rPr>
          <w:noProof/>
          <w:highlight w:val="yellow"/>
          <w:lang w:val="en-IE"/>
        </w:rPr>
        <w:t xml:space="preserve">are </w:t>
      </w:r>
      <w:r w:rsidR="3F6F247C" w:rsidRPr="00B6196A">
        <w:rPr>
          <w:noProof/>
          <w:highlight w:val="yellow"/>
          <w:lang w:val="en-IE"/>
        </w:rPr>
        <w:t>established</w:t>
      </w:r>
      <w:r w:rsidRPr="00B6196A">
        <w:rPr>
          <w:noProof/>
          <w:highlight w:val="yellow"/>
          <w:lang w:val="en-IE"/>
        </w:rPr>
        <w:t xml:space="preserve"> in a Member State and resell within the territory of that Member State, under </w:t>
      </w:r>
      <w:r w:rsidR="002601D7" w:rsidRPr="00B6196A">
        <w:rPr>
          <w:noProof/>
          <w:highlight w:val="yellow"/>
          <w:lang w:val="en-IE"/>
        </w:rPr>
        <w:t xml:space="preserve">their </w:t>
      </w:r>
      <w:r w:rsidRPr="00B6196A">
        <w:rPr>
          <w:noProof/>
          <w:highlight w:val="yellow"/>
          <w:lang w:val="en-IE"/>
        </w:rPr>
        <w:t>own name or trademark</w:t>
      </w:r>
      <w:r w:rsidR="3EBACC45" w:rsidRPr="00B6196A">
        <w:rPr>
          <w:noProof/>
          <w:highlight w:val="yellow"/>
          <w:lang w:val="en-IE"/>
        </w:rPr>
        <w:t>,</w:t>
      </w:r>
      <w:r w:rsidRPr="00B6196A">
        <w:rPr>
          <w:noProof/>
          <w:highlight w:val="yellow"/>
          <w:lang w:val="en-IE"/>
        </w:rPr>
        <w:t xml:space="preserve"> textile</w:t>
      </w:r>
      <w:r w:rsidR="7B2B627A" w:rsidRPr="00B6196A">
        <w:rPr>
          <w:noProof/>
          <w:highlight w:val="yellow"/>
          <w:lang w:val="en-IE"/>
        </w:rPr>
        <w:t>, textile-related</w:t>
      </w:r>
      <w:r w:rsidRPr="00B6196A">
        <w:rPr>
          <w:noProof/>
          <w:highlight w:val="yellow"/>
          <w:lang w:val="en-IE"/>
        </w:rPr>
        <w:t xml:space="preserve"> and footwear products listed in Annex IVc manufactured by other</w:t>
      </w:r>
      <w:r w:rsidR="3608C6D7" w:rsidRPr="00B6196A">
        <w:rPr>
          <w:noProof/>
          <w:highlight w:val="yellow"/>
          <w:lang w:val="en-IE"/>
        </w:rPr>
        <w:t xml:space="preserve"> producers</w:t>
      </w:r>
      <w:r w:rsidR="00E50A7A" w:rsidRPr="00B6196A">
        <w:rPr>
          <w:noProof/>
          <w:highlight w:val="yellow"/>
          <w:lang w:val="en-IE"/>
        </w:rPr>
        <w:t xml:space="preserve"> </w:t>
      </w:r>
      <w:r w:rsidR="00116725" w:rsidRPr="00B6196A">
        <w:rPr>
          <w:noProof/>
          <w:highlight w:val="yellow"/>
          <w:lang w:val="en-IE"/>
        </w:rPr>
        <w:t>referred to</w:t>
      </w:r>
      <w:r w:rsidRPr="00B6196A">
        <w:rPr>
          <w:noProof/>
          <w:highlight w:val="yellow"/>
          <w:lang w:val="en-IE"/>
        </w:rPr>
        <w:t xml:space="preserve"> in point (</w:t>
      </w:r>
      <w:r w:rsidR="000A58C2" w:rsidRPr="00B6196A">
        <w:rPr>
          <w:noProof/>
          <w:highlight w:val="yellow"/>
          <w:lang w:val="en-IE"/>
        </w:rPr>
        <w:t>a</w:t>
      </w:r>
      <w:r w:rsidR="3F6F247C" w:rsidRPr="00B6196A">
        <w:rPr>
          <w:noProof/>
          <w:highlight w:val="yellow"/>
          <w:lang w:val="en-IE"/>
        </w:rPr>
        <w:t>)</w:t>
      </w:r>
      <w:r w:rsidR="7791FD56" w:rsidRPr="00B6196A">
        <w:rPr>
          <w:noProof/>
          <w:highlight w:val="yellow"/>
          <w:lang w:val="en-IE"/>
        </w:rPr>
        <w:t xml:space="preserve">, on which the </w:t>
      </w:r>
      <w:r w:rsidR="00AD6ABB" w:rsidRPr="00B6196A">
        <w:rPr>
          <w:noProof/>
          <w:highlight w:val="yellow"/>
          <w:lang w:val="en-IE"/>
        </w:rPr>
        <w:t>name</w:t>
      </w:r>
      <w:r w:rsidR="00A64E5B" w:rsidRPr="00B6196A">
        <w:rPr>
          <w:noProof/>
          <w:highlight w:val="yellow"/>
          <w:lang w:val="en-IE"/>
        </w:rPr>
        <w:t>, brand</w:t>
      </w:r>
      <w:r w:rsidR="00AD6ABB" w:rsidRPr="00B6196A">
        <w:rPr>
          <w:noProof/>
          <w:highlight w:val="yellow"/>
          <w:lang w:val="en-IE"/>
        </w:rPr>
        <w:t xml:space="preserve"> or trademark </w:t>
      </w:r>
      <w:r w:rsidR="7791FD56" w:rsidRPr="00B6196A">
        <w:rPr>
          <w:noProof/>
          <w:highlight w:val="yellow"/>
          <w:lang w:val="en-IE"/>
        </w:rPr>
        <w:t>of the manufacturer does not appear</w:t>
      </w:r>
      <w:r w:rsidR="3F6F247C" w:rsidRPr="00B6196A">
        <w:rPr>
          <w:noProof/>
          <w:highlight w:val="yellow"/>
          <w:lang w:val="en-IE"/>
        </w:rPr>
        <w:t>;</w:t>
      </w:r>
    </w:p>
    <w:p w14:paraId="676C31F9" w14:textId="6584577F" w:rsidR="008B77BD" w:rsidRPr="00B6196A" w:rsidRDefault="008B77BD" w:rsidP="0094361B">
      <w:pPr>
        <w:pStyle w:val="Text2"/>
        <w:rPr>
          <w:noProof/>
          <w:highlight w:val="yellow"/>
          <w:lang w:val="en-IE"/>
        </w:rPr>
      </w:pPr>
      <w:r w:rsidRPr="00B6196A">
        <w:rPr>
          <w:noProof/>
          <w:highlight w:val="yellow"/>
          <w:lang w:val="en-IE"/>
        </w:rPr>
        <w:t>(</w:t>
      </w:r>
      <w:r w:rsidR="003468A9" w:rsidRPr="00B6196A">
        <w:rPr>
          <w:noProof/>
          <w:highlight w:val="yellow"/>
          <w:lang w:val="en-IE"/>
        </w:rPr>
        <w:t>c</w:t>
      </w:r>
      <w:r w:rsidRPr="00B6196A">
        <w:rPr>
          <w:noProof/>
          <w:highlight w:val="yellow"/>
          <w:lang w:val="en-IE"/>
        </w:rPr>
        <w:t xml:space="preserve">)   </w:t>
      </w:r>
      <w:r w:rsidR="72F90068" w:rsidRPr="00B6196A">
        <w:rPr>
          <w:noProof/>
          <w:highlight w:val="yellow"/>
          <w:lang w:val="en-IE"/>
        </w:rPr>
        <w:t xml:space="preserve">are </w:t>
      </w:r>
      <w:r w:rsidR="3F6F247C" w:rsidRPr="00B6196A">
        <w:rPr>
          <w:noProof/>
          <w:highlight w:val="yellow"/>
          <w:lang w:val="en-IE"/>
        </w:rPr>
        <w:t>established</w:t>
      </w:r>
      <w:r w:rsidRPr="00B6196A">
        <w:rPr>
          <w:noProof/>
          <w:highlight w:val="yellow"/>
          <w:lang w:val="en-IE"/>
        </w:rPr>
        <w:t xml:space="preserve"> in a Member State and </w:t>
      </w:r>
      <w:r w:rsidRPr="00B6196A" w:rsidDel="008B77BD">
        <w:rPr>
          <w:noProof/>
          <w:highlight w:val="yellow"/>
          <w:lang w:val="en-IE"/>
        </w:rPr>
        <w:t>suppl</w:t>
      </w:r>
      <w:r w:rsidR="00CD70F1" w:rsidRPr="00B6196A">
        <w:rPr>
          <w:noProof/>
          <w:highlight w:val="yellow"/>
          <w:lang w:val="en-IE"/>
        </w:rPr>
        <w:t>y</w:t>
      </w:r>
      <w:r w:rsidR="42221B5E" w:rsidRPr="00B6196A">
        <w:rPr>
          <w:noProof/>
          <w:highlight w:val="yellow"/>
          <w:lang w:val="en-IE"/>
        </w:rPr>
        <w:t xml:space="preserve"> </w:t>
      </w:r>
      <w:r w:rsidRPr="00B6196A">
        <w:rPr>
          <w:noProof/>
          <w:highlight w:val="yellow"/>
          <w:lang w:val="en-IE"/>
        </w:rPr>
        <w:t>for the first time in that Member State on a professional basis, textile</w:t>
      </w:r>
      <w:r w:rsidR="3C4C4758" w:rsidRPr="00B6196A">
        <w:rPr>
          <w:noProof/>
          <w:highlight w:val="yellow"/>
          <w:lang w:val="en-IE"/>
        </w:rPr>
        <w:t>, textile-related</w:t>
      </w:r>
      <w:r w:rsidRPr="00B6196A">
        <w:rPr>
          <w:noProof/>
          <w:highlight w:val="yellow"/>
          <w:lang w:val="en-IE"/>
        </w:rPr>
        <w:t xml:space="preserve"> and footwear products listed in Annex IVc from another Member State or from a third country; </w:t>
      </w:r>
      <w:r w:rsidR="1B6CE902" w:rsidRPr="00B6196A">
        <w:rPr>
          <w:noProof/>
          <w:highlight w:val="yellow"/>
          <w:lang w:val="en-IE"/>
        </w:rPr>
        <w:t>or</w:t>
      </w:r>
    </w:p>
    <w:p w14:paraId="3CC60575" w14:textId="211D9973" w:rsidR="008B77BD" w:rsidRPr="00B6196A" w:rsidRDefault="008B77BD" w:rsidP="0094361B">
      <w:pPr>
        <w:pStyle w:val="Text2"/>
        <w:rPr>
          <w:noProof/>
          <w:highlight w:val="yellow"/>
          <w:lang w:val="en-IE"/>
        </w:rPr>
      </w:pPr>
      <w:r w:rsidRPr="00B6196A">
        <w:rPr>
          <w:noProof/>
          <w:highlight w:val="yellow"/>
          <w:lang w:val="en-IE"/>
        </w:rPr>
        <w:t>(</w:t>
      </w:r>
      <w:r w:rsidR="003468A9" w:rsidRPr="00B6196A">
        <w:rPr>
          <w:noProof/>
          <w:highlight w:val="yellow"/>
          <w:lang w:val="en-IE"/>
        </w:rPr>
        <w:t>d</w:t>
      </w:r>
      <w:r w:rsidRPr="00B6196A">
        <w:rPr>
          <w:noProof/>
          <w:highlight w:val="yellow"/>
          <w:lang w:val="en-IE"/>
        </w:rPr>
        <w:t>)    sell textile</w:t>
      </w:r>
      <w:r w:rsidR="147CE9C1" w:rsidRPr="00B6196A">
        <w:rPr>
          <w:noProof/>
          <w:highlight w:val="yellow"/>
          <w:lang w:val="en-IE"/>
        </w:rPr>
        <w:t>, textile-related</w:t>
      </w:r>
      <w:r w:rsidRPr="00B6196A">
        <w:rPr>
          <w:noProof/>
          <w:highlight w:val="yellow"/>
          <w:lang w:val="en-IE"/>
        </w:rPr>
        <w:t xml:space="preserve"> and footwear products listed in Annex IVc by means of distance communication directly to end-users, </w:t>
      </w:r>
      <w:r w:rsidR="42BDE3E3" w:rsidRPr="00B6196A">
        <w:rPr>
          <w:noProof/>
          <w:highlight w:val="yellow"/>
          <w:lang w:val="en-IE"/>
        </w:rPr>
        <w:t>including</w:t>
      </w:r>
      <w:r w:rsidRPr="00B6196A">
        <w:rPr>
          <w:noProof/>
          <w:highlight w:val="yellow"/>
          <w:lang w:val="en-IE"/>
        </w:rPr>
        <w:t xml:space="preserve"> private households or other than private households, in a Member State, and </w:t>
      </w:r>
      <w:r w:rsidR="4D84BC55" w:rsidRPr="00B6196A">
        <w:rPr>
          <w:noProof/>
          <w:highlight w:val="yellow"/>
          <w:lang w:val="en-IE"/>
        </w:rPr>
        <w:t xml:space="preserve">are </w:t>
      </w:r>
      <w:r w:rsidRPr="00B6196A">
        <w:rPr>
          <w:noProof/>
          <w:highlight w:val="yellow"/>
          <w:lang w:val="en-IE"/>
        </w:rPr>
        <w:t xml:space="preserve">established in another Member State or in a third country; </w:t>
      </w:r>
    </w:p>
    <w:p w14:paraId="13CC37D7" w14:textId="77777777" w:rsidR="008B77BD" w:rsidRPr="00B6196A" w:rsidRDefault="00800900" w:rsidP="00EF684D">
      <w:pPr>
        <w:pStyle w:val="Text1"/>
        <w:rPr>
          <w:rFonts w:eastAsiaTheme="minorEastAsia"/>
          <w:noProof/>
          <w:highlight w:val="yellow"/>
          <w:lang w:val="en-IE"/>
        </w:rPr>
      </w:pPr>
      <w:r w:rsidRPr="00B6196A">
        <w:rPr>
          <w:noProof/>
          <w:highlight w:val="yellow"/>
          <w:lang w:val="en-IE"/>
        </w:rPr>
        <w:t>4c</w:t>
      </w:r>
      <w:r w:rsidR="008B77BD" w:rsidRPr="00B6196A">
        <w:rPr>
          <w:noProof/>
          <w:highlight w:val="yellow"/>
          <w:lang w:val="en-IE"/>
        </w:rPr>
        <w:t xml:space="preserve">. </w:t>
      </w:r>
      <w:r w:rsidR="6B862FD2" w:rsidRPr="00B6196A">
        <w:rPr>
          <w:rFonts w:eastAsiaTheme="minorEastAsia"/>
          <w:noProof/>
          <w:highlight w:val="yellow"/>
          <w:lang w:val="en-IE"/>
        </w:rPr>
        <w:t>‘making available on the market’ means any supply of a product for distribution or use on the Union market in the course of a commercial activity, whether in return for payment or free of charge;</w:t>
      </w:r>
    </w:p>
    <w:p w14:paraId="1C8700E2" w14:textId="102C05FE" w:rsidR="008B77BD" w:rsidRPr="00B6196A" w:rsidRDefault="54C1D3FC" w:rsidP="00EF684D">
      <w:pPr>
        <w:pStyle w:val="Text1"/>
        <w:rPr>
          <w:noProof/>
          <w:highlight w:val="yellow"/>
          <w:lang w:val="en-IE"/>
        </w:rPr>
      </w:pPr>
      <w:r w:rsidRPr="00B6196A">
        <w:rPr>
          <w:noProof/>
          <w:highlight w:val="yellow"/>
          <w:lang w:val="en-IE"/>
        </w:rPr>
        <w:t>4d</w:t>
      </w:r>
      <w:r w:rsidR="008B77BD" w:rsidRPr="00B6196A">
        <w:rPr>
          <w:noProof/>
          <w:highlight w:val="yellow"/>
          <w:lang w:val="en-IE"/>
        </w:rPr>
        <w:t>. ‘producer responsibility organisation’ means a legal entity that financially or financially and operationally organises the fulfilment of extended producer responsibility obligations on behalf of producers;</w:t>
      </w:r>
    </w:p>
    <w:p w14:paraId="0239A669" w14:textId="03EE9368" w:rsidR="008B77BD" w:rsidRPr="00B6196A" w:rsidRDefault="00800900" w:rsidP="00EF684D">
      <w:pPr>
        <w:pStyle w:val="Text1"/>
        <w:rPr>
          <w:noProof/>
          <w:highlight w:val="yellow"/>
          <w:lang w:val="en-IE"/>
        </w:rPr>
      </w:pPr>
      <w:r w:rsidRPr="00B6196A">
        <w:rPr>
          <w:noProof/>
          <w:highlight w:val="yellow"/>
          <w:lang w:val="en-IE"/>
        </w:rPr>
        <w:t>4</w:t>
      </w:r>
      <w:r w:rsidR="1B7DF91B" w:rsidRPr="00B6196A">
        <w:rPr>
          <w:noProof/>
          <w:highlight w:val="yellow"/>
          <w:lang w:val="en-IE"/>
        </w:rPr>
        <w:t>e</w:t>
      </w:r>
      <w:r w:rsidR="008B77BD" w:rsidRPr="00B6196A">
        <w:rPr>
          <w:noProof/>
          <w:highlight w:val="yellow"/>
          <w:lang w:val="en-IE"/>
        </w:rPr>
        <w:t>. ‘online platform’ means online platform as defined in Article 3</w:t>
      </w:r>
      <w:r w:rsidR="00116725" w:rsidRPr="00B6196A">
        <w:rPr>
          <w:noProof/>
          <w:highlight w:val="yellow"/>
          <w:lang w:val="en-IE"/>
        </w:rPr>
        <w:t>,</w:t>
      </w:r>
      <w:r w:rsidR="008B77BD" w:rsidRPr="00B6196A">
        <w:rPr>
          <w:noProof/>
          <w:highlight w:val="yellow"/>
          <w:lang w:val="en-IE"/>
        </w:rPr>
        <w:t xml:space="preserve"> point (i)</w:t>
      </w:r>
      <w:r w:rsidR="00116725" w:rsidRPr="00B6196A">
        <w:rPr>
          <w:noProof/>
          <w:highlight w:val="yellow"/>
          <w:lang w:val="en-IE"/>
        </w:rPr>
        <w:t>,</w:t>
      </w:r>
      <w:r w:rsidR="008B77BD" w:rsidRPr="00B6196A">
        <w:rPr>
          <w:noProof/>
          <w:highlight w:val="yellow"/>
          <w:lang w:val="en-IE"/>
        </w:rPr>
        <w:t xml:space="preserve"> of Regulation (EU) 2022/2065</w:t>
      </w:r>
      <w:r w:rsidR="00116725" w:rsidRPr="00B6196A">
        <w:rPr>
          <w:noProof/>
          <w:highlight w:val="yellow"/>
          <w:lang w:val="en-IE"/>
        </w:rPr>
        <w:t xml:space="preserve"> of the European Parliament and of the Council</w:t>
      </w:r>
      <w:r w:rsidR="3A2970BD" w:rsidRPr="00B6196A">
        <w:rPr>
          <w:noProof/>
          <w:highlight w:val="yellow"/>
          <w:lang w:val="en-IE"/>
        </w:rPr>
        <w:t>*</w:t>
      </w:r>
      <w:r w:rsidR="31D6869E" w:rsidRPr="00B6196A">
        <w:rPr>
          <w:noProof/>
          <w:highlight w:val="yellow"/>
          <w:lang w:val="en-IE"/>
        </w:rPr>
        <w:t>*</w:t>
      </w:r>
      <w:r w:rsidR="16D48235" w:rsidRPr="00B6196A">
        <w:rPr>
          <w:noProof/>
          <w:highlight w:val="yellow"/>
          <w:lang w:val="en-IE"/>
        </w:rPr>
        <w:t>;</w:t>
      </w:r>
    </w:p>
    <w:p w14:paraId="78B1C87B" w14:textId="77777777" w:rsidR="00116725" w:rsidRPr="00B6196A" w:rsidRDefault="00800900" w:rsidP="00EF684D">
      <w:pPr>
        <w:pStyle w:val="Text1"/>
        <w:rPr>
          <w:noProof/>
          <w:highlight w:val="yellow"/>
          <w:lang w:val="en-IE"/>
        </w:rPr>
      </w:pPr>
      <w:r w:rsidRPr="00B6196A">
        <w:rPr>
          <w:noProof/>
          <w:highlight w:val="yellow"/>
          <w:lang w:val="en-IE"/>
        </w:rPr>
        <w:t>4</w:t>
      </w:r>
      <w:r w:rsidR="4C9C9692" w:rsidRPr="00B6196A">
        <w:rPr>
          <w:noProof/>
          <w:highlight w:val="yellow"/>
          <w:lang w:val="en-IE"/>
        </w:rPr>
        <w:t>f</w:t>
      </w:r>
      <w:r w:rsidR="008B77BD" w:rsidRPr="00B6196A">
        <w:rPr>
          <w:noProof/>
          <w:highlight w:val="yellow"/>
          <w:lang w:val="en-IE"/>
        </w:rPr>
        <w:t>. ‘consumer’ means natural persons who are acting for purposes which are outside their trade, business</w:t>
      </w:r>
      <w:r w:rsidR="2C56A5FD" w:rsidRPr="00B6196A">
        <w:rPr>
          <w:noProof/>
          <w:highlight w:val="yellow"/>
          <w:lang w:val="en-IE"/>
        </w:rPr>
        <w:t>, craft</w:t>
      </w:r>
      <w:r w:rsidR="008B77BD" w:rsidRPr="00B6196A">
        <w:rPr>
          <w:noProof/>
          <w:highlight w:val="yellow"/>
          <w:lang w:val="en-IE"/>
        </w:rPr>
        <w:t xml:space="preserve"> or profession;</w:t>
      </w:r>
    </w:p>
    <w:p w14:paraId="57651BAF" w14:textId="72999DBF" w:rsidR="008B77BD" w:rsidRPr="00B6196A" w:rsidRDefault="381027CD" w:rsidP="324F6344">
      <w:pPr>
        <w:pStyle w:val="Text1"/>
        <w:rPr>
          <w:noProof/>
          <w:highlight w:val="yellow"/>
          <w:lang w:val="en-IE"/>
        </w:rPr>
      </w:pPr>
      <w:r w:rsidRPr="00B6196A">
        <w:rPr>
          <w:noProof/>
          <w:highlight w:val="yellow"/>
          <w:lang w:val="en-IE"/>
        </w:rPr>
        <w:t>*</w:t>
      </w:r>
      <w:r w:rsidR="2F90DD0D" w:rsidRPr="00B6196A">
        <w:rPr>
          <w:noProof/>
          <w:highlight w:val="yellow"/>
          <w:lang w:val="en-IE"/>
        </w:rPr>
        <w:t xml:space="preserve"> Directive 2011/83/EU of the European Parliament and of the Council of 25 October 2011 on consumer rights, amending Council Directive 93/13/EEC and Directive 1999/44/EC of the European Parliament and of the Council and repealing Council Directive 85/577/EEC and Directive 97/7/EC of the European Parliament and of the Council (OJ L 304 22.11.2011, p. 64). </w:t>
      </w:r>
    </w:p>
    <w:p w14:paraId="5CE3E2DD" w14:textId="0A45A598" w:rsidR="008B77BD" w:rsidRPr="00B6196A" w:rsidRDefault="23ED75B8" w:rsidP="7ED3544D">
      <w:pPr>
        <w:pStyle w:val="Text1"/>
        <w:rPr>
          <w:noProof/>
          <w:highlight w:val="yellow"/>
          <w:lang w:val="en-IE"/>
        </w:rPr>
      </w:pPr>
      <w:r w:rsidRPr="00B6196A">
        <w:rPr>
          <w:noProof/>
          <w:highlight w:val="yellow"/>
          <w:lang w:val="en-IE"/>
        </w:rPr>
        <w:t>*</w:t>
      </w:r>
      <w:r w:rsidR="6A0980BE" w:rsidRPr="00B6196A">
        <w:rPr>
          <w:noProof/>
          <w:highlight w:val="yellow"/>
          <w:lang w:val="en-IE"/>
        </w:rPr>
        <w:t>*</w:t>
      </w:r>
      <w:r w:rsidR="00116725" w:rsidRPr="00B6196A">
        <w:rPr>
          <w:noProof/>
          <w:highlight w:val="yellow"/>
          <w:lang w:val="en-IE"/>
        </w:rPr>
        <w:t xml:space="preserve"> Regulation (EU) 2022/2065 of the European Parliament and of the Council of 19 October 2022 on a Single Market For Digital Services and amending Directive 2000/31/EC (OJ L 277, 27.10.2022, p. 1).</w:t>
      </w:r>
      <w:r w:rsidR="3F6F247C" w:rsidRPr="00B6196A">
        <w:rPr>
          <w:noProof/>
          <w:highlight w:val="yellow"/>
          <w:lang w:val="en-IE"/>
        </w:rPr>
        <w:t>’;</w:t>
      </w:r>
    </w:p>
    <w:p w14:paraId="2D830D68" w14:textId="77777777" w:rsidR="008B77BD" w:rsidRPr="00B6196A" w:rsidRDefault="008B77BD" w:rsidP="0020411B">
      <w:pPr>
        <w:pStyle w:val="ListNumber1"/>
        <w:rPr>
          <w:noProof/>
          <w:highlight w:val="yellow"/>
          <w:lang w:val="en-IE"/>
        </w:rPr>
      </w:pPr>
      <w:r w:rsidRPr="00B6196A">
        <w:rPr>
          <w:noProof/>
          <w:highlight w:val="yellow"/>
          <w:lang w:val="en-IE"/>
        </w:rPr>
        <w:t>in Article 9, paragraph 1</w:t>
      </w:r>
      <w:r w:rsidR="00116725" w:rsidRPr="00B6196A">
        <w:rPr>
          <w:noProof/>
          <w:highlight w:val="yellow"/>
          <w:lang w:val="en-IE"/>
        </w:rPr>
        <w:t>,</w:t>
      </w:r>
      <w:r w:rsidRPr="00B6196A">
        <w:rPr>
          <w:noProof/>
          <w:highlight w:val="yellow"/>
          <w:lang w:val="en-IE"/>
        </w:rPr>
        <w:t xml:space="preserve"> points (g) and (h)</w:t>
      </w:r>
      <w:r w:rsidR="00116725" w:rsidRPr="00B6196A">
        <w:rPr>
          <w:noProof/>
          <w:highlight w:val="yellow"/>
          <w:lang w:val="en-IE"/>
        </w:rPr>
        <w:t>,</w:t>
      </w:r>
      <w:r w:rsidRPr="00B6196A">
        <w:rPr>
          <w:noProof/>
          <w:highlight w:val="yellow"/>
          <w:lang w:val="en-IE"/>
        </w:rPr>
        <w:t xml:space="preserve"> and paragraphs 5, 6 and 8 are deleted.</w:t>
      </w:r>
    </w:p>
    <w:p w14:paraId="17A60F72" w14:textId="77777777" w:rsidR="008B77BD" w:rsidRPr="00FA14CE" w:rsidRDefault="008B77BD" w:rsidP="0020411B">
      <w:pPr>
        <w:pStyle w:val="ListNumber1"/>
        <w:rPr>
          <w:noProof/>
          <w:lang w:val="en-IE"/>
        </w:rPr>
      </w:pPr>
      <w:r w:rsidRPr="00FA14CE">
        <w:rPr>
          <w:noProof/>
          <w:lang w:val="en-IE"/>
        </w:rPr>
        <w:t>the following Article 9a is inserted:</w:t>
      </w:r>
    </w:p>
    <w:p w14:paraId="58AB58E3" w14:textId="77777777" w:rsidR="008B77BD" w:rsidRPr="00FA14CE" w:rsidRDefault="008B77BD" w:rsidP="008B77BD">
      <w:pPr>
        <w:pStyle w:val="Titrearticle"/>
        <w:rPr>
          <w:noProof/>
          <w:lang w:val="en-IE"/>
        </w:rPr>
      </w:pPr>
      <w:r w:rsidRPr="00FA14CE">
        <w:rPr>
          <w:noProof/>
          <w:lang w:val="en-IE"/>
        </w:rPr>
        <w:lastRenderedPageBreak/>
        <w:t>‘Article 9a</w:t>
      </w:r>
    </w:p>
    <w:p w14:paraId="407DD973" w14:textId="77777777" w:rsidR="008B77BD" w:rsidRPr="00FA14CE" w:rsidRDefault="008B77BD" w:rsidP="008B77BD">
      <w:pPr>
        <w:pStyle w:val="Titrearticle"/>
        <w:rPr>
          <w:i w:val="0"/>
          <w:iCs/>
          <w:noProof/>
          <w:lang w:val="en-IE"/>
        </w:rPr>
      </w:pPr>
      <w:r w:rsidRPr="00FA14CE">
        <w:rPr>
          <w:b/>
          <w:bCs/>
          <w:i w:val="0"/>
          <w:iCs/>
          <w:noProof/>
          <w:lang w:val="en-IE"/>
        </w:rPr>
        <w:t>Prevention of food waste generation</w:t>
      </w:r>
    </w:p>
    <w:p w14:paraId="370BFA94" w14:textId="60D6977C" w:rsidR="008B77BD" w:rsidRPr="00FA14CE" w:rsidRDefault="00384B96" w:rsidP="00384B96">
      <w:pPr>
        <w:pStyle w:val="ManualNumPar1"/>
        <w:rPr>
          <w:noProof/>
          <w:lang w:val="en-IE"/>
        </w:rPr>
      </w:pPr>
      <w:r w:rsidRPr="00FA14CE">
        <w:t>1.</w:t>
      </w:r>
      <w:r w:rsidRPr="00FA14CE">
        <w:tab/>
      </w:r>
      <w:r w:rsidR="008B77BD" w:rsidRPr="00FA14CE">
        <w:rPr>
          <w:noProof/>
          <w:lang w:val="en-IE"/>
        </w:rPr>
        <w:t>Member States shall take appropriate measures to prevent generation of food waste in primary production, in processing and manufacturing, in retail and other distribution of food, in restaurants and food services as well as in households. Those measures shall</w:t>
      </w:r>
      <w:r w:rsidR="003F4506" w:rsidRPr="00FA14CE">
        <w:rPr>
          <w:noProof/>
          <w:lang w:val="en-IE"/>
        </w:rPr>
        <w:t xml:space="preserve"> include the following</w:t>
      </w:r>
      <w:r w:rsidR="008B77BD" w:rsidRPr="00FA14CE">
        <w:rPr>
          <w:noProof/>
          <w:lang w:val="en-IE"/>
        </w:rPr>
        <w:t>:</w:t>
      </w:r>
    </w:p>
    <w:p w14:paraId="6198C586" w14:textId="6CD274C5" w:rsidR="0091513F" w:rsidRPr="00FA14CE" w:rsidRDefault="00384B96" w:rsidP="00384B96">
      <w:pPr>
        <w:pStyle w:val="Point1"/>
        <w:rPr>
          <w:noProof/>
          <w:lang w:val="en-IE" w:eastAsia="en-GB"/>
        </w:rPr>
      </w:pPr>
      <w:r w:rsidRPr="00FA14CE">
        <w:t>(a)</w:t>
      </w:r>
      <w:r w:rsidRPr="00FA14CE">
        <w:tab/>
      </w:r>
      <w:r w:rsidR="0091513F" w:rsidRPr="00FA14CE">
        <w:rPr>
          <w:noProof/>
          <w:lang w:val="en-IE"/>
        </w:rPr>
        <w:t>develop</w:t>
      </w:r>
      <w:r w:rsidR="00EF37E7" w:rsidRPr="00FA14CE">
        <w:rPr>
          <w:noProof/>
          <w:lang w:val="en-IE"/>
        </w:rPr>
        <w:t>ing</w:t>
      </w:r>
      <w:r w:rsidR="0091513F" w:rsidRPr="00FA14CE">
        <w:rPr>
          <w:noProof/>
          <w:lang w:val="en-IE"/>
        </w:rPr>
        <w:t xml:space="preserve"> and support</w:t>
      </w:r>
      <w:r w:rsidR="00EF37E7" w:rsidRPr="00FA14CE">
        <w:rPr>
          <w:noProof/>
          <w:lang w:val="en-IE"/>
        </w:rPr>
        <w:t>ing</w:t>
      </w:r>
      <w:r w:rsidR="0091513F" w:rsidRPr="00FA14CE">
        <w:rPr>
          <w:noProof/>
          <w:lang w:val="en-IE"/>
        </w:rPr>
        <w:t xml:space="preserve"> behavioural change interventions to reduce food waste, and information campaigns to raise awareness about </w:t>
      </w:r>
      <w:r w:rsidR="00EF37E7" w:rsidRPr="00FA14CE">
        <w:rPr>
          <w:noProof/>
          <w:lang w:val="en-IE"/>
        </w:rPr>
        <w:t xml:space="preserve">food </w:t>
      </w:r>
      <w:r w:rsidR="0091513F" w:rsidRPr="00FA14CE">
        <w:rPr>
          <w:noProof/>
          <w:lang w:val="en-IE"/>
        </w:rPr>
        <w:t>waste prevention;</w:t>
      </w:r>
    </w:p>
    <w:p w14:paraId="3CDE83A4" w14:textId="76CE8BB4" w:rsidR="00992F9A" w:rsidRPr="00FA14CE" w:rsidRDefault="00384B96" w:rsidP="00384B96">
      <w:pPr>
        <w:pStyle w:val="Point1"/>
        <w:rPr>
          <w:noProof/>
          <w:lang w:val="en-IE" w:eastAsia="en-GB"/>
        </w:rPr>
      </w:pPr>
      <w:r w:rsidRPr="00FA14CE">
        <w:t>(b)</w:t>
      </w:r>
      <w:r w:rsidRPr="00FA14CE">
        <w:tab/>
      </w:r>
      <w:r w:rsidR="40E9E3CC" w:rsidRPr="00FA14CE">
        <w:rPr>
          <w:noProof/>
          <w:lang w:val="en-IE" w:eastAsia="en-GB"/>
        </w:rPr>
        <w:t xml:space="preserve">identifying and addressing inefficiencies in the functioning of </w:t>
      </w:r>
      <w:r w:rsidR="013AFA15" w:rsidRPr="00FA14CE">
        <w:rPr>
          <w:noProof/>
          <w:lang w:val="en-IE" w:eastAsia="en-GB"/>
        </w:rPr>
        <w:t xml:space="preserve">the </w:t>
      </w:r>
      <w:r w:rsidR="40E9E3CC" w:rsidRPr="00FA14CE">
        <w:rPr>
          <w:noProof/>
          <w:lang w:val="en-IE" w:eastAsia="en-GB"/>
        </w:rPr>
        <w:t xml:space="preserve">food </w:t>
      </w:r>
      <w:r w:rsidR="013AFA15" w:rsidRPr="00FA14CE">
        <w:rPr>
          <w:noProof/>
          <w:lang w:val="en-IE" w:eastAsia="en-GB"/>
        </w:rPr>
        <w:t xml:space="preserve">supply </w:t>
      </w:r>
      <w:r w:rsidR="40E9E3CC" w:rsidRPr="00FA14CE">
        <w:rPr>
          <w:noProof/>
          <w:lang w:val="en-IE" w:eastAsia="en-GB"/>
        </w:rPr>
        <w:t xml:space="preserve">chain and </w:t>
      </w:r>
      <w:r w:rsidR="40E9E3CC" w:rsidRPr="00FA14CE">
        <w:rPr>
          <w:noProof/>
          <w:lang w:val="en-IE"/>
        </w:rPr>
        <w:t xml:space="preserve">support cooperation amongst </w:t>
      </w:r>
      <w:r w:rsidR="013AFA15" w:rsidRPr="00FA14CE">
        <w:rPr>
          <w:noProof/>
          <w:lang w:val="en-IE"/>
        </w:rPr>
        <w:t xml:space="preserve">all </w:t>
      </w:r>
      <w:r w:rsidR="40E9E3CC" w:rsidRPr="00FA14CE">
        <w:rPr>
          <w:noProof/>
          <w:lang w:val="en-IE"/>
        </w:rPr>
        <w:t>actors, while ensuring a fair distribution of costs and benefits of prevention measures</w:t>
      </w:r>
      <w:r w:rsidR="013AFA15" w:rsidRPr="00FA14CE">
        <w:rPr>
          <w:noProof/>
          <w:lang w:val="en-IE"/>
        </w:rPr>
        <w:t>;</w:t>
      </w:r>
    </w:p>
    <w:p w14:paraId="3F6CFBE0" w14:textId="4C8A759B" w:rsidR="005360D5" w:rsidRPr="00FA14CE" w:rsidRDefault="00384B96" w:rsidP="00384B96">
      <w:pPr>
        <w:pStyle w:val="Point1"/>
        <w:rPr>
          <w:noProof/>
          <w:lang w:val="en-IE" w:eastAsia="en-GB"/>
        </w:rPr>
      </w:pPr>
      <w:r w:rsidRPr="00FA14CE">
        <w:t>(c)</w:t>
      </w:r>
      <w:r w:rsidRPr="00FA14CE">
        <w:tab/>
      </w:r>
      <w:r w:rsidR="4689043C" w:rsidRPr="00FA14CE">
        <w:rPr>
          <w:noProof/>
          <w:lang w:val="en-IE" w:eastAsia="en-GB"/>
        </w:rPr>
        <w:t>encourag</w:t>
      </w:r>
      <w:r w:rsidR="013AFA15" w:rsidRPr="00FA14CE">
        <w:rPr>
          <w:noProof/>
          <w:lang w:val="en-IE" w:eastAsia="en-GB"/>
        </w:rPr>
        <w:t>ing</w:t>
      </w:r>
      <w:r w:rsidR="4689043C" w:rsidRPr="00FA14CE">
        <w:rPr>
          <w:noProof/>
          <w:lang w:val="en-IE" w:eastAsia="en-GB"/>
        </w:rPr>
        <w:t xml:space="preserve"> food donation and other redistribution for human consumption, prioritising human use over animal feed and the reprocessing into non-food products;</w:t>
      </w:r>
    </w:p>
    <w:p w14:paraId="53079D49" w14:textId="6A2946B5" w:rsidR="009F1BBE" w:rsidRPr="00FA14CE" w:rsidRDefault="00384B96" w:rsidP="00384B96">
      <w:pPr>
        <w:pStyle w:val="Point1"/>
        <w:rPr>
          <w:noProof/>
          <w:lang w:val="en-IE" w:eastAsia="en-GB"/>
        </w:rPr>
      </w:pPr>
      <w:r w:rsidRPr="00FA14CE">
        <w:t>(d)</w:t>
      </w:r>
      <w:r w:rsidRPr="00FA14CE">
        <w:tab/>
      </w:r>
      <w:r w:rsidR="009F1BBE" w:rsidRPr="00FA14CE">
        <w:rPr>
          <w:noProof/>
          <w:lang w:val="en-IE" w:eastAsia="en-GB"/>
        </w:rPr>
        <w:t xml:space="preserve">supporting training and skills development as well as facilitating access to funding opportunities, in particular for </w:t>
      </w:r>
      <w:r w:rsidR="009334B4" w:rsidRPr="00FA14CE">
        <w:rPr>
          <w:noProof/>
          <w:lang w:val="en-IE" w:eastAsia="en-GB"/>
        </w:rPr>
        <w:t>s</w:t>
      </w:r>
      <w:r w:rsidR="009F1BBE" w:rsidRPr="00FA14CE">
        <w:rPr>
          <w:noProof/>
          <w:lang w:val="en-IE" w:eastAsia="en-GB"/>
        </w:rPr>
        <w:t xml:space="preserve">mall and </w:t>
      </w:r>
      <w:r w:rsidR="009334B4" w:rsidRPr="00FA14CE">
        <w:rPr>
          <w:noProof/>
          <w:lang w:val="en-IE" w:eastAsia="en-GB"/>
        </w:rPr>
        <w:t>m</w:t>
      </w:r>
      <w:r w:rsidR="009F1BBE" w:rsidRPr="00FA14CE">
        <w:rPr>
          <w:noProof/>
          <w:lang w:val="en-IE" w:eastAsia="en-GB"/>
        </w:rPr>
        <w:t xml:space="preserve">edium </w:t>
      </w:r>
      <w:r w:rsidR="009334B4" w:rsidRPr="00FA14CE">
        <w:rPr>
          <w:noProof/>
          <w:lang w:val="en-IE" w:eastAsia="en-GB"/>
        </w:rPr>
        <w:t>s</w:t>
      </w:r>
      <w:r w:rsidR="009F1BBE" w:rsidRPr="00FA14CE">
        <w:rPr>
          <w:noProof/>
          <w:lang w:val="en-IE" w:eastAsia="en-GB"/>
        </w:rPr>
        <w:t xml:space="preserve">ized </w:t>
      </w:r>
      <w:r w:rsidR="009334B4" w:rsidRPr="00FA14CE">
        <w:rPr>
          <w:noProof/>
          <w:lang w:val="en-IE" w:eastAsia="en-GB"/>
        </w:rPr>
        <w:t>e</w:t>
      </w:r>
      <w:r w:rsidR="009F1BBE" w:rsidRPr="00FA14CE">
        <w:rPr>
          <w:noProof/>
          <w:lang w:val="en-IE" w:eastAsia="en-GB"/>
        </w:rPr>
        <w:t>nterprises and social economy actors.</w:t>
      </w:r>
    </w:p>
    <w:p w14:paraId="6629DC59" w14:textId="0A04F9B7" w:rsidR="00A972DB" w:rsidRPr="00FA14CE" w:rsidRDefault="003468A9" w:rsidP="0094361B">
      <w:pPr>
        <w:pStyle w:val="Text1"/>
        <w:rPr>
          <w:noProof/>
          <w:lang w:val="en-IE"/>
        </w:rPr>
      </w:pPr>
      <w:r w:rsidRPr="00FA14CE">
        <w:rPr>
          <w:noProof/>
          <w:lang w:val="en-IE"/>
        </w:rPr>
        <w:t xml:space="preserve">Member States </w:t>
      </w:r>
      <w:r w:rsidR="00A972DB" w:rsidRPr="00FA14CE">
        <w:rPr>
          <w:noProof/>
          <w:lang w:val="en-IE"/>
        </w:rPr>
        <w:t>shall ensure that all</w:t>
      </w:r>
      <w:r w:rsidRPr="00FA14CE">
        <w:rPr>
          <w:noProof/>
          <w:lang w:val="en-IE"/>
        </w:rPr>
        <w:t xml:space="preserve"> relevant</w:t>
      </w:r>
      <w:r w:rsidR="00A972DB" w:rsidRPr="00FA14CE">
        <w:rPr>
          <w:noProof/>
          <w:lang w:val="en-IE"/>
        </w:rPr>
        <w:t xml:space="preserve"> actors in the supply chain are involved proportionately to their capacity and role in </w:t>
      </w:r>
      <w:r w:rsidR="00E308B5" w:rsidRPr="00FA14CE">
        <w:rPr>
          <w:noProof/>
        </w:rPr>
        <w:t xml:space="preserve">preventing the generation of food waste along </w:t>
      </w:r>
      <w:r w:rsidR="00A972DB" w:rsidRPr="00FA14CE">
        <w:rPr>
          <w:noProof/>
          <w:lang w:val="en-IE"/>
        </w:rPr>
        <w:t xml:space="preserve">the food supply chain, with a specific focus on preventing disproportionate impact on </w:t>
      </w:r>
      <w:r w:rsidRPr="00FA14CE">
        <w:rPr>
          <w:noProof/>
          <w:lang w:val="en-IE"/>
        </w:rPr>
        <w:t xml:space="preserve">small </w:t>
      </w:r>
      <w:r w:rsidR="00A972DB" w:rsidRPr="00FA14CE">
        <w:rPr>
          <w:noProof/>
          <w:lang w:val="en-IE"/>
        </w:rPr>
        <w:t xml:space="preserve">and </w:t>
      </w:r>
      <w:r w:rsidRPr="00FA14CE">
        <w:rPr>
          <w:noProof/>
          <w:lang w:val="en-IE"/>
        </w:rPr>
        <w:t>medium sized enterprises</w:t>
      </w:r>
      <w:r w:rsidR="00A972DB" w:rsidRPr="00FA14CE">
        <w:rPr>
          <w:noProof/>
          <w:lang w:val="en-IE"/>
        </w:rPr>
        <w:t>.</w:t>
      </w:r>
    </w:p>
    <w:p w14:paraId="6EF73292" w14:textId="11CC6AC8" w:rsidR="00817D9C" w:rsidRPr="00FA14CE" w:rsidRDefault="00384B96" w:rsidP="00384B96">
      <w:pPr>
        <w:pStyle w:val="ManualNumPar1"/>
        <w:rPr>
          <w:noProof/>
          <w:lang w:val="en-IE"/>
        </w:rPr>
      </w:pPr>
      <w:r w:rsidRPr="00FA14CE">
        <w:t>2.</w:t>
      </w:r>
      <w:r w:rsidRPr="00FA14CE">
        <w:tab/>
      </w:r>
      <w:r w:rsidR="00817D9C" w:rsidRPr="00FA14CE">
        <w:rPr>
          <w:noProof/>
          <w:lang w:val="en-IE"/>
        </w:rPr>
        <w:t>Member States shall monitor and assess the implementation of their food waste prevention measures, including compliance with the food reduction targets</w:t>
      </w:r>
      <w:r w:rsidR="0075048E" w:rsidRPr="00FA14CE">
        <w:rPr>
          <w:noProof/>
          <w:lang w:val="en-IE"/>
        </w:rPr>
        <w:t xml:space="preserve"> referred to </w:t>
      </w:r>
      <w:r w:rsidR="00560040" w:rsidRPr="00FA14CE">
        <w:rPr>
          <w:noProof/>
          <w:lang w:val="en-IE"/>
        </w:rPr>
        <w:t>in paragraph 4</w:t>
      </w:r>
      <w:r w:rsidR="00817D9C" w:rsidRPr="00FA14CE">
        <w:rPr>
          <w:noProof/>
          <w:lang w:val="en-IE"/>
        </w:rPr>
        <w:t xml:space="preserve">, by measuring the levels of food waste on the basis of the methodology established in accordance with paragraph 3. </w:t>
      </w:r>
    </w:p>
    <w:p w14:paraId="1C5C0EFE" w14:textId="78A94BC3" w:rsidR="00817D9C" w:rsidRPr="00FA14CE" w:rsidRDefault="00384B96" w:rsidP="00384B96">
      <w:pPr>
        <w:pStyle w:val="ManualNumPar1"/>
        <w:rPr>
          <w:noProof/>
          <w:lang w:val="en-IE"/>
        </w:rPr>
      </w:pPr>
      <w:r w:rsidRPr="00FA14CE">
        <w:t>3.</w:t>
      </w:r>
      <w:r w:rsidRPr="00FA14CE">
        <w:tab/>
      </w:r>
      <w:r w:rsidR="00817D9C" w:rsidRPr="00FA14CE">
        <w:rPr>
          <w:noProof/>
          <w:lang w:val="en-IE"/>
        </w:rPr>
        <w:t>The Commission is empowered to adopt delegated act</w:t>
      </w:r>
      <w:r w:rsidR="009334B4" w:rsidRPr="00FA14CE">
        <w:rPr>
          <w:noProof/>
          <w:lang w:val="en-IE"/>
        </w:rPr>
        <w:t>s</w:t>
      </w:r>
      <w:r w:rsidR="00817D9C" w:rsidRPr="00FA14CE">
        <w:rPr>
          <w:noProof/>
          <w:lang w:val="en-IE"/>
        </w:rPr>
        <w:t xml:space="preserve"> in accordance with Article 38a to </w:t>
      </w:r>
      <w:r w:rsidR="003E3DE6" w:rsidRPr="00FA14CE">
        <w:rPr>
          <w:noProof/>
          <w:lang w:val="en-IE"/>
        </w:rPr>
        <w:t>supplement t</w:t>
      </w:r>
      <w:r w:rsidR="00841644" w:rsidRPr="00FA14CE">
        <w:rPr>
          <w:noProof/>
          <w:lang w:val="en-IE"/>
        </w:rPr>
        <w:t>h</w:t>
      </w:r>
      <w:r w:rsidR="003E3DE6" w:rsidRPr="00FA14CE">
        <w:rPr>
          <w:noProof/>
          <w:lang w:val="en-IE"/>
        </w:rPr>
        <w:t>is Directive as re</w:t>
      </w:r>
      <w:r w:rsidR="00841644" w:rsidRPr="00FA14CE">
        <w:rPr>
          <w:noProof/>
          <w:lang w:val="en-IE"/>
        </w:rPr>
        <w:t>g</w:t>
      </w:r>
      <w:r w:rsidR="003E3DE6" w:rsidRPr="00FA14CE">
        <w:rPr>
          <w:noProof/>
          <w:lang w:val="en-IE"/>
        </w:rPr>
        <w:t>ards layin</w:t>
      </w:r>
      <w:r w:rsidR="00412C28" w:rsidRPr="00FA14CE">
        <w:rPr>
          <w:noProof/>
          <w:lang w:val="en-IE"/>
        </w:rPr>
        <w:t>g</w:t>
      </w:r>
      <w:r w:rsidR="003E3DE6" w:rsidRPr="00FA14CE">
        <w:rPr>
          <w:noProof/>
          <w:lang w:val="en-IE"/>
        </w:rPr>
        <w:t xml:space="preserve"> down a common met</w:t>
      </w:r>
      <w:r w:rsidR="00841644" w:rsidRPr="00FA14CE">
        <w:rPr>
          <w:noProof/>
          <w:lang w:val="en-IE"/>
        </w:rPr>
        <w:t>h</w:t>
      </w:r>
      <w:r w:rsidR="003E3DE6" w:rsidRPr="00FA14CE">
        <w:rPr>
          <w:noProof/>
          <w:lang w:val="en-IE"/>
        </w:rPr>
        <w:t>odolo</w:t>
      </w:r>
      <w:r w:rsidR="00841644" w:rsidRPr="00FA14CE">
        <w:rPr>
          <w:noProof/>
          <w:lang w:val="en-IE"/>
        </w:rPr>
        <w:t>g</w:t>
      </w:r>
      <w:r w:rsidR="003E3DE6" w:rsidRPr="00FA14CE">
        <w:rPr>
          <w:noProof/>
          <w:lang w:val="en-IE"/>
        </w:rPr>
        <w:t>y and mini</w:t>
      </w:r>
      <w:r w:rsidR="00841644" w:rsidRPr="00FA14CE">
        <w:rPr>
          <w:noProof/>
          <w:lang w:val="en-IE"/>
        </w:rPr>
        <w:t>m</w:t>
      </w:r>
      <w:r w:rsidR="003E3DE6" w:rsidRPr="00FA14CE">
        <w:rPr>
          <w:noProof/>
          <w:lang w:val="en-IE"/>
        </w:rPr>
        <w:t>um quality requirements for t</w:t>
      </w:r>
      <w:r w:rsidR="00841644" w:rsidRPr="00FA14CE">
        <w:rPr>
          <w:noProof/>
          <w:lang w:val="en-IE"/>
        </w:rPr>
        <w:t>h</w:t>
      </w:r>
      <w:r w:rsidR="003E3DE6" w:rsidRPr="00FA14CE">
        <w:rPr>
          <w:noProof/>
          <w:lang w:val="en-IE"/>
        </w:rPr>
        <w:t>e uniform measurement of food waste levels</w:t>
      </w:r>
      <w:r w:rsidR="00560040" w:rsidRPr="00FA14CE">
        <w:rPr>
          <w:noProof/>
          <w:lang w:val="en-IE"/>
        </w:rPr>
        <w:t>.</w:t>
      </w:r>
      <w:r w:rsidR="003E3DE6" w:rsidRPr="00FA14CE">
        <w:rPr>
          <w:noProof/>
          <w:lang w:val="en-IE"/>
        </w:rPr>
        <w:t xml:space="preserve"> </w:t>
      </w:r>
    </w:p>
    <w:p w14:paraId="12B7D4CF" w14:textId="463BA156" w:rsidR="00817D9C" w:rsidRPr="00FA14CE" w:rsidRDefault="00384B96" w:rsidP="00384B96">
      <w:pPr>
        <w:pStyle w:val="ManualNumPar1"/>
        <w:rPr>
          <w:noProof/>
          <w:lang w:val="en-IE"/>
        </w:rPr>
      </w:pPr>
      <w:r w:rsidRPr="00FA14CE">
        <w:t>4.</w:t>
      </w:r>
      <w:r w:rsidRPr="00FA14CE">
        <w:tab/>
      </w:r>
      <w:r w:rsidR="00817D9C" w:rsidRPr="00FA14CE">
        <w:rPr>
          <w:noProof/>
          <w:lang w:val="en-IE"/>
        </w:rPr>
        <w:t>Member States shall take the necessary and appropriate measures to achieve</w:t>
      </w:r>
      <w:r w:rsidR="00412C28" w:rsidRPr="00FA14CE">
        <w:rPr>
          <w:noProof/>
          <w:lang w:val="en-IE"/>
        </w:rPr>
        <w:t>,</w:t>
      </w:r>
      <w:r w:rsidR="00817D9C" w:rsidRPr="00FA14CE">
        <w:rPr>
          <w:noProof/>
          <w:lang w:val="en-IE"/>
        </w:rPr>
        <w:t xml:space="preserve"> </w:t>
      </w:r>
      <w:r w:rsidR="00560040" w:rsidRPr="00FA14CE">
        <w:rPr>
          <w:noProof/>
          <w:lang w:val="en-IE"/>
        </w:rPr>
        <w:t>by 31 December 2030</w:t>
      </w:r>
      <w:r w:rsidR="00412C28" w:rsidRPr="00FA14CE">
        <w:rPr>
          <w:noProof/>
          <w:lang w:val="en-IE"/>
        </w:rPr>
        <w:t>,</w:t>
      </w:r>
      <w:r w:rsidR="00560040" w:rsidRPr="00FA14CE">
        <w:rPr>
          <w:noProof/>
          <w:lang w:val="en-IE"/>
        </w:rPr>
        <w:t xml:space="preserve"> </w:t>
      </w:r>
      <w:r w:rsidR="00817D9C" w:rsidRPr="00FA14CE">
        <w:rPr>
          <w:noProof/>
          <w:lang w:val="en-IE"/>
        </w:rPr>
        <w:t xml:space="preserve">the following food </w:t>
      </w:r>
      <w:r w:rsidR="00F71D5F" w:rsidRPr="00FA14CE">
        <w:rPr>
          <w:noProof/>
          <w:lang w:val="en-IE"/>
        </w:rPr>
        <w:t xml:space="preserve">waste </w:t>
      </w:r>
      <w:r w:rsidR="00817D9C" w:rsidRPr="00FA14CE">
        <w:rPr>
          <w:noProof/>
          <w:lang w:val="en-IE"/>
        </w:rPr>
        <w:t>reduction targets at national level:</w:t>
      </w:r>
    </w:p>
    <w:p w14:paraId="316BB4F5" w14:textId="79F850AB" w:rsidR="00817D9C" w:rsidRPr="00FA14CE" w:rsidRDefault="00384B96" w:rsidP="00384B96">
      <w:pPr>
        <w:pStyle w:val="Point1"/>
        <w:rPr>
          <w:noProof/>
          <w:lang w:val="en-IE"/>
        </w:rPr>
      </w:pPr>
      <w:r w:rsidRPr="00FA14CE">
        <w:t>(a)</w:t>
      </w:r>
      <w:r w:rsidRPr="00FA14CE">
        <w:tab/>
      </w:r>
      <w:r w:rsidR="00817D9C" w:rsidRPr="00FA14CE">
        <w:rPr>
          <w:noProof/>
          <w:lang w:val="en-IE"/>
        </w:rPr>
        <w:t xml:space="preserve">reduce the generation of food waste in processing and manufacturing by 10 % in comparison to the amount generated in 2020; </w:t>
      </w:r>
    </w:p>
    <w:p w14:paraId="0C09F7D8" w14:textId="1D3AF5E7" w:rsidR="00817D9C" w:rsidRPr="00FA14CE" w:rsidRDefault="00384B96" w:rsidP="00384B96">
      <w:pPr>
        <w:pStyle w:val="Point1"/>
        <w:rPr>
          <w:noProof/>
          <w:lang w:val="en-IE"/>
        </w:rPr>
      </w:pPr>
      <w:r w:rsidRPr="00FA14CE">
        <w:t>(b)</w:t>
      </w:r>
      <w:r w:rsidRPr="00FA14CE">
        <w:tab/>
      </w:r>
      <w:r w:rsidR="00817D9C" w:rsidRPr="00FA14CE">
        <w:rPr>
          <w:noProof/>
          <w:lang w:val="en-IE"/>
        </w:rPr>
        <w:t xml:space="preserve">reduce the generation of food waste per capita, jointly in retail and other distribution of food, in restaurants and food services and in households, by 30 % in comparison to </w:t>
      </w:r>
      <w:r w:rsidR="003468A9" w:rsidRPr="00FA14CE">
        <w:rPr>
          <w:noProof/>
          <w:lang w:val="en-IE"/>
        </w:rPr>
        <w:t xml:space="preserve">the </w:t>
      </w:r>
      <w:r w:rsidR="00817D9C" w:rsidRPr="00FA14CE">
        <w:rPr>
          <w:noProof/>
          <w:lang w:val="en-IE"/>
        </w:rPr>
        <w:t>amount generated in 2020.</w:t>
      </w:r>
    </w:p>
    <w:p w14:paraId="7575CEF7" w14:textId="3A9FBDA3" w:rsidR="00817D9C" w:rsidRPr="00FA14CE" w:rsidRDefault="00384B96" w:rsidP="00384B96">
      <w:pPr>
        <w:pStyle w:val="ManualNumPar1"/>
        <w:rPr>
          <w:noProof/>
          <w:lang w:val="en-IE"/>
        </w:rPr>
      </w:pPr>
      <w:r w:rsidRPr="00FA14CE">
        <w:t>5.</w:t>
      </w:r>
      <w:r w:rsidRPr="00FA14CE">
        <w:tab/>
      </w:r>
      <w:r w:rsidR="00817D9C" w:rsidRPr="00FA14CE">
        <w:rPr>
          <w:noProof/>
          <w:lang w:val="en-IE"/>
        </w:rPr>
        <w:t>Whe</w:t>
      </w:r>
      <w:r w:rsidR="00F71D5F" w:rsidRPr="00FA14CE">
        <w:rPr>
          <w:noProof/>
          <w:lang w:val="en-IE"/>
        </w:rPr>
        <w:t>re</w:t>
      </w:r>
      <w:r w:rsidR="00817D9C" w:rsidRPr="00FA14CE">
        <w:rPr>
          <w:noProof/>
          <w:lang w:val="en-IE"/>
        </w:rPr>
        <w:t xml:space="preserve"> a Member State can provide data for a reference year prior to 2020, which have been collected </w:t>
      </w:r>
      <w:r w:rsidR="00344D35" w:rsidRPr="00FA14CE">
        <w:rPr>
          <w:noProof/>
          <w:lang w:val="en-IE"/>
        </w:rPr>
        <w:t xml:space="preserve">using methods comparable </w:t>
      </w:r>
      <w:r w:rsidR="00D814EE" w:rsidRPr="00FA14CE">
        <w:rPr>
          <w:noProof/>
          <w:lang w:val="en-IE"/>
        </w:rPr>
        <w:t>to</w:t>
      </w:r>
      <w:r w:rsidR="0094361B" w:rsidRPr="00FA14CE">
        <w:rPr>
          <w:noProof/>
          <w:lang w:val="en-IE"/>
        </w:rPr>
        <w:t xml:space="preserve"> </w:t>
      </w:r>
      <w:r w:rsidR="00817D9C" w:rsidRPr="00FA14CE">
        <w:rPr>
          <w:noProof/>
          <w:lang w:val="en-IE"/>
        </w:rPr>
        <w:t xml:space="preserve">the methodology and minimum quality requirements for the uniform measurement of levels of food waste as set out in the Commission Delegated Decision (EU) 2019/1597, an earlier reference year may be used. The Member State shall notify the Commission and the other Member States of its intention to use an earlier reference year within </w:t>
      </w:r>
      <w:r w:rsidR="00111FD3" w:rsidRPr="00FA14CE">
        <w:rPr>
          <w:noProof/>
          <w:lang w:val="en-IE"/>
        </w:rPr>
        <w:t>18 months</w:t>
      </w:r>
      <w:r w:rsidR="00817D9C" w:rsidRPr="00FA14CE">
        <w:rPr>
          <w:noProof/>
          <w:lang w:val="en-IE"/>
        </w:rPr>
        <w:t xml:space="preserve"> of the entry into force of th</w:t>
      </w:r>
      <w:r w:rsidR="009334B4" w:rsidRPr="00FA14CE">
        <w:rPr>
          <w:noProof/>
          <w:lang w:val="en-IE"/>
        </w:rPr>
        <w:t>is</w:t>
      </w:r>
      <w:r w:rsidR="00817D9C" w:rsidRPr="00FA14CE">
        <w:rPr>
          <w:noProof/>
          <w:lang w:val="en-IE"/>
        </w:rPr>
        <w:t xml:space="preserve"> Directive and shall provide the Commission with the </w:t>
      </w:r>
      <w:r w:rsidR="00581060" w:rsidRPr="00FA14CE">
        <w:rPr>
          <w:noProof/>
          <w:lang w:val="en-IE"/>
        </w:rPr>
        <w:t xml:space="preserve">data and </w:t>
      </w:r>
      <w:r w:rsidR="0067332C" w:rsidRPr="00FA14CE">
        <w:rPr>
          <w:noProof/>
          <w:lang w:val="en-IE"/>
        </w:rPr>
        <w:t>measurement methods used</w:t>
      </w:r>
      <w:r w:rsidR="002D4E58" w:rsidRPr="00FA14CE">
        <w:rPr>
          <w:noProof/>
          <w:lang w:val="en-IE"/>
        </w:rPr>
        <w:t xml:space="preserve"> to collect them</w:t>
      </w:r>
      <w:r w:rsidR="00817D9C" w:rsidRPr="00FA14CE">
        <w:rPr>
          <w:noProof/>
          <w:lang w:val="en-IE"/>
        </w:rPr>
        <w:t xml:space="preserve">. </w:t>
      </w:r>
    </w:p>
    <w:p w14:paraId="4391CE18" w14:textId="6D002BDD" w:rsidR="00817D9C" w:rsidRPr="00FA14CE" w:rsidRDefault="00384B96" w:rsidP="00384B96">
      <w:pPr>
        <w:pStyle w:val="ManualNumPar1"/>
        <w:rPr>
          <w:noProof/>
          <w:lang w:val="en-IE"/>
        </w:rPr>
      </w:pPr>
      <w:r w:rsidRPr="00FA14CE">
        <w:lastRenderedPageBreak/>
        <w:t>6.</w:t>
      </w:r>
      <w:r w:rsidRPr="00FA14CE">
        <w:tab/>
      </w:r>
      <w:r w:rsidR="00817D9C" w:rsidRPr="00FA14CE">
        <w:rPr>
          <w:noProof/>
          <w:lang w:val="en-IE"/>
        </w:rPr>
        <w:t xml:space="preserve">When the Commission considers that the </w:t>
      </w:r>
      <w:r w:rsidR="003F2127" w:rsidRPr="00FA14CE">
        <w:rPr>
          <w:noProof/>
          <w:lang w:val="en-IE"/>
        </w:rPr>
        <w:t xml:space="preserve">data </w:t>
      </w:r>
      <w:r w:rsidR="00817D9C" w:rsidRPr="00FA14CE">
        <w:rPr>
          <w:noProof/>
          <w:lang w:val="en-IE"/>
        </w:rPr>
        <w:t>do not comply with the conditions set</w:t>
      </w:r>
      <w:r w:rsidR="007C46B2" w:rsidRPr="00FA14CE">
        <w:rPr>
          <w:noProof/>
          <w:lang w:val="en-IE"/>
        </w:rPr>
        <w:t xml:space="preserve"> out</w:t>
      </w:r>
      <w:r w:rsidR="003F2127" w:rsidRPr="00FA14CE">
        <w:rPr>
          <w:noProof/>
          <w:lang w:val="en-IE"/>
        </w:rPr>
        <w:t xml:space="preserve"> in paragraph </w:t>
      </w:r>
      <w:r w:rsidR="004418C5" w:rsidRPr="00FA14CE">
        <w:rPr>
          <w:noProof/>
          <w:lang w:val="en-IE"/>
        </w:rPr>
        <w:t>5</w:t>
      </w:r>
      <w:r w:rsidR="00817D9C" w:rsidRPr="00FA14CE">
        <w:rPr>
          <w:noProof/>
          <w:lang w:val="en-IE"/>
        </w:rPr>
        <w:t xml:space="preserve">, it shall, within </w:t>
      </w:r>
      <w:r w:rsidR="00485146" w:rsidRPr="00FA14CE">
        <w:rPr>
          <w:noProof/>
          <w:lang w:val="en-IE"/>
        </w:rPr>
        <w:t xml:space="preserve">6 </w:t>
      </w:r>
      <w:r w:rsidR="00817D9C" w:rsidRPr="00FA14CE">
        <w:rPr>
          <w:noProof/>
          <w:lang w:val="en-IE"/>
        </w:rPr>
        <w:t xml:space="preserve">months of the receipt of a notification made in accordance with paragraph 5, adopt a decision requesting the Member State to either use 2020 or </w:t>
      </w:r>
      <w:r w:rsidR="003E3DE6" w:rsidRPr="00FA14CE">
        <w:rPr>
          <w:noProof/>
          <w:lang w:val="en-IE"/>
        </w:rPr>
        <w:t>a</w:t>
      </w:r>
      <w:r w:rsidR="00817D9C" w:rsidRPr="00FA14CE">
        <w:rPr>
          <w:noProof/>
          <w:lang w:val="en-IE"/>
        </w:rPr>
        <w:t xml:space="preserve"> year</w:t>
      </w:r>
      <w:r w:rsidR="003E3DE6" w:rsidRPr="00FA14CE">
        <w:rPr>
          <w:noProof/>
          <w:lang w:val="en-IE"/>
        </w:rPr>
        <w:t xml:space="preserve"> other</w:t>
      </w:r>
      <w:r w:rsidR="00817D9C" w:rsidRPr="00FA14CE">
        <w:rPr>
          <w:noProof/>
          <w:lang w:val="en-IE"/>
        </w:rPr>
        <w:t xml:space="preserve"> than that proposed by the Member State as reference year.  </w:t>
      </w:r>
    </w:p>
    <w:p w14:paraId="4B9C4C01" w14:textId="74DA1262" w:rsidR="00817D9C" w:rsidRPr="00FA14CE" w:rsidRDefault="00384B96" w:rsidP="00384B96">
      <w:pPr>
        <w:pStyle w:val="ManualNumPar1"/>
        <w:rPr>
          <w:noProof/>
          <w:lang w:val="en-IE"/>
        </w:rPr>
      </w:pPr>
      <w:r w:rsidRPr="00FA14CE">
        <w:t>7.</w:t>
      </w:r>
      <w:r w:rsidRPr="00FA14CE">
        <w:tab/>
      </w:r>
      <w:r w:rsidR="00817D9C" w:rsidRPr="00FA14CE">
        <w:rPr>
          <w:noProof/>
          <w:lang w:val="en-IE"/>
        </w:rPr>
        <w:t>By 31 December 2027, the Commission shall review the targets to be reached by 2030, laid down in paragraph 4, with a view, if appropriate, to modify and/or extend them to other stages of the food supply chain, and to consider setting new targets beyond 2030. To that end, the Commission shall submit a report to the European Parliament and to the Council, accompanied, if appropriate, by a legislative proposal.</w:t>
      </w:r>
      <w:r w:rsidR="00116725" w:rsidRPr="00FA14CE">
        <w:rPr>
          <w:noProof/>
          <w:lang w:val="en-IE"/>
        </w:rPr>
        <w:t>’;</w:t>
      </w:r>
      <w:r w:rsidR="00817D9C" w:rsidRPr="00FA14CE">
        <w:rPr>
          <w:noProof/>
          <w:lang w:val="en-IE"/>
        </w:rPr>
        <w:t xml:space="preserve"> </w:t>
      </w:r>
    </w:p>
    <w:p w14:paraId="461CA1AC" w14:textId="77777777" w:rsidR="00817D9C" w:rsidRPr="00FA14CE" w:rsidRDefault="00817D9C" w:rsidP="0020411B">
      <w:pPr>
        <w:pStyle w:val="ListNumber1"/>
        <w:rPr>
          <w:noProof/>
          <w:lang w:val="en-IE"/>
        </w:rPr>
      </w:pPr>
      <w:r w:rsidRPr="00FA14CE">
        <w:rPr>
          <w:noProof/>
          <w:lang w:val="en-IE"/>
        </w:rPr>
        <w:t>in Article 11, paragraph 1, the third sentence is replaced by the following:</w:t>
      </w:r>
    </w:p>
    <w:p w14:paraId="53731F1F" w14:textId="77777777" w:rsidR="00817D9C" w:rsidRPr="00FA14CE" w:rsidDel="00D9602F" w:rsidRDefault="00817D9C" w:rsidP="00EF684D">
      <w:pPr>
        <w:pStyle w:val="Text1"/>
        <w:rPr>
          <w:noProof/>
          <w:lang w:val="en-IE"/>
        </w:rPr>
      </w:pPr>
      <w:r w:rsidRPr="00FA14CE">
        <w:rPr>
          <w:noProof/>
          <w:lang w:val="en-IE"/>
        </w:rPr>
        <w:t>'Subject to Article 10(2) and (3), Member States shall set up separate collection at least for paper, metal, plastic and glass.';</w:t>
      </w:r>
    </w:p>
    <w:p w14:paraId="027DC7B9" w14:textId="77777777" w:rsidR="00817D9C" w:rsidRPr="00FA14CE" w:rsidRDefault="00817D9C" w:rsidP="0020411B">
      <w:pPr>
        <w:pStyle w:val="ListNumber1"/>
        <w:rPr>
          <w:noProof/>
          <w:lang w:val="en-IE"/>
        </w:rPr>
      </w:pPr>
      <w:r w:rsidRPr="00FA14CE">
        <w:rPr>
          <w:noProof/>
          <w:lang w:val="en-IE"/>
        </w:rPr>
        <w:t>in Article 11b, paragraph 1 is replaced by the following:</w:t>
      </w:r>
    </w:p>
    <w:p w14:paraId="2E63C76B" w14:textId="77777777" w:rsidR="00817D9C" w:rsidRPr="00FA14CE" w:rsidRDefault="00817D9C" w:rsidP="00EF684D">
      <w:pPr>
        <w:pStyle w:val="Text1"/>
        <w:rPr>
          <w:noProof/>
          <w:lang w:val="en-IE"/>
        </w:rPr>
      </w:pPr>
      <w:r w:rsidRPr="00FA14CE">
        <w:rPr>
          <w:noProof/>
          <w:lang w:val="en-IE"/>
        </w:rPr>
        <w:t>‘1. The Commission shall, in cooperation with the European Environment Agency, draw up reports on the progress towards the attainment of the targets laid down in Article 9a(4), Article 11(2), points (c), (d), and (e), and Article 11 (3) at the latest three years before each deadline laid down therein.’;</w:t>
      </w:r>
    </w:p>
    <w:p w14:paraId="44E62B17" w14:textId="77777777" w:rsidR="00817D9C" w:rsidRPr="00FA14CE" w:rsidRDefault="00817D9C" w:rsidP="0020411B">
      <w:pPr>
        <w:pStyle w:val="ListNumber1"/>
        <w:rPr>
          <w:noProof/>
          <w:lang w:val="en-IE"/>
        </w:rPr>
      </w:pPr>
      <w:r w:rsidRPr="00FA14CE">
        <w:rPr>
          <w:noProof/>
          <w:lang w:val="en-IE"/>
        </w:rPr>
        <w:t>the following Articles 22a to 22d are inserted:</w:t>
      </w:r>
    </w:p>
    <w:p w14:paraId="4D0FEC51" w14:textId="77777777" w:rsidR="00817D9C" w:rsidRPr="00B6196A" w:rsidRDefault="00817D9C" w:rsidP="00817D9C">
      <w:pPr>
        <w:pStyle w:val="Titrearticle"/>
        <w:rPr>
          <w:noProof/>
          <w:highlight w:val="yellow"/>
          <w:lang w:val="en-IE"/>
        </w:rPr>
      </w:pPr>
      <w:r w:rsidRPr="00B6196A">
        <w:rPr>
          <w:noProof/>
          <w:highlight w:val="yellow"/>
          <w:lang w:val="en-IE"/>
        </w:rPr>
        <w:t>‘Article 22a</w:t>
      </w:r>
    </w:p>
    <w:p w14:paraId="76E9CCE5" w14:textId="77777777" w:rsidR="00817D9C" w:rsidRPr="00B6196A" w:rsidRDefault="00817D9C" w:rsidP="00817D9C">
      <w:pPr>
        <w:pStyle w:val="Titrearticle"/>
        <w:rPr>
          <w:i w:val="0"/>
          <w:iCs/>
          <w:noProof/>
          <w:highlight w:val="yellow"/>
          <w:lang w:val="en-IE"/>
        </w:rPr>
      </w:pPr>
      <w:r w:rsidRPr="00B6196A">
        <w:rPr>
          <w:b/>
          <w:bCs/>
          <w:i w:val="0"/>
          <w:iCs/>
          <w:noProof/>
          <w:highlight w:val="yellow"/>
          <w:lang w:val="en-IE"/>
        </w:rPr>
        <w:t>Extended producer responsibility scheme for textiles</w:t>
      </w:r>
    </w:p>
    <w:p w14:paraId="0266557F" w14:textId="1EA6821B" w:rsidR="00817D9C" w:rsidRPr="00B6196A" w:rsidRDefault="00384B96" w:rsidP="00384B96">
      <w:pPr>
        <w:pStyle w:val="ManualNumPar1"/>
        <w:rPr>
          <w:noProof/>
          <w:highlight w:val="yellow"/>
          <w:lang w:val="en-IE"/>
        </w:rPr>
      </w:pPr>
      <w:r w:rsidRPr="00B6196A">
        <w:rPr>
          <w:highlight w:val="yellow"/>
        </w:rPr>
        <w:t>1.</w:t>
      </w:r>
      <w:r w:rsidRPr="00B6196A">
        <w:rPr>
          <w:highlight w:val="yellow"/>
        </w:rPr>
        <w:tab/>
      </w:r>
      <w:r w:rsidR="00817D9C" w:rsidRPr="00B6196A">
        <w:rPr>
          <w:noProof/>
          <w:highlight w:val="yellow"/>
          <w:lang w:val="en-IE"/>
        </w:rPr>
        <w:t xml:space="preserve">Member States shall ensure that </w:t>
      </w:r>
      <w:r w:rsidR="470FDC76" w:rsidRPr="00B6196A">
        <w:rPr>
          <w:noProof/>
          <w:highlight w:val="yellow"/>
          <w:lang w:val="en-IE"/>
        </w:rPr>
        <w:t xml:space="preserve">producers have </w:t>
      </w:r>
      <w:r w:rsidR="00817D9C" w:rsidRPr="00B6196A">
        <w:rPr>
          <w:noProof/>
          <w:highlight w:val="yellow"/>
          <w:lang w:val="en-IE"/>
        </w:rPr>
        <w:t>extended producer responsibility for household textile products, articles of apparel, clothing accessories and footwear</w:t>
      </w:r>
      <w:r w:rsidR="00775DAA" w:rsidRPr="00B6196A">
        <w:rPr>
          <w:noProof/>
          <w:highlight w:val="yellow"/>
          <w:lang w:val="en-IE"/>
        </w:rPr>
        <w:t>, apparel and clothing accessories</w:t>
      </w:r>
      <w:r w:rsidR="00817D9C" w:rsidRPr="00B6196A">
        <w:rPr>
          <w:noProof/>
          <w:highlight w:val="yellow"/>
          <w:lang w:val="en-IE"/>
        </w:rPr>
        <w:t xml:space="preserve"> listed in Annex IVc (“textile</w:t>
      </w:r>
      <w:r w:rsidR="702D5C4E" w:rsidRPr="00B6196A">
        <w:rPr>
          <w:noProof/>
          <w:highlight w:val="yellow"/>
          <w:lang w:val="en-IE"/>
        </w:rPr>
        <w:t>, textile-related</w:t>
      </w:r>
      <w:r w:rsidR="00817D9C" w:rsidRPr="00B6196A">
        <w:rPr>
          <w:noProof/>
          <w:highlight w:val="yellow"/>
          <w:lang w:val="en-IE"/>
        </w:rPr>
        <w:t xml:space="preserve"> and footwear products”) </w:t>
      </w:r>
      <w:r w:rsidR="1A08D080" w:rsidRPr="00B6196A">
        <w:rPr>
          <w:noProof/>
          <w:highlight w:val="yellow"/>
          <w:lang w:val="en-IE"/>
        </w:rPr>
        <w:t>that they</w:t>
      </w:r>
      <w:r w:rsidR="00817D9C" w:rsidRPr="00B6196A">
        <w:rPr>
          <w:noProof/>
          <w:highlight w:val="yellow"/>
          <w:lang w:val="en-IE"/>
        </w:rPr>
        <w:t xml:space="preserve"> </w:t>
      </w:r>
      <w:r w:rsidR="00F84CFF" w:rsidRPr="00B6196A">
        <w:rPr>
          <w:noProof/>
          <w:highlight w:val="yellow"/>
          <w:lang w:val="en-IE"/>
        </w:rPr>
        <w:t>ma</w:t>
      </w:r>
      <w:r w:rsidR="2826FDD6" w:rsidRPr="00B6196A">
        <w:rPr>
          <w:noProof/>
          <w:highlight w:val="yellow"/>
          <w:lang w:val="en-IE"/>
        </w:rPr>
        <w:t>k</w:t>
      </w:r>
      <w:r w:rsidR="00F84CFF" w:rsidRPr="00B6196A">
        <w:rPr>
          <w:noProof/>
          <w:highlight w:val="yellow"/>
          <w:lang w:val="en-IE"/>
        </w:rPr>
        <w:t xml:space="preserve">e available on the market for the first time within the territory of </w:t>
      </w:r>
      <w:r w:rsidR="57C45ABB" w:rsidRPr="00B6196A">
        <w:rPr>
          <w:noProof/>
          <w:highlight w:val="yellow"/>
          <w:lang w:val="en-IE"/>
        </w:rPr>
        <w:t xml:space="preserve">a </w:t>
      </w:r>
      <w:r w:rsidR="00817D9C" w:rsidRPr="00B6196A">
        <w:rPr>
          <w:noProof/>
          <w:highlight w:val="yellow"/>
          <w:lang w:val="en-IE"/>
        </w:rPr>
        <w:t xml:space="preserve">Member State, in accordance with Articles 8 and 8a. </w:t>
      </w:r>
    </w:p>
    <w:p w14:paraId="2AEA969F" w14:textId="30F0BD9A" w:rsidR="00817D9C" w:rsidRPr="00B6196A" w:rsidRDefault="00384B96" w:rsidP="00384B96">
      <w:pPr>
        <w:pStyle w:val="ManualNumPar1"/>
        <w:rPr>
          <w:noProof/>
          <w:highlight w:val="yellow"/>
          <w:lang w:val="en-IE"/>
        </w:rPr>
      </w:pPr>
      <w:r w:rsidRPr="00B6196A">
        <w:rPr>
          <w:highlight w:val="yellow"/>
        </w:rPr>
        <w:t>2.</w:t>
      </w:r>
      <w:r w:rsidRPr="00B6196A">
        <w:rPr>
          <w:highlight w:val="yellow"/>
        </w:rPr>
        <w:tab/>
      </w:r>
      <w:r w:rsidR="00817D9C" w:rsidRPr="00B6196A">
        <w:rPr>
          <w:noProof/>
          <w:highlight w:val="yellow"/>
          <w:lang w:val="en-IE"/>
        </w:rPr>
        <w:t xml:space="preserve">The Commission is empowered to adopt delegated acts in accordance with Article 38a to amend Annex IVc </w:t>
      </w:r>
      <w:r w:rsidR="7871BFB0" w:rsidRPr="00B6196A">
        <w:rPr>
          <w:noProof/>
          <w:highlight w:val="yellow"/>
          <w:lang w:val="en-IE"/>
        </w:rPr>
        <w:t xml:space="preserve">to this Directive </w:t>
      </w:r>
      <w:r w:rsidR="00817D9C" w:rsidRPr="00B6196A">
        <w:rPr>
          <w:noProof/>
          <w:highlight w:val="yellow"/>
          <w:lang w:val="en-IE"/>
        </w:rPr>
        <w:t xml:space="preserve">in order to bring the </w:t>
      </w:r>
      <w:r w:rsidR="008B7853" w:rsidRPr="00B6196A">
        <w:rPr>
          <w:noProof/>
          <w:highlight w:val="yellow"/>
          <w:lang w:val="en-IE"/>
        </w:rPr>
        <w:t>C</w:t>
      </w:r>
      <w:r w:rsidR="005D3A0C" w:rsidRPr="00B6196A">
        <w:rPr>
          <w:noProof/>
          <w:highlight w:val="yellow"/>
          <w:lang w:val="en-IE"/>
        </w:rPr>
        <w:t xml:space="preserve">ombined </w:t>
      </w:r>
      <w:r w:rsidR="008B7853" w:rsidRPr="00B6196A">
        <w:rPr>
          <w:noProof/>
          <w:highlight w:val="yellow"/>
          <w:lang w:val="en-IE"/>
        </w:rPr>
        <w:t>N</w:t>
      </w:r>
      <w:r w:rsidR="00817D9C" w:rsidRPr="00B6196A">
        <w:rPr>
          <w:noProof/>
          <w:highlight w:val="yellow"/>
          <w:lang w:val="en-IE"/>
        </w:rPr>
        <w:t>omenclature codes listed in Annex IVc</w:t>
      </w:r>
      <w:r w:rsidR="3ED390AA" w:rsidRPr="00B6196A">
        <w:rPr>
          <w:noProof/>
          <w:highlight w:val="yellow"/>
          <w:lang w:val="en-IE"/>
        </w:rPr>
        <w:t xml:space="preserve"> to this Directive </w:t>
      </w:r>
      <w:r w:rsidR="00817D9C" w:rsidRPr="00B6196A">
        <w:rPr>
          <w:noProof/>
          <w:highlight w:val="yellow"/>
          <w:lang w:val="en-IE"/>
        </w:rPr>
        <w:t>in line with the codes listed in Annex 1 to Council Regulation (EEC) No 2658/87</w:t>
      </w:r>
      <w:r w:rsidR="0B32494A" w:rsidRPr="00B6196A">
        <w:rPr>
          <w:noProof/>
          <w:highlight w:val="yellow"/>
          <w:lang w:val="en-IE"/>
        </w:rPr>
        <w:t>*</w:t>
      </w:r>
      <w:r w:rsidR="5F9554A6" w:rsidRPr="00B6196A">
        <w:rPr>
          <w:noProof/>
          <w:highlight w:val="yellow"/>
          <w:lang w:val="en-IE"/>
        </w:rPr>
        <w:t>.</w:t>
      </w:r>
    </w:p>
    <w:p w14:paraId="31CB6CE5" w14:textId="25BF24BA" w:rsidR="00817D9C" w:rsidRPr="00B6196A" w:rsidRDefault="00384B96" w:rsidP="00384B96">
      <w:pPr>
        <w:pStyle w:val="ManualNumPar1"/>
        <w:rPr>
          <w:noProof/>
          <w:highlight w:val="yellow"/>
          <w:lang w:val="en-IE"/>
        </w:rPr>
      </w:pPr>
      <w:r w:rsidRPr="00B6196A">
        <w:rPr>
          <w:highlight w:val="yellow"/>
        </w:rPr>
        <w:t>3.</w:t>
      </w:r>
      <w:r w:rsidRPr="00B6196A">
        <w:rPr>
          <w:highlight w:val="yellow"/>
        </w:rPr>
        <w:tab/>
      </w:r>
      <w:r w:rsidR="7411E273" w:rsidRPr="00B6196A">
        <w:rPr>
          <w:noProof/>
          <w:highlight w:val="yellow"/>
          <w:lang w:val="en-IE"/>
        </w:rPr>
        <w:t xml:space="preserve">Member States shall define in a clear way the roles and responsibilities of relevant actors involved in the implementation, monitoring and verification of the extended producer responsibility scheme referred to in paragraph 1. </w:t>
      </w:r>
    </w:p>
    <w:p w14:paraId="641D5ABE" w14:textId="0F14A308" w:rsidR="00817D9C" w:rsidRPr="00B6196A" w:rsidRDefault="00384B96" w:rsidP="00384B96">
      <w:pPr>
        <w:pStyle w:val="ManualNumPar1"/>
        <w:rPr>
          <w:noProof/>
          <w:highlight w:val="yellow"/>
          <w:lang w:val="en-IE"/>
        </w:rPr>
      </w:pPr>
      <w:r w:rsidRPr="00B6196A">
        <w:rPr>
          <w:highlight w:val="yellow"/>
        </w:rPr>
        <w:t>4.</w:t>
      </w:r>
      <w:r w:rsidRPr="00B6196A">
        <w:rPr>
          <w:highlight w:val="yellow"/>
        </w:rPr>
        <w:tab/>
      </w:r>
      <w:r w:rsidR="5143CF5F" w:rsidRPr="00B6196A">
        <w:rPr>
          <w:noProof/>
          <w:highlight w:val="yellow"/>
          <w:lang w:val="en-IE"/>
        </w:rPr>
        <w:t>Member States shall ensure that the producers of textile</w:t>
      </w:r>
      <w:r w:rsidR="3EE9B37A" w:rsidRPr="00B6196A">
        <w:rPr>
          <w:noProof/>
          <w:highlight w:val="yellow"/>
          <w:lang w:val="en-IE"/>
        </w:rPr>
        <w:t>, textile-related</w:t>
      </w:r>
      <w:r w:rsidR="5143CF5F" w:rsidRPr="00B6196A">
        <w:rPr>
          <w:noProof/>
          <w:highlight w:val="yellow"/>
          <w:lang w:val="en-IE"/>
        </w:rPr>
        <w:t xml:space="preserve"> and footwear products listed in Annex IVc cover the costs of</w:t>
      </w:r>
      <w:r w:rsidR="2CC4B2DE" w:rsidRPr="00B6196A">
        <w:rPr>
          <w:noProof/>
          <w:highlight w:val="yellow"/>
          <w:lang w:val="en-IE"/>
        </w:rPr>
        <w:t xml:space="preserve"> the following</w:t>
      </w:r>
      <w:r w:rsidR="5143CF5F" w:rsidRPr="00B6196A">
        <w:rPr>
          <w:noProof/>
          <w:highlight w:val="yellow"/>
          <w:lang w:val="en-IE"/>
        </w:rPr>
        <w:t>:</w:t>
      </w:r>
    </w:p>
    <w:p w14:paraId="552F04C9" w14:textId="163BCC2D" w:rsidR="00817D9C" w:rsidRPr="00B6196A" w:rsidRDefault="00384B96" w:rsidP="00384B96">
      <w:pPr>
        <w:pStyle w:val="Point1"/>
        <w:rPr>
          <w:noProof/>
          <w:highlight w:val="yellow"/>
          <w:lang w:val="en-IE"/>
        </w:rPr>
      </w:pPr>
      <w:r w:rsidRPr="00B6196A">
        <w:rPr>
          <w:highlight w:val="yellow"/>
        </w:rPr>
        <w:t>(a)</w:t>
      </w:r>
      <w:r w:rsidRPr="00B6196A">
        <w:rPr>
          <w:highlight w:val="yellow"/>
        </w:rPr>
        <w:tab/>
      </w:r>
      <w:r w:rsidR="00817D9C" w:rsidRPr="00B6196A">
        <w:rPr>
          <w:noProof/>
          <w:highlight w:val="yellow"/>
          <w:lang w:val="en-IE"/>
        </w:rPr>
        <w:t>collection of used and waste textile</w:t>
      </w:r>
      <w:r w:rsidR="792DF1B8" w:rsidRPr="00B6196A">
        <w:rPr>
          <w:noProof/>
          <w:highlight w:val="yellow"/>
          <w:lang w:val="en-IE"/>
        </w:rPr>
        <w:t>, textile-related</w:t>
      </w:r>
      <w:r w:rsidR="00817D9C" w:rsidRPr="00B6196A">
        <w:rPr>
          <w:noProof/>
          <w:highlight w:val="yellow"/>
          <w:lang w:val="en-IE"/>
        </w:rPr>
        <w:t xml:space="preserve"> and footwear products listed in Annex IVc and subsequent waste management that entail</w:t>
      </w:r>
      <w:r w:rsidR="68AD81DD" w:rsidRPr="00B6196A">
        <w:rPr>
          <w:noProof/>
          <w:highlight w:val="yellow"/>
          <w:lang w:val="en-IE"/>
        </w:rPr>
        <w:t>s the following</w:t>
      </w:r>
      <w:r w:rsidR="00817D9C" w:rsidRPr="00B6196A">
        <w:rPr>
          <w:noProof/>
          <w:highlight w:val="yellow"/>
          <w:lang w:val="en-IE"/>
        </w:rPr>
        <w:t>:</w:t>
      </w:r>
    </w:p>
    <w:p w14:paraId="07D78417" w14:textId="4F0F3A48" w:rsidR="00127DC5" w:rsidRPr="00B6196A" w:rsidRDefault="00384B96" w:rsidP="00384B96">
      <w:pPr>
        <w:pStyle w:val="Point2"/>
        <w:rPr>
          <w:noProof/>
          <w:highlight w:val="yellow"/>
          <w:lang w:val="en-IE"/>
        </w:rPr>
      </w:pPr>
      <w:r w:rsidRPr="00B6196A">
        <w:rPr>
          <w:highlight w:val="yellow"/>
        </w:rPr>
        <w:t>(1)</w:t>
      </w:r>
      <w:r w:rsidRPr="00B6196A">
        <w:rPr>
          <w:highlight w:val="yellow"/>
        </w:rPr>
        <w:tab/>
      </w:r>
      <w:r w:rsidR="00817D9C" w:rsidRPr="00B6196A">
        <w:rPr>
          <w:noProof/>
          <w:highlight w:val="yellow"/>
          <w:lang w:val="en-IE"/>
        </w:rPr>
        <w:t>the collection of those used products for re-use and the separate collection of waste products for preparation for re-use and recycling in accordance with Article</w:t>
      </w:r>
      <w:r w:rsidR="003468A9" w:rsidRPr="00B6196A">
        <w:rPr>
          <w:noProof/>
          <w:highlight w:val="yellow"/>
          <w:lang w:val="en-IE"/>
        </w:rPr>
        <w:t>s</w:t>
      </w:r>
      <w:r w:rsidR="00817D9C" w:rsidRPr="00B6196A">
        <w:rPr>
          <w:noProof/>
          <w:highlight w:val="yellow"/>
          <w:lang w:val="en-IE"/>
        </w:rPr>
        <w:t xml:space="preserve"> 22c and 22d, </w:t>
      </w:r>
    </w:p>
    <w:p w14:paraId="71F31D80" w14:textId="5B330337" w:rsidR="00127DC5" w:rsidRPr="00B6196A" w:rsidRDefault="00384B96" w:rsidP="00384B96">
      <w:pPr>
        <w:pStyle w:val="Point2"/>
        <w:rPr>
          <w:noProof/>
          <w:highlight w:val="yellow"/>
          <w:lang w:val="en-IE"/>
        </w:rPr>
      </w:pPr>
      <w:r w:rsidRPr="00B6196A">
        <w:rPr>
          <w:highlight w:val="yellow"/>
        </w:rPr>
        <w:t>(2)</w:t>
      </w:r>
      <w:r w:rsidRPr="00B6196A">
        <w:rPr>
          <w:highlight w:val="yellow"/>
        </w:rPr>
        <w:tab/>
      </w:r>
      <w:r w:rsidR="5143CF5F" w:rsidRPr="00B6196A">
        <w:rPr>
          <w:noProof/>
          <w:highlight w:val="yellow"/>
          <w:lang w:val="en-IE"/>
        </w:rPr>
        <w:t xml:space="preserve">transport of collected loads referred to in point </w:t>
      </w:r>
      <w:r w:rsidR="41B02B94" w:rsidRPr="00B6196A">
        <w:rPr>
          <w:noProof/>
          <w:highlight w:val="yellow"/>
          <w:lang w:val="en-IE"/>
        </w:rPr>
        <w:t>(1)</w:t>
      </w:r>
      <w:r w:rsidR="5143CF5F" w:rsidRPr="00B6196A">
        <w:rPr>
          <w:noProof/>
          <w:highlight w:val="yellow"/>
          <w:lang w:val="en-IE"/>
        </w:rPr>
        <w:t xml:space="preserve"> for subsequent sorting for re-use, for preparation for re-use and for recycling operations in accordance with Article 22d,</w:t>
      </w:r>
    </w:p>
    <w:p w14:paraId="16BFABB7" w14:textId="508A0D74" w:rsidR="00127DC5" w:rsidRPr="00B6196A" w:rsidRDefault="00384B96" w:rsidP="00384B96">
      <w:pPr>
        <w:pStyle w:val="Point2"/>
        <w:rPr>
          <w:noProof/>
          <w:highlight w:val="yellow"/>
          <w:lang w:val="en-IE"/>
        </w:rPr>
      </w:pPr>
      <w:r w:rsidRPr="00B6196A">
        <w:rPr>
          <w:highlight w:val="yellow"/>
        </w:rPr>
        <w:lastRenderedPageBreak/>
        <w:t>(3)</w:t>
      </w:r>
      <w:r w:rsidRPr="00B6196A">
        <w:rPr>
          <w:highlight w:val="yellow"/>
        </w:rPr>
        <w:tab/>
      </w:r>
      <w:r w:rsidR="5143CF5F" w:rsidRPr="00B6196A">
        <w:rPr>
          <w:noProof/>
          <w:highlight w:val="yellow"/>
          <w:lang w:val="en-IE"/>
        </w:rPr>
        <w:t>sorting</w:t>
      </w:r>
      <w:r w:rsidR="5143CF5F" w:rsidRPr="00B6196A">
        <w:rPr>
          <w:noProof/>
          <w:highlight w:val="yellow"/>
        </w:rPr>
        <w:t xml:space="preserve">, preparation for re-use, recycling and other recovery operations and disposal of </w:t>
      </w:r>
      <w:r w:rsidR="5143CF5F" w:rsidRPr="00B6196A">
        <w:rPr>
          <w:noProof/>
          <w:highlight w:val="yellow"/>
          <w:lang w:val="en-IE"/>
        </w:rPr>
        <w:t>collected loads</w:t>
      </w:r>
      <w:r w:rsidR="7132E353" w:rsidRPr="00B6196A">
        <w:rPr>
          <w:noProof/>
          <w:highlight w:val="yellow"/>
          <w:lang w:val="en-IE"/>
        </w:rPr>
        <w:t xml:space="preserve"> referred to in point (1)</w:t>
      </w:r>
      <w:r w:rsidR="5143CF5F" w:rsidRPr="00B6196A">
        <w:rPr>
          <w:noProof/>
          <w:highlight w:val="yellow"/>
          <w:lang w:val="en-IE"/>
        </w:rPr>
        <w:t>,</w:t>
      </w:r>
    </w:p>
    <w:p w14:paraId="522B5AD4" w14:textId="1C5A5560" w:rsidR="00817D9C" w:rsidRPr="00B6196A" w:rsidRDefault="00384B96" w:rsidP="00384B96">
      <w:pPr>
        <w:pStyle w:val="Point2"/>
        <w:rPr>
          <w:noProof/>
          <w:highlight w:val="yellow"/>
          <w:lang w:val="en-IE"/>
        </w:rPr>
      </w:pPr>
      <w:r w:rsidRPr="00B6196A">
        <w:rPr>
          <w:highlight w:val="yellow"/>
        </w:rPr>
        <w:t>(4)</w:t>
      </w:r>
      <w:r w:rsidRPr="00B6196A">
        <w:rPr>
          <w:highlight w:val="yellow"/>
        </w:rPr>
        <w:tab/>
      </w:r>
      <w:r w:rsidR="5143CF5F" w:rsidRPr="00B6196A">
        <w:rPr>
          <w:noProof/>
          <w:highlight w:val="yellow"/>
          <w:lang w:val="en-IE"/>
        </w:rPr>
        <w:t>collection</w:t>
      </w:r>
      <w:r w:rsidR="50A312EF" w:rsidRPr="00B6196A">
        <w:rPr>
          <w:noProof/>
          <w:highlight w:val="yellow"/>
          <w:lang w:val="en-IE"/>
        </w:rPr>
        <w:t>, transport</w:t>
      </w:r>
      <w:r w:rsidR="5143CF5F" w:rsidRPr="00B6196A">
        <w:rPr>
          <w:noProof/>
          <w:highlight w:val="yellow"/>
          <w:lang w:val="en-IE"/>
        </w:rPr>
        <w:t xml:space="preserve"> and treatment </w:t>
      </w:r>
      <w:r w:rsidR="5FC18A44" w:rsidRPr="00B6196A">
        <w:rPr>
          <w:noProof/>
          <w:highlight w:val="yellow"/>
          <w:lang w:val="en-IE"/>
        </w:rPr>
        <w:t>referred to in points (1</w:t>
      </w:r>
      <w:r w:rsidR="2D9E94AC" w:rsidRPr="00B6196A">
        <w:rPr>
          <w:noProof/>
          <w:highlight w:val="yellow"/>
          <w:lang w:val="en-IE"/>
        </w:rPr>
        <w:t>)</w:t>
      </w:r>
      <w:r w:rsidR="5FC18A44" w:rsidRPr="00B6196A">
        <w:rPr>
          <w:noProof/>
          <w:highlight w:val="yellow"/>
          <w:lang w:val="en-IE"/>
        </w:rPr>
        <w:t xml:space="preserve"> and (2) </w:t>
      </w:r>
      <w:r w:rsidR="5143CF5F" w:rsidRPr="00B6196A">
        <w:rPr>
          <w:noProof/>
          <w:highlight w:val="yellow"/>
          <w:lang w:val="en-IE"/>
        </w:rPr>
        <w:t>of waste generated by social enterprises and other non-waste operators that are part of the collection system referred to in Article 22c</w:t>
      </w:r>
      <w:r w:rsidR="5A951CB9" w:rsidRPr="00B6196A">
        <w:rPr>
          <w:noProof/>
          <w:highlight w:val="yellow"/>
          <w:lang w:val="en-IE"/>
        </w:rPr>
        <w:t xml:space="preserve">, paragraphs 5 and </w:t>
      </w:r>
      <w:r w:rsidR="002D162B" w:rsidRPr="00B6196A">
        <w:rPr>
          <w:noProof/>
          <w:highlight w:val="yellow"/>
          <w:lang w:val="en-IE"/>
        </w:rPr>
        <w:t>11</w:t>
      </w:r>
      <w:r w:rsidR="5143CF5F" w:rsidRPr="00B6196A">
        <w:rPr>
          <w:noProof/>
          <w:highlight w:val="yellow"/>
          <w:lang w:val="en-IE"/>
        </w:rPr>
        <w:t xml:space="preserve">; </w:t>
      </w:r>
    </w:p>
    <w:p w14:paraId="64485E91" w14:textId="4B83DA4B" w:rsidR="00817D9C" w:rsidRPr="00B6196A" w:rsidRDefault="00384B96" w:rsidP="00384B96">
      <w:pPr>
        <w:pStyle w:val="Point1"/>
        <w:rPr>
          <w:noProof/>
          <w:highlight w:val="yellow"/>
          <w:lang w:val="en-IE"/>
        </w:rPr>
      </w:pPr>
      <w:r w:rsidRPr="00B6196A">
        <w:rPr>
          <w:highlight w:val="yellow"/>
        </w:rPr>
        <w:t>(b)</w:t>
      </w:r>
      <w:r w:rsidRPr="00B6196A">
        <w:rPr>
          <w:highlight w:val="yellow"/>
        </w:rPr>
        <w:tab/>
      </w:r>
      <w:r w:rsidR="00817D9C" w:rsidRPr="00B6196A">
        <w:rPr>
          <w:noProof/>
          <w:highlight w:val="yellow"/>
          <w:lang w:val="en-IE"/>
        </w:rPr>
        <w:t>carrying out compositional survey of collected mixed municipal waste in accordance with Article 22d(</w:t>
      </w:r>
      <w:r w:rsidR="0068343F" w:rsidRPr="00B6196A">
        <w:rPr>
          <w:noProof/>
          <w:highlight w:val="yellow"/>
          <w:lang w:val="en-IE"/>
        </w:rPr>
        <w:t>6</w:t>
      </w:r>
      <w:r w:rsidR="00817D9C" w:rsidRPr="00B6196A">
        <w:rPr>
          <w:noProof/>
          <w:highlight w:val="yellow"/>
          <w:lang w:val="en-IE"/>
        </w:rPr>
        <w:t>);</w:t>
      </w:r>
    </w:p>
    <w:p w14:paraId="4760BB90" w14:textId="7BCB90ED" w:rsidR="00817D9C" w:rsidRPr="00B6196A" w:rsidRDefault="00384B96" w:rsidP="00384B96">
      <w:pPr>
        <w:pStyle w:val="Point1"/>
        <w:rPr>
          <w:noProof/>
          <w:highlight w:val="yellow"/>
          <w:lang w:val="en-IE"/>
        </w:rPr>
      </w:pPr>
      <w:r w:rsidRPr="00B6196A">
        <w:rPr>
          <w:highlight w:val="yellow"/>
        </w:rPr>
        <w:t>(c)</w:t>
      </w:r>
      <w:r w:rsidRPr="00B6196A">
        <w:rPr>
          <w:highlight w:val="yellow"/>
        </w:rPr>
        <w:tab/>
      </w:r>
      <w:r w:rsidR="00817D9C" w:rsidRPr="00B6196A">
        <w:rPr>
          <w:noProof/>
          <w:highlight w:val="yellow"/>
          <w:lang w:val="en-IE"/>
        </w:rPr>
        <w:t>providing information on sustainable consumption, waste prevention, re-use, preparing for re-use, recycling, other recovery and disposal of textiles and footwear products in accordance with Article 22c(13)(14)</w:t>
      </w:r>
      <w:r w:rsidR="003468A9" w:rsidRPr="00B6196A">
        <w:rPr>
          <w:noProof/>
          <w:highlight w:val="yellow"/>
          <w:lang w:val="en-IE"/>
        </w:rPr>
        <w:t xml:space="preserve"> and </w:t>
      </w:r>
      <w:r w:rsidR="00817D9C" w:rsidRPr="00B6196A">
        <w:rPr>
          <w:noProof/>
          <w:highlight w:val="yellow"/>
          <w:lang w:val="en-IE"/>
        </w:rPr>
        <w:t>(17);</w:t>
      </w:r>
    </w:p>
    <w:p w14:paraId="650869D0" w14:textId="6D980382" w:rsidR="00817D9C" w:rsidRPr="00B6196A" w:rsidRDefault="00384B96" w:rsidP="00384B96">
      <w:pPr>
        <w:pStyle w:val="Point1"/>
        <w:rPr>
          <w:noProof/>
          <w:highlight w:val="yellow"/>
          <w:lang w:val="en-IE"/>
        </w:rPr>
      </w:pPr>
      <w:r w:rsidRPr="00B6196A">
        <w:rPr>
          <w:highlight w:val="yellow"/>
        </w:rPr>
        <w:t>(d)</w:t>
      </w:r>
      <w:r w:rsidRPr="00B6196A">
        <w:rPr>
          <w:highlight w:val="yellow"/>
        </w:rPr>
        <w:tab/>
      </w:r>
      <w:r w:rsidR="00817D9C" w:rsidRPr="00B6196A">
        <w:rPr>
          <w:noProof/>
          <w:highlight w:val="yellow"/>
          <w:lang w:val="en-IE"/>
        </w:rPr>
        <w:t>data gathering and reporting to the competent authorities in accordance with Article 37;</w:t>
      </w:r>
    </w:p>
    <w:p w14:paraId="0ED03CFD" w14:textId="3FE920B1" w:rsidR="00817D9C" w:rsidRPr="00B6196A" w:rsidRDefault="00384B96" w:rsidP="00384B96">
      <w:pPr>
        <w:pStyle w:val="Point1"/>
        <w:rPr>
          <w:noProof/>
          <w:highlight w:val="yellow"/>
          <w:lang w:val="en-IE"/>
        </w:rPr>
      </w:pPr>
      <w:r w:rsidRPr="00B6196A">
        <w:rPr>
          <w:highlight w:val="yellow"/>
        </w:rPr>
        <w:t>(e)</w:t>
      </w:r>
      <w:r w:rsidRPr="00B6196A">
        <w:rPr>
          <w:highlight w:val="yellow"/>
        </w:rPr>
        <w:tab/>
      </w:r>
      <w:r w:rsidR="00817D9C" w:rsidRPr="00B6196A">
        <w:rPr>
          <w:noProof/>
          <w:highlight w:val="yellow"/>
          <w:lang w:val="en-IE"/>
        </w:rPr>
        <w:t>support to research and development to improve the sorting and recycling processes</w:t>
      </w:r>
      <w:r w:rsidR="00434E4F" w:rsidRPr="00B6196A">
        <w:rPr>
          <w:noProof/>
          <w:highlight w:val="yellow"/>
          <w:lang w:val="en-IE"/>
        </w:rPr>
        <w:t>, in particular,</w:t>
      </w:r>
      <w:r w:rsidR="00817D9C" w:rsidRPr="00B6196A">
        <w:rPr>
          <w:noProof/>
          <w:highlight w:val="yellow"/>
          <w:lang w:val="en-IE"/>
        </w:rPr>
        <w:t xml:space="preserve"> in view of scaling up </w:t>
      </w:r>
      <w:r w:rsidR="00434E4F" w:rsidRPr="00B6196A">
        <w:rPr>
          <w:noProof/>
          <w:highlight w:val="yellow"/>
          <w:lang w:val="en-IE"/>
        </w:rPr>
        <w:t xml:space="preserve">fibre-to-fibre </w:t>
      </w:r>
      <w:r w:rsidR="00817D9C" w:rsidRPr="00B6196A">
        <w:rPr>
          <w:noProof/>
          <w:highlight w:val="yellow"/>
          <w:lang w:val="en-IE"/>
        </w:rPr>
        <w:t>recycling</w:t>
      </w:r>
      <w:r w:rsidR="38F01AAF" w:rsidRPr="00B6196A">
        <w:rPr>
          <w:noProof/>
          <w:highlight w:val="yellow"/>
          <w:lang w:val="en-IE"/>
        </w:rPr>
        <w:t>, without prejudice to Union state aid rules</w:t>
      </w:r>
      <w:r w:rsidR="00817D9C" w:rsidRPr="00B6196A">
        <w:rPr>
          <w:noProof/>
          <w:highlight w:val="yellow"/>
          <w:lang w:val="en-IE"/>
        </w:rPr>
        <w:t>.</w:t>
      </w:r>
    </w:p>
    <w:p w14:paraId="65C06304" w14:textId="0ACEF066" w:rsidR="00817D9C" w:rsidRPr="00B6196A" w:rsidRDefault="00384B96" w:rsidP="00384B96">
      <w:pPr>
        <w:pStyle w:val="ManualNumPar1"/>
        <w:rPr>
          <w:noProof/>
          <w:highlight w:val="yellow"/>
          <w:lang w:val="en-IE"/>
        </w:rPr>
      </w:pPr>
      <w:r w:rsidRPr="00B6196A">
        <w:rPr>
          <w:highlight w:val="yellow"/>
        </w:rPr>
        <w:t>5.</w:t>
      </w:r>
      <w:r w:rsidRPr="00B6196A">
        <w:rPr>
          <w:highlight w:val="yellow"/>
        </w:rPr>
        <w:tab/>
      </w:r>
      <w:r w:rsidR="5AAF81E4" w:rsidRPr="00B6196A">
        <w:rPr>
          <w:noProof/>
          <w:highlight w:val="yellow"/>
          <w:lang w:val="en-IE"/>
        </w:rPr>
        <w:t>Member States shall ensure that producers of textiles, textile-related and footwear products lis</w:t>
      </w:r>
      <w:r w:rsidR="00030BEB" w:rsidRPr="00B6196A">
        <w:rPr>
          <w:noProof/>
          <w:highlight w:val="yellow"/>
          <w:lang w:val="en-IE"/>
        </w:rPr>
        <w:t>t</w:t>
      </w:r>
      <w:r w:rsidR="5AAF81E4" w:rsidRPr="00B6196A">
        <w:rPr>
          <w:noProof/>
          <w:highlight w:val="yellow"/>
          <w:lang w:val="en-IE"/>
        </w:rPr>
        <w:t xml:space="preserve">ed in Annex IVc cover the costs referred to in paragraph </w:t>
      </w:r>
      <w:r w:rsidR="002D162B" w:rsidRPr="00B6196A">
        <w:rPr>
          <w:noProof/>
          <w:highlight w:val="yellow"/>
          <w:lang w:val="en-IE"/>
        </w:rPr>
        <w:t xml:space="preserve">4 </w:t>
      </w:r>
      <w:r w:rsidR="00F339F4" w:rsidRPr="00B6196A">
        <w:rPr>
          <w:noProof/>
          <w:highlight w:val="yellow"/>
          <w:lang w:val="en-IE"/>
        </w:rPr>
        <w:t xml:space="preserve">of this Article </w:t>
      </w:r>
      <w:r w:rsidR="677CAEAC" w:rsidRPr="00B6196A">
        <w:rPr>
          <w:noProof/>
          <w:highlight w:val="yellow"/>
          <w:lang w:val="en-IE"/>
        </w:rPr>
        <w:t>in relation to the used and waste textiles, textile-related and footwear products listed in Annex IVc deposited at the collection points set up in accordance with Article 22c, points 5 an</w:t>
      </w:r>
      <w:r w:rsidR="137202D4" w:rsidRPr="00B6196A">
        <w:rPr>
          <w:noProof/>
          <w:highlight w:val="yellow"/>
          <w:lang w:val="en-IE"/>
        </w:rPr>
        <w:t xml:space="preserve">d </w:t>
      </w:r>
      <w:r w:rsidR="0068343F" w:rsidRPr="00B6196A">
        <w:rPr>
          <w:noProof/>
          <w:highlight w:val="yellow"/>
          <w:lang w:val="en-IE"/>
        </w:rPr>
        <w:t>11</w:t>
      </w:r>
      <w:r w:rsidR="137202D4" w:rsidRPr="00B6196A">
        <w:rPr>
          <w:noProof/>
          <w:highlight w:val="yellow"/>
          <w:lang w:val="en-IE"/>
        </w:rPr>
        <w:t xml:space="preserve">, where such products were </w:t>
      </w:r>
      <w:r w:rsidR="00ED1F8D" w:rsidRPr="00B6196A">
        <w:rPr>
          <w:noProof/>
          <w:highlight w:val="yellow"/>
          <w:lang w:val="en-IE"/>
        </w:rPr>
        <w:t>made available</w:t>
      </w:r>
      <w:r w:rsidR="137202D4" w:rsidRPr="00B6196A">
        <w:rPr>
          <w:noProof/>
          <w:highlight w:val="yellow"/>
          <w:lang w:val="en-IE"/>
        </w:rPr>
        <w:t xml:space="preserve"> on the market </w:t>
      </w:r>
      <w:r w:rsidR="00ED1F8D" w:rsidRPr="00B6196A">
        <w:rPr>
          <w:noProof/>
          <w:highlight w:val="yellow"/>
          <w:lang w:val="en-IE"/>
        </w:rPr>
        <w:t xml:space="preserve">for the first time within the territory </w:t>
      </w:r>
      <w:r w:rsidR="137202D4" w:rsidRPr="00B6196A">
        <w:rPr>
          <w:noProof/>
          <w:highlight w:val="yellow"/>
          <w:lang w:val="en-IE"/>
        </w:rPr>
        <w:t xml:space="preserve">of a Member State after </w:t>
      </w:r>
      <w:r w:rsidR="04F521F4" w:rsidRPr="00B6196A">
        <w:rPr>
          <w:noProof/>
          <w:highlight w:val="yellow"/>
          <w:lang w:val="en-IE"/>
        </w:rPr>
        <w:t>[</w:t>
      </w:r>
      <w:r w:rsidR="04F521F4" w:rsidRPr="00B6196A">
        <w:rPr>
          <w:i/>
          <w:iCs/>
          <w:noProof/>
          <w:highlight w:val="yellow"/>
          <w:lang w:val="en-IE"/>
        </w:rPr>
        <w:t xml:space="preserve">P.O. insert date of </w:t>
      </w:r>
      <w:r w:rsidR="22EC79BE" w:rsidRPr="00B6196A">
        <w:rPr>
          <w:i/>
          <w:iCs/>
          <w:noProof/>
          <w:highlight w:val="yellow"/>
          <w:lang w:val="en-IE"/>
        </w:rPr>
        <w:t>entry into force of this amending Directive</w:t>
      </w:r>
      <w:r w:rsidR="04F521F4" w:rsidRPr="00B6196A">
        <w:rPr>
          <w:noProof/>
          <w:highlight w:val="yellow"/>
          <w:lang w:val="en-IE"/>
        </w:rPr>
        <w:t>]</w:t>
      </w:r>
      <w:r w:rsidR="00030BEB" w:rsidRPr="00B6196A">
        <w:rPr>
          <w:noProof/>
          <w:highlight w:val="yellow"/>
          <w:lang w:val="en-IE"/>
        </w:rPr>
        <w:t>.</w:t>
      </w:r>
      <w:r w:rsidR="76B7D07B" w:rsidRPr="00B6196A">
        <w:rPr>
          <w:noProof/>
          <w:highlight w:val="yellow"/>
          <w:lang w:val="en-IE"/>
        </w:rPr>
        <w:t xml:space="preserve"> </w:t>
      </w:r>
    </w:p>
    <w:p w14:paraId="20A377A2" w14:textId="23FF0E29" w:rsidR="00817D9C" w:rsidRPr="00B6196A" w:rsidRDefault="00384B96" w:rsidP="00384B96">
      <w:pPr>
        <w:pStyle w:val="ManualNumPar1"/>
        <w:rPr>
          <w:noProof/>
          <w:highlight w:val="yellow"/>
          <w:lang w:val="en-IE"/>
        </w:rPr>
      </w:pPr>
      <w:r w:rsidRPr="00B6196A">
        <w:rPr>
          <w:highlight w:val="yellow"/>
        </w:rPr>
        <w:t>6.</w:t>
      </w:r>
      <w:r w:rsidRPr="00B6196A">
        <w:rPr>
          <w:highlight w:val="yellow"/>
        </w:rPr>
        <w:tab/>
      </w:r>
      <w:r w:rsidR="00817D9C" w:rsidRPr="00B6196A">
        <w:rPr>
          <w:noProof/>
          <w:highlight w:val="yellow"/>
          <w:lang w:val="en-IE"/>
        </w:rPr>
        <w:t xml:space="preserve">The costs to be covered referred to in paragraph </w:t>
      </w:r>
      <w:r w:rsidR="002D162B" w:rsidRPr="00B6196A">
        <w:rPr>
          <w:noProof/>
          <w:highlight w:val="yellow"/>
          <w:lang w:val="en-IE"/>
        </w:rPr>
        <w:t xml:space="preserve">4 </w:t>
      </w:r>
      <w:r w:rsidR="00817D9C" w:rsidRPr="00B6196A">
        <w:rPr>
          <w:noProof/>
          <w:highlight w:val="yellow"/>
          <w:lang w:val="en-IE"/>
        </w:rPr>
        <w:t xml:space="preserve">shall not exceed the costs that are necessary to provide the services referred to in </w:t>
      </w:r>
      <w:r w:rsidR="2280439D" w:rsidRPr="00B6196A">
        <w:rPr>
          <w:noProof/>
          <w:highlight w:val="yellow"/>
          <w:lang w:val="en-IE"/>
        </w:rPr>
        <w:t>that p</w:t>
      </w:r>
      <w:r w:rsidR="00E50A7A" w:rsidRPr="00B6196A">
        <w:rPr>
          <w:noProof/>
          <w:highlight w:val="yellow"/>
          <w:lang w:val="en-IE"/>
        </w:rPr>
        <w:t>a</w:t>
      </w:r>
      <w:r w:rsidR="2280439D" w:rsidRPr="00B6196A">
        <w:rPr>
          <w:noProof/>
          <w:highlight w:val="yellow"/>
          <w:lang w:val="en-IE"/>
        </w:rPr>
        <w:t xml:space="preserve">ragraph in </w:t>
      </w:r>
      <w:r w:rsidR="00817D9C" w:rsidRPr="00B6196A">
        <w:rPr>
          <w:noProof/>
          <w:highlight w:val="yellow"/>
          <w:lang w:val="en-IE"/>
        </w:rPr>
        <w:t>a cost-efficient way and shall be established in a transparent way between the actors concerned.</w:t>
      </w:r>
    </w:p>
    <w:p w14:paraId="3A3139E6" w14:textId="136EFD7B" w:rsidR="00817D9C" w:rsidRPr="00B6196A" w:rsidRDefault="00384B96" w:rsidP="00384B96">
      <w:pPr>
        <w:pStyle w:val="ManualNumPar1"/>
        <w:rPr>
          <w:noProof/>
          <w:highlight w:val="yellow"/>
          <w:lang w:val="en-IE"/>
        </w:rPr>
      </w:pPr>
      <w:r w:rsidRPr="00B6196A">
        <w:rPr>
          <w:highlight w:val="yellow"/>
        </w:rPr>
        <w:t>7.</w:t>
      </w:r>
      <w:r w:rsidRPr="00B6196A">
        <w:rPr>
          <w:highlight w:val="yellow"/>
        </w:rPr>
        <w:tab/>
      </w:r>
      <w:r w:rsidR="00F339F4" w:rsidRPr="00B6196A">
        <w:rPr>
          <w:noProof/>
          <w:highlight w:val="yellow"/>
        </w:rPr>
        <w:t xml:space="preserve">For the purpose of compliance with Article 30, paragraph 1, points (d) and (e), of Regulation (EU) 2022/2065, </w:t>
      </w:r>
      <w:r w:rsidR="00817D9C" w:rsidRPr="00B6196A">
        <w:rPr>
          <w:noProof/>
          <w:highlight w:val="yellow"/>
          <w:lang w:val="en-IE"/>
        </w:rPr>
        <w:t>Member States shall ensure that providers of online platforms, falling within the scope of Chapter 3</w:t>
      </w:r>
      <w:r w:rsidR="6567B934" w:rsidRPr="00B6196A">
        <w:rPr>
          <w:noProof/>
          <w:highlight w:val="yellow"/>
          <w:lang w:val="en-IE"/>
        </w:rPr>
        <w:t>,</w:t>
      </w:r>
      <w:r w:rsidR="00817D9C" w:rsidRPr="00B6196A">
        <w:rPr>
          <w:noProof/>
          <w:highlight w:val="yellow"/>
          <w:lang w:val="en-IE"/>
        </w:rPr>
        <w:t xml:space="preserve"> </w:t>
      </w:r>
      <w:r w:rsidR="24A03389" w:rsidRPr="00B6196A">
        <w:rPr>
          <w:noProof/>
          <w:highlight w:val="yellow"/>
          <w:lang w:val="en-IE"/>
        </w:rPr>
        <w:t xml:space="preserve">Section 4 </w:t>
      </w:r>
      <w:r w:rsidR="00817D9C" w:rsidRPr="00B6196A">
        <w:rPr>
          <w:noProof/>
          <w:highlight w:val="yellow"/>
          <w:lang w:val="en-IE"/>
        </w:rPr>
        <w:t xml:space="preserve">of </w:t>
      </w:r>
      <w:r w:rsidR="00F339F4" w:rsidRPr="00B6196A">
        <w:rPr>
          <w:noProof/>
          <w:highlight w:val="yellow"/>
          <w:lang w:val="en-IE"/>
        </w:rPr>
        <w:t>that regulation</w:t>
      </w:r>
      <w:r w:rsidR="00817D9C" w:rsidRPr="00B6196A">
        <w:rPr>
          <w:noProof/>
          <w:highlight w:val="yellow"/>
          <w:lang w:val="en-IE"/>
        </w:rPr>
        <w:t>, allowing consumers to conclude distance contracts with producers offering textile</w:t>
      </w:r>
      <w:r w:rsidR="616861FC" w:rsidRPr="00B6196A">
        <w:rPr>
          <w:noProof/>
          <w:highlight w:val="yellow"/>
          <w:lang w:val="en-IE"/>
        </w:rPr>
        <w:t>, textile-related</w:t>
      </w:r>
      <w:r w:rsidR="00817D9C" w:rsidRPr="00B6196A">
        <w:rPr>
          <w:noProof/>
          <w:highlight w:val="yellow"/>
          <w:lang w:val="en-IE"/>
        </w:rPr>
        <w:t xml:space="preserve"> and footwear products listed in Annex IVc to consumers located in the Union</w:t>
      </w:r>
      <w:r w:rsidR="45723752" w:rsidRPr="00B6196A">
        <w:rPr>
          <w:noProof/>
          <w:highlight w:val="yellow"/>
          <w:lang w:val="en-IE"/>
        </w:rPr>
        <w:t xml:space="preserve"> obtain the following information from producers;</w:t>
      </w:r>
    </w:p>
    <w:p w14:paraId="0D87014D" w14:textId="6E321C27" w:rsidR="00817D9C" w:rsidRPr="00B6196A" w:rsidRDefault="00384B96" w:rsidP="00384B96">
      <w:pPr>
        <w:pStyle w:val="Point1"/>
        <w:rPr>
          <w:noProof/>
          <w:highlight w:val="yellow"/>
          <w:lang w:val="en-IE"/>
        </w:rPr>
      </w:pPr>
      <w:r w:rsidRPr="00B6196A">
        <w:rPr>
          <w:highlight w:val="yellow"/>
        </w:rPr>
        <w:t>(a)</w:t>
      </w:r>
      <w:r w:rsidRPr="00B6196A">
        <w:rPr>
          <w:highlight w:val="yellow"/>
        </w:rPr>
        <w:tab/>
      </w:r>
      <w:r w:rsidR="00817D9C" w:rsidRPr="00B6196A">
        <w:rPr>
          <w:noProof/>
          <w:highlight w:val="yellow"/>
          <w:lang w:val="en-IE"/>
        </w:rPr>
        <w:t xml:space="preserve">information on the registration </w:t>
      </w:r>
      <w:r w:rsidR="311749E0" w:rsidRPr="00B6196A">
        <w:rPr>
          <w:noProof/>
          <w:highlight w:val="yellow"/>
          <w:lang w:val="en-IE"/>
        </w:rPr>
        <w:t xml:space="preserve">in the register </w:t>
      </w:r>
      <w:r w:rsidR="00817D9C" w:rsidRPr="00B6196A">
        <w:rPr>
          <w:noProof/>
          <w:highlight w:val="yellow"/>
          <w:lang w:val="en-IE"/>
        </w:rPr>
        <w:t>of the producers referred to in Article 22b in the Member State where the consumer is located and the registration number(s) of the producer in that register;</w:t>
      </w:r>
    </w:p>
    <w:p w14:paraId="0F49AB29" w14:textId="7BB87374" w:rsidR="00817D9C" w:rsidRPr="00B6196A" w:rsidRDefault="00384B96" w:rsidP="00384B96">
      <w:pPr>
        <w:pStyle w:val="Point1"/>
        <w:rPr>
          <w:noProof/>
          <w:highlight w:val="yellow"/>
          <w:lang w:val="en-IE"/>
        </w:rPr>
      </w:pPr>
      <w:r w:rsidRPr="00B6196A">
        <w:rPr>
          <w:highlight w:val="yellow"/>
        </w:rPr>
        <w:t>(b)</w:t>
      </w:r>
      <w:r w:rsidRPr="00B6196A">
        <w:rPr>
          <w:highlight w:val="yellow"/>
        </w:rPr>
        <w:tab/>
      </w:r>
      <w:r w:rsidR="00817D9C" w:rsidRPr="00B6196A">
        <w:rPr>
          <w:noProof/>
          <w:highlight w:val="yellow"/>
          <w:lang w:val="en-IE"/>
        </w:rPr>
        <w:t xml:space="preserve">a self-certification by the producer committing </w:t>
      </w:r>
      <w:r w:rsidR="318940D1" w:rsidRPr="00B6196A">
        <w:rPr>
          <w:noProof/>
          <w:highlight w:val="yellow"/>
          <w:lang w:val="en-IE"/>
        </w:rPr>
        <w:t xml:space="preserve">itself </w:t>
      </w:r>
      <w:r w:rsidR="00817D9C" w:rsidRPr="00B6196A">
        <w:rPr>
          <w:noProof/>
          <w:highlight w:val="yellow"/>
          <w:lang w:val="en-IE"/>
        </w:rPr>
        <w:t>to only offer</w:t>
      </w:r>
      <w:r w:rsidR="5425AFC9" w:rsidRPr="00B6196A">
        <w:rPr>
          <w:noProof/>
          <w:highlight w:val="yellow"/>
          <w:lang w:val="en-IE"/>
        </w:rPr>
        <w:t>ing</w:t>
      </w:r>
      <w:r w:rsidR="00817D9C" w:rsidRPr="00B6196A">
        <w:rPr>
          <w:noProof/>
          <w:highlight w:val="yellow"/>
          <w:lang w:val="en-IE"/>
        </w:rPr>
        <w:t xml:space="preserve"> textile</w:t>
      </w:r>
      <w:r w:rsidR="6A5E42AA" w:rsidRPr="00B6196A">
        <w:rPr>
          <w:noProof/>
          <w:highlight w:val="yellow"/>
          <w:lang w:val="en-IE"/>
        </w:rPr>
        <w:t>, textile-related</w:t>
      </w:r>
      <w:r w:rsidR="00817D9C" w:rsidRPr="00B6196A">
        <w:rPr>
          <w:noProof/>
          <w:highlight w:val="yellow"/>
          <w:lang w:val="en-IE"/>
        </w:rPr>
        <w:t xml:space="preserve"> and footwear products listed in Annex IVc with regard to which the extended producer responsibility requirements referred to in paragraphs 1 and </w:t>
      </w:r>
      <w:r w:rsidR="002D162B" w:rsidRPr="00B6196A">
        <w:rPr>
          <w:noProof/>
          <w:highlight w:val="yellow"/>
          <w:lang w:val="en-IE"/>
        </w:rPr>
        <w:t xml:space="preserve">4 </w:t>
      </w:r>
      <w:r w:rsidR="00817D9C" w:rsidRPr="00B6196A">
        <w:rPr>
          <w:noProof/>
          <w:highlight w:val="yellow"/>
          <w:lang w:val="en-IE"/>
        </w:rPr>
        <w:t xml:space="preserve">of this Article </w:t>
      </w:r>
      <w:r w:rsidR="2A1FBAEC" w:rsidRPr="00B6196A">
        <w:rPr>
          <w:noProof/>
          <w:highlight w:val="yellow"/>
          <w:lang w:val="en-IE"/>
        </w:rPr>
        <w:t xml:space="preserve">and Article 22c(1) </w:t>
      </w:r>
      <w:r w:rsidR="00817D9C" w:rsidRPr="00B6196A">
        <w:rPr>
          <w:noProof/>
          <w:highlight w:val="yellow"/>
          <w:lang w:val="en-IE"/>
        </w:rPr>
        <w:t>are complied with in the Member State where the consumer is located.</w:t>
      </w:r>
    </w:p>
    <w:p w14:paraId="1838029D" w14:textId="6B6779CC" w:rsidR="00903645" w:rsidRPr="00B6196A" w:rsidRDefault="00384B96" w:rsidP="00384B96">
      <w:pPr>
        <w:pStyle w:val="ManualNumPar1"/>
        <w:rPr>
          <w:noProof/>
          <w:highlight w:val="yellow"/>
          <w:lang w:val="en-IE"/>
        </w:rPr>
      </w:pPr>
      <w:r w:rsidRPr="00B6196A">
        <w:rPr>
          <w:highlight w:val="yellow"/>
        </w:rPr>
        <w:t>8.</w:t>
      </w:r>
      <w:r w:rsidRPr="00B6196A">
        <w:rPr>
          <w:highlight w:val="yellow"/>
        </w:rPr>
        <w:tab/>
      </w:r>
      <w:r w:rsidR="74FE92E8" w:rsidRPr="00B6196A">
        <w:rPr>
          <w:noProof/>
          <w:highlight w:val="yellow"/>
          <w:lang w:val="en-IE"/>
        </w:rPr>
        <w:t>Member States shall ensure that the extended producer responsibility scheme</w:t>
      </w:r>
      <w:r w:rsidR="341E9F0D" w:rsidRPr="00B6196A">
        <w:rPr>
          <w:noProof/>
          <w:highlight w:val="yellow"/>
          <w:lang w:val="en-IE"/>
        </w:rPr>
        <w:t>s</w:t>
      </w:r>
      <w:r w:rsidR="74FE92E8" w:rsidRPr="00B6196A">
        <w:rPr>
          <w:noProof/>
          <w:highlight w:val="yellow"/>
          <w:lang w:val="en-IE"/>
        </w:rPr>
        <w:t xml:space="preserve"> laid down in paragraph 1 </w:t>
      </w:r>
      <w:r w:rsidR="00F339F4" w:rsidRPr="00B6196A">
        <w:rPr>
          <w:noProof/>
          <w:highlight w:val="yellow"/>
          <w:lang w:val="en-IE"/>
        </w:rPr>
        <w:t xml:space="preserve">of this Article </w:t>
      </w:r>
      <w:r w:rsidR="6CF08520" w:rsidRPr="00B6196A">
        <w:rPr>
          <w:noProof/>
          <w:highlight w:val="yellow"/>
          <w:lang w:val="en-IE"/>
        </w:rPr>
        <w:t xml:space="preserve">are </w:t>
      </w:r>
      <w:r w:rsidR="74FE92E8" w:rsidRPr="00B6196A">
        <w:rPr>
          <w:noProof/>
          <w:highlight w:val="yellow"/>
          <w:lang w:val="en-IE"/>
        </w:rPr>
        <w:t>established by [</w:t>
      </w:r>
      <w:r w:rsidR="5F98A495" w:rsidRPr="00B6196A">
        <w:rPr>
          <w:noProof/>
          <w:highlight w:val="yellow"/>
          <w:lang w:val="en-IE"/>
        </w:rPr>
        <w:t xml:space="preserve">P.O </w:t>
      </w:r>
      <w:r w:rsidR="74FE92E8" w:rsidRPr="00B6196A">
        <w:rPr>
          <w:noProof/>
          <w:highlight w:val="yellow"/>
          <w:lang w:val="en-IE"/>
        </w:rPr>
        <w:t>insert date thirty months after the entry into force of this</w:t>
      </w:r>
      <w:r w:rsidR="39A80C38" w:rsidRPr="00B6196A">
        <w:rPr>
          <w:noProof/>
          <w:highlight w:val="yellow"/>
          <w:lang w:val="en-IE"/>
        </w:rPr>
        <w:t xml:space="preserve"> amending</w:t>
      </w:r>
      <w:r w:rsidR="74FE92E8" w:rsidRPr="00B6196A">
        <w:rPr>
          <w:noProof/>
          <w:highlight w:val="yellow"/>
          <w:lang w:val="en-IE"/>
        </w:rPr>
        <w:t xml:space="preserve"> Directive] in accordance with Articles 8, 8a, 22a to 22d. </w:t>
      </w:r>
    </w:p>
    <w:p w14:paraId="37C8F5C9" w14:textId="77777777" w:rsidR="00903645" w:rsidRPr="00B6196A" w:rsidRDefault="00903645" w:rsidP="00903645">
      <w:pPr>
        <w:pStyle w:val="Titrearticle"/>
        <w:rPr>
          <w:noProof/>
          <w:highlight w:val="yellow"/>
          <w:lang w:val="en-IE"/>
        </w:rPr>
      </w:pPr>
      <w:r w:rsidRPr="00B6196A">
        <w:rPr>
          <w:noProof/>
          <w:highlight w:val="yellow"/>
          <w:lang w:val="en-IE"/>
        </w:rPr>
        <w:lastRenderedPageBreak/>
        <w:t>Article 22b</w:t>
      </w:r>
    </w:p>
    <w:p w14:paraId="3389F510" w14:textId="77777777" w:rsidR="00903645" w:rsidRPr="00B6196A" w:rsidRDefault="00903645" w:rsidP="072CAFB5">
      <w:pPr>
        <w:pStyle w:val="Titrearticle"/>
        <w:rPr>
          <w:b/>
          <w:bCs/>
          <w:i w:val="0"/>
          <w:noProof/>
          <w:highlight w:val="yellow"/>
          <w:lang w:val="en-IE"/>
        </w:rPr>
      </w:pPr>
      <w:r w:rsidRPr="00B6196A">
        <w:rPr>
          <w:b/>
          <w:bCs/>
          <w:i w:val="0"/>
          <w:noProof/>
          <w:highlight w:val="yellow"/>
          <w:lang w:val="en-IE"/>
        </w:rPr>
        <w:t>Textile</w:t>
      </w:r>
      <w:r w:rsidR="48AD8009" w:rsidRPr="00B6196A">
        <w:rPr>
          <w:b/>
          <w:bCs/>
          <w:i w:val="0"/>
          <w:noProof/>
          <w:highlight w:val="yellow"/>
          <w:lang w:val="en-IE"/>
        </w:rPr>
        <w:t>, textile-related and footwear</w:t>
      </w:r>
      <w:r w:rsidRPr="00B6196A">
        <w:rPr>
          <w:b/>
          <w:bCs/>
          <w:i w:val="0"/>
          <w:noProof/>
          <w:highlight w:val="yellow"/>
          <w:lang w:val="en-IE"/>
        </w:rPr>
        <w:t xml:space="preserve"> producer register </w:t>
      </w:r>
    </w:p>
    <w:p w14:paraId="4E8B46DF" w14:textId="0E79A2CE" w:rsidR="00903645" w:rsidRPr="00B6196A" w:rsidRDefault="00384B96" w:rsidP="00384B96">
      <w:pPr>
        <w:pStyle w:val="ManualNumPar1"/>
        <w:rPr>
          <w:noProof/>
          <w:highlight w:val="yellow"/>
          <w:lang w:val="en-IE"/>
        </w:rPr>
      </w:pPr>
      <w:r w:rsidRPr="00B6196A">
        <w:rPr>
          <w:highlight w:val="yellow"/>
        </w:rPr>
        <w:t>1.</w:t>
      </w:r>
      <w:r w:rsidRPr="00B6196A">
        <w:rPr>
          <w:highlight w:val="yellow"/>
        </w:rPr>
        <w:tab/>
      </w:r>
      <w:r w:rsidR="00903645" w:rsidRPr="00B6196A">
        <w:rPr>
          <w:noProof/>
          <w:highlight w:val="yellow"/>
          <w:lang w:val="en-IE"/>
        </w:rPr>
        <w:t xml:space="preserve">Member States shall establish a register of producers </w:t>
      </w:r>
      <w:r w:rsidR="491A29D9" w:rsidRPr="00B6196A">
        <w:rPr>
          <w:noProof/>
          <w:highlight w:val="yellow"/>
          <w:lang w:val="en-IE"/>
        </w:rPr>
        <w:t xml:space="preserve">of textile, textile-related and footwear products listed in Annex IVc </w:t>
      </w:r>
      <w:r w:rsidR="00903645" w:rsidRPr="00B6196A">
        <w:rPr>
          <w:noProof/>
          <w:highlight w:val="yellow"/>
          <w:lang w:val="en-IE"/>
        </w:rPr>
        <w:t>to monitor compliance of</w:t>
      </w:r>
      <w:r w:rsidR="21BEE20D" w:rsidRPr="00B6196A">
        <w:rPr>
          <w:noProof/>
          <w:highlight w:val="yellow"/>
          <w:lang w:val="en-IE"/>
        </w:rPr>
        <w:t xml:space="preserve"> those</w:t>
      </w:r>
      <w:r w:rsidR="00903645" w:rsidRPr="00B6196A">
        <w:rPr>
          <w:noProof/>
          <w:highlight w:val="yellow"/>
          <w:lang w:val="en-IE"/>
        </w:rPr>
        <w:t xml:space="preserve"> producers with Article 22a</w:t>
      </w:r>
      <w:r w:rsidR="5C30FD18" w:rsidRPr="00B6196A">
        <w:rPr>
          <w:noProof/>
          <w:highlight w:val="yellow"/>
          <w:lang w:val="en-IE"/>
        </w:rPr>
        <w:t xml:space="preserve"> and </w:t>
      </w:r>
      <w:r w:rsidR="0068343F" w:rsidRPr="00B6196A">
        <w:rPr>
          <w:noProof/>
          <w:highlight w:val="yellow"/>
          <w:lang w:val="en-IE"/>
        </w:rPr>
        <w:t>22c</w:t>
      </w:r>
      <w:r w:rsidR="5C30FD18" w:rsidRPr="00B6196A">
        <w:rPr>
          <w:noProof/>
          <w:highlight w:val="yellow"/>
          <w:lang w:val="en-IE"/>
        </w:rPr>
        <w:t>(1)</w:t>
      </w:r>
      <w:r w:rsidR="00903645" w:rsidRPr="00B6196A">
        <w:rPr>
          <w:noProof/>
          <w:highlight w:val="yellow"/>
          <w:lang w:val="en-IE"/>
        </w:rPr>
        <w:t>.</w:t>
      </w:r>
    </w:p>
    <w:p w14:paraId="0A78FEC9" w14:textId="62FF843F" w:rsidR="00D20AE4" w:rsidRPr="00B6196A" w:rsidRDefault="00D20AE4" w:rsidP="00D20AE4">
      <w:pPr>
        <w:pStyle w:val="Text1"/>
        <w:rPr>
          <w:noProof/>
          <w:highlight w:val="yellow"/>
        </w:rPr>
      </w:pPr>
      <w:r w:rsidRPr="00B6196A">
        <w:rPr>
          <w:noProof/>
          <w:highlight w:val="yellow"/>
        </w:rPr>
        <w:t>Member States shall ensure that the register provides links to other national registers to facilitate</w:t>
      </w:r>
      <w:r w:rsidR="00CD36C6" w:rsidRPr="00B6196A">
        <w:rPr>
          <w:noProof/>
          <w:highlight w:val="yellow"/>
        </w:rPr>
        <w:t xml:space="preserve"> the</w:t>
      </w:r>
      <w:r w:rsidRPr="00B6196A">
        <w:rPr>
          <w:noProof/>
          <w:highlight w:val="yellow"/>
        </w:rPr>
        <w:t xml:space="preserve"> registration of producers</w:t>
      </w:r>
      <w:r w:rsidR="00CD36C6" w:rsidRPr="00B6196A">
        <w:rPr>
          <w:noProof/>
          <w:highlight w:val="yellow"/>
        </w:rPr>
        <w:t xml:space="preserve"> in all Member States</w:t>
      </w:r>
      <w:r w:rsidRPr="00B6196A">
        <w:rPr>
          <w:noProof/>
          <w:highlight w:val="yellow"/>
        </w:rPr>
        <w:t>.</w:t>
      </w:r>
    </w:p>
    <w:p w14:paraId="502AAD9B" w14:textId="7527AF36" w:rsidR="00903645" w:rsidRPr="00B6196A" w:rsidRDefault="00384B96" w:rsidP="00384B96">
      <w:pPr>
        <w:pStyle w:val="ManualNumPar1"/>
        <w:rPr>
          <w:noProof/>
          <w:highlight w:val="yellow"/>
          <w:lang w:val="en-IE"/>
        </w:rPr>
      </w:pPr>
      <w:r w:rsidRPr="00B6196A">
        <w:rPr>
          <w:highlight w:val="yellow"/>
        </w:rPr>
        <w:t>2.</w:t>
      </w:r>
      <w:r w:rsidRPr="00B6196A">
        <w:rPr>
          <w:highlight w:val="yellow"/>
        </w:rPr>
        <w:tab/>
      </w:r>
      <w:r w:rsidR="710BDEF8" w:rsidRPr="00B6196A">
        <w:rPr>
          <w:noProof/>
          <w:highlight w:val="yellow"/>
          <w:lang w:val="en-IE"/>
        </w:rPr>
        <w:t>Member States shall ensure that p</w:t>
      </w:r>
      <w:r w:rsidR="00903645" w:rsidRPr="00B6196A">
        <w:rPr>
          <w:noProof/>
          <w:highlight w:val="yellow"/>
          <w:lang w:val="en-IE"/>
        </w:rPr>
        <w:t xml:space="preserve">roducers </w:t>
      </w:r>
      <w:r w:rsidR="75EAD600" w:rsidRPr="00B6196A">
        <w:rPr>
          <w:noProof/>
          <w:highlight w:val="yellow"/>
          <w:lang w:val="en-IE"/>
        </w:rPr>
        <w:t>are</w:t>
      </w:r>
      <w:r w:rsidR="00903645" w:rsidRPr="00B6196A">
        <w:rPr>
          <w:noProof/>
          <w:highlight w:val="yellow"/>
          <w:lang w:val="en-IE"/>
        </w:rPr>
        <w:t xml:space="preserve"> required to register in the register referred to in paragraph 1. To that end</w:t>
      </w:r>
      <w:r w:rsidR="006F5620" w:rsidRPr="00B6196A">
        <w:rPr>
          <w:noProof/>
          <w:highlight w:val="yellow"/>
          <w:lang w:val="en-IE"/>
        </w:rPr>
        <w:t>, Member States shall require the producers to</w:t>
      </w:r>
      <w:r w:rsidR="00903645" w:rsidRPr="00B6196A">
        <w:rPr>
          <w:noProof/>
          <w:highlight w:val="yellow"/>
          <w:lang w:val="en-IE"/>
        </w:rPr>
        <w:t xml:space="preserve"> submit an application for registration in each Member State where they make </w:t>
      </w:r>
      <w:r w:rsidR="2A1BE077" w:rsidRPr="00B6196A">
        <w:rPr>
          <w:noProof/>
          <w:highlight w:val="yellow"/>
          <w:lang w:val="en-IE"/>
        </w:rPr>
        <w:t xml:space="preserve">textile, textile-related and footwear products listed in Annex IVc </w:t>
      </w:r>
      <w:r w:rsidR="00903645" w:rsidRPr="00B6196A">
        <w:rPr>
          <w:noProof/>
          <w:highlight w:val="yellow"/>
          <w:lang w:val="en-IE"/>
        </w:rPr>
        <w:t xml:space="preserve">available </w:t>
      </w:r>
      <w:r w:rsidR="00B736C2" w:rsidRPr="00B6196A">
        <w:rPr>
          <w:noProof/>
          <w:highlight w:val="yellow"/>
          <w:lang w:val="en-IE"/>
        </w:rPr>
        <w:t xml:space="preserve">on the market </w:t>
      </w:r>
      <w:r w:rsidR="0008239E" w:rsidRPr="00B6196A">
        <w:rPr>
          <w:noProof/>
          <w:highlight w:val="yellow"/>
          <w:lang w:val="en-IE"/>
        </w:rPr>
        <w:t>for the first time</w:t>
      </w:r>
      <w:r w:rsidR="00903645" w:rsidRPr="00B6196A">
        <w:rPr>
          <w:noProof/>
          <w:highlight w:val="yellow"/>
          <w:lang w:val="en-IE"/>
        </w:rPr>
        <w:t>.</w:t>
      </w:r>
    </w:p>
    <w:p w14:paraId="1052EFEC" w14:textId="5595F6BE" w:rsidR="00903645" w:rsidRPr="00B6196A" w:rsidRDefault="00384B96" w:rsidP="00384B96">
      <w:pPr>
        <w:pStyle w:val="ManualNumPar1"/>
        <w:rPr>
          <w:noProof/>
          <w:highlight w:val="yellow"/>
          <w:lang w:val="en-IE"/>
        </w:rPr>
      </w:pPr>
      <w:r w:rsidRPr="00B6196A">
        <w:rPr>
          <w:highlight w:val="yellow"/>
        </w:rPr>
        <w:t>3.</w:t>
      </w:r>
      <w:r w:rsidRPr="00B6196A">
        <w:rPr>
          <w:highlight w:val="yellow"/>
        </w:rPr>
        <w:tab/>
      </w:r>
      <w:r w:rsidR="42BDF21A" w:rsidRPr="00B6196A">
        <w:rPr>
          <w:noProof/>
          <w:highlight w:val="yellow"/>
          <w:lang w:val="en-IE"/>
        </w:rPr>
        <w:t>Member States shall only allow p</w:t>
      </w:r>
      <w:r w:rsidR="00903645" w:rsidRPr="00B6196A">
        <w:rPr>
          <w:noProof/>
          <w:highlight w:val="yellow"/>
          <w:lang w:val="en-IE"/>
        </w:rPr>
        <w:t xml:space="preserve">roducers </w:t>
      </w:r>
      <w:r w:rsidR="19D7DCAB" w:rsidRPr="00B6196A">
        <w:rPr>
          <w:noProof/>
          <w:highlight w:val="yellow"/>
          <w:lang w:val="en-IE"/>
        </w:rPr>
        <w:t>to</w:t>
      </w:r>
      <w:r w:rsidR="00903645" w:rsidRPr="00B6196A">
        <w:rPr>
          <w:noProof/>
          <w:highlight w:val="yellow"/>
          <w:lang w:val="en-IE"/>
        </w:rPr>
        <w:t xml:space="preserve"> make available on the market </w:t>
      </w:r>
      <w:r w:rsidR="00F05326" w:rsidRPr="00B6196A">
        <w:rPr>
          <w:noProof/>
          <w:highlight w:val="yellow"/>
          <w:lang w:val="en-IE"/>
        </w:rPr>
        <w:t xml:space="preserve">for the first time within their territory </w:t>
      </w:r>
      <w:r w:rsidR="2D46FFAF" w:rsidRPr="00B6196A">
        <w:rPr>
          <w:noProof/>
          <w:highlight w:val="yellow"/>
          <w:lang w:val="en-IE"/>
        </w:rPr>
        <w:t>textile, textile-related and footwear products listed in Annex IVc</w:t>
      </w:r>
      <w:r w:rsidR="00903645" w:rsidRPr="00B6196A">
        <w:rPr>
          <w:noProof/>
          <w:highlight w:val="yellow"/>
          <w:lang w:val="en-IE"/>
        </w:rPr>
        <w:t xml:space="preserve"> </w:t>
      </w:r>
      <w:r w:rsidR="2BD08C17" w:rsidRPr="00B6196A">
        <w:rPr>
          <w:noProof/>
          <w:highlight w:val="yellow"/>
          <w:lang w:val="en-IE"/>
        </w:rPr>
        <w:t>where</w:t>
      </w:r>
      <w:r w:rsidR="00903645" w:rsidRPr="00B6196A">
        <w:rPr>
          <w:noProof/>
          <w:highlight w:val="yellow"/>
          <w:lang w:val="en-IE"/>
        </w:rPr>
        <w:t xml:space="preserve"> they or, in </w:t>
      </w:r>
      <w:r w:rsidR="4FEE2363" w:rsidRPr="00B6196A">
        <w:rPr>
          <w:noProof/>
          <w:highlight w:val="yellow"/>
          <w:lang w:val="en-IE"/>
        </w:rPr>
        <w:t xml:space="preserve">the </w:t>
      </w:r>
      <w:r w:rsidR="00903645" w:rsidRPr="00B6196A">
        <w:rPr>
          <w:noProof/>
          <w:highlight w:val="yellow"/>
          <w:lang w:val="en-IE"/>
        </w:rPr>
        <w:t>case of authorisation, their authorised representatives for the extended producer responsibility, are registered in that Member State.</w:t>
      </w:r>
    </w:p>
    <w:p w14:paraId="58CAF7B1" w14:textId="7F4A045A" w:rsidR="00903645" w:rsidRPr="00B6196A" w:rsidRDefault="00384B96" w:rsidP="00384B96">
      <w:pPr>
        <w:pStyle w:val="ManualNumPar1"/>
        <w:rPr>
          <w:noProof/>
          <w:highlight w:val="yellow"/>
          <w:lang w:val="en-IE"/>
        </w:rPr>
      </w:pPr>
      <w:r w:rsidRPr="00B6196A">
        <w:rPr>
          <w:highlight w:val="yellow"/>
        </w:rPr>
        <w:t>4.</w:t>
      </w:r>
      <w:r w:rsidRPr="00B6196A">
        <w:rPr>
          <w:highlight w:val="yellow"/>
        </w:rPr>
        <w:tab/>
      </w:r>
      <w:r w:rsidR="00903645" w:rsidRPr="00B6196A">
        <w:rPr>
          <w:noProof/>
          <w:highlight w:val="yellow"/>
          <w:lang w:val="en-IE"/>
        </w:rPr>
        <w:t>The application for registration shall include the following information:</w:t>
      </w:r>
    </w:p>
    <w:p w14:paraId="7D8D1BA9" w14:textId="72BAB1F5" w:rsidR="00903645" w:rsidRPr="00B6196A" w:rsidRDefault="00384B96" w:rsidP="00384B96">
      <w:pPr>
        <w:pStyle w:val="Point1"/>
        <w:rPr>
          <w:noProof/>
          <w:highlight w:val="yellow"/>
          <w:lang w:val="en-IE" w:eastAsia="en-GB"/>
        </w:rPr>
      </w:pPr>
      <w:r w:rsidRPr="00B6196A">
        <w:rPr>
          <w:highlight w:val="yellow"/>
        </w:rPr>
        <w:t>(a)</w:t>
      </w:r>
      <w:r w:rsidRPr="00B6196A">
        <w:rPr>
          <w:highlight w:val="yellow"/>
        </w:rPr>
        <w:tab/>
      </w:r>
      <w:r w:rsidR="00CD36C6" w:rsidRPr="00B6196A">
        <w:rPr>
          <w:noProof/>
          <w:highlight w:val="yellow"/>
          <w:lang w:val="en-IE" w:eastAsia="en-GB"/>
        </w:rPr>
        <w:t>name</w:t>
      </w:r>
      <w:r w:rsidR="00A64E5B" w:rsidRPr="00B6196A">
        <w:rPr>
          <w:noProof/>
          <w:highlight w:val="yellow"/>
          <w:lang w:val="en-IE" w:eastAsia="en-GB"/>
        </w:rPr>
        <w:t>, trademark</w:t>
      </w:r>
      <w:r w:rsidR="00903645" w:rsidRPr="00B6196A">
        <w:rPr>
          <w:noProof/>
          <w:highlight w:val="yellow"/>
          <w:lang w:val="en-IE" w:eastAsia="en-GB"/>
        </w:rPr>
        <w:t xml:space="preserve"> and brand names</w:t>
      </w:r>
      <w:r w:rsidR="070D2477" w:rsidRPr="00B6196A">
        <w:rPr>
          <w:noProof/>
          <w:highlight w:val="yellow"/>
          <w:lang w:val="en-IE" w:eastAsia="en-GB"/>
        </w:rPr>
        <w:t>, where</w:t>
      </w:r>
      <w:r w:rsidR="00903645" w:rsidRPr="00B6196A">
        <w:rPr>
          <w:noProof/>
          <w:highlight w:val="yellow"/>
          <w:lang w:val="en-IE" w:eastAsia="en-GB"/>
        </w:rPr>
        <w:t xml:space="preserve"> available</w:t>
      </w:r>
      <w:r w:rsidR="0A0C46D8" w:rsidRPr="00B6196A">
        <w:rPr>
          <w:noProof/>
          <w:highlight w:val="yellow"/>
          <w:lang w:val="en-IE" w:eastAsia="en-GB"/>
        </w:rPr>
        <w:t>,</w:t>
      </w:r>
      <w:r w:rsidR="00903645" w:rsidRPr="00B6196A">
        <w:rPr>
          <w:noProof/>
          <w:highlight w:val="yellow"/>
          <w:lang w:val="en-IE" w:eastAsia="en-GB"/>
        </w:rPr>
        <w:t xml:space="preserve"> under which the producer operates in the Member State and address of the producer including postal code and place, street and number, country, telephone, if any, web address and e-mail address, </w:t>
      </w:r>
      <w:r w:rsidR="09AC8B18" w:rsidRPr="00B6196A">
        <w:rPr>
          <w:noProof/>
          <w:highlight w:val="yellow"/>
          <w:lang w:val="en-IE" w:eastAsia="en-GB"/>
        </w:rPr>
        <w:t>and name of</w:t>
      </w:r>
      <w:r w:rsidR="00903645" w:rsidRPr="00B6196A">
        <w:rPr>
          <w:noProof/>
          <w:highlight w:val="yellow"/>
          <w:lang w:val="en-IE" w:eastAsia="en-GB"/>
        </w:rPr>
        <w:t xml:space="preserve"> a single contact point;</w:t>
      </w:r>
    </w:p>
    <w:p w14:paraId="296B24D9" w14:textId="3C61104A" w:rsidR="00903645" w:rsidRPr="00B6196A" w:rsidRDefault="00384B96" w:rsidP="00384B96">
      <w:pPr>
        <w:pStyle w:val="Point1"/>
        <w:rPr>
          <w:noProof/>
          <w:highlight w:val="yellow"/>
          <w:lang w:val="en-IE" w:eastAsia="en-GB"/>
        </w:rPr>
      </w:pPr>
      <w:r w:rsidRPr="00B6196A">
        <w:rPr>
          <w:highlight w:val="yellow"/>
        </w:rPr>
        <w:t>(b)</w:t>
      </w:r>
      <w:r w:rsidRPr="00B6196A">
        <w:rPr>
          <w:highlight w:val="yellow"/>
        </w:rPr>
        <w:tab/>
      </w:r>
      <w:r w:rsidR="00903645" w:rsidRPr="00B6196A">
        <w:rPr>
          <w:noProof/>
          <w:highlight w:val="yellow"/>
          <w:lang w:val="en-IE" w:eastAsia="en-GB"/>
        </w:rPr>
        <w:t xml:space="preserve">national identification code of the producer, including its trade register number or equivalent official registration number and </w:t>
      </w:r>
      <w:r w:rsidR="53FB11A3" w:rsidRPr="00B6196A">
        <w:rPr>
          <w:noProof/>
          <w:highlight w:val="yellow"/>
          <w:lang w:val="en-IE" w:eastAsia="en-GB"/>
        </w:rPr>
        <w:t>Union</w:t>
      </w:r>
      <w:r w:rsidR="00903645" w:rsidRPr="00B6196A">
        <w:rPr>
          <w:noProof/>
          <w:highlight w:val="yellow"/>
          <w:lang w:val="en-IE" w:eastAsia="en-GB"/>
        </w:rPr>
        <w:t xml:space="preserve"> or national tax identification number;</w:t>
      </w:r>
    </w:p>
    <w:p w14:paraId="0E715574" w14:textId="264190E9" w:rsidR="00903645" w:rsidRPr="00B6196A" w:rsidRDefault="00384B96" w:rsidP="00384B96">
      <w:pPr>
        <w:pStyle w:val="Point1"/>
        <w:rPr>
          <w:noProof/>
          <w:highlight w:val="yellow"/>
          <w:lang w:val="en-IE" w:eastAsia="en-GB"/>
        </w:rPr>
      </w:pPr>
      <w:r w:rsidRPr="00B6196A">
        <w:rPr>
          <w:highlight w:val="yellow"/>
        </w:rPr>
        <w:t>(c)</w:t>
      </w:r>
      <w:r w:rsidRPr="00B6196A">
        <w:rPr>
          <w:highlight w:val="yellow"/>
        </w:rPr>
        <w:tab/>
      </w:r>
      <w:r w:rsidR="00903645" w:rsidRPr="00B6196A">
        <w:rPr>
          <w:noProof/>
          <w:highlight w:val="yellow"/>
          <w:lang w:val="en-IE" w:eastAsia="en-GB"/>
        </w:rPr>
        <w:t xml:space="preserve">the </w:t>
      </w:r>
      <w:r w:rsidR="00DE07FA" w:rsidRPr="00B6196A">
        <w:rPr>
          <w:noProof/>
          <w:highlight w:val="yellow"/>
          <w:lang w:val="en-IE" w:eastAsia="en-GB"/>
        </w:rPr>
        <w:t>C</w:t>
      </w:r>
      <w:r w:rsidR="005D3A0C" w:rsidRPr="00B6196A">
        <w:rPr>
          <w:noProof/>
          <w:highlight w:val="yellow"/>
          <w:lang w:val="en-IE" w:eastAsia="en-GB"/>
        </w:rPr>
        <w:t xml:space="preserve">ombined </w:t>
      </w:r>
      <w:r w:rsidR="00DE07FA" w:rsidRPr="00B6196A">
        <w:rPr>
          <w:noProof/>
          <w:highlight w:val="yellow"/>
          <w:lang w:val="en-IE" w:eastAsia="en-GB"/>
        </w:rPr>
        <w:t>N</w:t>
      </w:r>
      <w:r w:rsidR="00903645" w:rsidRPr="00B6196A">
        <w:rPr>
          <w:noProof/>
          <w:highlight w:val="yellow"/>
          <w:lang w:val="en-IE" w:eastAsia="en-GB"/>
        </w:rPr>
        <w:t>omenclature codes of the textile</w:t>
      </w:r>
      <w:r w:rsidR="388E10B6" w:rsidRPr="00B6196A">
        <w:rPr>
          <w:noProof/>
          <w:highlight w:val="yellow"/>
          <w:lang w:val="en-IE" w:eastAsia="en-GB"/>
        </w:rPr>
        <w:t>, textile-related</w:t>
      </w:r>
      <w:r w:rsidR="00903645" w:rsidRPr="00B6196A">
        <w:rPr>
          <w:noProof/>
          <w:highlight w:val="yellow"/>
          <w:lang w:val="en-IE" w:eastAsia="en-GB"/>
        </w:rPr>
        <w:t xml:space="preserve"> and footwear products listed in Annex IVc that the producer intends to make available on the market for the first time within the territory of that Member State;</w:t>
      </w:r>
    </w:p>
    <w:p w14:paraId="2CE7F498" w14:textId="3FFE9FB4" w:rsidR="00903645" w:rsidRPr="00B6196A" w:rsidRDefault="00384B96" w:rsidP="00384B96">
      <w:pPr>
        <w:pStyle w:val="Point1"/>
        <w:rPr>
          <w:noProof/>
          <w:highlight w:val="yellow"/>
          <w:lang w:val="en-IE" w:eastAsia="en-GB"/>
        </w:rPr>
      </w:pPr>
      <w:r w:rsidRPr="00B6196A">
        <w:rPr>
          <w:highlight w:val="yellow"/>
        </w:rPr>
        <w:t>(d)</w:t>
      </w:r>
      <w:r w:rsidRPr="00B6196A">
        <w:rPr>
          <w:highlight w:val="yellow"/>
        </w:rPr>
        <w:tab/>
      </w:r>
      <w:r w:rsidR="00903645" w:rsidRPr="00B6196A">
        <w:rPr>
          <w:noProof/>
          <w:highlight w:val="yellow"/>
          <w:lang w:val="en-IE" w:eastAsia="en-GB"/>
        </w:rPr>
        <w:t>the name</w:t>
      </w:r>
      <w:r w:rsidR="14166A6D" w:rsidRPr="00B6196A">
        <w:rPr>
          <w:noProof/>
          <w:highlight w:val="yellow"/>
          <w:lang w:val="en-IE" w:eastAsia="en-GB"/>
        </w:rPr>
        <w:t>,</w:t>
      </w:r>
      <w:r w:rsidR="00903645" w:rsidRPr="00B6196A">
        <w:rPr>
          <w:noProof/>
          <w:highlight w:val="yellow"/>
          <w:lang w:val="en-IE" w:eastAsia="en-GB"/>
        </w:rPr>
        <w:t xml:space="preserve"> postal code</w:t>
      </w:r>
      <w:r w:rsidR="06580B9C" w:rsidRPr="00B6196A">
        <w:rPr>
          <w:noProof/>
          <w:highlight w:val="yellow"/>
          <w:lang w:val="en-IE" w:eastAsia="en-GB"/>
        </w:rPr>
        <w:t>,</w:t>
      </w:r>
      <w:r w:rsidR="00903645" w:rsidRPr="00B6196A">
        <w:rPr>
          <w:noProof/>
          <w:highlight w:val="yellow"/>
          <w:lang w:val="en-IE" w:eastAsia="en-GB"/>
        </w:rPr>
        <w:t xml:space="preserve"> place, street and number, country, telephone, web address</w:t>
      </w:r>
      <w:r w:rsidR="31E72CFB" w:rsidRPr="00B6196A">
        <w:rPr>
          <w:noProof/>
          <w:highlight w:val="yellow"/>
          <w:lang w:val="en-IE" w:eastAsia="en-GB"/>
        </w:rPr>
        <w:t>,</w:t>
      </w:r>
      <w:r w:rsidR="00903645" w:rsidRPr="00B6196A">
        <w:rPr>
          <w:noProof/>
          <w:highlight w:val="yellow"/>
          <w:lang w:val="en-IE" w:eastAsia="en-GB"/>
        </w:rPr>
        <w:t xml:space="preserve"> e-mail address and national identification code of the producer responsibility organisation, trade register number or an equivalent official registration number</w:t>
      </w:r>
      <w:r w:rsidR="453A1968" w:rsidRPr="00B6196A">
        <w:rPr>
          <w:noProof/>
          <w:highlight w:val="yellow"/>
          <w:lang w:val="en-IE" w:eastAsia="en-GB"/>
        </w:rPr>
        <w:t>,</w:t>
      </w:r>
      <w:r w:rsidR="00903645" w:rsidRPr="00B6196A">
        <w:rPr>
          <w:noProof/>
          <w:highlight w:val="yellow"/>
          <w:lang w:val="en-IE" w:eastAsia="en-GB"/>
        </w:rPr>
        <w:t xml:space="preserve"> the </w:t>
      </w:r>
      <w:r w:rsidR="1F4A9078" w:rsidRPr="00B6196A">
        <w:rPr>
          <w:noProof/>
          <w:highlight w:val="yellow"/>
          <w:lang w:val="en-IE" w:eastAsia="en-GB"/>
        </w:rPr>
        <w:t xml:space="preserve">Union </w:t>
      </w:r>
      <w:r w:rsidR="00903645" w:rsidRPr="00B6196A">
        <w:rPr>
          <w:noProof/>
          <w:highlight w:val="yellow"/>
          <w:lang w:val="en-IE" w:eastAsia="en-GB"/>
        </w:rPr>
        <w:t>or national tax identification number of the producer responsibility organisation, and the represented producer’s mandate;</w:t>
      </w:r>
    </w:p>
    <w:p w14:paraId="599F4090" w14:textId="59A8E8FA" w:rsidR="00903645" w:rsidRPr="00B6196A" w:rsidRDefault="00384B96" w:rsidP="00384B96">
      <w:pPr>
        <w:pStyle w:val="Point1"/>
        <w:rPr>
          <w:noProof/>
          <w:highlight w:val="yellow"/>
          <w:lang w:val="en-IE" w:eastAsia="en-GB"/>
        </w:rPr>
      </w:pPr>
      <w:r w:rsidRPr="00B6196A">
        <w:rPr>
          <w:highlight w:val="yellow"/>
        </w:rPr>
        <w:t>(e)</w:t>
      </w:r>
      <w:r w:rsidRPr="00B6196A">
        <w:rPr>
          <w:highlight w:val="yellow"/>
        </w:rPr>
        <w:tab/>
      </w:r>
      <w:r w:rsidR="00903645" w:rsidRPr="00B6196A">
        <w:rPr>
          <w:noProof/>
          <w:highlight w:val="yellow"/>
          <w:lang w:val="en-IE" w:eastAsia="en-GB"/>
        </w:rPr>
        <w:t xml:space="preserve">a statement by the producer or the producer responsibility organisation, stating that the information provided is true. </w:t>
      </w:r>
    </w:p>
    <w:p w14:paraId="4D7CA9E1" w14:textId="2D70C100" w:rsidR="00903645" w:rsidRPr="00B6196A" w:rsidRDefault="00384B96" w:rsidP="00384B96">
      <w:pPr>
        <w:pStyle w:val="ManualNumPar1"/>
        <w:rPr>
          <w:noProof/>
          <w:highlight w:val="yellow"/>
          <w:lang w:val="en-IE"/>
        </w:rPr>
      </w:pPr>
      <w:r w:rsidRPr="00B6196A">
        <w:rPr>
          <w:highlight w:val="yellow"/>
        </w:rPr>
        <w:t>5.</w:t>
      </w:r>
      <w:r w:rsidRPr="00B6196A">
        <w:rPr>
          <w:highlight w:val="yellow"/>
        </w:rPr>
        <w:tab/>
      </w:r>
      <w:r w:rsidR="03923761" w:rsidRPr="00B6196A">
        <w:rPr>
          <w:noProof/>
          <w:highlight w:val="yellow"/>
          <w:lang w:val="en-IE"/>
        </w:rPr>
        <w:t>Member States shall ensure that t</w:t>
      </w:r>
      <w:r w:rsidR="00903645" w:rsidRPr="00B6196A">
        <w:rPr>
          <w:noProof/>
          <w:highlight w:val="yellow"/>
          <w:lang w:val="en-IE"/>
        </w:rPr>
        <w:t>he obligations under this Article may, on the producer’s behalf, be met by a producer responsibility organisation.</w:t>
      </w:r>
    </w:p>
    <w:p w14:paraId="20B76C15" w14:textId="77777777" w:rsidR="00CD36C6" w:rsidRPr="00B6196A" w:rsidRDefault="00903645" w:rsidP="00CD36C6">
      <w:pPr>
        <w:pStyle w:val="Text1"/>
        <w:rPr>
          <w:noProof/>
          <w:highlight w:val="yellow"/>
          <w:lang w:val="en-IE"/>
        </w:rPr>
      </w:pPr>
      <w:r w:rsidRPr="00B6196A">
        <w:rPr>
          <w:noProof/>
          <w:highlight w:val="yellow"/>
          <w:lang w:val="en-IE"/>
        </w:rPr>
        <w:t xml:space="preserve">Where a producer has </w:t>
      </w:r>
      <w:r w:rsidR="006F5620" w:rsidRPr="00B6196A">
        <w:rPr>
          <w:noProof/>
          <w:highlight w:val="yellow"/>
          <w:lang w:val="en-IE"/>
        </w:rPr>
        <w:t xml:space="preserve">designated </w:t>
      </w:r>
      <w:r w:rsidRPr="00B6196A">
        <w:rPr>
          <w:noProof/>
          <w:highlight w:val="yellow"/>
          <w:lang w:val="en-IE"/>
        </w:rPr>
        <w:t xml:space="preserve">a producer responsibility organisation, the obligations under this Article shall be met by that organisation </w:t>
      </w:r>
      <w:r w:rsidRPr="00B6196A">
        <w:rPr>
          <w:i/>
          <w:iCs/>
          <w:noProof/>
          <w:highlight w:val="yellow"/>
          <w:lang w:val="en-IE"/>
        </w:rPr>
        <w:t>mutatis mutandis</w:t>
      </w:r>
      <w:r w:rsidRPr="00B6196A">
        <w:rPr>
          <w:noProof/>
          <w:highlight w:val="yellow"/>
          <w:lang w:val="en-IE"/>
        </w:rPr>
        <w:t xml:space="preserve"> unless otherwise specified by the Member State.</w:t>
      </w:r>
      <w:r w:rsidR="00E50A7A" w:rsidRPr="00B6196A">
        <w:rPr>
          <w:noProof/>
          <w:highlight w:val="yellow"/>
          <w:lang w:val="en-IE"/>
        </w:rPr>
        <w:t xml:space="preserve"> </w:t>
      </w:r>
    </w:p>
    <w:p w14:paraId="428E0736" w14:textId="5DC0184A" w:rsidR="00903645" w:rsidRPr="00B6196A" w:rsidRDefault="00384B96" w:rsidP="00384B96">
      <w:pPr>
        <w:pStyle w:val="ManualNumPar1"/>
        <w:rPr>
          <w:noProof/>
          <w:highlight w:val="yellow"/>
          <w:lang w:val="en-IE"/>
        </w:rPr>
      </w:pPr>
      <w:r w:rsidRPr="00B6196A">
        <w:rPr>
          <w:highlight w:val="yellow"/>
        </w:rPr>
        <w:t>6.</w:t>
      </w:r>
      <w:r w:rsidRPr="00B6196A">
        <w:rPr>
          <w:highlight w:val="yellow"/>
        </w:rPr>
        <w:tab/>
      </w:r>
      <w:r w:rsidR="006C29AD" w:rsidRPr="00B6196A">
        <w:rPr>
          <w:noProof/>
          <w:highlight w:val="yellow"/>
          <w:lang w:val="en-IE"/>
        </w:rPr>
        <w:t>Member States shall ensure that t</w:t>
      </w:r>
      <w:r w:rsidR="00903645" w:rsidRPr="00B6196A">
        <w:rPr>
          <w:noProof/>
          <w:highlight w:val="yellow"/>
          <w:lang w:val="en-IE"/>
        </w:rPr>
        <w:t>he competent authority:</w:t>
      </w:r>
    </w:p>
    <w:p w14:paraId="5DB780BA" w14:textId="7223AD66" w:rsidR="00903645" w:rsidRPr="00B6196A" w:rsidRDefault="00384B96" w:rsidP="00384B96">
      <w:pPr>
        <w:pStyle w:val="Point1"/>
        <w:rPr>
          <w:noProof/>
          <w:highlight w:val="yellow"/>
          <w:lang w:val="en-IE" w:eastAsia="en-GB"/>
        </w:rPr>
      </w:pPr>
      <w:r w:rsidRPr="00B6196A">
        <w:rPr>
          <w:highlight w:val="yellow"/>
        </w:rPr>
        <w:t>(a)</w:t>
      </w:r>
      <w:r w:rsidRPr="00B6196A">
        <w:rPr>
          <w:highlight w:val="yellow"/>
        </w:rPr>
        <w:tab/>
      </w:r>
      <w:r w:rsidR="00903645" w:rsidRPr="00B6196A">
        <w:rPr>
          <w:noProof/>
          <w:highlight w:val="yellow"/>
          <w:lang w:val="en-IE" w:eastAsia="en-GB"/>
        </w:rPr>
        <w:t>receive</w:t>
      </w:r>
      <w:r w:rsidR="7D8051E9" w:rsidRPr="00B6196A">
        <w:rPr>
          <w:noProof/>
          <w:highlight w:val="yellow"/>
          <w:lang w:val="en-IE" w:eastAsia="en-GB"/>
        </w:rPr>
        <w:t>s</w:t>
      </w:r>
      <w:r w:rsidR="00903645" w:rsidRPr="00B6196A">
        <w:rPr>
          <w:noProof/>
          <w:highlight w:val="yellow"/>
          <w:lang w:val="en-IE" w:eastAsia="en-GB"/>
        </w:rPr>
        <w:t xml:space="preserve"> applications for the registration of producers referred to in paragraph </w:t>
      </w:r>
      <w:r w:rsidR="0029289F" w:rsidRPr="00B6196A">
        <w:rPr>
          <w:noProof/>
          <w:highlight w:val="yellow"/>
          <w:lang w:val="en-IE" w:eastAsia="en-GB"/>
        </w:rPr>
        <w:t xml:space="preserve">2 </w:t>
      </w:r>
      <w:r w:rsidR="00903645" w:rsidRPr="00B6196A">
        <w:rPr>
          <w:noProof/>
          <w:highlight w:val="yellow"/>
          <w:lang w:val="en-IE" w:eastAsia="en-GB"/>
        </w:rPr>
        <w:t>via an electronic data-processing system the details of which shall be made available on the competent authorities’ website;</w:t>
      </w:r>
    </w:p>
    <w:p w14:paraId="63D23ECD" w14:textId="631D3268" w:rsidR="00903645" w:rsidRPr="00B6196A" w:rsidRDefault="00384B96" w:rsidP="00384B96">
      <w:pPr>
        <w:pStyle w:val="Point1"/>
        <w:rPr>
          <w:noProof/>
          <w:highlight w:val="yellow"/>
          <w:lang w:val="en-IE" w:eastAsia="en-GB"/>
        </w:rPr>
      </w:pPr>
      <w:r w:rsidRPr="00B6196A">
        <w:rPr>
          <w:highlight w:val="yellow"/>
        </w:rPr>
        <w:lastRenderedPageBreak/>
        <w:t>(b)</w:t>
      </w:r>
      <w:r w:rsidRPr="00B6196A">
        <w:rPr>
          <w:highlight w:val="yellow"/>
        </w:rPr>
        <w:tab/>
      </w:r>
      <w:r w:rsidR="00903645" w:rsidRPr="00B6196A">
        <w:rPr>
          <w:noProof/>
          <w:highlight w:val="yellow"/>
          <w:lang w:val="en-IE" w:eastAsia="en-GB"/>
        </w:rPr>
        <w:t>grant</w:t>
      </w:r>
      <w:r w:rsidR="767B71A6" w:rsidRPr="00B6196A">
        <w:rPr>
          <w:noProof/>
          <w:highlight w:val="yellow"/>
          <w:lang w:val="en-IE" w:eastAsia="en-GB"/>
        </w:rPr>
        <w:t>s</w:t>
      </w:r>
      <w:r w:rsidR="00903645" w:rsidRPr="00B6196A">
        <w:rPr>
          <w:noProof/>
          <w:highlight w:val="yellow"/>
          <w:lang w:val="en-IE" w:eastAsia="en-GB"/>
        </w:rPr>
        <w:t xml:space="preserve"> registrations and provide</w:t>
      </w:r>
      <w:r w:rsidR="70271673" w:rsidRPr="00B6196A">
        <w:rPr>
          <w:noProof/>
          <w:highlight w:val="yellow"/>
          <w:lang w:val="en-IE" w:eastAsia="en-GB"/>
        </w:rPr>
        <w:t>s</w:t>
      </w:r>
      <w:r w:rsidR="00903645" w:rsidRPr="00B6196A">
        <w:rPr>
          <w:noProof/>
          <w:highlight w:val="yellow"/>
          <w:lang w:val="en-IE" w:eastAsia="en-GB"/>
        </w:rPr>
        <w:t xml:space="preserve"> a registration number within a maximum period of 12 weeks from the moment that the information laid down in paragraph 4 is provided; </w:t>
      </w:r>
    </w:p>
    <w:p w14:paraId="13C03982" w14:textId="2AA6FBF8" w:rsidR="00903645" w:rsidRPr="00B6196A" w:rsidRDefault="00384B96" w:rsidP="00384B96">
      <w:pPr>
        <w:pStyle w:val="Point1"/>
        <w:rPr>
          <w:noProof/>
          <w:highlight w:val="yellow"/>
          <w:lang w:val="en-IE" w:eastAsia="en-GB"/>
        </w:rPr>
      </w:pPr>
      <w:r w:rsidRPr="00B6196A">
        <w:rPr>
          <w:highlight w:val="yellow"/>
        </w:rPr>
        <w:t>(c)</w:t>
      </w:r>
      <w:r w:rsidRPr="00B6196A">
        <w:rPr>
          <w:highlight w:val="yellow"/>
        </w:rPr>
        <w:tab/>
      </w:r>
      <w:r w:rsidR="00903645" w:rsidRPr="00B6196A">
        <w:rPr>
          <w:noProof/>
          <w:highlight w:val="yellow"/>
          <w:lang w:val="en-IE" w:eastAsia="en-GB"/>
        </w:rPr>
        <w:t xml:space="preserve">may lay down </w:t>
      </w:r>
      <w:r w:rsidR="080DEE4B" w:rsidRPr="00B6196A">
        <w:rPr>
          <w:noProof/>
          <w:highlight w:val="yellow"/>
          <w:lang w:val="en-IE" w:eastAsia="en-GB"/>
        </w:rPr>
        <w:t xml:space="preserve">detailed arrangements </w:t>
      </w:r>
      <w:r w:rsidR="00903645" w:rsidRPr="00B6196A">
        <w:rPr>
          <w:noProof/>
          <w:highlight w:val="yellow"/>
          <w:lang w:val="en-IE" w:eastAsia="en-GB"/>
        </w:rPr>
        <w:t xml:space="preserve">with respect to the requirements and process of registration without adding substantive requirements to the ones laid down in paragraph 4; </w:t>
      </w:r>
    </w:p>
    <w:p w14:paraId="506AED71" w14:textId="32B025CD" w:rsidR="00903645" w:rsidRPr="00B6196A" w:rsidRDefault="00384B96" w:rsidP="00384B96">
      <w:pPr>
        <w:pStyle w:val="Point1"/>
        <w:rPr>
          <w:noProof/>
          <w:highlight w:val="yellow"/>
          <w:lang w:val="en-IE" w:eastAsia="en-GB"/>
        </w:rPr>
      </w:pPr>
      <w:r w:rsidRPr="00B6196A">
        <w:rPr>
          <w:highlight w:val="yellow"/>
        </w:rPr>
        <w:t>(d)</w:t>
      </w:r>
      <w:r w:rsidRPr="00B6196A">
        <w:rPr>
          <w:highlight w:val="yellow"/>
        </w:rPr>
        <w:tab/>
      </w:r>
      <w:r w:rsidR="00903645" w:rsidRPr="00B6196A">
        <w:rPr>
          <w:noProof/>
          <w:highlight w:val="yellow"/>
          <w:lang w:val="en-IE" w:eastAsia="en-GB"/>
        </w:rPr>
        <w:t>may charge cost-based and proportionate fees to producers for the processing of applications referred to in paragraph 2.</w:t>
      </w:r>
    </w:p>
    <w:p w14:paraId="3123F140" w14:textId="1FDE6AB3" w:rsidR="00903645" w:rsidRPr="00B6196A" w:rsidRDefault="00384B96" w:rsidP="00384B96">
      <w:pPr>
        <w:pStyle w:val="ManualNumPar1"/>
        <w:rPr>
          <w:noProof/>
          <w:highlight w:val="yellow"/>
          <w:lang w:val="en-IE"/>
        </w:rPr>
      </w:pPr>
      <w:r w:rsidRPr="00B6196A">
        <w:rPr>
          <w:highlight w:val="yellow"/>
        </w:rPr>
        <w:t>7.</w:t>
      </w:r>
      <w:r w:rsidRPr="00B6196A">
        <w:rPr>
          <w:highlight w:val="yellow"/>
        </w:rPr>
        <w:tab/>
      </w:r>
      <w:r w:rsidR="1D545014" w:rsidRPr="00B6196A">
        <w:rPr>
          <w:noProof/>
          <w:highlight w:val="yellow"/>
          <w:lang w:val="en-IE"/>
        </w:rPr>
        <w:t>The c</w:t>
      </w:r>
      <w:r w:rsidR="00903645" w:rsidRPr="00B6196A">
        <w:rPr>
          <w:noProof/>
          <w:highlight w:val="yellow"/>
          <w:lang w:val="en-IE"/>
        </w:rPr>
        <w:t xml:space="preserve">ompetent authority may refuse or withdraw the producer’s registration where the information outlined in paragraph 4 and related documentary evidence is not provided or is not sufficient or </w:t>
      </w:r>
      <w:r w:rsidR="3ED6D8ED" w:rsidRPr="00B6196A">
        <w:rPr>
          <w:noProof/>
          <w:highlight w:val="yellow"/>
          <w:lang w:val="en-IE"/>
        </w:rPr>
        <w:t xml:space="preserve">where </w:t>
      </w:r>
      <w:r w:rsidR="00903645" w:rsidRPr="00B6196A">
        <w:rPr>
          <w:noProof/>
          <w:highlight w:val="yellow"/>
          <w:lang w:val="en-IE"/>
        </w:rPr>
        <w:t xml:space="preserve">the producer no longer meets the requirements set </w:t>
      </w:r>
      <w:r w:rsidR="2F9B8F7C" w:rsidRPr="00B6196A">
        <w:rPr>
          <w:noProof/>
          <w:highlight w:val="yellow"/>
          <w:lang w:val="en-IE"/>
        </w:rPr>
        <w:t xml:space="preserve">out </w:t>
      </w:r>
      <w:r w:rsidR="00903645" w:rsidRPr="00B6196A">
        <w:rPr>
          <w:noProof/>
          <w:highlight w:val="yellow"/>
          <w:lang w:val="en-IE"/>
        </w:rPr>
        <w:t>in paragraph 4, point (d).</w:t>
      </w:r>
    </w:p>
    <w:p w14:paraId="4AEAFEFD" w14:textId="06024359" w:rsidR="00903645" w:rsidRPr="00B6196A" w:rsidRDefault="00384B96" w:rsidP="00384B96">
      <w:pPr>
        <w:pStyle w:val="ManualNumPar1"/>
        <w:rPr>
          <w:noProof/>
          <w:highlight w:val="yellow"/>
          <w:lang w:val="en-IE"/>
        </w:rPr>
      </w:pPr>
      <w:r w:rsidRPr="00B6196A">
        <w:rPr>
          <w:highlight w:val="yellow"/>
        </w:rPr>
        <w:t>8.</w:t>
      </w:r>
      <w:r w:rsidRPr="00B6196A">
        <w:rPr>
          <w:highlight w:val="yellow"/>
        </w:rPr>
        <w:tab/>
      </w:r>
      <w:r w:rsidR="00F43CEA" w:rsidRPr="00B6196A">
        <w:rPr>
          <w:noProof/>
          <w:highlight w:val="yellow"/>
          <w:lang w:val="en-IE"/>
        </w:rPr>
        <w:t>Member States shall require the</w:t>
      </w:r>
      <w:r w:rsidR="00903645" w:rsidRPr="00B6196A">
        <w:rPr>
          <w:noProof/>
          <w:highlight w:val="yellow"/>
          <w:lang w:val="en-IE"/>
        </w:rPr>
        <w:t xml:space="preserve"> producer, or, where applicable, the producer responsibility organisation </w:t>
      </w:r>
      <w:r w:rsidR="00F43CEA" w:rsidRPr="00B6196A">
        <w:rPr>
          <w:noProof/>
          <w:highlight w:val="yellow"/>
          <w:lang w:val="en-IE"/>
        </w:rPr>
        <w:t xml:space="preserve">to notify </w:t>
      </w:r>
      <w:r w:rsidR="00903645" w:rsidRPr="00B6196A">
        <w:rPr>
          <w:noProof/>
          <w:highlight w:val="yellow"/>
          <w:lang w:val="en-IE"/>
        </w:rPr>
        <w:t xml:space="preserve">the competent authority </w:t>
      </w:r>
      <w:r w:rsidR="00F43CEA" w:rsidRPr="00B6196A">
        <w:rPr>
          <w:noProof/>
          <w:highlight w:val="yellow"/>
          <w:lang w:val="en-IE"/>
        </w:rPr>
        <w:t xml:space="preserve">without undue delay </w:t>
      </w:r>
      <w:r w:rsidR="00903645" w:rsidRPr="00B6196A">
        <w:rPr>
          <w:noProof/>
          <w:highlight w:val="yellow"/>
          <w:lang w:val="en-IE"/>
        </w:rPr>
        <w:t xml:space="preserve">of any changes to the information contained in the registration in accordance with paragraph 4, point (d), and of any permanent cessation as regards the making available on the market </w:t>
      </w:r>
      <w:r w:rsidR="003A3B1C" w:rsidRPr="00B6196A">
        <w:rPr>
          <w:noProof/>
          <w:highlight w:val="yellow"/>
          <w:lang w:val="en-IE"/>
        </w:rPr>
        <w:t xml:space="preserve">for the first time </w:t>
      </w:r>
      <w:r w:rsidR="00903645" w:rsidRPr="00B6196A">
        <w:rPr>
          <w:noProof/>
          <w:highlight w:val="yellow"/>
          <w:lang w:val="en-IE"/>
        </w:rPr>
        <w:t>within the territory of the Member State of the textile and footwear products referred to in the registration. A producer shall be excluded from the register of producers if it has ceased to exist.</w:t>
      </w:r>
    </w:p>
    <w:p w14:paraId="3445087A" w14:textId="60CF266E" w:rsidR="00903645" w:rsidRPr="00B6196A" w:rsidRDefault="00384B96" w:rsidP="00384B96">
      <w:pPr>
        <w:pStyle w:val="ManualNumPar1"/>
        <w:rPr>
          <w:noProof/>
          <w:highlight w:val="yellow"/>
          <w:lang w:val="en-IE"/>
        </w:rPr>
      </w:pPr>
      <w:r w:rsidRPr="00B6196A">
        <w:rPr>
          <w:highlight w:val="yellow"/>
        </w:rPr>
        <w:t>9.</w:t>
      </w:r>
      <w:r w:rsidRPr="00B6196A">
        <w:rPr>
          <w:highlight w:val="yellow"/>
        </w:rPr>
        <w:tab/>
      </w:r>
      <w:r w:rsidR="00903645" w:rsidRPr="00B6196A">
        <w:rPr>
          <w:noProof/>
          <w:highlight w:val="yellow"/>
          <w:lang w:val="en-IE"/>
        </w:rPr>
        <w:t>Where the information in the register of producers is not publicly accessible, Member States shall ensure that providers of online platforms allowing consumers to conclude distance contracts with producers are granted access, free of charge, to the register.</w:t>
      </w:r>
    </w:p>
    <w:p w14:paraId="5762FE9F" w14:textId="119D7646" w:rsidR="1491732C" w:rsidRPr="00B6196A" w:rsidRDefault="00384B96" w:rsidP="00384B96">
      <w:pPr>
        <w:pStyle w:val="ManualNumPar1"/>
        <w:rPr>
          <w:noProof/>
          <w:highlight w:val="yellow"/>
          <w:lang w:val="en-IE"/>
        </w:rPr>
      </w:pPr>
      <w:r w:rsidRPr="00B6196A">
        <w:rPr>
          <w:highlight w:val="yellow"/>
        </w:rPr>
        <w:t>10.</w:t>
      </w:r>
      <w:r w:rsidRPr="00B6196A">
        <w:rPr>
          <w:highlight w:val="yellow"/>
        </w:rPr>
        <w:tab/>
      </w:r>
      <w:r w:rsidR="1491732C" w:rsidRPr="00B6196A">
        <w:rPr>
          <w:noProof/>
          <w:highlight w:val="yellow"/>
          <w:lang w:val="en-IE"/>
        </w:rPr>
        <w:t xml:space="preserve">The Commission shall adopt implementing acts establishing the </w:t>
      </w:r>
      <w:r w:rsidR="65D8BFBA" w:rsidRPr="00B6196A">
        <w:rPr>
          <w:noProof/>
          <w:highlight w:val="yellow"/>
          <w:lang w:val="en-IE"/>
        </w:rPr>
        <w:t xml:space="preserve">harmonised </w:t>
      </w:r>
      <w:r w:rsidR="1491732C" w:rsidRPr="00B6196A">
        <w:rPr>
          <w:noProof/>
          <w:highlight w:val="yellow"/>
          <w:lang w:val="en-IE"/>
        </w:rPr>
        <w:t xml:space="preserve">format for registration in the register </w:t>
      </w:r>
      <w:r w:rsidR="7FAA770B" w:rsidRPr="00B6196A">
        <w:rPr>
          <w:noProof/>
          <w:highlight w:val="yellow"/>
          <w:lang w:val="en-IE"/>
        </w:rPr>
        <w:t>based on the information requirements set out in paragraph 4</w:t>
      </w:r>
      <w:r w:rsidR="006F5620" w:rsidRPr="00B6196A">
        <w:rPr>
          <w:noProof/>
          <w:highlight w:val="yellow"/>
          <w:lang w:val="en-IE"/>
        </w:rPr>
        <w:t xml:space="preserve"> of this Article</w:t>
      </w:r>
      <w:r w:rsidR="1491732C" w:rsidRPr="00B6196A">
        <w:rPr>
          <w:noProof/>
          <w:highlight w:val="yellow"/>
          <w:lang w:val="en-IE"/>
        </w:rPr>
        <w:t xml:space="preserve">. Those implementing acts shall be adopted in accordance with the examination procedure referred to in Article </w:t>
      </w:r>
      <w:r w:rsidR="3F09869C" w:rsidRPr="00B6196A">
        <w:rPr>
          <w:noProof/>
          <w:highlight w:val="yellow"/>
          <w:lang w:val="en-IE"/>
        </w:rPr>
        <w:t>3</w:t>
      </w:r>
      <w:r w:rsidR="1491732C" w:rsidRPr="00B6196A">
        <w:rPr>
          <w:noProof/>
          <w:highlight w:val="yellow"/>
          <w:lang w:val="en-IE"/>
        </w:rPr>
        <w:t>9(</w:t>
      </w:r>
      <w:r w:rsidR="3F0767C2" w:rsidRPr="00B6196A">
        <w:rPr>
          <w:noProof/>
          <w:highlight w:val="yellow"/>
          <w:lang w:val="en-IE"/>
        </w:rPr>
        <w:t>2</w:t>
      </w:r>
      <w:r w:rsidR="1491732C" w:rsidRPr="00B6196A">
        <w:rPr>
          <w:noProof/>
          <w:highlight w:val="yellow"/>
          <w:lang w:val="en-IE"/>
        </w:rPr>
        <w:t>).</w:t>
      </w:r>
    </w:p>
    <w:p w14:paraId="0BCEEC7C" w14:textId="77777777" w:rsidR="00AE27BB" w:rsidRPr="00B6196A" w:rsidRDefault="00AE27BB" w:rsidP="00AE27BB">
      <w:pPr>
        <w:pStyle w:val="Titrearticle"/>
        <w:rPr>
          <w:noProof/>
          <w:highlight w:val="yellow"/>
          <w:lang w:val="en-IE"/>
        </w:rPr>
      </w:pPr>
      <w:r w:rsidRPr="00B6196A">
        <w:rPr>
          <w:noProof/>
          <w:highlight w:val="yellow"/>
          <w:lang w:val="en-IE"/>
        </w:rPr>
        <w:t>Article 22c</w:t>
      </w:r>
    </w:p>
    <w:p w14:paraId="1C5318E8" w14:textId="77777777" w:rsidR="00AE27BB" w:rsidRPr="00B6196A" w:rsidRDefault="00AE27BB" w:rsidP="00AE27BB">
      <w:pPr>
        <w:pStyle w:val="Titrearticle"/>
        <w:rPr>
          <w:b/>
          <w:bCs/>
          <w:i w:val="0"/>
          <w:iCs/>
          <w:noProof/>
          <w:highlight w:val="yellow"/>
          <w:lang w:val="en-IE"/>
        </w:rPr>
      </w:pPr>
      <w:r w:rsidRPr="00B6196A">
        <w:rPr>
          <w:b/>
          <w:bCs/>
          <w:i w:val="0"/>
          <w:iCs/>
          <w:noProof/>
          <w:highlight w:val="yellow"/>
          <w:lang w:val="en-IE"/>
        </w:rPr>
        <w:t>Producer responsibility organisations for textiles</w:t>
      </w:r>
    </w:p>
    <w:p w14:paraId="3AEF372D" w14:textId="106BC627" w:rsidR="00AE27BB" w:rsidRPr="00B6196A" w:rsidRDefault="00384B96" w:rsidP="00384B96">
      <w:pPr>
        <w:pStyle w:val="ManualNumPar1"/>
        <w:rPr>
          <w:noProof/>
          <w:highlight w:val="yellow"/>
          <w:lang w:val="en-IE"/>
        </w:rPr>
      </w:pPr>
      <w:r w:rsidRPr="00B6196A">
        <w:rPr>
          <w:highlight w:val="yellow"/>
        </w:rPr>
        <w:t>1.</w:t>
      </w:r>
      <w:r w:rsidRPr="00B6196A">
        <w:rPr>
          <w:highlight w:val="yellow"/>
        </w:rPr>
        <w:tab/>
      </w:r>
      <w:r w:rsidR="00AE27BB" w:rsidRPr="00B6196A">
        <w:rPr>
          <w:noProof/>
          <w:highlight w:val="yellow"/>
          <w:lang w:val="en-IE"/>
        </w:rPr>
        <w:t xml:space="preserve">Member States shall ensure that producers </w:t>
      </w:r>
      <w:r w:rsidR="5CD04F91" w:rsidRPr="00B6196A">
        <w:rPr>
          <w:noProof/>
          <w:highlight w:val="yellow"/>
          <w:lang w:val="en-IE"/>
        </w:rPr>
        <w:t xml:space="preserve">of textile, textile-related and footwear products listed in Annex IVc </w:t>
      </w:r>
      <w:r w:rsidR="00786CE0" w:rsidRPr="00B6196A">
        <w:rPr>
          <w:noProof/>
          <w:highlight w:val="yellow"/>
          <w:lang w:val="en-IE"/>
        </w:rPr>
        <w:t>designate</w:t>
      </w:r>
      <w:r w:rsidR="00AE27BB" w:rsidRPr="00B6196A">
        <w:rPr>
          <w:noProof/>
          <w:highlight w:val="yellow"/>
          <w:lang w:val="en-IE"/>
        </w:rPr>
        <w:t xml:space="preserve"> a producer responsibility organisation to fulfil their extended producer responsibility obligations laid down in Article 22a on their behalf. </w:t>
      </w:r>
    </w:p>
    <w:p w14:paraId="06248A59" w14:textId="5EC39659" w:rsidR="00AE27BB" w:rsidRPr="00B6196A" w:rsidRDefault="00384B96" w:rsidP="00384B96">
      <w:pPr>
        <w:pStyle w:val="ManualNumPar1"/>
        <w:rPr>
          <w:noProof/>
          <w:highlight w:val="yellow"/>
          <w:lang w:val="en-IE"/>
        </w:rPr>
      </w:pPr>
      <w:r w:rsidRPr="00B6196A">
        <w:rPr>
          <w:highlight w:val="yellow"/>
        </w:rPr>
        <w:t>2.</w:t>
      </w:r>
      <w:r w:rsidRPr="00B6196A">
        <w:rPr>
          <w:highlight w:val="yellow"/>
        </w:rPr>
        <w:tab/>
      </w:r>
      <w:r w:rsidR="24B348DF" w:rsidRPr="00B6196A">
        <w:rPr>
          <w:noProof/>
          <w:highlight w:val="yellow"/>
          <w:lang w:val="en-IE"/>
        </w:rPr>
        <w:t xml:space="preserve">Member States shall </w:t>
      </w:r>
      <w:r w:rsidR="2CB3B9D0" w:rsidRPr="00B6196A">
        <w:rPr>
          <w:noProof/>
          <w:highlight w:val="yellow"/>
          <w:lang w:val="en-IE"/>
        </w:rPr>
        <w:t>require p</w:t>
      </w:r>
      <w:r w:rsidR="00AE27BB" w:rsidRPr="00B6196A">
        <w:rPr>
          <w:noProof/>
          <w:highlight w:val="yellow"/>
          <w:lang w:val="en-IE"/>
        </w:rPr>
        <w:t xml:space="preserve">roducer responsibility organisations </w:t>
      </w:r>
      <w:r w:rsidR="560BC630" w:rsidRPr="00B6196A">
        <w:rPr>
          <w:noProof/>
          <w:highlight w:val="yellow"/>
          <w:lang w:val="en-IE"/>
        </w:rPr>
        <w:t xml:space="preserve">intending to fulfil the extended producer responsibility obligations on behalf of producers in accordance with Articles </w:t>
      </w:r>
      <w:r w:rsidR="73F8693E" w:rsidRPr="00B6196A">
        <w:rPr>
          <w:noProof/>
          <w:highlight w:val="yellow"/>
          <w:lang w:val="en-IE"/>
        </w:rPr>
        <w:t xml:space="preserve">8a(3), </w:t>
      </w:r>
      <w:r w:rsidR="560BC630" w:rsidRPr="00B6196A">
        <w:rPr>
          <w:noProof/>
          <w:highlight w:val="yellow"/>
          <w:lang w:val="en-IE"/>
        </w:rPr>
        <w:t xml:space="preserve">22a, 22b, 22d and this Article to obtain </w:t>
      </w:r>
      <w:r w:rsidR="00AE27BB" w:rsidRPr="00B6196A">
        <w:rPr>
          <w:noProof/>
          <w:highlight w:val="yellow"/>
          <w:lang w:val="en-IE"/>
        </w:rPr>
        <w:t>an authorisation by a competent authority.</w:t>
      </w:r>
    </w:p>
    <w:p w14:paraId="42DC395F" w14:textId="502962E4" w:rsidR="00AE27BB" w:rsidRPr="00B6196A" w:rsidRDefault="00384B96" w:rsidP="00384B96">
      <w:pPr>
        <w:pStyle w:val="ManualNumPar1"/>
        <w:rPr>
          <w:noProof/>
          <w:highlight w:val="yellow"/>
          <w:lang w:val="en-IE"/>
        </w:rPr>
      </w:pPr>
      <w:r w:rsidRPr="00B6196A">
        <w:rPr>
          <w:highlight w:val="yellow"/>
        </w:rPr>
        <w:t>3.</w:t>
      </w:r>
      <w:r w:rsidRPr="00B6196A">
        <w:rPr>
          <w:highlight w:val="yellow"/>
        </w:rPr>
        <w:tab/>
      </w:r>
      <w:r w:rsidR="2B8851D6" w:rsidRPr="00B6196A">
        <w:rPr>
          <w:noProof/>
          <w:highlight w:val="yellow"/>
          <w:lang w:val="en-IE"/>
        </w:rPr>
        <w:t>Member States shall require the p</w:t>
      </w:r>
      <w:r w:rsidR="00AE27BB" w:rsidRPr="00B6196A">
        <w:rPr>
          <w:noProof/>
          <w:highlight w:val="yellow"/>
          <w:lang w:val="en-IE"/>
        </w:rPr>
        <w:t xml:space="preserve">roducer responsibility organisations </w:t>
      </w:r>
      <w:r w:rsidR="0EF1AE15" w:rsidRPr="00B6196A">
        <w:rPr>
          <w:noProof/>
          <w:highlight w:val="yellow"/>
          <w:lang w:val="en-IE"/>
        </w:rPr>
        <w:t xml:space="preserve">to </w:t>
      </w:r>
      <w:r w:rsidR="00AE27BB" w:rsidRPr="00B6196A">
        <w:rPr>
          <w:noProof/>
          <w:highlight w:val="yellow"/>
          <w:lang w:val="en-IE"/>
        </w:rPr>
        <w:t>ensure that the financial contributions paid to them by producers</w:t>
      </w:r>
      <w:r w:rsidR="1EE2EEA1" w:rsidRPr="00B6196A">
        <w:rPr>
          <w:noProof/>
          <w:highlight w:val="yellow"/>
          <w:lang w:val="en-IE"/>
        </w:rPr>
        <w:t xml:space="preserve"> of textile, textile-related and footwear products listed in Annex IVc</w:t>
      </w:r>
      <w:r w:rsidR="00AE27BB" w:rsidRPr="00B6196A">
        <w:rPr>
          <w:noProof/>
          <w:highlight w:val="yellow"/>
          <w:lang w:val="en-IE"/>
        </w:rPr>
        <w:t xml:space="preserve">: </w:t>
      </w:r>
    </w:p>
    <w:p w14:paraId="1591BE77" w14:textId="5BB88093" w:rsidR="00AE27BB" w:rsidRPr="00B6196A" w:rsidRDefault="00384B96" w:rsidP="00384B96">
      <w:pPr>
        <w:pStyle w:val="Point1"/>
        <w:rPr>
          <w:noProof/>
          <w:highlight w:val="yellow"/>
          <w:lang w:val="en-IE" w:eastAsia="en-GB"/>
        </w:rPr>
      </w:pPr>
      <w:r w:rsidRPr="00B6196A">
        <w:rPr>
          <w:highlight w:val="yellow"/>
        </w:rPr>
        <w:t>(a)</w:t>
      </w:r>
      <w:r w:rsidRPr="00B6196A">
        <w:rPr>
          <w:highlight w:val="yellow"/>
        </w:rPr>
        <w:tab/>
      </w:r>
      <w:r w:rsidR="00AE27BB" w:rsidRPr="00B6196A">
        <w:rPr>
          <w:noProof/>
          <w:highlight w:val="yellow"/>
          <w:lang w:val="en-IE" w:eastAsia="en-GB"/>
        </w:rPr>
        <w:t>are based on the weight of the products concerned and</w:t>
      </w:r>
      <w:r w:rsidR="27EF3DC4" w:rsidRPr="00B6196A">
        <w:rPr>
          <w:noProof/>
          <w:highlight w:val="yellow"/>
          <w:lang w:val="en-IE" w:eastAsia="en-GB"/>
        </w:rPr>
        <w:t>,</w:t>
      </w:r>
      <w:r w:rsidR="00AE27BB" w:rsidRPr="00B6196A">
        <w:rPr>
          <w:noProof/>
          <w:highlight w:val="yellow"/>
          <w:lang w:val="en-IE" w:eastAsia="en-GB"/>
        </w:rPr>
        <w:t xml:space="preserve"> for textile products listed in Part 1 of Annex IVc</w:t>
      </w:r>
      <w:r w:rsidR="185766DA" w:rsidRPr="00B6196A">
        <w:rPr>
          <w:noProof/>
          <w:highlight w:val="yellow"/>
          <w:lang w:val="en-IE" w:eastAsia="en-GB"/>
        </w:rPr>
        <w:t>,</w:t>
      </w:r>
      <w:r w:rsidR="00AE27BB" w:rsidRPr="00B6196A">
        <w:rPr>
          <w:noProof/>
          <w:highlight w:val="yellow"/>
          <w:lang w:val="en-IE" w:eastAsia="en-GB"/>
        </w:rPr>
        <w:t xml:space="preserve"> are modulated on the basis of the </w:t>
      </w:r>
      <w:r w:rsidR="00573DBE" w:rsidRPr="00B6196A">
        <w:rPr>
          <w:noProof/>
          <w:highlight w:val="yellow"/>
          <w:lang w:val="en-IE" w:eastAsia="en-GB"/>
        </w:rPr>
        <w:t xml:space="preserve">ecodesign requirements adopted pursuant to the Regulation </w:t>
      </w:r>
      <w:r w:rsidR="1FDE5A65" w:rsidRPr="00B6196A">
        <w:rPr>
          <w:noProof/>
          <w:highlight w:val="yellow"/>
          <w:lang w:val="en-IE" w:eastAsia="en-GB"/>
        </w:rPr>
        <w:t xml:space="preserve">.../... of the European Parliament and of the Council </w:t>
      </w:r>
      <w:r w:rsidR="46AD9383" w:rsidRPr="00B6196A">
        <w:rPr>
          <w:noProof/>
          <w:highlight w:val="yellow"/>
          <w:lang w:val="en-IE" w:eastAsia="en-GB"/>
        </w:rPr>
        <w:t>[</w:t>
      </w:r>
      <w:r w:rsidR="1FDE5A65" w:rsidRPr="00B6196A">
        <w:rPr>
          <w:i/>
          <w:noProof/>
          <w:highlight w:val="yellow"/>
          <w:lang w:val="en-IE" w:eastAsia="en-GB"/>
        </w:rPr>
        <w:t>P</w:t>
      </w:r>
      <w:r w:rsidR="4615D357" w:rsidRPr="00B6196A">
        <w:rPr>
          <w:i/>
          <w:noProof/>
          <w:highlight w:val="yellow"/>
          <w:lang w:val="en-IE" w:eastAsia="en-GB"/>
        </w:rPr>
        <w:t>.</w:t>
      </w:r>
      <w:r w:rsidR="1FDE5A65" w:rsidRPr="00B6196A">
        <w:rPr>
          <w:i/>
          <w:noProof/>
          <w:highlight w:val="yellow"/>
          <w:lang w:val="en-IE" w:eastAsia="en-GB"/>
        </w:rPr>
        <w:t>O</w:t>
      </w:r>
      <w:r w:rsidR="20DE55EC" w:rsidRPr="00B6196A">
        <w:rPr>
          <w:i/>
          <w:noProof/>
          <w:highlight w:val="yellow"/>
          <w:lang w:val="en-IE" w:eastAsia="en-GB"/>
        </w:rPr>
        <w:t>.</w:t>
      </w:r>
      <w:r w:rsidR="1FDE5A65" w:rsidRPr="00B6196A">
        <w:rPr>
          <w:i/>
          <w:noProof/>
          <w:highlight w:val="yellow"/>
          <w:lang w:val="en-IE" w:eastAsia="en-GB"/>
        </w:rPr>
        <w:t xml:space="preserve"> i</w:t>
      </w:r>
      <w:r w:rsidR="00573DBE" w:rsidRPr="00B6196A">
        <w:rPr>
          <w:i/>
          <w:iCs/>
          <w:noProof/>
          <w:highlight w:val="yellow"/>
          <w:lang w:val="en-IE" w:eastAsia="en-GB"/>
        </w:rPr>
        <w:t xml:space="preserve">nsert the </w:t>
      </w:r>
      <w:r w:rsidR="68D80B8A" w:rsidRPr="00B6196A">
        <w:rPr>
          <w:i/>
          <w:iCs/>
          <w:noProof/>
          <w:highlight w:val="yellow"/>
          <w:lang w:val="en-IE" w:eastAsia="en-GB"/>
        </w:rPr>
        <w:t xml:space="preserve">serial number for the </w:t>
      </w:r>
      <w:r w:rsidR="00573DBE" w:rsidRPr="00B6196A">
        <w:rPr>
          <w:i/>
          <w:iCs/>
          <w:noProof/>
          <w:highlight w:val="yellow"/>
          <w:lang w:val="en-IE" w:eastAsia="en-GB"/>
        </w:rPr>
        <w:t>Ecodesign for Sustainable Products Regulation when adopted</w:t>
      </w:r>
      <w:r w:rsidR="7D491CDC" w:rsidRPr="00B6196A">
        <w:rPr>
          <w:noProof/>
          <w:highlight w:val="yellow"/>
          <w:lang w:val="en-IE" w:eastAsia="en-GB"/>
        </w:rPr>
        <w:t>]</w:t>
      </w:r>
      <w:r w:rsidR="7346A598" w:rsidRPr="00B6196A">
        <w:rPr>
          <w:noProof/>
          <w:highlight w:val="yellow"/>
          <w:lang w:val="en-IE" w:eastAsia="en-GB"/>
        </w:rPr>
        <w:t>*</w:t>
      </w:r>
      <w:r w:rsidR="1A9533A4" w:rsidRPr="00B6196A">
        <w:rPr>
          <w:noProof/>
          <w:highlight w:val="yellow"/>
          <w:lang w:val="en-IE" w:eastAsia="en-GB"/>
        </w:rPr>
        <w:t>*</w:t>
      </w:r>
      <w:r w:rsidR="00573DBE" w:rsidRPr="00B6196A">
        <w:rPr>
          <w:noProof/>
          <w:highlight w:val="yellow"/>
          <w:lang w:val="en-IE" w:eastAsia="en-GB"/>
        </w:rPr>
        <w:t xml:space="preserve"> that are most relevant </w:t>
      </w:r>
      <w:r w:rsidR="009B00D8" w:rsidRPr="00B6196A">
        <w:rPr>
          <w:noProof/>
          <w:highlight w:val="yellow"/>
          <w:lang w:val="en-IE" w:eastAsia="en-GB"/>
        </w:rPr>
        <w:t xml:space="preserve">for the </w:t>
      </w:r>
      <w:r w:rsidR="0033652B" w:rsidRPr="00B6196A">
        <w:rPr>
          <w:noProof/>
          <w:highlight w:val="yellow"/>
          <w:lang w:val="en-IE" w:eastAsia="en-GB"/>
        </w:rPr>
        <w:t xml:space="preserve">prevention </w:t>
      </w:r>
      <w:r w:rsidR="0033652B" w:rsidRPr="00B6196A">
        <w:rPr>
          <w:noProof/>
          <w:highlight w:val="yellow"/>
          <w:lang w:val="en-IE" w:eastAsia="en-GB"/>
        </w:rPr>
        <w:lastRenderedPageBreak/>
        <w:t xml:space="preserve">of </w:t>
      </w:r>
      <w:r w:rsidR="009B00D8" w:rsidRPr="00B6196A">
        <w:rPr>
          <w:noProof/>
          <w:highlight w:val="yellow"/>
          <w:lang w:val="en-IE" w:eastAsia="en-GB"/>
        </w:rPr>
        <w:t xml:space="preserve">textile waste and </w:t>
      </w:r>
      <w:r w:rsidR="00573DBE" w:rsidRPr="00B6196A">
        <w:rPr>
          <w:noProof/>
          <w:highlight w:val="yellow"/>
          <w:lang w:val="en-IE" w:eastAsia="en-GB"/>
        </w:rPr>
        <w:t xml:space="preserve">for the </w:t>
      </w:r>
      <w:r w:rsidR="00FA4F28" w:rsidRPr="00B6196A">
        <w:rPr>
          <w:noProof/>
          <w:highlight w:val="yellow"/>
          <w:lang w:val="en-IE" w:eastAsia="en-GB"/>
        </w:rPr>
        <w:t>treatment of textiles in line with the waste hierarchy</w:t>
      </w:r>
      <w:r w:rsidR="00573DBE" w:rsidRPr="00B6196A">
        <w:rPr>
          <w:noProof/>
          <w:highlight w:val="yellow"/>
          <w:lang w:val="en-IE" w:eastAsia="en-GB"/>
        </w:rPr>
        <w:t xml:space="preserve"> and the </w:t>
      </w:r>
      <w:r w:rsidR="00AE27BB" w:rsidRPr="00B6196A">
        <w:rPr>
          <w:noProof/>
          <w:highlight w:val="yellow"/>
          <w:lang w:val="en-IE" w:eastAsia="en-GB"/>
        </w:rPr>
        <w:t xml:space="preserve">corresponding measurement methodologies </w:t>
      </w:r>
      <w:r w:rsidR="00FA4F28" w:rsidRPr="00B6196A">
        <w:rPr>
          <w:noProof/>
          <w:highlight w:val="yellow"/>
          <w:lang w:val="en-IE" w:eastAsia="en-GB"/>
        </w:rPr>
        <w:t xml:space="preserve">for those criteria </w:t>
      </w:r>
      <w:r w:rsidR="00AE27BB" w:rsidRPr="00B6196A">
        <w:rPr>
          <w:noProof/>
          <w:highlight w:val="yellow"/>
          <w:lang w:val="en-IE" w:eastAsia="en-GB"/>
        </w:rPr>
        <w:t>adopted pursuant to</w:t>
      </w:r>
      <w:r w:rsidR="00573DBE" w:rsidRPr="00B6196A">
        <w:rPr>
          <w:noProof/>
          <w:highlight w:val="yellow"/>
          <w:lang w:val="en-IE" w:eastAsia="en-GB"/>
        </w:rPr>
        <w:t xml:space="preserve"> that Regulation</w:t>
      </w:r>
      <w:r w:rsidR="00981484" w:rsidRPr="00B6196A">
        <w:rPr>
          <w:noProof/>
          <w:highlight w:val="yellow"/>
          <w:lang w:val="en-IE"/>
        </w:rPr>
        <w:t xml:space="preserve"> </w:t>
      </w:r>
      <w:r w:rsidR="00981484" w:rsidRPr="00B6196A">
        <w:rPr>
          <w:noProof/>
          <w:highlight w:val="yellow"/>
          <w:lang w:val="en-IE" w:eastAsia="en-GB"/>
        </w:rPr>
        <w:t xml:space="preserve">or </w:t>
      </w:r>
      <w:r w:rsidR="00061843" w:rsidRPr="00B6196A">
        <w:rPr>
          <w:noProof/>
          <w:highlight w:val="yellow"/>
          <w:lang w:val="en-IE" w:eastAsia="en-GB"/>
        </w:rPr>
        <w:t xml:space="preserve">on the basis of </w:t>
      </w:r>
      <w:r w:rsidR="00981484" w:rsidRPr="00B6196A">
        <w:rPr>
          <w:noProof/>
          <w:highlight w:val="yellow"/>
          <w:lang w:val="en-IE" w:eastAsia="en-GB"/>
        </w:rPr>
        <w:t>other Union law establishing harmoni</w:t>
      </w:r>
      <w:r w:rsidR="595B05B3" w:rsidRPr="00B6196A">
        <w:rPr>
          <w:noProof/>
          <w:highlight w:val="yellow"/>
          <w:lang w:val="en-IE" w:eastAsia="en-GB"/>
        </w:rPr>
        <w:t>s</w:t>
      </w:r>
      <w:r w:rsidR="00981484" w:rsidRPr="00B6196A">
        <w:rPr>
          <w:noProof/>
          <w:highlight w:val="yellow"/>
          <w:lang w:val="en-IE" w:eastAsia="en-GB"/>
        </w:rPr>
        <w:t>ed sustainability criteria and measurement methods for textile products</w:t>
      </w:r>
      <w:r w:rsidR="003B761D" w:rsidRPr="00B6196A">
        <w:rPr>
          <w:noProof/>
          <w:highlight w:val="yellow"/>
          <w:lang w:val="en-IE" w:eastAsia="en-GB"/>
        </w:rPr>
        <w:t xml:space="preserve">, </w:t>
      </w:r>
      <w:r w:rsidR="00430F27" w:rsidRPr="00B6196A">
        <w:rPr>
          <w:noProof/>
          <w:highlight w:val="yellow"/>
          <w:lang w:val="en-IE" w:eastAsia="en-GB"/>
        </w:rPr>
        <w:t>and that ensure the improvement of environmental sustainability and circularity of textiles</w:t>
      </w:r>
      <w:r w:rsidR="00AE27BB" w:rsidRPr="00B6196A">
        <w:rPr>
          <w:noProof/>
          <w:highlight w:val="yellow"/>
          <w:lang w:val="en-IE" w:eastAsia="en-GB"/>
        </w:rPr>
        <w:t>;</w:t>
      </w:r>
    </w:p>
    <w:p w14:paraId="1344A39D" w14:textId="10E92837" w:rsidR="00AE27BB" w:rsidRPr="00B6196A" w:rsidRDefault="00384B96" w:rsidP="00384B96">
      <w:pPr>
        <w:pStyle w:val="Point1"/>
        <w:rPr>
          <w:noProof/>
          <w:highlight w:val="yellow"/>
          <w:lang w:val="en-IE" w:eastAsia="en-GB"/>
        </w:rPr>
      </w:pPr>
      <w:r w:rsidRPr="00B6196A">
        <w:rPr>
          <w:highlight w:val="yellow"/>
        </w:rPr>
        <w:t>(b)</w:t>
      </w:r>
      <w:r w:rsidRPr="00B6196A">
        <w:rPr>
          <w:highlight w:val="yellow"/>
        </w:rPr>
        <w:tab/>
      </w:r>
      <w:r w:rsidR="00AE27BB" w:rsidRPr="00B6196A">
        <w:rPr>
          <w:noProof/>
          <w:highlight w:val="yellow"/>
          <w:lang w:val="en-IE" w:eastAsia="en-GB"/>
        </w:rPr>
        <w:t xml:space="preserve">are adjusted to take account of any revenues by the producer responsibility organisations from re-use, preparing for re-use or from the value of secondary raw materials from recycled waste textiles; </w:t>
      </w:r>
    </w:p>
    <w:p w14:paraId="4B458358" w14:textId="2F6A025B" w:rsidR="00AE27BB" w:rsidRPr="00B6196A" w:rsidRDefault="00384B96" w:rsidP="00384B96">
      <w:pPr>
        <w:pStyle w:val="Point1"/>
        <w:rPr>
          <w:noProof/>
          <w:highlight w:val="yellow"/>
          <w:lang w:val="en-IE" w:eastAsia="en-GB"/>
        </w:rPr>
      </w:pPr>
      <w:r w:rsidRPr="00B6196A">
        <w:rPr>
          <w:highlight w:val="yellow"/>
        </w:rPr>
        <w:t>(c)</w:t>
      </w:r>
      <w:r w:rsidRPr="00B6196A">
        <w:rPr>
          <w:highlight w:val="yellow"/>
        </w:rPr>
        <w:tab/>
      </w:r>
      <w:r w:rsidR="00AE27BB" w:rsidRPr="00B6196A">
        <w:rPr>
          <w:noProof/>
          <w:highlight w:val="yellow"/>
          <w:lang w:val="en-IE" w:eastAsia="en-GB"/>
        </w:rPr>
        <w:t>ensure equal treatment of producers regardless of their origin or size, without placing disproportionate burden on producers, including small and medium sized enterprises, of small quantities of textile</w:t>
      </w:r>
      <w:r w:rsidR="7B9DD724" w:rsidRPr="00B6196A">
        <w:rPr>
          <w:noProof/>
          <w:highlight w:val="yellow"/>
          <w:lang w:val="en-IE" w:eastAsia="en-GB"/>
        </w:rPr>
        <w:t>, textile-related</w:t>
      </w:r>
      <w:r w:rsidR="00AE27BB" w:rsidRPr="00B6196A">
        <w:rPr>
          <w:noProof/>
          <w:highlight w:val="yellow"/>
          <w:lang w:val="en-IE" w:eastAsia="en-GB"/>
        </w:rPr>
        <w:t xml:space="preserve"> and footwear products listed in Annex IVc.</w:t>
      </w:r>
    </w:p>
    <w:p w14:paraId="44CCA17B" w14:textId="5DE4D91C" w:rsidR="00AE27BB" w:rsidRPr="00B6196A" w:rsidRDefault="00384B96" w:rsidP="00384B96">
      <w:pPr>
        <w:pStyle w:val="ManualNumPar1"/>
        <w:rPr>
          <w:noProof/>
          <w:highlight w:val="yellow"/>
          <w:lang w:val="en-IE"/>
        </w:rPr>
      </w:pPr>
      <w:r w:rsidRPr="00B6196A">
        <w:rPr>
          <w:highlight w:val="yellow"/>
        </w:rPr>
        <w:t>4.</w:t>
      </w:r>
      <w:r w:rsidRPr="00B6196A">
        <w:rPr>
          <w:highlight w:val="yellow"/>
        </w:rPr>
        <w:tab/>
      </w:r>
      <w:r w:rsidR="00AE27BB" w:rsidRPr="00B6196A">
        <w:rPr>
          <w:noProof/>
          <w:highlight w:val="yellow"/>
          <w:lang w:val="en-IE"/>
        </w:rPr>
        <w:t>Where necessary to avoid distortion of the internal market</w:t>
      </w:r>
      <w:r w:rsidR="00087AF0" w:rsidRPr="00B6196A">
        <w:rPr>
          <w:noProof/>
          <w:highlight w:val="yellow"/>
          <w:lang w:val="en-IE"/>
        </w:rPr>
        <w:t xml:space="preserve"> and </w:t>
      </w:r>
      <w:r w:rsidR="00FA4F28" w:rsidRPr="00B6196A">
        <w:rPr>
          <w:noProof/>
          <w:highlight w:val="yellow"/>
          <w:lang w:val="en-IE"/>
        </w:rPr>
        <w:t xml:space="preserve">ensure </w:t>
      </w:r>
      <w:r w:rsidR="00087AF0" w:rsidRPr="00B6196A">
        <w:rPr>
          <w:noProof/>
          <w:highlight w:val="yellow"/>
          <w:lang w:val="en-IE"/>
        </w:rPr>
        <w:t xml:space="preserve">consistency with the ecodesign requirements adopted pursuant to </w:t>
      </w:r>
      <w:r w:rsidR="00F43CEA" w:rsidRPr="00B6196A">
        <w:rPr>
          <w:noProof/>
          <w:highlight w:val="yellow"/>
          <w:lang w:val="en-IE"/>
        </w:rPr>
        <w:t xml:space="preserve">Article 4 read in conjunction with Article 5 of </w:t>
      </w:r>
      <w:r w:rsidR="00087AF0" w:rsidRPr="00B6196A">
        <w:rPr>
          <w:noProof/>
          <w:highlight w:val="yellow"/>
          <w:lang w:val="en-IE"/>
        </w:rPr>
        <w:t>Regulation</w:t>
      </w:r>
      <w:r w:rsidR="76918079" w:rsidRPr="00B6196A">
        <w:rPr>
          <w:noProof/>
          <w:highlight w:val="yellow"/>
          <w:lang w:val="en-IE"/>
        </w:rPr>
        <w:t>.../...</w:t>
      </w:r>
      <w:r w:rsidR="00087AF0" w:rsidRPr="00B6196A">
        <w:rPr>
          <w:noProof/>
          <w:highlight w:val="yellow"/>
          <w:lang w:val="en-IE"/>
        </w:rPr>
        <w:t xml:space="preserve"> [</w:t>
      </w:r>
      <w:r w:rsidR="251B6C0C" w:rsidRPr="00B6196A">
        <w:rPr>
          <w:noProof/>
          <w:highlight w:val="yellow"/>
          <w:lang w:val="en-IE"/>
        </w:rPr>
        <w:t>P</w:t>
      </w:r>
      <w:r w:rsidR="025BFEE1" w:rsidRPr="00B6196A">
        <w:rPr>
          <w:noProof/>
          <w:highlight w:val="yellow"/>
          <w:lang w:val="en-IE"/>
        </w:rPr>
        <w:t>.</w:t>
      </w:r>
      <w:r w:rsidR="251B6C0C" w:rsidRPr="00B6196A">
        <w:rPr>
          <w:noProof/>
          <w:highlight w:val="yellow"/>
          <w:lang w:val="en-IE"/>
        </w:rPr>
        <w:t>O</w:t>
      </w:r>
      <w:r w:rsidR="16D2CCD3" w:rsidRPr="00B6196A">
        <w:rPr>
          <w:noProof/>
          <w:highlight w:val="yellow"/>
          <w:lang w:val="en-IE"/>
        </w:rPr>
        <w:t>.</w:t>
      </w:r>
      <w:r w:rsidR="251B6C0C" w:rsidRPr="00B6196A">
        <w:rPr>
          <w:noProof/>
          <w:highlight w:val="yellow"/>
          <w:lang w:val="en-IE"/>
        </w:rPr>
        <w:t xml:space="preserve"> </w:t>
      </w:r>
      <w:r w:rsidR="00087AF0" w:rsidRPr="00B6196A">
        <w:rPr>
          <w:rFonts w:eastAsia="Calibri"/>
          <w:i/>
          <w:iCs/>
          <w:noProof/>
          <w:highlight w:val="yellow"/>
          <w:lang w:val="en-IE"/>
        </w:rPr>
        <w:t xml:space="preserve">insert the </w:t>
      </w:r>
      <w:r w:rsidR="43FB5FFD" w:rsidRPr="00B6196A">
        <w:rPr>
          <w:rFonts w:eastAsia="Calibri"/>
          <w:i/>
          <w:iCs/>
          <w:noProof/>
          <w:highlight w:val="yellow"/>
          <w:lang w:val="en-IE"/>
        </w:rPr>
        <w:t xml:space="preserve">serial number for </w:t>
      </w:r>
      <w:r w:rsidR="00087AF0" w:rsidRPr="00B6196A">
        <w:rPr>
          <w:rFonts w:eastAsia="Calibri"/>
          <w:i/>
          <w:iCs/>
          <w:noProof/>
          <w:highlight w:val="yellow"/>
          <w:lang w:val="en-IE"/>
        </w:rPr>
        <w:t>Ecodesign for Sustainable Products Regulation when adopted</w:t>
      </w:r>
      <w:r w:rsidR="00087AF0" w:rsidRPr="00B6196A">
        <w:rPr>
          <w:noProof/>
          <w:highlight w:val="yellow"/>
          <w:lang w:val="en-IE"/>
        </w:rPr>
        <w:t>]</w:t>
      </w:r>
      <w:r w:rsidR="00AE27BB" w:rsidRPr="00B6196A">
        <w:rPr>
          <w:noProof/>
          <w:highlight w:val="yellow"/>
          <w:lang w:val="en-IE"/>
        </w:rPr>
        <w:t>, the Commission may adopt implementing act</w:t>
      </w:r>
      <w:r w:rsidR="5470ADC1" w:rsidRPr="00B6196A">
        <w:rPr>
          <w:noProof/>
          <w:highlight w:val="yellow"/>
          <w:lang w:val="en-IE"/>
        </w:rPr>
        <w:t>s</w:t>
      </w:r>
      <w:r w:rsidR="00AE27BB" w:rsidRPr="00B6196A">
        <w:rPr>
          <w:noProof/>
          <w:highlight w:val="yellow"/>
          <w:lang w:val="en-IE"/>
        </w:rPr>
        <w:t xml:space="preserve"> laying down </w:t>
      </w:r>
      <w:r w:rsidR="00FA4F28" w:rsidRPr="00B6196A">
        <w:rPr>
          <w:noProof/>
          <w:highlight w:val="yellow"/>
          <w:lang w:val="en-IE"/>
        </w:rPr>
        <w:t xml:space="preserve">the fee modulation </w:t>
      </w:r>
      <w:r w:rsidR="00AE27BB" w:rsidRPr="00B6196A">
        <w:rPr>
          <w:noProof/>
          <w:highlight w:val="yellow"/>
          <w:lang w:val="en-IE"/>
        </w:rPr>
        <w:t xml:space="preserve">criteria for the application of paragraph 3, point (a), of this Article. That implementing act </w:t>
      </w:r>
      <w:r w:rsidR="5BEF0B6A" w:rsidRPr="00B6196A">
        <w:rPr>
          <w:noProof/>
          <w:highlight w:val="yellow"/>
          <w:lang w:val="en-IE"/>
        </w:rPr>
        <w:t>shall not</w:t>
      </w:r>
      <w:r w:rsidR="00AE27BB" w:rsidRPr="00B6196A">
        <w:rPr>
          <w:noProof/>
          <w:highlight w:val="yellow"/>
          <w:lang w:val="en-IE"/>
        </w:rPr>
        <w:t xml:space="preserve"> concern the precise determination of the level of the contributions and shall be adopted in accordance with the examination procedure referred to in Article 39(2)</w:t>
      </w:r>
      <w:r w:rsidR="23059F28" w:rsidRPr="00B6196A">
        <w:rPr>
          <w:noProof/>
          <w:highlight w:val="yellow"/>
          <w:lang w:val="en-IE"/>
        </w:rPr>
        <w:t xml:space="preserve"> of this Directive</w:t>
      </w:r>
      <w:r w:rsidR="00AE27BB" w:rsidRPr="00B6196A">
        <w:rPr>
          <w:noProof/>
          <w:highlight w:val="yellow"/>
          <w:lang w:val="en-IE"/>
        </w:rPr>
        <w:t xml:space="preserve">. </w:t>
      </w:r>
    </w:p>
    <w:p w14:paraId="795BD5B4" w14:textId="437E4333" w:rsidR="00AE27BB" w:rsidRPr="00B6196A" w:rsidRDefault="00384B96" w:rsidP="00384B96">
      <w:pPr>
        <w:pStyle w:val="ManualNumPar1"/>
        <w:rPr>
          <w:noProof/>
          <w:highlight w:val="yellow"/>
          <w:lang w:val="en-IE"/>
        </w:rPr>
      </w:pPr>
      <w:r w:rsidRPr="00B6196A">
        <w:rPr>
          <w:highlight w:val="yellow"/>
        </w:rPr>
        <w:t>5.</w:t>
      </w:r>
      <w:r w:rsidRPr="00B6196A">
        <w:rPr>
          <w:highlight w:val="yellow"/>
        </w:rPr>
        <w:tab/>
      </w:r>
      <w:r w:rsidR="00AE27BB" w:rsidRPr="00B6196A">
        <w:rPr>
          <w:noProof/>
          <w:highlight w:val="yellow"/>
          <w:lang w:val="en-IE"/>
        </w:rPr>
        <w:t>Member States shall ensure that the producer responsibility organisations establish a separate collection system for used and waste textile</w:t>
      </w:r>
      <w:r w:rsidR="71F880D3" w:rsidRPr="00B6196A">
        <w:rPr>
          <w:noProof/>
          <w:highlight w:val="yellow"/>
          <w:lang w:val="en-IE"/>
        </w:rPr>
        <w:t>, textile-related</w:t>
      </w:r>
      <w:r w:rsidR="00AE27BB" w:rsidRPr="00B6196A">
        <w:rPr>
          <w:noProof/>
          <w:highlight w:val="yellow"/>
          <w:lang w:val="en-IE"/>
        </w:rPr>
        <w:t xml:space="preserve"> and footwear products listed in Annex IVc, regardless of their nature, material composition, condition, </w:t>
      </w:r>
      <w:r w:rsidR="00A64E5B" w:rsidRPr="00B6196A">
        <w:rPr>
          <w:noProof/>
          <w:highlight w:val="yellow"/>
          <w:lang w:val="en-IE"/>
        </w:rPr>
        <w:t xml:space="preserve">name, </w:t>
      </w:r>
      <w:r w:rsidR="00AE27BB" w:rsidRPr="00B6196A">
        <w:rPr>
          <w:noProof/>
          <w:highlight w:val="yellow"/>
          <w:lang w:val="en-IE"/>
        </w:rPr>
        <w:t>brand</w:t>
      </w:r>
      <w:r w:rsidR="00A64E5B" w:rsidRPr="00B6196A">
        <w:rPr>
          <w:noProof/>
          <w:highlight w:val="yellow"/>
          <w:lang w:val="en-IE"/>
        </w:rPr>
        <w:t>, trademark</w:t>
      </w:r>
      <w:r w:rsidR="00AE27BB" w:rsidRPr="00B6196A">
        <w:rPr>
          <w:noProof/>
          <w:highlight w:val="yellow"/>
          <w:lang w:val="en-IE"/>
        </w:rPr>
        <w:t xml:space="preserve"> or origin, in the territory of a Member State where they make those products available on the market for the first time. The separate collection system shall:</w:t>
      </w:r>
    </w:p>
    <w:p w14:paraId="53225B6B" w14:textId="6166E579" w:rsidR="00AE27BB" w:rsidRPr="00B6196A" w:rsidRDefault="00384B96" w:rsidP="00384B96">
      <w:pPr>
        <w:pStyle w:val="Point1"/>
        <w:rPr>
          <w:noProof/>
          <w:highlight w:val="yellow"/>
          <w:lang w:val="en-IE" w:eastAsia="en-GB"/>
        </w:rPr>
      </w:pPr>
      <w:r w:rsidRPr="00B6196A">
        <w:rPr>
          <w:highlight w:val="yellow"/>
        </w:rPr>
        <w:t>(a)</w:t>
      </w:r>
      <w:r w:rsidRPr="00B6196A">
        <w:rPr>
          <w:highlight w:val="yellow"/>
        </w:rPr>
        <w:tab/>
      </w:r>
      <w:r w:rsidR="00AE27BB" w:rsidRPr="00B6196A">
        <w:rPr>
          <w:noProof/>
          <w:highlight w:val="yellow"/>
          <w:lang w:val="en-IE" w:eastAsia="en-GB"/>
        </w:rPr>
        <w:t xml:space="preserve">offer the collection of </w:t>
      </w:r>
      <w:r w:rsidR="00F43CEA" w:rsidRPr="00B6196A">
        <w:rPr>
          <w:noProof/>
          <w:highlight w:val="yellow"/>
          <w:lang w:val="en-IE" w:eastAsia="en-GB"/>
        </w:rPr>
        <w:t xml:space="preserve">such </w:t>
      </w:r>
      <w:r w:rsidR="00AE27BB" w:rsidRPr="00B6196A">
        <w:rPr>
          <w:noProof/>
          <w:highlight w:val="yellow"/>
          <w:lang w:val="en-IE" w:eastAsia="en-GB"/>
        </w:rPr>
        <w:t>used and waste textile</w:t>
      </w:r>
      <w:r w:rsidR="33D39010" w:rsidRPr="00B6196A">
        <w:rPr>
          <w:noProof/>
          <w:highlight w:val="yellow"/>
          <w:lang w:val="en-IE" w:eastAsia="en-GB"/>
        </w:rPr>
        <w:t>, textile-related</w:t>
      </w:r>
      <w:r w:rsidR="00AE27BB" w:rsidRPr="00B6196A">
        <w:rPr>
          <w:noProof/>
          <w:highlight w:val="yellow"/>
          <w:lang w:val="en-IE" w:eastAsia="en-GB"/>
        </w:rPr>
        <w:t xml:space="preserve"> and footwear products to the entities referred to in paragraph 6, point a, and provide for the necessary practical arrangements for collection and transport of </w:t>
      </w:r>
      <w:r w:rsidR="00F43CEA" w:rsidRPr="00B6196A">
        <w:rPr>
          <w:noProof/>
          <w:highlight w:val="yellow"/>
          <w:lang w:val="en-IE" w:eastAsia="en-GB"/>
        </w:rPr>
        <w:t xml:space="preserve">such </w:t>
      </w:r>
      <w:r w:rsidR="00AE27BB" w:rsidRPr="00B6196A">
        <w:rPr>
          <w:noProof/>
          <w:highlight w:val="yellow"/>
          <w:lang w:val="en-IE" w:eastAsia="en-GB"/>
        </w:rPr>
        <w:t>used and waste textile</w:t>
      </w:r>
      <w:r w:rsidR="11FE1F0D" w:rsidRPr="00B6196A">
        <w:rPr>
          <w:noProof/>
          <w:highlight w:val="yellow"/>
          <w:lang w:val="en-IE" w:eastAsia="en-GB"/>
        </w:rPr>
        <w:t>, textile-related</w:t>
      </w:r>
      <w:r w:rsidR="00AE27BB" w:rsidRPr="00B6196A">
        <w:rPr>
          <w:noProof/>
          <w:highlight w:val="yellow"/>
          <w:lang w:val="en-IE" w:eastAsia="en-GB"/>
        </w:rPr>
        <w:t xml:space="preserve"> and footwear products, including the provision, free of charge, of suitable collection and transport containers to the connected collection points (“connected collection points”);</w:t>
      </w:r>
    </w:p>
    <w:p w14:paraId="6819E99E" w14:textId="5A71F8E9" w:rsidR="00AE27BB" w:rsidRPr="00B6196A" w:rsidRDefault="00384B96" w:rsidP="00384B96">
      <w:pPr>
        <w:pStyle w:val="Point1"/>
        <w:rPr>
          <w:noProof/>
          <w:highlight w:val="yellow"/>
          <w:lang w:val="en-IE" w:eastAsia="en-GB"/>
        </w:rPr>
      </w:pPr>
      <w:r w:rsidRPr="00B6196A">
        <w:rPr>
          <w:highlight w:val="yellow"/>
        </w:rPr>
        <w:t>(b)</w:t>
      </w:r>
      <w:r w:rsidRPr="00B6196A">
        <w:rPr>
          <w:highlight w:val="yellow"/>
        </w:rPr>
        <w:tab/>
      </w:r>
      <w:r w:rsidR="00AE27BB" w:rsidRPr="00B6196A">
        <w:rPr>
          <w:noProof/>
          <w:highlight w:val="yellow"/>
          <w:lang w:val="en-IE" w:eastAsia="en-GB"/>
        </w:rPr>
        <w:t xml:space="preserve">ensure the collection, free of charge, of </w:t>
      </w:r>
      <w:r w:rsidR="00F43CEA" w:rsidRPr="00B6196A">
        <w:rPr>
          <w:noProof/>
          <w:highlight w:val="yellow"/>
          <w:lang w:val="en-IE" w:eastAsia="en-GB"/>
        </w:rPr>
        <w:t xml:space="preserve">such </w:t>
      </w:r>
      <w:r w:rsidR="00AE27BB" w:rsidRPr="00B6196A">
        <w:rPr>
          <w:noProof/>
          <w:highlight w:val="yellow"/>
          <w:lang w:val="en-IE" w:eastAsia="en-GB"/>
        </w:rPr>
        <w:t>used and waste textile</w:t>
      </w:r>
      <w:r w:rsidR="6C6B2395" w:rsidRPr="00B6196A">
        <w:rPr>
          <w:noProof/>
          <w:highlight w:val="yellow"/>
          <w:lang w:val="en-IE" w:eastAsia="en-GB"/>
        </w:rPr>
        <w:t>, textile-related</w:t>
      </w:r>
      <w:r w:rsidR="00AE27BB" w:rsidRPr="00B6196A">
        <w:rPr>
          <w:noProof/>
          <w:highlight w:val="yellow"/>
          <w:lang w:val="en-IE" w:eastAsia="en-GB"/>
        </w:rPr>
        <w:t xml:space="preserve"> and footwear products collected </w:t>
      </w:r>
      <w:r w:rsidR="67464253" w:rsidRPr="00B6196A">
        <w:rPr>
          <w:noProof/>
          <w:highlight w:val="yellow"/>
          <w:lang w:val="en-IE" w:eastAsia="en-GB"/>
        </w:rPr>
        <w:t xml:space="preserve">at </w:t>
      </w:r>
      <w:r w:rsidR="00AE27BB" w:rsidRPr="00B6196A">
        <w:rPr>
          <w:noProof/>
          <w:highlight w:val="yellow"/>
          <w:lang w:val="en-IE" w:eastAsia="en-GB"/>
        </w:rPr>
        <w:t xml:space="preserve">the connected collection points, with a frequency that is proportionate to the area covered and the volume of </w:t>
      </w:r>
      <w:r w:rsidR="00F43CEA" w:rsidRPr="00B6196A">
        <w:rPr>
          <w:noProof/>
          <w:highlight w:val="yellow"/>
          <w:lang w:val="en-IE" w:eastAsia="en-GB"/>
        </w:rPr>
        <w:t xml:space="preserve">such </w:t>
      </w:r>
      <w:r w:rsidR="00AE27BB" w:rsidRPr="00B6196A">
        <w:rPr>
          <w:noProof/>
          <w:highlight w:val="yellow"/>
          <w:lang w:val="en-IE" w:eastAsia="en-GB"/>
        </w:rPr>
        <w:t>used and waste textile and footwear products usually collected through those collection points;</w:t>
      </w:r>
    </w:p>
    <w:p w14:paraId="452432C2" w14:textId="6DC5DB10" w:rsidR="00AE27BB" w:rsidRPr="00B6196A" w:rsidRDefault="00384B96" w:rsidP="00384B96">
      <w:pPr>
        <w:pStyle w:val="Point1"/>
        <w:rPr>
          <w:noProof/>
          <w:highlight w:val="yellow"/>
          <w:lang w:val="en-IE" w:eastAsia="en-GB"/>
        </w:rPr>
      </w:pPr>
      <w:r w:rsidRPr="00B6196A">
        <w:rPr>
          <w:highlight w:val="yellow"/>
        </w:rPr>
        <w:t>(c)</w:t>
      </w:r>
      <w:r w:rsidRPr="00B6196A">
        <w:rPr>
          <w:highlight w:val="yellow"/>
        </w:rPr>
        <w:tab/>
      </w:r>
      <w:r w:rsidR="00AE27BB" w:rsidRPr="00B6196A">
        <w:rPr>
          <w:noProof/>
          <w:highlight w:val="yellow"/>
          <w:lang w:val="en-IE" w:eastAsia="en-GB"/>
        </w:rPr>
        <w:t xml:space="preserve">ensure the collection, free of charge, of waste </w:t>
      </w:r>
      <w:r w:rsidR="00E75DCF" w:rsidRPr="00B6196A">
        <w:rPr>
          <w:noProof/>
          <w:highlight w:val="yellow"/>
          <w:lang w:val="en-IE" w:eastAsia="en-GB"/>
        </w:rPr>
        <w:t>generated</w:t>
      </w:r>
      <w:r w:rsidR="00AE27BB" w:rsidRPr="00B6196A">
        <w:rPr>
          <w:noProof/>
          <w:highlight w:val="yellow"/>
          <w:lang w:val="en-IE" w:eastAsia="en-GB"/>
        </w:rPr>
        <w:t xml:space="preserve"> by social enterprises and other non-waste operators </w:t>
      </w:r>
      <w:r w:rsidR="00F05A19" w:rsidRPr="00B6196A">
        <w:rPr>
          <w:noProof/>
          <w:highlight w:val="yellow"/>
          <w:lang w:val="en-IE" w:eastAsia="en-GB"/>
        </w:rPr>
        <w:t xml:space="preserve">from </w:t>
      </w:r>
      <w:r w:rsidR="00F43CEA" w:rsidRPr="00B6196A">
        <w:rPr>
          <w:noProof/>
          <w:highlight w:val="yellow"/>
          <w:lang w:val="en-IE" w:eastAsia="en-GB"/>
        </w:rPr>
        <w:t xml:space="preserve">such </w:t>
      </w:r>
      <w:r w:rsidR="00AE27BB" w:rsidRPr="00B6196A">
        <w:rPr>
          <w:noProof/>
          <w:highlight w:val="yellow"/>
          <w:lang w:val="en-IE" w:eastAsia="en-GB"/>
        </w:rPr>
        <w:t>textile</w:t>
      </w:r>
      <w:r w:rsidR="7EA47FFA" w:rsidRPr="00B6196A">
        <w:rPr>
          <w:noProof/>
          <w:highlight w:val="yellow"/>
          <w:lang w:val="en-IE" w:eastAsia="en-GB"/>
        </w:rPr>
        <w:t>, textile-related</w:t>
      </w:r>
      <w:r w:rsidR="00AE27BB" w:rsidRPr="00B6196A">
        <w:rPr>
          <w:noProof/>
          <w:highlight w:val="yellow"/>
          <w:lang w:val="en-IE" w:eastAsia="en-GB"/>
        </w:rPr>
        <w:t xml:space="preserve"> and footwear products collected </w:t>
      </w:r>
      <w:r w:rsidR="00BC548E" w:rsidRPr="00B6196A">
        <w:rPr>
          <w:noProof/>
          <w:highlight w:val="yellow"/>
          <w:lang w:val="en-IE" w:eastAsia="en-GB"/>
        </w:rPr>
        <w:t xml:space="preserve">through </w:t>
      </w:r>
      <w:r w:rsidR="00AE27BB" w:rsidRPr="00B6196A">
        <w:rPr>
          <w:noProof/>
          <w:highlight w:val="yellow"/>
          <w:lang w:val="en-IE" w:eastAsia="en-GB"/>
        </w:rPr>
        <w:t xml:space="preserve">the connected collection points. </w:t>
      </w:r>
    </w:p>
    <w:p w14:paraId="18BC0695" w14:textId="77777777" w:rsidR="0CD8ECB9" w:rsidRPr="00B6196A" w:rsidRDefault="0CD8ECB9" w:rsidP="00F25D30">
      <w:pPr>
        <w:pStyle w:val="Text1"/>
        <w:rPr>
          <w:noProof/>
          <w:highlight w:val="yellow"/>
          <w:lang w:val="en-IE"/>
        </w:rPr>
      </w:pPr>
      <w:r w:rsidRPr="00B6196A">
        <w:rPr>
          <w:noProof/>
          <w:highlight w:val="yellow"/>
          <w:lang w:val="en-IE" w:eastAsia="en-GB"/>
        </w:rPr>
        <w:t>Any coordination among producer responsibility organisations remains subject to Union competition rules.</w:t>
      </w:r>
    </w:p>
    <w:p w14:paraId="00554E43" w14:textId="6077C4CD" w:rsidR="00AE27BB" w:rsidRPr="00B6196A" w:rsidRDefault="00384B96" w:rsidP="00384B96">
      <w:pPr>
        <w:pStyle w:val="ManualNumPar1"/>
        <w:rPr>
          <w:noProof/>
          <w:highlight w:val="yellow"/>
          <w:lang w:val="en-IE"/>
        </w:rPr>
      </w:pPr>
      <w:r w:rsidRPr="00B6196A">
        <w:rPr>
          <w:highlight w:val="yellow"/>
        </w:rPr>
        <w:t>6.</w:t>
      </w:r>
      <w:r w:rsidRPr="00B6196A">
        <w:rPr>
          <w:highlight w:val="yellow"/>
        </w:rPr>
        <w:tab/>
      </w:r>
      <w:r w:rsidR="115B15A6" w:rsidRPr="00B6196A">
        <w:rPr>
          <w:noProof/>
          <w:highlight w:val="yellow"/>
          <w:lang w:val="en-IE"/>
        </w:rPr>
        <w:t xml:space="preserve">Member States shall ensure that the collection system </w:t>
      </w:r>
      <w:r w:rsidR="31796618" w:rsidRPr="00B6196A">
        <w:rPr>
          <w:noProof/>
          <w:highlight w:val="yellow"/>
          <w:lang w:val="en-IE"/>
        </w:rPr>
        <w:t>referred to in paragraph 5</w:t>
      </w:r>
      <w:r w:rsidR="00AE27BB" w:rsidRPr="00B6196A">
        <w:rPr>
          <w:noProof/>
          <w:highlight w:val="yellow"/>
          <w:lang w:val="en-IE"/>
        </w:rPr>
        <w:t>:</w:t>
      </w:r>
    </w:p>
    <w:p w14:paraId="63A8026E" w14:textId="059C83C5" w:rsidR="00AE27BB" w:rsidRPr="00B6196A" w:rsidRDefault="00384B96" w:rsidP="00384B96">
      <w:pPr>
        <w:pStyle w:val="Point1"/>
        <w:rPr>
          <w:noProof/>
          <w:highlight w:val="yellow"/>
          <w:lang w:val="en-IE" w:eastAsia="en-GB"/>
        </w:rPr>
      </w:pPr>
      <w:r w:rsidRPr="00B6196A">
        <w:rPr>
          <w:highlight w:val="yellow"/>
        </w:rPr>
        <w:lastRenderedPageBreak/>
        <w:t>(a)</w:t>
      </w:r>
      <w:r w:rsidRPr="00B6196A">
        <w:rPr>
          <w:highlight w:val="yellow"/>
        </w:rPr>
        <w:tab/>
      </w:r>
      <w:r w:rsidR="00AE27BB" w:rsidRPr="00B6196A">
        <w:rPr>
          <w:noProof/>
          <w:highlight w:val="yellow"/>
          <w:lang w:val="en-IE" w:eastAsia="en-GB"/>
        </w:rPr>
        <w:t xml:space="preserve">consists of collection points set up by </w:t>
      </w:r>
      <w:r w:rsidR="1CB8F18E" w:rsidRPr="00B6196A">
        <w:rPr>
          <w:noProof/>
          <w:highlight w:val="yellow"/>
          <w:lang w:val="en-IE" w:eastAsia="en-GB"/>
        </w:rPr>
        <w:t>the producer responsibility organisations</w:t>
      </w:r>
      <w:r w:rsidR="07430E90" w:rsidRPr="00B6196A">
        <w:rPr>
          <w:noProof/>
          <w:highlight w:val="yellow"/>
          <w:lang w:val="en-IE" w:eastAsia="en-GB"/>
        </w:rPr>
        <w:t xml:space="preserve"> and waste management operators on their behalf</w:t>
      </w:r>
      <w:r w:rsidR="1CB8F18E" w:rsidRPr="00B6196A">
        <w:rPr>
          <w:noProof/>
          <w:highlight w:val="yellow"/>
          <w:lang w:val="en-IE" w:eastAsia="en-GB"/>
        </w:rPr>
        <w:t xml:space="preserve"> </w:t>
      </w:r>
      <w:r w:rsidR="00AE27BB" w:rsidRPr="00B6196A">
        <w:rPr>
          <w:noProof/>
          <w:highlight w:val="yellow"/>
          <w:lang w:val="en-IE" w:eastAsia="en-GB"/>
        </w:rPr>
        <w:t>in cooperation with one or more of the following: social enterprises</w:t>
      </w:r>
      <w:r w:rsidR="00BF4E20" w:rsidRPr="00B6196A">
        <w:rPr>
          <w:noProof/>
          <w:highlight w:val="yellow"/>
          <w:lang w:val="en-IE" w:eastAsia="en-GB"/>
        </w:rPr>
        <w:t xml:space="preserve"> and social economy entities</w:t>
      </w:r>
      <w:r w:rsidR="00AE27BB" w:rsidRPr="00B6196A">
        <w:rPr>
          <w:noProof/>
          <w:highlight w:val="yellow"/>
          <w:lang w:val="en-IE" w:eastAsia="en-GB"/>
        </w:rPr>
        <w:t>, distributors, public authorities or third parties carrying out collection on their behalf of used and waste textile</w:t>
      </w:r>
      <w:r w:rsidR="10847D2E" w:rsidRPr="00B6196A">
        <w:rPr>
          <w:noProof/>
          <w:highlight w:val="yellow"/>
          <w:lang w:val="en-IE"/>
        </w:rPr>
        <w:t>, textile-related</w:t>
      </w:r>
      <w:r w:rsidR="00AE27BB" w:rsidRPr="00B6196A">
        <w:rPr>
          <w:noProof/>
          <w:highlight w:val="yellow"/>
          <w:lang w:val="en-IE" w:eastAsia="en-GB"/>
        </w:rPr>
        <w:t xml:space="preserve"> and footwear products listed in Annex IVc, </w:t>
      </w:r>
      <w:r w:rsidR="01527EDA" w:rsidRPr="00B6196A">
        <w:rPr>
          <w:noProof/>
          <w:highlight w:val="yellow"/>
          <w:lang w:val="en-IE" w:eastAsia="en-GB"/>
        </w:rPr>
        <w:t xml:space="preserve">and other </w:t>
      </w:r>
      <w:r w:rsidR="00AE27BB" w:rsidRPr="00B6196A">
        <w:rPr>
          <w:noProof/>
          <w:highlight w:val="yellow"/>
          <w:lang w:val="en-IE" w:eastAsia="en-GB"/>
        </w:rPr>
        <w:t>voluntary collection points;</w:t>
      </w:r>
    </w:p>
    <w:p w14:paraId="3F72289A" w14:textId="6C9AB19B" w:rsidR="00AE27BB" w:rsidRPr="00B6196A" w:rsidRDefault="00384B96" w:rsidP="00384B96">
      <w:pPr>
        <w:pStyle w:val="Point1"/>
        <w:rPr>
          <w:noProof/>
          <w:highlight w:val="yellow"/>
          <w:lang w:val="en-IE" w:eastAsia="en-GB"/>
        </w:rPr>
      </w:pPr>
      <w:r w:rsidRPr="00B6196A">
        <w:rPr>
          <w:highlight w:val="yellow"/>
        </w:rPr>
        <w:t>(b)</w:t>
      </w:r>
      <w:r w:rsidRPr="00B6196A">
        <w:rPr>
          <w:highlight w:val="yellow"/>
        </w:rPr>
        <w:tab/>
      </w:r>
      <w:r w:rsidR="00AE27BB" w:rsidRPr="00B6196A">
        <w:rPr>
          <w:noProof/>
          <w:highlight w:val="yellow"/>
          <w:lang w:val="en-IE" w:eastAsia="en-GB"/>
        </w:rPr>
        <w:t xml:space="preserve">covers the whole territory of the Member State taking into account population size and density, expected volume of used and waste </w:t>
      </w:r>
      <w:r w:rsidR="78D398FA" w:rsidRPr="00B6196A">
        <w:rPr>
          <w:noProof/>
          <w:highlight w:val="yellow"/>
          <w:lang w:val="en-IE" w:eastAsia="en-GB"/>
        </w:rPr>
        <w:t>textile, textile-related and footwear products listed in Annex IVc</w:t>
      </w:r>
      <w:r w:rsidR="00AE27BB" w:rsidRPr="00B6196A">
        <w:rPr>
          <w:noProof/>
          <w:highlight w:val="yellow"/>
          <w:lang w:val="en-IE" w:eastAsia="en-GB"/>
        </w:rPr>
        <w:t>, accessibility and vicinity to end-users, not being limited to areas where the collection and subsequent management of those products is profitable</w:t>
      </w:r>
      <w:r w:rsidR="0090310E" w:rsidRPr="00B6196A">
        <w:rPr>
          <w:noProof/>
          <w:highlight w:val="yellow"/>
          <w:lang w:val="en-IE" w:eastAsia="en-GB"/>
        </w:rPr>
        <w:t>;</w:t>
      </w:r>
    </w:p>
    <w:p w14:paraId="198C80BA" w14:textId="7AAA26AD" w:rsidR="0090310E" w:rsidRPr="00B6196A" w:rsidRDefault="00384B96" w:rsidP="00384B96">
      <w:pPr>
        <w:pStyle w:val="Point1"/>
        <w:rPr>
          <w:noProof/>
          <w:highlight w:val="yellow"/>
          <w:lang w:val="en-IE" w:eastAsia="en-GB"/>
        </w:rPr>
      </w:pPr>
      <w:r w:rsidRPr="00B6196A">
        <w:rPr>
          <w:highlight w:val="yellow"/>
        </w:rPr>
        <w:t>(c)</w:t>
      </w:r>
      <w:r w:rsidRPr="00B6196A">
        <w:rPr>
          <w:highlight w:val="yellow"/>
        </w:rPr>
        <w:tab/>
      </w:r>
      <w:r w:rsidR="00E92CFE" w:rsidRPr="00B6196A">
        <w:rPr>
          <w:noProof/>
          <w:highlight w:val="yellow"/>
          <w:lang w:val="en-IE" w:eastAsia="en-GB"/>
        </w:rPr>
        <w:t>maintains a sustained increase of the separate collection rate to achieve technically feasible levels taking into account good practices</w:t>
      </w:r>
      <w:r w:rsidR="0090310E" w:rsidRPr="00B6196A">
        <w:rPr>
          <w:noProof/>
          <w:highlight w:val="yellow"/>
          <w:lang w:val="en-IE" w:eastAsia="en-GB"/>
        </w:rPr>
        <w:t>.</w:t>
      </w:r>
    </w:p>
    <w:p w14:paraId="3E331ECF" w14:textId="350E24E5" w:rsidR="00AE27BB" w:rsidRPr="00B6196A" w:rsidRDefault="00384B96" w:rsidP="00384B96">
      <w:pPr>
        <w:pStyle w:val="ManualNumPar1"/>
        <w:rPr>
          <w:noProof/>
          <w:highlight w:val="yellow"/>
          <w:lang w:val="en-IE"/>
        </w:rPr>
      </w:pPr>
      <w:r w:rsidRPr="00B6196A">
        <w:rPr>
          <w:highlight w:val="yellow"/>
        </w:rPr>
        <w:t>7.</w:t>
      </w:r>
      <w:r w:rsidRPr="00B6196A">
        <w:rPr>
          <w:highlight w:val="yellow"/>
        </w:rPr>
        <w:tab/>
      </w:r>
      <w:r w:rsidR="14882543" w:rsidRPr="00B6196A">
        <w:rPr>
          <w:noProof/>
          <w:highlight w:val="yellow"/>
          <w:lang w:val="en-IE"/>
        </w:rPr>
        <w:t>Member States shall ensure that the collection rate referred to in paragraph 6, point (c) is calculated in accordance with paragraph</w:t>
      </w:r>
      <w:r w:rsidR="4685637B" w:rsidRPr="00B6196A">
        <w:rPr>
          <w:noProof/>
          <w:highlight w:val="yellow"/>
          <w:lang w:val="en-IE"/>
        </w:rPr>
        <w:t>s</w:t>
      </w:r>
      <w:r w:rsidR="14882543" w:rsidRPr="00B6196A">
        <w:rPr>
          <w:noProof/>
          <w:highlight w:val="yellow"/>
          <w:lang w:val="en-IE"/>
        </w:rPr>
        <w:t xml:space="preserve"> 8 and 9</w:t>
      </w:r>
      <w:r w:rsidR="00AE27BB" w:rsidRPr="00B6196A">
        <w:rPr>
          <w:noProof/>
          <w:highlight w:val="yellow"/>
          <w:lang w:val="en-IE"/>
        </w:rPr>
        <w:t xml:space="preserve">. </w:t>
      </w:r>
    </w:p>
    <w:p w14:paraId="4A31D0BA" w14:textId="56F2A0C2" w:rsidR="00AE27BB" w:rsidRPr="00B6196A" w:rsidRDefault="00384B96" w:rsidP="00384B96">
      <w:pPr>
        <w:pStyle w:val="ManualNumPar1"/>
        <w:rPr>
          <w:noProof/>
          <w:highlight w:val="yellow"/>
          <w:lang w:val="en-IE"/>
        </w:rPr>
      </w:pPr>
      <w:r w:rsidRPr="00B6196A">
        <w:rPr>
          <w:highlight w:val="yellow"/>
        </w:rPr>
        <w:t>8.</w:t>
      </w:r>
      <w:r w:rsidRPr="00B6196A">
        <w:rPr>
          <w:highlight w:val="yellow"/>
        </w:rPr>
        <w:tab/>
      </w:r>
      <w:r w:rsidR="00AE27BB" w:rsidRPr="00B6196A">
        <w:rPr>
          <w:noProof/>
          <w:highlight w:val="yellow"/>
          <w:lang w:val="en-IE"/>
        </w:rPr>
        <w:t>The separate collection rate referred to in paragraph 6, point (c) shall be calculated as the percentage obtained by dividing the weight of waste textile</w:t>
      </w:r>
      <w:r w:rsidR="71AB0044" w:rsidRPr="00B6196A">
        <w:rPr>
          <w:noProof/>
          <w:highlight w:val="yellow"/>
          <w:lang w:val="en-IE"/>
        </w:rPr>
        <w:t>, textile-related</w:t>
      </w:r>
      <w:r w:rsidR="00AE27BB" w:rsidRPr="00B6196A">
        <w:rPr>
          <w:noProof/>
          <w:highlight w:val="yellow"/>
          <w:lang w:val="en-IE"/>
        </w:rPr>
        <w:t xml:space="preserve"> and footwear products listed in Annex IVc collected in accordance with paragraph 5 in a given calendar year in a Member State by the weight of such waste textile</w:t>
      </w:r>
      <w:r w:rsidR="59E227C7" w:rsidRPr="00B6196A">
        <w:rPr>
          <w:noProof/>
          <w:highlight w:val="yellow"/>
          <w:lang w:val="en-IE"/>
        </w:rPr>
        <w:t>, textile-related</w:t>
      </w:r>
      <w:r w:rsidR="00AE27BB" w:rsidRPr="00B6196A">
        <w:rPr>
          <w:noProof/>
          <w:highlight w:val="yellow"/>
          <w:lang w:val="en-IE"/>
        </w:rPr>
        <w:t xml:space="preserve"> and footwear products that is generated and collected as mixed municipal waste. </w:t>
      </w:r>
    </w:p>
    <w:p w14:paraId="74214E21" w14:textId="756FA3FA" w:rsidR="00AE27BB" w:rsidRPr="00B6196A" w:rsidRDefault="00384B96" w:rsidP="00384B96">
      <w:pPr>
        <w:pStyle w:val="ManualNumPar1"/>
        <w:rPr>
          <w:noProof/>
          <w:highlight w:val="yellow"/>
          <w:lang w:val="en-IE"/>
        </w:rPr>
      </w:pPr>
      <w:r w:rsidRPr="00B6196A">
        <w:rPr>
          <w:highlight w:val="yellow"/>
        </w:rPr>
        <w:t>9.</w:t>
      </w:r>
      <w:r w:rsidRPr="00B6196A">
        <w:rPr>
          <w:highlight w:val="yellow"/>
        </w:rPr>
        <w:tab/>
      </w:r>
      <w:r w:rsidR="00AE27BB" w:rsidRPr="00B6196A">
        <w:rPr>
          <w:noProof/>
          <w:highlight w:val="yellow"/>
          <w:lang w:val="en-IE"/>
        </w:rPr>
        <w:t>The Commission shall adopt implementing act</w:t>
      </w:r>
      <w:r w:rsidR="76F26C75" w:rsidRPr="00B6196A">
        <w:rPr>
          <w:noProof/>
          <w:highlight w:val="yellow"/>
          <w:lang w:val="en-IE"/>
        </w:rPr>
        <w:t>s</w:t>
      </w:r>
      <w:r w:rsidR="00AE27BB" w:rsidRPr="00B6196A">
        <w:rPr>
          <w:noProof/>
          <w:highlight w:val="yellow"/>
          <w:lang w:val="en-IE"/>
        </w:rPr>
        <w:t xml:space="preserve"> laying down the methodology for the calculation and verification of the separate collection </w:t>
      </w:r>
      <w:r w:rsidR="5F0AB82D" w:rsidRPr="00B6196A">
        <w:rPr>
          <w:noProof/>
          <w:highlight w:val="yellow"/>
          <w:lang w:val="en-IE"/>
        </w:rPr>
        <w:t>rate referred to</w:t>
      </w:r>
      <w:r w:rsidR="00AE27BB" w:rsidRPr="00B6196A">
        <w:rPr>
          <w:noProof/>
          <w:highlight w:val="yellow"/>
          <w:lang w:val="en-IE"/>
        </w:rPr>
        <w:t xml:space="preserve"> in paragraph 6, point (c) of this Article. That implementing act shall be adopted in accordance with the examination procedure referred to in Article 39(2). </w:t>
      </w:r>
    </w:p>
    <w:p w14:paraId="3CBF2AAB" w14:textId="478C88F9" w:rsidR="00AE27BB" w:rsidRPr="00B6196A" w:rsidRDefault="00384B96" w:rsidP="00384B96">
      <w:pPr>
        <w:pStyle w:val="ManualNumPar1"/>
        <w:rPr>
          <w:noProof/>
          <w:highlight w:val="yellow"/>
          <w:lang w:val="en-IE"/>
        </w:rPr>
      </w:pPr>
      <w:bookmarkStart w:id="3" w:name="_Hlk137051126"/>
      <w:r w:rsidRPr="00B6196A">
        <w:rPr>
          <w:highlight w:val="yellow"/>
        </w:rPr>
        <w:t>10.</w:t>
      </w:r>
      <w:r w:rsidRPr="00B6196A">
        <w:rPr>
          <w:highlight w:val="yellow"/>
        </w:rPr>
        <w:tab/>
      </w:r>
      <w:r w:rsidR="43C5888F" w:rsidRPr="00B6196A">
        <w:rPr>
          <w:noProof/>
          <w:highlight w:val="yellow"/>
          <w:lang w:val="en-IE"/>
        </w:rPr>
        <w:t>Member States shall ensure that p</w:t>
      </w:r>
      <w:r w:rsidR="00682243" w:rsidRPr="00B6196A">
        <w:rPr>
          <w:noProof/>
          <w:highlight w:val="yellow"/>
          <w:lang w:val="en-IE"/>
        </w:rPr>
        <w:t xml:space="preserve">roducer responsibility organisations </w:t>
      </w:r>
      <w:r w:rsidR="130C0E73" w:rsidRPr="00B6196A">
        <w:rPr>
          <w:noProof/>
          <w:highlight w:val="yellow"/>
          <w:lang w:val="en-IE"/>
        </w:rPr>
        <w:t>are</w:t>
      </w:r>
      <w:r w:rsidR="00682243" w:rsidRPr="00B6196A">
        <w:rPr>
          <w:noProof/>
          <w:highlight w:val="yellow"/>
          <w:lang w:val="en-IE"/>
        </w:rPr>
        <w:t xml:space="preserve"> not allowed to </w:t>
      </w:r>
      <w:r w:rsidR="00601DBE" w:rsidRPr="00B6196A">
        <w:rPr>
          <w:noProof/>
          <w:highlight w:val="yellow"/>
          <w:lang w:val="en-IE"/>
        </w:rPr>
        <w:t>refuse the participation of social enterprises and other re-use operators in the separate collection system esta</w:t>
      </w:r>
      <w:r w:rsidR="798D1BC4" w:rsidRPr="00B6196A">
        <w:rPr>
          <w:noProof/>
          <w:highlight w:val="yellow"/>
          <w:lang w:val="en-IE"/>
        </w:rPr>
        <w:t>b</w:t>
      </w:r>
      <w:r w:rsidR="00601DBE" w:rsidRPr="00B6196A">
        <w:rPr>
          <w:noProof/>
          <w:highlight w:val="yellow"/>
          <w:lang w:val="en-IE"/>
        </w:rPr>
        <w:t xml:space="preserve">lished pursuant to paragraph 5. </w:t>
      </w:r>
    </w:p>
    <w:p w14:paraId="0CD4C481" w14:textId="26CAA79A" w:rsidR="00AE27BB" w:rsidRPr="00B6196A" w:rsidRDefault="00384B96" w:rsidP="00384B96">
      <w:pPr>
        <w:pStyle w:val="ManualNumPar1"/>
        <w:rPr>
          <w:noProof/>
          <w:highlight w:val="yellow"/>
          <w:lang w:val="en-IE"/>
        </w:rPr>
      </w:pPr>
      <w:r w:rsidRPr="00B6196A">
        <w:rPr>
          <w:highlight w:val="yellow"/>
        </w:rPr>
        <w:t>11.</w:t>
      </w:r>
      <w:r w:rsidRPr="00B6196A">
        <w:rPr>
          <w:highlight w:val="yellow"/>
        </w:rPr>
        <w:tab/>
      </w:r>
      <w:r w:rsidR="00AE27BB" w:rsidRPr="00B6196A">
        <w:rPr>
          <w:noProof/>
          <w:highlight w:val="yellow"/>
          <w:lang w:val="en-IE"/>
        </w:rPr>
        <w:t>Without prejudice to paragraph 5, points (a) and (b)</w:t>
      </w:r>
      <w:r w:rsidR="002D162B" w:rsidRPr="00B6196A">
        <w:rPr>
          <w:noProof/>
          <w:highlight w:val="yellow"/>
          <w:lang w:val="en-IE"/>
        </w:rPr>
        <w:t>,</w:t>
      </w:r>
      <w:r w:rsidR="00AE27BB" w:rsidRPr="00B6196A">
        <w:rPr>
          <w:noProof/>
          <w:highlight w:val="yellow"/>
          <w:lang w:val="en-IE"/>
        </w:rPr>
        <w:t xml:space="preserve"> and </w:t>
      </w:r>
      <w:r w:rsidR="06FE0314" w:rsidRPr="00B6196A">
        <w:rPr>
          <w:noProof/>
          <w:highlight w:val="yellow"/>
          <w:lang w:val="en-IE"/>
        </w:rPr>
        <w:t xml:space="preserve">paragraph </w:t>
      </w:r>
      <w:r w:rsidR="00AE27BB" w:rsidRPr="00B6196A">
        <w:rPr>
          <w:noProof/>
          <w:highlight w:val="yellow"/>
          <w:lang w:val="en-IE"/>
        </w:rPr>
        <w:t xml:space="preserve">6, point (a), Member States shall ensure that social enterprises are allowed to maintain and operate their own separate collection points and that they are given equal or preferential treatment in the location of the separate collection points. </w:t>
      </w:r>
      <w:r w:rsidR="4EF1D20E" w:rsidRPr="00B6196A">
        <w:rPr>
          <w:noProof/>
          <w:highlight w:val="yellow"/>
          <w:lang w:val="en-IE"/>
        </w:rPr>
        <w:t>Member States shall ensure that s</w:t>
      </w:r>
      <w:r w:rsidR="00AE27BB" w:rsidRPr="00B6196A">
        <w:rPr>
          <w:noProof/>
          <w:highlight w:val="yellow"/>
          <w:lang w:val="en-IE"/>
        </w:rPr>
        <w:t>ocial enterprises</w:t>
      </w:r>
      <w:r w:rsidR="00BF4E20" w:rsidRPr="00B6196A">
        <w:rPr>
          <w:noProof/>
          <w:highlight w:val="yellow"/>
          <w:lang w:val="en-IE"/>
        </w:rPr>
        <w:t xml:space="preserve"> and social economy entities</w:t>
      </w:r>
      <w:r w:rsidR="00AE27BB" w:rsidRPr="00B6196A">
        <w:rPr>
          <w:noProof/>
          <w:highlight w:val="yellow"/>
          <w:lang w:val="en-IE"/>
        </w:rPr>
        <w:t xml:space="preserve"> </w:t>
      </w:r>
      <w:r w:rsidR="4A01AF42" w:rsidRPr="00B6196A">
        <w:rPr>
          <w:noProof/>
          <w:highlight w:val="yellow"/>
          <w:lang w:val="en-IE"/>
        </w:rPr>
        <w:t xml:space="preserve">that are part of the connected collection points in accordance with </w:t>
      </w:r>
      <w:r w:rsidR="00AE27BB" w:rsidRPr="00B6196A">
        <w:rPr>
          <w:noProof/>
          <w:highlight w:val="yellow"/>
          <w:lang w:val="en-IE"/>
        </w:rPr>
        <w:t xml:space="preserve">paragraph 6, point (a) </w:t>
      </w:r>
      <w:r w:rsidR="2073AAA5" w:rsidRPr="00B6196A">
        <w:rPr>
          <w:noProof/>
          <w:highlight w:val="yellow"/>
          <w:lang w:val="en-IE"/>
        </w:rPr>
        <w:t xml:space="preserve">are </w:t>
      </w:r>
      <w:r w:rsidR="00AE27BB" w:rsidRPr="00B6196A">
        <w:rPr>
          <w:noProof/>
          <w:highlight w:val="yellow"/>
          <w:lang w:val="en-IE"/>
        </w:rPr>
        <w:t>not required to hand over collected used and waste textiles</w:t>
      </w:r>
      <w:r w:rsidR="3809887D" w:rsidRPr="00B6196A">
        <w:rPr>
          <w:noProof/>
          <w:highlight w:val="yellow"/>
          <w:lang w:val="en-IE"/>
        </w:rPr>
        <w:t>, textile-related</w:t>
      </w:r>
      <w:r w:rsidR="00AE27BB" w:rsidRPr="00B6196A">
        <w:rPr>
          <w:noProof/>
          <w:highlight w:val="yellow"/>
          <w:lang w:val="en-IE"/>
        </w:rPr>
        <w:t xml:space="preserve"> and footwear products </w:t>
      </w:r>
      <w:r w:rsidR="06A923B2" w:rsidRPr="00B6196A">
        <w:rPr>
          <w:noProof/>
          <w:highlight w:val="yellow"/>
          <w:lang w:val="en-IE"/>
        </w:rPr>
        <w:t xml:space="preserve">listed in Annex IVc </w:t>
      </w:r>
      <w:r w:rsidR="00AE27BB" w:rsidRPr="00B6196A">
        <w:rPr>
          <w:noProof/>
          <w:highlight w:val="yellow"/>
          <w:lang w:val="en-IE"/>
        </w:rPr>
        <w:t>to the producer responsibility organisation</w:t>
      </w:r>
      <w:bookmarkEnd w:id="3"/>
      <w:r w:rsidR="00AE27BB" w:rsidRPr="00B6196A">
        <w:rPr>
          <w:noProof/>
          <w:highlight w:val="yellow"/>
          <w:lang w:val="en-IE"/>
        </w:rPr>
        <w:t>.</w:t>
      </w:r>
    </w:p>
    <w:p w14:paraId="59834F4B" w14:textId="25F44368" w:rsidR="00AE27BB" w:rsidRPr="00B6196A" w:rsidRDefault="00384B96" w:rsidP="00384B96">
      <w:pPr>
        <w:pStyle w:val="ManualNumPar1"/>
        <w:rPr>
          <w:noProof/>
          <w:highlight w:val="yellow"/>
          <w:lang w:val="en-IE"/>
        </w:rPr>
      </w:pPr>
      <w:r w:rsidRPr="00B6196A">
        <w:rPr>
          <w:highlight w:val="yellow"/>
        </w:rPr>
        <w:t>12.</w:t>
      </w:r>
      <w:r w:rsidRPr="00B6196A">
        <w:rPr>
          <w:highlight w:val="yellow"/>
        </w:rPr>
        <w:tab/>
      </w:r>
      <w:r w:rsidR="00F43CEA" w:rsidRPr="00B6196A">
        <w:rPr>
          <w:noProof/>
          <w:highlight w:val="yellow"/>
          <w:lang w:val="en-IE"/>
        </w:rPr>
        <w:t>Member States shall ensure that c</w:t>
      </w:r>
      <w:r w:rsidR="00AE27BB" w:rsidRPr="00B6196A">
        <w:rPr>
          <w:noProof/>
          <w:highlight w:val="yellow"/>
          <w:lang w:val="en-IE"/>
        </w:rPr>
        <w:t>ollection points set up in accordance with paragraph</w:t>
      </w:r>
      <w:r w:rsidR="7BABAF39" w:rsidRPr="00B6196A">
        <w:rPr>
          <w:noProof/>
          <w:highlight w:val="yellow"/>
          <w:lang w:val="en-IE"/>
        </w:rPr>
        <w:t>s</w:t>
      </w:r>
      <w:r w:rsidR="00AE27BB" w:rsidRPr="00B6196A">
        <w:rPr>
          <w:noProof/>
          <w:highlight w:val="yellow"/>
          <w:lang w:val="en-IE"/>
        </w:rPr>
        <w:t xml:space="preserve"> </w:t>
      </w:r>
      <w:r w:rsidR="00D506F1" w:rsidRPr="00B6196A">
        <w:rPr>
          <w:noProof/>
          <w:highlight w:val="yellow"/>
          <w:lang w:val="en-IE"/>
        </w:rPr>
        <w:t xml:space="preserve">5, </w:t>
      </w:r>
      <w:r w:rsidR="00AE27BB" w:rsidRPr="00B6196A">
        <w:rPr>
          <w:noProof/>
          <w:highlight w:val="yellow"/>
          <w:lang w:val="en-IE"/>
        </w:rPr>
        <w:t xml:space="preserve">6 </w:t>
      </w:r>
      <w:r w:rsidR="3736A0F7" w:rsidRPr="00B6196A">
        <w:rPr>
          <w:noProof/>
          <w:highlight w:val="yellow"/>
          <w:lang w:val="en-IE"/>
        </w:rPr>
        <w:t xml:space="preserve">and </w:t>
      </w:r>
      <w:r w:rsidR="002D162B" w:rsidRPr="00B6196A">
        <w:rPr>
          <w:noProof/>
          <w:highlight w:val="yellow"/>
          <w:lang w:val="en-IE"/>
        </w:rPr>
        <w:t xml:space="preserve">11 </w:t>
      </w:r>
      <w:r w:rsidR="00F43CEA" w:rsidRPr="00B6196A">
        <w:rPr>
          <w:noProof/>
          <w:highlight w:val="yellow"/>
          <w:lang w:val="en-IE"/>
        </w:rPr>
        <w:t xml:space="preserve">are </w:t>
      </w:r>
      <w:r w:rsidR="00AE27BB" w:rsidRPr="00B6196A">
        <w:rPr>
          <w:noProof/>
          <w:highlight w:val="yellow"/>
          <w:lang w:val="en-IE"/>
        </w:rPr>
        <w:t>not subject to the registration or permit requirements of this Directive.</w:t>
      </w:r>
    </w:p>
    <w:p w14:paraId="1D85E68F" w14:textId="78E9371D" w:rsidR="00AE27BB" w:rsidRPr="00B6196A" w:rsidRDefault="00384B96" w:rsidP="00384B96">
      <w:pPr>
        <w:pStyle w:val="ManualNumPar1"/>
        <w:rPr>
          <w:noProof/>
          <w:highlight w:val="yellow"/>
          <w:lang w:val="en-IE"/>
        </w:rPr>
      </w:pPr>
      <w:r w:rsidRPr="00B6196A">
        <w:rPr>
          <w:highlight w:val="yellow"/>
        </w:rPr>
        <w:t>13.</w:t>
      </w:r>
      <w:r w:rsidRPr="00B6196A">
        <w:rPr>
          <w:highlight w:val="yellow"/>
        </w:rPr>
        <w:tab/>
      </w:r>
      <w:r w:rsidR="015D82DA" w:rsidRPr="00B6196A">
        <w:rPr>
          <w:noProof/>
          <w:highlight w:val="yellow"/>
          <w:lang w:val="en-IE"/>
        </w:rPr>
        <w:t>Member States shall ensure that, i</w:t>
      </w:r>
      <w:r w:rsidR="00AE27BB" w:rsidRPr="00B6196A">
        <w:rPr>
          <w:noProof/>
          <w:highlight w:val="yellow"/>
          <w:lang w:val="en-IE"/>
        </w:rPr>
        <w:t>n addition to the information referred to in Article 8a(2), producer responsibility organisations make available to end-users, in particular consumers, the following information regarding the sustainable consumption, re-use and end-of-life management of textile and footwear with respect to the textile</w:t>
      </w:r>
      <w:r w:rsidR="280EC78C" w:rsidRPr="00B6196A">
        <w:rPr>
          <w:noProof/>
          <w:highlight w:val="yellow"/>
          <w:lang w:val="en-IE"/>
        </w:rPr>
        <w:t>, textile-related</w:t>
      </w:r>
      <w:r w:rsidR="00AE27BB" w:rsidRPr="00B6196A">
        <w:rPr>
          <w:noProof/>
          <w:highlight w:val="yellow"/>
          <w:lang w:val="en-IE"/>
        </w:rPr>
        <w:t xml:space="preserve"> and footwear products </w:t>
      </w:r>
      <w:r w:rsidR="40AD8580" w:rsidRPr="00B6196A">
        <w:rPr>
          <w:noProof/>
          <w:highlight w:val="yellow"/>
          <w:lang w:val="en-IE"/>
        </w:rPr>
        <w:t xml:space="preserve">listed in Annex IVc </w:t>
      </w:r>
      <w:r w:rsidR="00AE27BB" w:rsidRPr="00B6196A">
        <w:rPr>
          <w:noProof/>
          <w:highlight w:val="yellow"/>
          <w:lang w:val="en-IE"/>
        </w:rPr>
        <w:t xml:space="preserve">that the producers </w:t>
      </w:r>
      <w:r w:rsidR="0EE1ABBA" w:rsidRPr="00B6196A">
        <w:rPr>
          <w:noProof/>
          <w:highlight w:val="yellow"/>
          <w:lang w:val="en-IE"/>
        </w:rPr>
        <w:t>make available on</w:t>
      </w:r>
      <w:r w:rsidR="00AE27BB" w:rsidRPr="00B6196A">
        <w:rPr>
          <w:noProof/>
          <w:highlight w:val="yellow"/>
          <w:lang w:val="en-IE"/>
        </w:rPr>
        <w:t xml:space="preserve"> the territory of a Member State:</w:t>
      </w:r>
    </w:p>
    <w:p w14:paraId="34EACE85" w14:textId="74CD0943" w:rsidR="00AE27BB" w:rsidRPr="00B6196A" w:rsidRDefault="00384B96" w:rsidP="00384B96">
      <w:pPr>
        <w:pStyle w:val="Point1"/>
        <w:rPr>
          <w:noProof/>
          <w:highlight w:val="yellow"/>
          <w:lang w:val="en-IE" w:eastAsia="en-GB"/>
        </w:rPr>
      </w:pPr>
      <w:r w:rsidRPr="00B6196A">
        <w:rPr>
          <w:highlight w:val="yellow"/>
        </w:rPr>
        <w:lastRenderedPageBreak/>
        <w:t>(a)</w:t>
      </w:r>
      <w:r w:rsidRPr="00B6196A">
        <w:rPr>
          <w:highlight w:val="yellow"/>
        </w:rPr>
        <w:tab/>
      </w:r>
      <w:r w:rsidR="00AE27BB" w:rsidRPr="00B6196A">
        <w:rPr>
          <w:noProof/>
          <w:highlight w:val="yellow"/>
          <w:lang w:val="en-IE" w:eastAsia="en-GB"/>
        </w:rPr>
        <w:t>the role of consumers in contributing to waste prevention, including any best practices, notably by fostering sustainable consumption patterns and promoting good care of products while in use;</w:t>
      </w:r>
    </w:p>
    <w:p w14:paraId="2F01A49A" w14:textId="051E41C0" w:rsidR="00AE27BB" w:rsidRPr="00B6196A" w:rsidRDefault="00384B96" w:rsidP="00384B96">
      <w:pPr>
        <w:pStyle w:val="Point1"/>
        <w:rPr>
          <w:noProof/>
          <w:highlight w:val="yellow"/>
          <w:lang w:val="en-IE" w:eastAsia="en-GB"/>
        </w:rPr>
      </w:pPr>
      <w:r w:rsidRPr="00B6196A">
        <w:rPr>
          <w:highlight w:val="yellow"/>
        </w:rPr>
        <w:t>(b)</w:t>
      </w:r>
      <w:r w:rsidRPr="00B6196A">
        <w:rPr>
          <w:highlight w:val="yellow"/>
        </w:rPr>
        <w:tab/>
      </w:r>
      <w:r w:rsidR="00AE27BB" w:rsidRPr="00B6196A">
        <w:rPr>
          <w:noProof/>
          <w:highlight w:val="yellow"/>
          <w:lang w:val="en-IE" w:eastAsia="en-GB"/>
        </w:rPr>
        <w:t>re-use and repair arrangements available for textile and footwear;</w:t>
      </w:r>
    </w:p>
    <w:p w14:paraId="6D146B14" w14:textId="49C77D49" w:rsidR="00AE27BB" w:rsidRPr="00B6196A" w:rsidRDefault="00384B96" w:rsidP="00384B96">
      <w:pPr>
        <w:pStyle w:val="Point1"/>
        <w:rPr>
          <w:noProof/>
          <w:highlight w:val="yellow"/>
          <w:lang w:val="en-IE" w:eastAsia="en-GB"/>
        </w:rPr>
      </w:pPr>
      <w:r w:rsidRPr="00B6196A">
        <w:rPr>
          <w:highlight w:val="yellow"/>
        </w:rPr>
        <w:t>(c)</w:t>
      </w:r>
      <w:r w:rsidRPr="00B6196A">
        <w:rPr>
          <w:highlight w:val="yellow"/>
        </w:rPr>
        <w:tab/>
      </w:r>
      <w:r w:rsidR="00AE27BB" w:rsidRPr="00B6196A">
        <w:rPr>
          <w:noProof/>
          <w:highlight w:val="yellow"/>
          <w:lang w:val="en-IE" w:eastAsia="en-GB"/>
        </w:rPr>
        <w:t>the role of consumers in contributing to the separate collection of used and waste textile and footwear;</w:t>
      </w:r>
    </w:p>
    <w:p w14:paraId="435CD4E1" w14:textId="4D3A1F16" w:rsidR="00AE27BB" w:rsidRPr="00B6196A" w:rsidRDefault="00384B96" w:rsidP="00384B96">
      <w:pPr>
        <w:pStyle w:val="Point1"/>
        <w:rPr>
          <w:noProof/>
          <w:highlight w:val="yellow"/>
          <w:lang w:val="en-IE" w:eastAsia="en-GB"/>
        </w:rPr>
      </w:pPr>
      <w:r w:rsidRPr="00B6196A">
        <w:rPr>
          <w:highlight w:val="yellow"/>
        </w:rPr>
        <w:t>(d)</w:t>
      </w:r>
      <w:r w:rsidRPr="00B6196A">
        <w:rPr>
          <w:highlight w:val="yellow"/>
        </w:rPr>
        <w:tab/>
      </w:r>
      <w:r w:rsidR="00AE27BB" w:rsidRPr="00B6196A">
        <w:rPr>
          <w:noProof/>
          <w:highlight w:val="yellow"/>
          <w:lang w:val="en-IE" w:eastAsia="en-GB"/>
        </w:rPr>
        <w:t>the impact on the environment</w:t>
      </w:r>
      <w:r w:rsidR="769F61AE" w:rsidRPr="00B6196A">
        <w:rPr>
          <w:noProof/>
          <w:highlight w:val="yellow"/>
          <w:lang w:val="en-IE" w:eastAsia="en-GB"/>
        </w:rPr>
        <w:t>,</w:t>
      </w:r>
      <w:r w:rsidR="00AE27BB" w:rsidRPr="00B6196A">
        <w:rPr>
          <w:noProof/>
          <w:highlight w:val="yellow"/>
          <w:lang w:val="en-IE" w:eastAsia="en-GB"/>
        </w:rPr>
        <w:t xml:space="preserve"> human health </w:t>
      </w:r>
      <w:r w:rsidR="6527B61D" w:rsidRPr="00B6196A">
        <w:rPr>
          <w:noProof/>
          <w:highlight w:val="yellow"/>
          <w:lang w:val="en-IE" w:eastAsia="en-GB"/>
        </w:rPr>
        <w:t>as well as social and human rights</w:t>
      </w:r>
      <w:r w:rsidR="00AE27BB" w:rsidRPr="00B6196A">
        <w:rPr>
          <w:noProof/>
          <w:highlight w:val="yellow"/>
          <w:lang w:val="en-IE" w:eastAsia="en-GB"/>
        </w:rPr>
        <w:t xml:space="preserve"> of textile production, in particular fast-fashion practices and consumption, recycling and other recovery and disposal and inappropriate discarding of textile and footwear waste, such as littering or discarding in mixed municipal waste.</w:t>
      </w:r>
    </w:p>
    <w:p w14:paraId="5B5F83E5" w14:textId="5C0F2CE4" w:rsidR="00AE27BB" w:rsidRPr="00B6196A" w:rsidRDefault="00384B96" w:rsidP="00384B96">
      <w:pPr>
        <w:pStyle w:val="ManualNumPar1"/>
        <w:rPr>
          <w:noProof/>
          <w:highlight w:val="yellow"/>
          <w:lang w:val="en-IE"/>
        </w:rPr>
      </w:pPr>
      <w:r w:rsidRPr="00B6196A">
        <w:rPr>
          <w:highlight w:val="yellow"/>
        </w:rPr>
        <w:t>14.</w:t>
      </w:r>
      <w:r w:rsidRPr="00B6196A">
        <w:rPr>
          <w:highlight w:val="yellow"/>
        </w:rPr>
        <w:tab/>
      </w:r>
      <w:r w:rsidR="37DD2AA1" w:rsidRPr="00B6196A">
        <w:rPr>
          <w:noProof/>
          <w:highlight w:val="yellow"/>
          <w:lang w:val="en-IE"/>
        </w:rPr>
        <w:t>Member States shall ensure that the producer responsibility organisation provide the</w:t>
      </w:r>
      <w:r w:rsidR="00AE27BB" w:rsidRPr="00B6196A">
        <w:rPr>
          <w:noProof/>
          <w:highlight w:val="yellow"/>
          <w:lang w:val="en-IE"/>
        </w:rPr>
        <w:t xml:space="preserve"> information referred to in paragraph 13 on a regular basis, </w:t>
      </w:r>
      <w:r w:rsidR="5BA5BAE9" w:rsidRPr="00B6196A">
        <w:rPr>
          <w:noProof/>
          <w:highlight w:val="yellow"/>
          <w:lang w:val="en-IE"/>
        </w:rPr>
        <w:t xml:space="preserve">that the </w:t>
      </w:r>
      <w:r w:rsidR="0089421F" w:rsidRPr="00B6196A">
        <w:rPr>
          <w:noProof/>
          <w:highlight w:val="yellow"/>
          <w:lang w:val="en-IE"/>
        </w:rPr>
        <w:t>information</w:t>
      </w:r>
      <w:r w:rsidR="5BA5BAE9" w:rsidRPr="00B6196A">
        <w:rPr>
          <w:noProof/>
          <w:highlight w:val="yellow"/>
          <w:lang w:val="en-IE"/>
        </w:rPr>
        <w:t xml:space="preserve"> is</w:t>
      </w:r>
      <w:r w:rsidR="00AE27BB" w:rsidRPr="00B6196A">
        <w:rPr>
          <w:noProof/>
          <w:highlight w:val="yellow"/>
          <w:lang w:val="en-IE"/>
        </w:rPr>
        <w:t xml:space="preserve"> up to date and provided by means of:</w:t>
      </w:r>
    </w:p>
    <w:p w14:paraId="7A53BEF5" w14:textId="2BB86533" w:rsidR="00AE27BB" w:rsidRPr="00B6196A" w:rsidRDefault="00384B96" w:rsidP="00384B96">
      <w:pPr>
        <w:pStyle w:val="Point1"/>
        <w:rPr>
          <w:noProof/>
          <w:highlight w:val="yellow"/>
          <w:lang w:val="en-IE" w:eastAsia="en-GB"/>
        </w:rPr>
      </w:pPr>
      <w:r w:rsidRPr="00B6196A">
        <w:rPr>
          <w:highlight w:val="yellow"/>
        </w:rPr>
        <w:t>(a)</w:t>
      </w:r>
      <w:r w:rsidRPr="00B6196A">
        <w:rPr>
          <w:highlight w:val="yellow"/>
        </w:rPr>
        <w:tab/>
      </w:r>
      <w:r w:rsidR="00AE27BB" w:rsidRPr="00B6196A">
        <w:rPr>
          <w:noProof/>
          <w:highlight w:val="yellow"/>
          <w:lang w:val="en-IE" w:eastAsia="en-GB"/>
        </w:rPr>
        <w:t>a website or other means of electronic communication;</w:t>
      </w:r>
    </w:p>
    <w:p w14:paraId="79D1A3E1" w14:textId="4BCA51FE" w:rsidR="00AE27BB" w:rsidRPr="00B6196A" w:rsidRDefault="00384B96" w:rsidP="00384B96">
      <w:pPr>
        <w:pStyle w:val="Point1"/>
        <w:rPr>
          <w:noProof/>
          <w:highlight w:val="yellow"/>
          <w:lang w:val="en-IE" w:eastAsia="en-GB"/>
        </w:rPr>
      </w:pPr>
      <w:r w:rsidRPr="00B6196A">
        <w:rPr>
          <w:highlight w:val="yellow"/>
        </w:rPr>
        <w:t>(b)</w:t>
      </w:r>
      <w:r w:rsidRPr="00B6196A">
        <w:rPr>
          <w:highlight w:val="yellow"/>
        </w:rPr>
        <w:tab/>
      </w:r>
      <w:r w:rsidR="00AE27BB" w:rsidRPr="00B6196A">
        <w:rPr>
          <w:noProof/>
          <w:highlight w:val="yellow"/>
          <w:lang w:val="en-IE" w:eastAsia="en-GB"/>
        </w:rPr>
        <w:t>information</w:t>
      </w:r>
      <w:r w:rsidR="043F5F37" w:rsidRPr="00B6196A">
        <w:rPr>
          <w:noProof/>
          <w:highlight w:val="yellow"/>
          <w:lang w:val="en-IE" w:eastAsia="en-GB"/>
        </w:rPr>
        <w:t xml:space="preserve"> in public spaces</w:t>
      </w:r>
      <w:r w:rsidR="00AE27BB" w:rsidRPr="00B6196A">
        <w:rPr>
          <w:noProof/>
          <w:highlight w:val="yellow"/>
          <w:lang w:val="en-IE" w:eastAsia="en-GB"/>
        </w:rPr>
        <w:t>;</w:t>
      </w:r>
    </w:p>
    <w:p w14:paraId="7A88D7B6" w14:textId="7AA94BB5" w:rsidR="00AE27BB" w:rsidRPr="00B6196A" w:rsidRDefault="00384B96" w:rsidP="00384B96">
      <w:pPr>
        <w:pStyle w:val="Point1"/>
        <w:rPr>
          <w:noProof/>
          <w:highlight w:val="yellow"/>
          <w:lang w:val="en-IE" w:eastAsia="en-GB"/>
        </w:rPr>
      </w:pPr>
      <w:r w:rsidRPr="00B6196A">
        <w:rPr>
          <w:highlight w:val="yellow"/>
        </w:rPr>
        <w:t>(c)</w:t>
      </w:r>
      <w:r w:rsidRPr="00B6196A">
        <w:rPr>
          <w:highlight w:val="yellow"/>
        </w:rPr>
        <w:tab/>
      </w:r>
      <w:r w:rsidR="00AE27BB" w:rsidRPr="00B6196A">
        <w:rPr>
          <w:noProof/>
          <w:highlight w:val="yellow"/>
          <w:lang w:val="en-IE" w:eastAsia="en-GB"/>
        </w:rPr>
        <w:t>education programmes and campaigns;</w:t>
      </w:r>
    </w:p>
    <w:p w14:paraId="6EC84D63" w14:textId="268941AD" w:rsidR="00AE27BB" w:rsidRPr="00B6196A" w:rsidRDefault="00384B96" w:rsidP="00384B96">
      <w:pPr>
        <w:pStyle w:val="Point1"/>
        <w:rPr>
          <w:noProof/>
          <w:highlight w:val="yellow"/>
          <w:lang w:val="en-IE" w:eastAsia="en-GB"/>
        </w:rPr>
      </w:pPr>
      <w:r w:rsidRPr="00B6196A">
        <w:rPr>
          <w:highlight w:val="yellow"/>
        </w:rPr>
        <w:t>(d)</w:t>
      </w:r>
      <w:r w:rsidRPr="00B6196A">
        <w:rPr>
          <w:highlight w:val="yellow"/>
        </w:rPr>
        <w:tab/>
      </w:r>
      <w:r w:rsidR="00AE27BB" w:rsidRPr="00B6196A">
        <w:rPr>
          <w:noProof/>
          <w:highlight w:val="yellow"/>
          <w:lang w:val="en-IE" w:eastAsia="en-GB"/>
        </w:rPr>
        <w:t xml:space="preserve">signposting in a language, or languages, which can be easily understood by users and consumers. </w:t>
      </w:r>
    </w:p>
    <w:p w14:paraId="154DBAF0" w14:textId="0D3788D6" w:rsidR="00AE27BB" w:rsidRPr="00B6196A" w:rsidRDefault="00384B96" w:rsidP="00384B96">
      <w:pPr>
        <w:pStyle w:val="ManualNumPar1"/>
        <w:rPr>
          <w:noProof/>
          <w:highlight w:val="yellow"/>
          <w:lang w:val="en-IE"/>
        </w:rPr>
      </w:pPr>
      <w:r w:rsidRPr="00B6196A">
        <w:rPr>
          <w:highlight w:val="yellow"/>
        </w:rPr>
        <w:t>15.</w:t>
      </w:r>
      <w:r w:rsidRPr="00B6196A">
        <w:rPr>
          <w:highlight w:val="yellow"/>
        </w:rPr>
        <w:tab/>
      </w:r>
      <w:r w:rsidR="00AE27BB" w:rsidRPr="00B6196A">
        <w:rPr>
          <w:noProof/>
          <w:highlight w:val="yellow"/>
          <w:lang w:val="en-IE"/>
        </w:rPr>
        <w:t xml:space="preserve">Where, in a Member State, multiple producer responsibility organisations are authorised to fulfil extended producer responsibility obligations on behalf of producers, </w:t>
      </w:r>
      <w:r w:rsidR="00F43CEA" w:rsidRPr="00B6196A">
        <w:rPr>
          <w:noProof/>
          <w:highlight w:val="yellow"/>
          <w:lang w:val="en-IE"/>
        </w:rPr>
        <w:t xml:space="preserve">Member States </w:t>
      </w:r>
      <w:r w:rsidR="00AE27BB" w:rsidRPr="00B6196A">
        <w:rPr>
          <w:noProof/>
          <w:highlight w:val="yellow"/>
          <w:lang w:val="en-IE"/>
        </w:rPr>
        <w:t xml:space="preserve">shall ensure </w:t>
      </w:r>
      <w:r w:rsidR="00F43CEA" w:rsidRPr="00B6196A">
        <w:rPr>
          <w:noProof/>
          <w:highlight w:val="yellow"/>
          <w:lang w:val="en-IE"/>
        </w:rPr>
        <w:t xml:space="preserve">that they </w:t>
      </w:r>
      <w:r w:rsidR="00AE27BB" w:rsidRPr="00B6196A">
        <w:rPr>
          <w:noProof/>
          <w:highlight w:val="yellow"/>
          <w:lang w:val="en-IE"/>
        </w:rPr>
        <w:t xml:space="preserve">cover the whole territory of the Member State of the separate collection system for used and waste </w:t>
      </w:r>
      <w:r w:rsidR="5D40A4E3" w:rsidRPr="00B6196A">
        <w:rPr>
          <w:noProof/>
          <w:highlight w:val="yellow"/>
          <w:lang w:val="en-IE"/>
        </w:rPr>
        <w:t xml:space="preserve">textile, textile-related and footwear </w:t>
      </w:r>
      <w:r w:rsidR="00AE27BB" w:rsidRPr="00B6196A">
        <w:rPr>
          <w:noProof/>
          <w:highlight w:val="yellow"/>
          <w:lang w:val="en-IE"/>
        </w:rPr>
        <w:t xml:space="preserve">products </w:t>
      </w:r>
      <w:r w:rsidR="19ED0335" w:rsidRPr="00B6196A">
        <w:rPr>
          <w:noProof/>
          <w:highlight w:val="yellow"/>
          <w:lang w:val="en-IE"/>
        </w:rPr>
        <w:t>listed in Annex IVc</w:t>
      </w:r>
      <w:r w:rsidR="00AE27BB" w:rsidRPr="00B6196A">
        <w:rPr>
          <w:noProof/>
          <w:highlight w:val="yellow"/>
          <w:lang w:val="en-IE"/>
        </w:rPr>
        <w:t>. Member States shall entrust the competent authority or appoint an independent third party to oversee that producer responsibility organisations fulfil their obligations in coordinated manner</w:t>
      </w:r>
      <w:r w:rsidR="46F2D279" w:rsidRPr="00B6196A">
        <w:rPr>
          <w:noProof/>
          <w:highlight w:val="yellow"/>
          <w:lang w:val="en-IE"/>
        </w:rPr>
        <w:t xml:space="preserve"> and in accordance with the Union competition rules</w:t>
      </w:r>
      <w:r w:rsidR="00AE27BB" w:rsidRPr="00B6196A">
        <w:rPr>
          <w:noProof/>
          <w:highlight w:val="yellow"/>
          <w:lang w:val="en-IE"/>
        </w:rPr>
        <w:t>.</w:t>
      </w:r>
    </w:p>
    <w:p w14:paraId="62095949" w14:textId="3BBE43B0" w:rsidR="00AE27BB" w:rsidRPr="00B6196A" w:rsidRDefault="00384B96" w:rsidP="00384B96">
      <w:pPr>
        <w:pStyle w:val="ManualNumPar1"/>
        <w:rPr>
          <w:noProof/>
          <w:highlight w:val="yellow"/>
          <w:lang w:val="en-IE"/>
        </w:rPr>
      </w:pPr>
      <w:r w:rsidRPr="00B6196A">
        <w:rPr>
          <w:highlight w:val="yellow"/>
        </w:rPr>
        <w:t>16.</w:t>
      </w:r>
      <w:r w:rsidRPr="00B6196A">
        <w:rPr>
          <w:highlight w:val="yellow"/>
        </w:rPr>
        <w:tab/>
      </w:r>
      <w:r w:rsidR="2AB31A49" w:rsidRPr="00B6196A">
        <w:rPr>
          <w:noProof/>
          <w:highlight w:val="yellow"/>
          <w:lang w:val="en-IE"/>
        </w:rPr>
        <w:t>Member States shall require that p</w:t>
      </w:r>
      <w:r w:rsidR="00AE27BB" w:rsidRPr="00B6196A">
        <w:rPr>
          <w:noProof/>
          <w:highlight w:val="yellow"/>
          <w:lang w:val="en-IE"/>
        </w:rPr>
        <w:t xml:space="preserve">roducer responsibility organisations ensure the confidentiality of the data in </w:t>
      </w:r>
      <w:r w:rsidR="70B85DC9" w:rsidRPr="00B6196A">
        <w:rPr>
          <w:noProof/>
          <w:highlight w:val="yellow"/>
          <w:lang w:val="en-IE"/>
        </w:rPr>
        <w:t xml:space="preserve">their </w:t>
      </w:r>
      <w:r w:rsidR="00AE27BB" w:rsidRPr="00B6196A">
        <w:rPr>
          <w:noProof/>
          <w:highlight w:val="yellow"/>
          <w:lang w:val="en-IE"/>
        </w:rPr>
        <w:t>possession as regards proprietary information or information directly attributable to individual producers or their authorised representatives.</w:t>
      </w:r>
    </w:p>
    <w:p w14:paraId="1BB32608" w14:textId="3E61747A" w:rsidR="00AE27BB" w:rsidRPr="00B6196A" w:rsidRDefault="00384B96" w:rsidP="00384B96">
      <w:pPr>
        <w:pStyle w:val="ManualNumPar1"/>
        <w:rPr>
          <w:noProof/>
          <w:highlight w:val="yellow"/>
          <w:lang w:val="en-IE"/>
        </w:rPr>
      </w:pPr>
      <w:r w:rsidRPr="00B6196A">
        <w:rPr>
          <w:highlight w:val="yellow"/>
        </w:rPr>
        <w:t>17.</w:t>
      </w:r>
      <w:r w:rsidRPr="00B6196A">
        <w:rPr>
          <w:highlight w:val="yellow"/>
        </w:rPr>
        <w:tab/>
      </w:r>
      <w:r w:rsidR="294EE1E2" w:rsidRPr="00B6196A">
        <w:rPr>
          <w:noProof/>
          <w:highlight w:val="yellow"/>
          <w:lang w:val="en-IE"/>
        </w:rPr>
        <w:t>Member States shall ensure that producer responsibility organisations publish on their websites, i</w:t>
      </w:r>
      <w:r w:rsidR="00AE27BB" w:rsidRPr="00B6196A">
        <w:rPr>
          <w:noProof/>
          <w:highlight w:val="yellow"/>
          <w:lang w:val="en-IE"/>
        </w:rPr>
        <w:t>n addition to the information referred to in Article 8a(3), point (e):</w:t>
      </w:r>
    </w:p>
    <w:p w14:paraId="42C6B295" w14:textId="0C2D3BF2" w:rsidR="00AE27BB" w:rsidRPr="00B6196A" w:rsidRDefault="00384B96" w:rsidP="00384B96">
      <w:pPr>
        <w:pStyle w:val="Point1"/>
        <w:rPr>
          <w:noProof/>
          <w:highlight w:val="yellow"/>
          <w:lang w:val="en-IE" w:eastAsia="en-GB"/>
        </w:rPr>
      </w:pPr>
      <w:r w:rsidRPr="00B6196A">
        <w:rPr>
          <w:highlight w:val="yellow"/>
        </w:rPr>
        <w:t>(a)</w:t>
      </w:r>
      <w:r w:rsidRPr="00B6196A">
        <w:rPr>
          <w:highlight w:val="yellow"/>
        </w:rPr>
        <w:tab/>
      </w:r>
      <w:r w:rsidR="00AE27BB" w:rsidRPr="00B6196A">
        <w:rPr>
          <w:noProof/>
          <w:highlight w:val="yellow"/>
          <w:lang w:val="en-IE" w:eastAsia="en-GB"/>
        </w:rPr>
        <w:t>at least each year, subject to commercial and industrial confidentiality, the information on the amount of products placed on the market, the rate of separate collection of used and waste textile</w:t>
      </w:r>
      <w:r w:rsidR="4461900D" w:rsidRPr="00B6196A">
        <w:rPr>
          <w:noProof/>
          <w:highlight w:val="yellow"/>
          <w:lang w:val="en-IE" w:eastAsia="en-GB"/>
        </w:rPr>
        <w:t>, textile-related</w:t>
      </w:r>
      <w:r w:rsidR="00AE27BB" w:rsidRPr="00B6196A">
        <w:rPr>
          <w:noProof/>
          <w:highlight w:val="yellow"/>
          <w:lang w:val="en-IE" w:eastAsia="en-GB"/>
        </w:rPr>
        <w:t xml:space="preserve"> and footwear products listed in Annex IVc, including such unsold products, on the rates of re-use, preparation for re-use and recycling</w:t>
      </w:r>
      <w:r w:rsidR="001B4DA8" w:rsidRPr="00B6196A">
        <w:rPr>
          <w:noProof/>
          <w:highlight w:val="yellow"/>
          <w:lang w:val="en-IE" w:eastAsia="en-GB"/>
        </w:rPr>
        <w:t xml:space="preserve">, specifying </w:t>
      </w:r>
      <w:r w:rsidR="47870689" w:rsidRPr="00B6196A">
        <w:rPr>
          <w:noProof/>
          <w:highlight w:val="yellow"/>
          <w:lang w:val="en-IE" w:eastAsia="en-GB"/>
        </w:rPr>
        <w:t xml:space="preserve">separately </w:t>
      </w:r>
      <w:r w:rsidR="00ED3AE6" w:rsidRPr="00B6196A">
        <w:rPr>
          <w:noProof/>
          <w:highlight w:val="yellow"/>
          <w:lang w:val="en-IE" w:eastAsia="en-GB"/>
        </w:rPr>
        <w:t>t</w:t>
      </w:r>
      <w:r w:rsidR="001B4DA8" w:rsidRPr="00B6196A">
        <w:rPr>
          <w:noProof/>
          <w:highlight w:val="yellow"/>
          <w:lang w:val="en-IE" w:eastAsia="en-GB"/>
        </w:rPr>
        <w:t>he rate of fibre-to-fibre recycling,</w:t>
      </w:r>
      <w:r w:rsidR="00AE27BB" w:rsidRPr="00B6196A">
        <w:rPr>
          <w:noProof/>
          <w:highlight w:val="yellow"/>
          <w:lang w:val="en-IE" w:eastAsia="en-GB"/>
        </w:rPr>
        <w:t xml:space="preserve"> achieved by the producer responsibility organisation, and on the rates of other recovery, disposal and exports;</w:t>
      </w:r>
    </w:p>
    <w:p w14:paraId="5BBDE860" w14:textId="2B30DA23" w:rsidR="00AE27BB" w:rsidRPr="00B6196A" w:rsidRDefault="00384B96" w:rsidP="00384B96">
      <w:pPr>
        <w:pStyle w:val="Point1"/>
        <w:rPr>
          <w:noProof/>
          <w:highlight w:val="yellow"/>
          <w:lang w:val="en-IE" w:eastAsia="en-GB"/>
        </w:rPr>
      </w:pPr>
      <w:r w:rsidRPr="00B6196A">
        <w:rPr>
          <w:highlight w:val="yellow"/>
        </w:rPr>
        <w:t>(b)</w:t>
      </w:r>
      <w:r w:rsidRPr="00B6196A">
        <w:rPr>
          <w:highlight w:val="yellow"/>
        </w:rPr>
        <w:tab/>
      </w:r>
      <w:r w:rsidR="00AE27BB" w:rsidRPr="00B6196A">
        <w:rPr>
          <w:noProof/>
          <w:highlight w:val="yellow"/>
          <w:lang w:val="en-IE" w:eastAsia="en-GB"/>
        </w:rPr>
        <w:t>information on the selection procedure for waste management operators selected in accordance with paragraph 1</w:t>
      </w:r>
      <w:r w:rsidR="00D506F1" w:rsidRPr="00B6196A">
        <w:rPr>
          <w:noProof/>
          <w:highlight w:val="yellow"/>
          <w:lang w:val="en-IE" w:eastAsia="en-GB"/>
        </w:rPr>
        <w:t>8</w:t>
      </w:r>
      <w:r w:rsidR="00AE27BB" w:rsidRPr="00B6196A">
        <w:rPr>
          <w:noProof/>
          <w:highlight w:val="yellow"/>
          <w:lang w:val="en-IE" w:eastAsia="en-GB"/>
        </w:rPr>
        <w:t>.</w:t>
      </w:r>
    </w:p>
    <w:p w14:paraId="1F889A72" w14:textId="1D6AF474" w:rsidR="00817D9C" w:rsidRPr="00B6196A" w:rsidRDefault="00384B96" w:rsidP="00384B96">
      <w:pPr>
        <w:pStyle w:val="ManualNumPar1"/>
        <w:rPr>
          <w:rFonts w:eastAsia="Calibri"/>
          <w:noProof/>
          <w:szCs w:val="24"/>
          <w:highlight w:val="yellow"/>
          <w:lang w:val="en-IE"/>
        </w:rPr>
      </w:pPr>
      <w:r w:rsidRPr="00B6196A">
        <w:rPr>
          <w:highlight w:val="yellow"/>
        </w:rPr>
        <w:t>18.</w:t>
      </w:r>
      <w:r w:rsidRPr="00B6196A">
        <w:rPr>
          <w:highlight w:val="yellow"/>
        </w:rPr>
        <w:tab/>
      </w:r>
      <w:r w:rsidR="5A192AD8" w:rsidRPr="00B6196A">
        <w:rPr>
          <w:noProof/>
          <w:highlight w:val="yellow"/>
          <w:lang w:val="en-IE"/>
        </w:rPr>
        <w:t>Member States shall ensure that producer responsibility organisations provide for non-discriminatory selection procedure, based on transparent award criteria, without placing disproportionate burden on small and medium</w:t>
      </w:r>
      <w:r w:rsidR="45DF8581" w:rsidRPr="00B6196A">
        <w:rPr>
          <w:noProof/>
          <w:highlight w:val="yellow"/>
          <w:lang w:val="en-IE"/>
        </w:rPr>
        <w:t>-</w:t>
      </w:r>
      <w:r w:rsidR="5A192AD8" w:rsidRPr="00B6196A">
        <w:rPr>
          <w:noProof/>
          <w:highlight w:val="yellow"/>
          <w:lang w:val="en-IE"/>
        </w:rPr>
        <w:t xml:space="preserve">sized enterprises </w:t>
      </w:r>
      <w:r w:rsidR="21A93BFC" w:rsidRPr="00B6196A">
        <w:rPr>
          <w:noProof/>
          <w:highlight w:val="yellow"/>
          <w:lang w:val="en-IE"/>
        </w:rPr>
        <w:t xml:space="preserve">to procure </w:t>
      </w:r>
      <w:r w:rsidR="21A93BFC" w:rsidRPr="00B6196A">
        <w:rPr>
          <w:noProof/>
          <w:highlight w:val="yellow"/>
          <w:lang w:val="en-IE"/>
        </w:rPr>
        <w:lastRenderedPageBreak/>
        <w:t>waste management services from w</w:t>
      </w:r>
      <w:r w:rsidR="00AE27BB" w:rsidRPr="00B6196A">
        <w:rPr>
          <w:noProof/>
          <w:highlight w:val="yellow"/>
          <w:lang w:val="en-IE"/>
        </w:rPr>
        <w:t xml:space="preserve">aste management operators referred to in paragraph 6(a) and </w:t>
      </w:r>
      <w:r w:rsidR="00B5445D" w:rsidRPr="00B6196A">
        <w:rPr>
          <w:noProof/>
          <w:highlight w:val="yellow"/>
          <w:lang w:val="en-IE"/>
        </w:rPr>
        <w:t xml:space="preserve">from </w:t>
      </w:r>
      <w:r w:rsidR="28F9AC69" w:rsidRPr="00B6196A">
        <w:rPr>
          <w:noProof/>
          <w:highlight w:val="yellow"/>
          <w:lang w:val="en-IE"/>
        </w:rPr>
        <w:t xml:space="preserve">waste management </w:t>
      </w:r>
      <w:r w:rsidR="00AE27BB" w:rsidRPr="00B6196A">
        <w:rPr>
          <w:noProof/>
          <w:highlight w:val="yellow"/>
          <w:lang w:val="en-IE"/>
        </w:rPr>
        <w:t>operators to carry out subsequent waste treatment.</w:t>
      </w:r>
    </w:p>
    <w:p w14:paraId="5699CCA6" w14:textId="6AF03D42" w:rsidR="00817D9C" w:rsidRPr="00B6196A" w:rsidRDefault="00384B96" w:rsidP="00384B96">
      <w:pPr>
        <w:pStyle w:val="ManualNumPar1"/>
        <w:rPr>
          <w:noProof/>
          <w:highlight w:val="yellow"/>
          <w:lang w:val="en-IE"/>
        </w:rPr>
      </w:pPr>
      <w:r w:rsidRPr="00B6196A">
        <w:rPr>
          <w:highlight w:val="yellow"/>
        </w:rPr>
        <w:t>19.</w:t>
      </w:r>
      <w:r w:rsidRPr="00B6196A">
        <w:rPr>
          <w:highlight w:val="yellow"/>
        </w:rPr>
        <w:tab/>
      </w:r>
      <w:r w:rsidR="400F5C70" w:rsidRPr="00B6196A">
        <w:rPr>
          <w:noProof/>
          <w:highlight w:val="yellow"/>
          <w:lang w:val="en-IE"/>
        </w:rPr>
        <w:t>Member States shall ensure that p</w:t>
      </w:r>
      <w:r w:rsidR="00AE27BB" w:rsidRPr="00B6196A">
        <w:rPr>
          <w:noProof/>
          <w:highlight w:val="yellow"/>
          <w:lang w:val="en-IE"/>
        </w:rPr>
        <w:t>roducer responsibility organisations require the reporting of data from the producers on the textile</w:t>
      </w:r>
      <w:r w:rsidR="2AB8E2E9" w:rsidRPr="00B6196A">
        <w:rPr>
          <w:noProof/>
          <w:highlight w:val="yellow"/>
          <w:lang w:val="en-IE"/>
        </w:rPr>
        <w:t>, textile-related</w:t>
      </w:r>
      <w:r w:rsidR="00AE27BB" w:rsidRPr="00B6196A">
        <w:rPr>
          <w:noProof/>
          <w:highlight w:val="yellow"/>
          <w:lang w:val="en-IE"/>
        </w:rPr>
        <w:t xml:space="preserve"> and footwear products listed in Annex IVc </w:t>
      </w:r>
      <w:r w:rsidR="6CADAF32" w:rsidRPr="00B6196A">
        <w:rPr>
          <w:noProof/>
          <w:highlight w:val="yellow"/>
          <w:lang w:val="en-IE"/>
        </w:rPr>
        <w:t xml:space="preserve">made available </w:t>
      </w:r>
      <w:r w:rsidR="00AE27BB" w:rsidRPr="00B6196A">
        <w:rPr>
          <w:noProof/>
          <w:highlight w:val="yellow"/>
          <w:lang w:val="en-IE"/>
        </w:rPr>
        <w:t>on the market on an annual basis</w:t>
      </w:r>
      <w:r w:rsidR="00580C13" w:rsidRPr="00B6196A">
        <w:rPr>
          <w:noProof/>
          <w:highlight w:val="yellow"/>
          <w:lang w:val="en-IE"/>
        </w:rPr>
        <w:t>.</w:t>
      </w:r>
    </w:p>
    <w:p w14:paraId="654CCFD9" w14:textId="77777777" w:rsidR="00580C13" w:rsidRPr="00B6196A" w:rsidRDefault="00580C13" w:rsidP="00580C13">
      <w:pPr>
        <w:pStyle w:val="Titrearticle"/>
        <w:rPr>
          <w:noProof/>
          <w:highlight w:val="yellow"/>
          <w:lang w:val="en-IE"/>
        </w:rPr>
      </w:pPr>
      <w:r w:rsidRPr="00B6196A">
        <w:rPr>
          <w:noProof/>
          <w:highlight w:val="yellow"/>
          <w:lang w:val="en-IE"/>
        </w:rPr>
        <w:t>Article 22d</w:t>
      </w:r>
    </w:p>
    <w:p w14:paraId="4ECEA5FA" w14:textId="77777777" w:rsidR="00580C13" w:rsidRPr="00B6196A" w:rsidRDefault="00580C13" w:rsidP="00580C13">
      <w:pPr>
        <w:pStyle w:val="Titrearticle"/>
        <w:rPr>
          <w:i w:val="0"/>
          <w:iCs/>
          <w:noProof/>
          <w:highlight w:val="yellow"/>
          <w:lang w:val="en-IE"/>
        </w:rPr>
      </w:pPr>
      <w:r w:rsidRPr="00B6196A">
        <w:rPr>
          <w:b/>
          <w:bCs/>
          <w:i w:val="0"/>
          <w:iCs/>
          <w:noProof/>
          <w:highlight w:val="yellow"/>
          <w:lang w:val="en-IE"/>
        </w:rPr>
        <w:t>Management of textile waste</w:t>
      </w:r>
    </w:p>
    <w:p w14:paraId="68C2421B" w14:textId="4C29640E" w:rsidR="00580C13" w:rsidRPr="00B6196A" w:rsidRDefault="00384B96" w:rsidP="00384B96">
      <w:pPr>
        <w:pStyle w:val="ManualNumPar1"/>
        <w:rPr>
          <w:noProof/>
          <w:highlight w:val="yellow"/>
          <w:lang w:val="en-IE"/>
        </w:rPr>
      </w:pPr>
      <w:r w:rsidRPr="00B6196A">
        <w:rPr>
          <w:highlight w:val="yellow"/>
        </w:rPr>
        <w:t>1.</w:t>
      </w:r>
      <w:r w:rsidRPr="00B6196A">
        <w:rPr>
          <w:highlight w:val="yellow"/>
        </w:rPr>
        <w:tab/>
      </w:r>
      <w:r w:rsidR="00580C13" w:rsidRPr="00B6196A">
        <w:rPr>
          <w:noProof/>
          <w:highlight w:val="yellow"/>
          <w:lang w:val="en-IE"/>
        </w:rPr>
        <w:t>Member States shall ensure, by 1 January 2025 and subject to Article 10(2) and (3), the separate collection of textiles for re-use, preparation for re-use and recycling.</w:t>
      </w:r>
    </w:p>
    <w:p w14:paraId="7F6F0149" w14:textId="33B1EEF8" w:rsidR="00580C13" w:rsidRPr="00B6196A" w:rsidRDefault="00384B96" w:rsidP="00384B96">
      <w:pPr>
        <w:pStyle w:val="ManualNumPar1"/>
        <w:rPr>
          <w:noProof/>
          <w:highlight w:val="yellow"/>
          <w:lang w:val="en-IE"/>
        </w:rPr>
      </w:pPr>
      <w:r w:rsidRPr="00B6196A">
        <w:rPr>
          <w:highlight w:val="yellow"/>
        </w:rPr>
        <w:t>2.</w:t>
      </w:r>
      <w:r w:rsidRPr="00B6196A">
        <w:rPr>
          <w:highlight w:val="yellow"/>
        </w:rPr>
        <w:tab/>
      </w:r>
      <w:r w:rsidR="00B5445D" w:rsidRPr="00B6196A">
        <w:rPr>
          <w:noProof/>
          <w:highlight w:val="yellow"/>
          <w:lang w:val="en-IE"/>
        </w:rPr>
        <w:t>Member States shall ensure that the c</w:t>
      </w:r>
      <w:r w:rsidR="00580C13" w:rsidRPr="00B6196A">
        <w:rPr>
          <w:noProof/>
          <w:highlight w:val="yellow"/>
          <w:lang w:val="en-IE"/>
        </w:rPr>
        <w:t>ollection, loading and unloading, transportation and storage infrastructure and operations and other handling of textile waste</w:t>
      </w:r>
      <w:r w:rsidR="001B4DA8" w:rsidRPr="00B6196A">
        <w:rPr>
          <w:noProof/>
          <w:highlight w:val="yellow"/>
          <w:lang w:val="en-IE"/>
        </w:rPr>
        <w:t>, including at subsequent sorting and treatment operations,</w:t>
      </w:r>
      <w:r w:rsidR="00580C13" w:rsidRPr="00B6196A">
        <w:rPr>
          <w:noProof/>
          <w:highlight w:val="yellow"/>
          <w:lang w:val="en-IE"/>
        </w:rPr>
        <w:t xml:space="preserve"> </w:t>
      </w:r>
      <w:r w:rsidR="00B43AA8" w:rsidRPr="00B6196A">
        <w:rPr>
          <w:noProof/>
          <w:highlight w:val="yellow"/>
          <w:lang w:val="en-IE"/>
        </w:rPr>
        <w:t>receives</w:t>
      </w:r>
      <w:r w:rsidR="00B5445D" w:rsidRPr="00B6196A">
        <w:rPr>
          <w:noProof/>
          <w:highlight w:val="yellow"/>
          <w:lang w:val="en-IE"/>
        </w:rPr>
        <w:t xml:space="preserve"> </w:t>
      </w:r>
      <w:r w:rsidR="00580C13" w:rsidRPr="00B6196A">
        <w:rPr>
          <w:noProof/>
          <w:highlight w:val="yellow"/>
          <w:lang w:val="en-IE"/>
        </w:rPr>
        <w:t>protection from weather conditions and other sources of contamination to prevent damage and cross-contamination of the collected textiles. Separately collected used and waste textiles shall be subject to a screening at the separate collection point to identify and remove non-target items or materials or substances that are a source of contamination.</w:t>
      </w:r>
    </w:p>
    <w:p w14:paraId="60915AE8" w14:textId="74EC98E1" w:rsidR="00580C13" w:rsidRPr="00B6196A" w:rsidRDefault="00384B96" w:rsidP="00384B96">
      <w:pPr>
        <w:pStyle w:val="ManualNumPar1"/>
        <w:rPr>
          <w:noProof/>
          <w:highlight w:val="yellow"/>
          <w:lang w:val="en-IE"/>
        </w:rPr>
      </w:pPr>
      <w:r w:rsidRPr="00B6196A">
        <w:rPr>
          <w:highlight w:val="yellow"/>
        </w:rPr>
        <w:t>3.</w:t>
      </w:r>
      <w:r w:rsidRPr="00B6196A">
        <w:rPr>
          <w:highlight w:val="yellow"/>
        </w:rPr>
        <w:tab/>
      </w:r>
      <w:r w:rsidR="00B5445D" w:rsidRPr="00B6196A">
        <w:rPr>
          <w:noProof/>
          <w:highlight w:val="yellow"/>
          <w:lang w:val="en-IE"/>
        </w:rPr>
        <w:t>Member States shall ensure that u</w:t>
      </w:r>
      <w:r w:rsidR="00580C13" w:rsidRPr="00B6196A">
        <w:rPr>
          <w:noProof/>
          <w:highlight w:val="yellow"/>
          <w:lang w:val="en-IE"/>
        </w:rPr>
        <w:t>sed and waste textiles</w:t>
      </w:r>
      <w:r w:rsidR="00B5445D" w:rsidRPr="00B6196A">
        <w:rPr>
          <w:noProof/>
          <w:highlight w:val="yellow"/>
          <w:lang w:val="en-IE"/>
        </w:rPr>
        <w:t>, textile-related and footwear products</w:t>
      </w:r>
      <w:r w:rsidR="00580C13" w:rsidRPr="00B6196A">
        <w:rPr>
          <w:noProof/>
          <w:highlight w:val="yellow"/>
          <w:lang w:val="en-IE"/>
        </w:rPr>
        <w:t xml:space="preserve"> </w:t>
      </w:r>
      <w:r w:rsidR="350D7BCF" w:rsidRPr="00B6196A">
        <w:rPr>
          <w:noProof/>
          <w:highlight w:val="yellow"/>
          <w:lang w:val="en-IE"/>
        </w:rPr>
        <w:t xml:space="preserve">that are </w:t>
      </w:r>
      <w:r w:rsidR="00580C13" w:rsidRPr="00B6196A">
        <w:rPr>
          <w:noProof/>
          <w:highlight w:val="yellow"/>
          <w:lang w:val="en-IE"/>
        </w:rPr>
        <w:t xml:space="preserve">separately collected in accordance with Article 22c(5) </w:t>
      </w:r>
      <w:r w:rsidR="00B5445D" w:rsidRPr="00B6196A">
        <w:rPr>
          <w:noProof/>
          <w:highlight w:val="yellow"/>
          <w:lang w:val="en-IE"/>
        </w:rPr>
        <w:t xml:space="preserve">are </w:t>
      </w:r>
      <w:r w:rsidR="00580C13" w:rsidRPr="00B6196A">
        <w:rPr>
          <w:noProof/>
          <w:highlight w:val="yellow"/>
          <w:lang w:val="en-IE"/>
        </w:rPr>
        <w:t>considered waste upon collection.</w:t>
      </w:r>
    </w:p>
    <w:p w14:paraId="51FA1F7B" w14:textId="43F7D732" w:rsidR="0052314D" w:rsidRPr="00B6196A" w:rsidRDefault="0052314D" w:rsidP="0038405F">
      <w:pPr>
        <w:pStyle w:val="Text1"/>
        <w:rPr>
          <w:noProof/>
          <w:highlight w:val="yellow"/>
          <w:lang w:val="en-IE"/>
        </w:rPr>
      </w:pPr>
      <w:r w:rsidRPr="00B6196A">
        <w:rPr>
          <w:noProof/>
          <w:highlight w:val="yellow"/>
          <w:lang w:val="en-IE"/>
        </w:rPr>
        <w:t xml:space="preserve">With regard to </w:t>
      </w:r>
      <w:r w:rsidR="00B43AA8" w:rsidRPr="00B6196A">
        <w:rPr>
          <w:noProof/>
          <w:highlight w:val="yellow"/>
          <w:lang w:val="en-IE"/>
        </w:rPr>
        <w:t>textile</w:t>
      </w:r>
      <w:r w:rsidR="00F30D31" w:rsidRPr="00B6196A">
        <w:rPr>
          <w:noProof/>
          <w:highlight w:val="yellow"/>
          <w:lang w:val="en-IE"/>
        </w:rPr>
        <w:t>s</w:t>
      </w:r>
      <w:r w:rsidR="00B43AA8" w:rsidRPr="00B6196A">
        <w:rPr>
          <w:noProof/>
          <w:highlight w:val="yellow"/>
          <w:lang w:val="en-IE"/>
        </w:rPr>
        <w:t xml:space="preserve"> </w:t>
      </w:r>
      <w:r w:rsidR="00F30D31" w:rsidRPr="00B6196A">
        <w:rPr>
          <w:noProof/>
          <w:highlight w:val="yellow"/>
          <w:lang w:val="en-IE"/>
        </w:rPr>
        <w:t>other than the products listed in Annex IVc</w:t>
      </w:r>
      <w:r w:rsidRPr="00B6196A">
        <w:rPr>
          <w:noProof/>
          <w:highlight w:val="yellow"/>
          <w:lang w:val="en-IE"/>
        </w:rPr>
        <w:t xml:space="preserve">, as well as unsold </w:t>
      </w:r>
      <w:r w:rsidR="00B43AA8" w:rsidRPr="00B6196A">
        <w:rPr>
          <w:noProof/>
          <w:highlight w:val="yellow"/>
          <w:lang w:val="en-IE"/>
        </w:rPr>
        <w:t xml:space="preserve">textile, textile-related and footwear </w:t>
      </w:r>
      <w:r w:rsidRPr="00B6196A">
        <w:rPr>
          <w:noProof/>
          <w:highlight w:val="yellow"/>
          <w:lang w:val="en-IE"/>
        </w:rPr>
        <w:t>products</w:t>
      </w:r>
      <w:r w:rsidR="00F30D31" w:rsidRPr="00B6196A">
        <w:rPr>
          <w:noProof/>
          <w:highlight w:val="yellow"/>
          <w:lang w:val="en-IE"/>
        </w:rPr>
        <w:t xml:space="preserve"> listed in Annex IVc</w:t>
      </w:r>
      <w:r w:rsidRPr="00B6196A">
        <w:rPr>
          <w:noProof/>
          <w:highlight w:val="yellow"/>
          <w:lang w:val="en-IE"/>
        </w:rPr>
        <w:t>, Member States shall ensure that the different fractions of textiles materials and textiles items are kept separate at the point of waste generation where such separation facilitates subsequent re-use, preparation for re-use or recycling, including fibre-to-fibre recycling where technological progress allows.</w:t>
      </w:r>
    </w:p>
    <w:p w14:paraId="43596D31" w14:textId="5473AE25" w:rsidR="00580C13" w:rsidRPr="00B6196A" w:rsidRDefault="00384B96" w:rsidP="00384B96">
      <w:pPr>
        <w:pStyle w:val="ManualNumPar1"/>
        <w:rPr>
          <w:noProof/>
          <w:highlight w:val="yellow"/>
          <w:lang w:val="en-IE"/>
        </w:rPr>
      </w:pPr>
      <w:r w:rsidRPr="00B6196A">
        <w:rPr>
          <w:highlight w:val="yellow"/>
        </w:rPr>
        <w:t>4.</w:t>
      </w:r>
      <w:r w:rsidRPr="00B6196A">
        <w:rPr>
          <w:highlight w:val="yellow"/>
        </w:rPr>
        <w:tab/>
      </w:r>
      <w:r w:rsidR="00B5445D" w:rsidRPr="00B6196A">
        <w:rPr>
          <w:noProof/>
          <w:highlight w:val="yellow"/>
          <w:lang w:val="en-IE"/>
        </w:rPr>
        <w:t>Member States shall ensure that u</w:t>
      </w:r>
      <w:r w:rsidR="00580C13" w:rsidRPr="00B6196A">
        <w:rPr>
          <w:noProof/>
          <w:highlight w:val="yellow"/>
          <w:lang w:val="en-IE"/>
        </w:rPr>
        <w:t>sed and waste textiles</w:t>
      </w:r>
      <w:r w:rsidR="00B5445D" w:rsidRPr="00B6196A">
        <w:rPr>
          <w:noProof/>
          <w:highlight w:val="yellow"/>
          <w:lang w:val="en-IE"/>
        </w:rPr>
        <w:t>, textile-related and footwear products</w:t>
      </w:r>
      <w:r w:rsidR="00580C13" w:rsidRPr="00B6196A">
        <w:rPr>
          <w:noProof/>
          <w:highlight w:val="yellow"/>
          <w:lang w:val="en-IE"/>
        </w:rPr>
        <w:t xml:space="preserve"> </w:t>
      </w:r>
      <w:r w:rsidR="44F38C9E" w:rsidRPr="00B6196A">
        <w:rPr>
          <w:noProof/>
          <w:highlight w:val="yellow"/>
          <w:lang w:val="en-IE"/>
        </w:rPr>
        <w:t xml:space="preserve">that are </w:t>
      </w:r>
      <w:r w:rsidR="00580C13" w:rsidRPr="00B6196A">
        <w:rPr>
          <w:noProof/>
          <w:highlight w:val="yellow"/>
          <w:lang w:val="en-IE"/>
        </w:rPr>
        <w:t xml:space="preserve">separately collected in accordance with Article 22c(5) </w:t>
      </w:r>
      <w:r w:rsidR="00B5445D" w:rsidRPr="00B6196A">
        <w:rPr>
          <w:noProof/>
          <w:highlight w:val="yellow"/>
          <w:lang w:val="en-IE"/>
        </w:rPr>
        <w:t>are</w:t>
      </w:r>
      <w:r w:rsidR="00580C13" w:rsidRPr="00B6196A">
        <w:rPr>
          <w:noProof/>
          <w:highlight w:val="yellow"/>
          <w:lang w:val="en-IE"/>
        </w:rPr>
        <w:t xml:space="preserve"> subject to sorting operations to ensure the treatment in line with the waste hierarchy established in Article 4(1). </w:t>
      </w:r>
    </w:p>
    <w:p w14:paraId="3D655235" w14:textId="2ADBFC88" w:rsidR="00B5445D" w:rsidRPr="00B6196A" w:rsidRDefault="00384B96" w:rsidP="00384B96">
      <w:pPr>
        <w:pStyle w:val="ManualNumPar1"/>
        <w:rPr>
          <w:noProof/>
          <w:highlight w:val="yellow"/>
          <w:lang w:val="en-IE"/>
        </w:rPr>
      </w:pPr>
      <w:r w:rsidRPr="00B6196A">
        <w:rPr>
          <w:highlight w:val="yellow"/>
        </w:rPr>
        <w:t>5.</w:t>
      </w:r>
      <w:r w:rsidRPr="00B6196A">
        <w:rPr>
          <w:highlight w:val="yellow"/>
        </w:rPr>
        <w:tab/>
      </w:r>
      <w:r w:rsidR="00B5445D" w:rsidRPr="00B6196A">
        <w:rPr>
          <w:noProof/>
          <w:highlight w:val="yellow"/>
          <w:lang w:val="en-IE"/>
        </w:rPr>
        <w:t>Member States shall ensure that sorting operations of used and waste textile, textile-related and footwear products that are separately collected in accordance with Article 22c(5)</w:t>
      </w:r>
      <w:r w:rsidR="0052314D" w:rsidRPr="00B6196A">
        <w:rPr>
          <w:noProof/>
          <w:highlight w:val="yellow"/>
          <w:lang w:val="en-IE"/>
        </w:rPr>
        <w:t xml:space="preserve"> comply with the following requirements</w:t>
      </w:r>
      <w:r w:rsidR="00B5445D" w:rsidRPr="00B6196A">
        <w:rPr>
          <w:noProof/>
          <w:highlight w:val="yellow"/>
          <w:lang w:val="en-IE"/>
        </w:rPr>
        <w:t>:</w:t>
      </w:r>
    </w:p>
    <w:p w14:paraId="6595A7A0" w14:textId="47B94D6C" w:rsidR="00B5445D" w:rsidRPr="00B6196A" w:rsidRDefault="00384B96" w:rsidP="00384B96">
      <w:pPr>
        <w:pStyle w:val="Point1"/>
        <w:rPr>
          <w:noProof/>
          <w:color w:val="000000" w:themeColor="text1"/>
          <w:highlight w:val="yellow"/>
          <w:lang w:val="en-IE"/>
        </w:rPr>
      </w:pPr>
      <w:r w:rsidRPr="00B6196A">
        <w:rPr>
          <w:highlight w:val="yellow"/>
        </w:rPr>
        <w:t>(a)</w:t>
      </w:r>
      <w:r w:rsidRPr="00B6196A">
        <w:rPr>
          <w:highlight w:val="yellow"/>
        </w:rPr>
        <w:tab/>
      </w:r>
      <w:r w:rsidR="00B5445D" w:rsidRPr="00B6196A">
        <w:rPr>
          <w:noProof/>
          <w:highlight w:val="yellow"/>
          <w:lang w:val="en-IE"/>
        </w:rPr>
        <w:t>the</w:t>
      </w:r>
      <w:r w:rsidR="00580C13" w:rsidRPr="00B6196A">
        <w:rPr>
          <w:noProof/>
          <w:highlight w:val="yellow"/>
          <w:lang w:val="en-IE"/>
        </w:rPr>
        <w:t xml:space="preserve"> sorting operation </w:t>
      </w:r>
      <w:r w:rsidR="00B5445D" w:rsidRPr="00B6196A">
        <w:rPr>
          <w:noProof/>
          <w:highlight w:val="yellow"/>
          <w:lang w:val="en-IE"/>
        </w:rPr>
        <w:t>is</w:t>
      </w:r>
      <w:r w:rsidR="00580C13" w:rsidRPr="00B6196A">
        <w:rPr>
          <w:noProof/>
          <w:highlight w:val="yellow"/>
          <w:lang w:val="en-IE"/>
        </w:rPr>
        <w:t xml:space="preserve"> to generate textiles for re-use and preparation for re-use</w:t>
      </w:r>
      <w:r w:rsidR="00B5445D" w:rsidRPr="00B6196A">
        <w:rPr>
          <w:noProof/>
          <w:color w:val="000000" w:themeColor="text1"/>
          <w:highlight w:val="yellow"/>
          <w:lang w:val="en-IE"/>
        </w:rPr>
        <w:t>;</w:t>
      </w:r>
    </w:p>
    <w:p w14:paraId="58BED4C1" w14:textId="54832F45" w:rsidR="00580C13" w:rsidRPr="00B6196A" w:rsidRDefault="00384B96" w:rsidP="00384B96">
      <w:pPr>
        <w:pStyle w:val="Point1"/>
        <w:rPr>
          <w:noProof/>
          <w:highlight w:val="yellow"/>
          <w:lang w:val="en-IE"/>
        </w:rPr>
      </w:pPr>
      <w:r w:rsidRPr="00B6196A">
        <w:rPr>
          <w:highlight w:val="yellow"/>
        </w:rPr>
        <w:t>(b)</w:t>
      </w:r>
      <w:r w:rsidRPr="00B6196A">
        <w:rPr>
          <w:highlight w:val="yellow"/>
        </w:rPr>
        <w:tab/>
      </w:r>
      <w:r w:rsidR="00B5445D" w:rsidRPr="00B6196A">
        <w:rPr>
          <w:noProof/>
          <w:highlight w:val="yellow"/>
          <w:lang w:val="en-IE"/>
        </w:rPr>
        <w:t>s</w:t>
      </w:r>
      <w:r w:rsidR="00580C13" w:rsidRPr="00B6196A">
        <w:rPr>
          <w:noProof/>
          <w:highlight w:val="yellow"/>
          <w:lang w:val="en-IE"/>
        </w:rPr>
        <w:t>orting for re</w:t>
      </w:r>
      <w:r w:rsidR="5FA68143" w:rsidRPr="00B6196A">
        <w:rPr>
          <w:noProof/>
          <w:highlight w:val="yellow"/>
          <w:lang w:val="en-IE"/>
        </w:rPr>
        <w:t>-</w:t>
      </w:r>
      <w:r w:rsidR="00580C13" w:rsidRPr="00B6196A">
        <w:rPr>
          <w:noProof/>
          <w:highlight w:val="yellow"/>
          <w:lang w:val="en-IE"/>
        </w:rPr>
        <w:t>use operations sort textile items at an appropriate level of granularity, separating fractions that are fit for direct re</w:t>
      </w:r>
      <w:r w:rsidR="5D76F2B9" w:rsidRPr="00B6196A">
        <w:rPr>
          <w:noProof/>
          <w:highlight w:val="yellow"/>
          <w:lang w:val="en-IE"/>
        </w:rPr>
        <w:t>-</w:t>
      </w:r>
      <w:r w:rsidR="00580C13" w:rsidRPr="00B6196A">
        <w:rPr>
          <w:noProof/>
          <w:highlight w:val="yellow"/>
          <w:lang w:val="en-IE"/>
        </w:rPr>
        <w:t xml:space="preserve">use from </w:t>
      </w:r>
      <w:r w:rsidR="23CFD7BA" w:rsidRPr="00B6196A">
        <w:rPr>
          <w:noProof/>
          <w:highlight w:val="yellow"/>
          <w:lang w:val="en-IE"/>
        </w:rPr>
        <w:t xml:space="preserve">those </w:t>
      </w:r>
      <w:r w:rsidR="00580C13" w:rsidRPr="00B6196A">
        <w:rPr>
          <w:noProof/>
          <w:highlight w:val="yellow"/>
          <w:lang w:val="en-IE"/>
        </w:rPr>
        <w:t>that are to be subject to further preparation for re</w:t>
      </w:r>
      <w:r w:rsidR="57229786" w:rsidRPr="00B6196A">
        <w:rPr>
          <w:noProof/>
          <w:highlight w:val="yellow"/>
          <w:lang w:val="en-IE"/>
        </w:rPr>
        <w:t>-</w:t>
      </w:r>
      <w:r w:rsidR="00580C13" w:rsidRPr="00B6196A">
        <w:rPr>
          <w:noProof/>
          <w:highlight w:val="yellow"/>
          <w:lang w:val="en-IE"/>
        </w:rPr>
        <w:t>use operations, target a specific re</w:t>
      </w:r>
      <w:r w:rsidR="53087F99" w:rsidRPr="00B6196A">
        <w:rPr>
          <w:noProof/>
          <w:highlight w:val="yellow"/>
          <w:lang w:val="en-IE"/>
        </w:rPr>
        <w:t>-</w:t>
      </w:r>
      <w:r w:rsidR="00580C13" w:rsidRPr="00B6196A">
        <w:rPr>
          <w:noProof/>
          <w:highlight w:val="yellow"/>
          <w:lang w:val="en-IE"/>
        </w:rPr>
        <w:t>use market applying up-to-date sorting criteria relevant to the receiving market</w:t>
      </w:r>
      <w:r w:rsidR="00B5445D" w:rsidRPr="00B6196A">
        <w:rPr>
          <w:noProof/>
          <w:highlight w:val="yellow"/>
          <w:lang w:val="en-IE"/>
        </w:rPr>
        <w:t xml:space="preserve">; </w:t>
      </w:r>
    </w:p>
    <w:p w14:paraId="2BF4D5CB" w14:textId="5057D495" w:rsidR="00580C13" w:rsidRPr="00B6196A" w:rsidRDefault="00384B96" w:rsidP="00384B96">
      <w:pPr>
        <w:pStyle w:val="Point1"/>
        <w:rPr>
          <w:noProof/>
          <w:highlight w:val="yellow"/>
          <w:lang w:val="en-IE"/>
        </w:rPr>
      </w:pPr>
      <w:r w:rsidRPr="00B6196A">
        <w:rPr>
          <w:highlight w:val="yellow"/>
        </w:rPr>
        <w:t>(c)</w:t>
      </w:r>
      <w:r w:rsidRPr="00B6196A">
        <w:rPr>
          <w:highlight w:val="yellow"/>
        </w:rPr>
        <w:tab/>
      </w:r>
      <w:r w:rsidR="00B5445D" w:rsidRPr="00B6196A">
        <w:rPr>
          <w:noProof/>
          <w:highlight w:val="yellow"/>
          <w:lang w:val="en-IE"/>
        </w:rPr>
        <w:t xml:space="preserve">items </w:t>
      </w:r>
      <w:r w:rsidR="00580C13" w:rsidRPr="00B6196A">
        <w:rPr>
          <w:noProof/>
          <w:highlight w:val="yellow"/>
          <w:lang w:val="en-IE"/>
        </w:rPr>
        <w:t xml:space="preserve">that are assessed as not suitable for re-use </w:t>
      </w:r>
      <w:r w:rsidR="00B5445D" w:rsidRPr="00B6196A">
        <w:rPr>
          <w:noProof/>
          <w:highlight w:val="yellow"/>
          <w:lang w:val="en-IE"/>
        </w:rPr>
        <w:t>are</w:t>
      </w:r>
      <w:r w:rsidR="00580C13" w:rsidRPr="00B6196A">
        <w:rPr>
          <w:noProof/>
          <w:highlight w:val="yellow"/>
          <w:lang w:val="en-IE"/>
        </w:rPr>
        <w:t xml:space="preserve"> sorted for recycling</w:t>
      </w:r>
      <w:r w:rsidR="001B4DA8" w:rsidRPr="00B6196A">
        <w:rPr>
          <w:noProof/>
          <w:highlight w:val="yellow"/>
          <w:lang w:val="en-IE"/>
        </w:rPr>
        <w:t xml:space="preserve"> and, where technological progress allows, specifically for fibre-to-fibre recycling</w:t>
      </w:r>
      <w:r w:rsidR="00580C13" w:rsidRPr="00B6196A">
        <w:rPr>
          <w:noProof/>
          <w:highlight w:val="yellow"/>
          <w:lang w:val="en-IE"/>
        </w:rPr>
        <w:t xml:space="preserve">. </w:t>
      </w:r>
    </w:p>
    <w:p w14:paraId="6ABA92E0" w14:textId="3D2BB1FC" w:rsidR="00580C13" w:rsidRPr="00B6196A" w:rsidRDefault="00384B96" w:rsidP="00384B96">
      <w:pPr>
        <w:pStyle w:val="Point1"/>
        <w:rPr>
          <w:noProof/>
          <w:highlight w:val="yellow"/>
          <w:lang w:val="en-IE"/>
        </w:rPr>
      </w:pPr>
      <w:r w:rsidRPr="00B6196A">
        <w:rPr>
          <w:highlight w:val="yellow"/>
        </w:rPr>
        <w:t>(d)</w:t>
      </w:r>
      <w:r w:rsidRPr="00B6196A">
        <w:rPr>
          <w:highlight w:val="yellow"/>
        </w:rPr>
        <w:tab/>
      </w:r>
      <w:r w:rsidR="0052314D" w:rsidRPr="00B6196A">
        <w:rPr>
          <w:noProof/>
          <w:highlight w:val="yellow"/>
          <w:lang w:val="en-IE"/>
        </w:rPr>
        <w:t>t</w:t>
      </w:r>
      <w:r w:rsidR="00580C13" w:rsidRPr="00B6196A">
        <w:rPr>
          <w:noProof/>
          <w:highlight w:val="yellow"/>
          <w:lang w:val="en-IE"/>
        </w:rPr>
        <w:t xml:space="preserve">he output of sorting and subsequent recovery operations </w:t>
      </w:r>
      <w:r w:rsidR="008F4991" w:rsidRPr="00B6196A">
        <w:rPr>
          <w:noProof/>
          <w:highlight w:val="yellow"/>
          <w:lang w:val="en-IE"/>
        </w:rPr>
        <w:t xml:space="preserve">destined for re-use </w:t>
      </w:r>
      <w:r w:rsidR="00580C13" w:rsidRPr="00B6196A">
        <w:rPr>
          <w:noProof/>
          <w:highlight w:val="yellow"/>
          <w:lang w:val="en-IE"/>
        </w:rPr>
        <w:t>meet the criteria for ceasing to be</w:t>
      </w:r>
      <w:r w:rsidR="67164FBB" w:rsidRPr="00B6196A">
        <w:rPr>
          <w:noProof/>
          <w:highlight w:val="yellow"/>
          <w:lang w:val="en-IE"/>
        </w:rPr>
        <w:t xml:space="preserve"> considered as</w:t>
      </w:r>
      <w:r w:rsidR="00580C13" w:rsidRPr="00B6196A">
        <w:rPr>
          <w:noProof/>
          <w:highlight w:val="yellow"/>
          <w:lang w:val="en-IE"/>
        </w:rPr>
        <w:t xml:space="preserve"> waste</w:t>
      </w:r>
      <w:r w:rsidR="5FAC4C1D" w:rsidRPr="00B6196A">
        <w:rPr>
          <w:noProof/>
          <w:highlight w:val="yellow"/>
          <w:lang w:val="en-IE"/>
        </w:rPr>
        <w:t>, as referred to</w:t>
      </w:r>
      <w:r w:rsidR="00580C13" w:rsidRPr="00B6196A">
        <w:rPr>
          <w:noProof/>
          <w:highlight w:val="yellow"/>
          <w:lang w:val="en-IE"/>
        </w:rPr>
        <w:t xml:space="preserve"> in Article 6.</w:t>
      </w:r>
    </w:p>
    <w:p w14:paraId="5CF14D67" w14:textId="3FD08283" w:rsidR="00580C13" w:rsidRPr="00B6196A" w:rsidRDefault="00384B96" w:rsidP="00384B96">
      <w:pPr>
        <w:pStyle w:val="ManualNumPar1"/>
        <w:rPr>
          <w:rFonts w:eastAsia="Calibri"/>
          <w:noProof/>
          <w:szCs w:val="24"/>
          <w:highlight w:val="yellow"/>
          <w:lang w:val="en-IE"/>
        </w:rPr>
      </w:pPr>
      <w:r w:rsidRPr="00B6196A">
        <w:rPr>
          <w:highlight w:val="yellow"/>
        </w:rPr>
        <w:t>6.</w:t>
      </w:r>
      <w:r w:rsidRPr="00B6196A">
        <w:rPr>
          <w:highlight w:val="yellow"/>
        </w:rPr>
        <w:tab/>
      </w:r>
      <w:r w:rsidR="00580C13" w:rsidRPr="00B6196A">
        <w:rPr>
          <w:noProof/>
          <w:highlight w:val="yellow"/>
          <w:lang w:val="en-IE"/>
        </w:rPr>
        <w:t xml:space="preserve">By </w:t>
      </w:r>
      <w:r w:rsidR="24A20824" w:rsidRPr="00B6196A">
        <w:rPr>
          <w:noProof/>
          <w:highlight w:val="yellow"/>
          <w:lang w:val="en-IE"/>
        </w:rPr>
        <w:t>3</w:t>
      </w:r>
      <w:r w:rsidR="00580C13" w:rsidRPr="00B6196A">
        <w:rPr>
          <w:noProof/>
          <w:highlight w:val="yellow"/>
          <w:lang w:val="en-IE"/>
        </w:rPr>
        <w:t xml:space="preserve">1 </w:t>
      </w:r>
      <w:r w:rsidR="53E3FF3B" w:rsidRPr="00B6196A">
        <w:rPr>
          <w:noProof/>
          <w:highlight w:val="yellow"/>
          <w:lang w:val="en-IE"/>
        </w:rPr>
        <w:t>December 2025</w:t>
      </w:r>
      <w:r w:rsidR="00580C13" w:rsidRPr="00B6196A">
        <w:rPr>
          <w:noProof/>
          <w:highlight w:val="yellow"/>
          <w:lang w:val="en-IE"/>
        </w:rPr>
        <w:t xml:space="preserve"> and every </w:t>
      </w:r>
      <w:r w:rsidR="3F9E3FA4" w:rsidRPr="00B6196A">
        <w:rPr>
          <w:noProof/>
          <w:highlight w:val="yellow"/>
          <w:lang w:val="en-IE"/>
        </w:rPr>
        <w:t xml:space="preserve">5 </w:t>
      </w:r>
      <w:r w:rsidR="00580C13" w:rsidRPr="00B6196A">
        <w:rPr>
          <w:noProof/>
          <w:highlight w:val="yellow"/>
          <w:lang w:val="en-IE"/>
        </w:rPr>
        <w:t xml:space="preserve">years thereafter, Member States shall carry out a compositional survey of collected mixed municipal waste to determine the share of </w:t>
      </w:r>
      <w:r w:rsidR="00580C13" w:rsidRPr="00B6196A">
        <w:rPr>
          <w:noProof/>
          <w:highlight w:val="yellow"/>
          <w:lang w:val="en-IE"/>
        </w:rPr>
        <w:lastRenderedPageBreak/>
        <w:t xml:space="preserve">waste textiles therein. </w:t>
      </w:r>
      <w:r w:rsidR="0052314D" w:rsidRPr="00B6196A">
        <w:rPr>
          <w:noProof/>
          <w:highlight w:val="yellow"/>
          <w:lang w:val="en-IE"/>
        </w:rPr>
        <w:t>Member States shall ensure that, o</w:t>
      </w:r>
      <w:r w:rsidR="00580C13" w:rsidRPr="00B6196A">
        <w:rPr>
          <w:noProof/>
          <w:highlight w:val="yellow"/>
          <w:lang w:val="en-IE"/>
        </w:rPr>
        <w:t>n the basis of the information obtained, the competent authorities may require the producer responsibility organisation</w:t>
      </w:r>
      <w:r w:rsidR="6A75557E" w:rsidRPr="00B6196A">
        <w:rPr>
          <w:noProof/>
          <w:highlight w:val="yellow"/>
          <w:lang w:val="en-IE"/>
        </w:rPr>
        <w:t>s to</w:t>
      </w:r>
      <w:r w:rsidR="00580C13" w:rsidRPr="00B6196A">
        <w:rPr>
          <w:noProof/>
          <w:highlight w:val="yellow"/>
          <w:lang w:val="en-IE"/>
        </w:rPr>
        <w:t xml:space="preserve"> take corrective action to increase their network of collection points and carry out information campaigns in accordance with Article 22c(1</w:t>
      </w:r>
      <w:r w:rsidR="00D506F1" w:rsidRPr="00B6196A">
        <w:rPr>
          <w:noProof/>
          <w:highlight w:val="yellow"/>
          <w:lang w:val="en-IE"/>
        </w:rPr>
        <w:t>3</w:t>
      </w:r>
      <w:r w:rsidR="00580C13" w:rsidRPr="00B6196A">
        <w:rPr>
          <w:noProof/>
          <w:highlight w:val="yellow"/>
          <w:lang w:val="en-IE"/>
        </w:rPr>
        <w:t>)</w:t>
      </w:r>
      <w:r w:rsidR="00B43AA8" w:rsidRPr="00B6196A">
        <w:rPr>
          <w:noProof/>
          <w:highlight w:val="yellow"/>
          <w:lang w:val="en-IE"/>
        </w:rPr>
        <w:t xml:space="preserve"> and </w:t>
      </w:r>
      <w:r w:rsidR="00D506F1" w:rsidRPr="00B6196A">
        <w:rPr>
          <w:noProof/>
          <w:highlight w:val="yellow"/>
          <w:lang w:val="en-IE"/>
        </w:rPr>
        <w:t>(14)</w:t>
      </w:r>
      <w:r w:rsidR="00580C13" w:rsidRPr="00B6196A">
        <w:rPr>
          <w:noProof/>
          <w:highlight w:val="yellow"/>
          <w:lang w:val="en-IE"/>
        </w:rPr>
        <w:t>.</w:t>
      </w:r>
    </w:p>
    <w:p w14:paraId="30334734" w14:textId="425B336C" w:rsidR="00580C13" w:rsidRPr="00B6196A" w:rsidRDefault="00384B96" w:rsidP="00384B96">
      <w:pPr>
        <w:pStyle w:val="ManualNumPar1"/>
        <w:rPr>
          <w:noProof/>
          <w:highlight w:val="yellow"/>
          <w:lang w:val="en-IE"/>
        </w:rPr>
      </w:pPr>
      <w:r w:rsidRPr="00B6196A">
        <w:rPr>
          <w:highlight w:val="yellow"/>
        </w:rPr>
        <w:t>7.</w:t>
      </w:r>
      <w:r w:rsidRPr="00B6196A">
        <w:rPr>
          <w:highlight w:val="yellow"/>
        </w:rPr>
        <w:tab/>
      </w:r>
      <w:r w:rsidR="008F56CA" w:rsidRPr="00B6196A">
        <w:rPr>
          <w:noProof/>
          <w:highlight w:val="yellow"/>
          <w:lang w:val="en-IE"/>
        </w:rPr>
        <w:t>Member States shall ensure that, in</w:t>
      </w:r>
      <w:r w:rsidR="00580C13" w:rsidRPr="00B6196A">
        <w:rPr>
          <w:noProof/>
          <w:highlight w:val="yellow"/>
          <w:lang w:val="en-IE"/>
        </w:rPr>
        <w:t xml:space="preserve"> order to distinguish between used and waste textiles, shipments of used textiles</w:t>
      </w:r>
      <w:r w:rsidR="0038405F" w:rsidRPr="00B6196A">
        <w:rPr>
          <w:noProof/>
          <w:highlight w:val="yellow"/>
          <w:lang w:val="en-IE"/>
        </w:rPr>
        <w:t>, textile-related and footwear products</w:t>
      </w:r>
      <w:r w:rsidR="00580C13" w:rsidRPr="00B6196A">
        <w:rPr>
          <w:noProof/>
          <w:highlight w:val="yellow"/>
          <w:lang w:val="en-IE"/>
        </w:rPr>
        <w:t xml:space="preserve"> suspected </w:t>
      </w:r>
      <w:r w:rsidR="00B43AA8" w:rsidRPr="00B6196A">
        <w:rPr>
          <w:noProof/>
          <w:highlight w:val="yellow"/>
          <w:lang w:val="en-IE"/>
        </w:rPr>
        <w:t xml:space="preserve">of </w:t>
      </w:r>
      <w:r w:rsidR="00580C13" w:rsidRPr="00B6196A">
        <w:rPr>
          <w:noProof/>
          <w:highlight w:val="yellow"/>
          <w:lang w:val="en-IE"/>
        </w:rPr>
        <w:t>be</w:t>
      </w:r>
      <w:r w:rsidR="00B43AA8" w:rsidRPr="00B6196A">
        <w:rPr>
          <w:noProof/>
          <w:highlight w:val="yellow"/>
          <w:lang w:val="en-IE"/>
        </w:rPr>
        <w:t>ing</w:t>
      </w:r>
      <w:r w:rsidR="00580C13" w:rsidRPr="00B6196A">
        <w:rPr>
          <w:noProof/>
          <w:highlight w:val="yellow"/>
          <w:lang w:val="en-IE"/>
        </w:rPr>
        <w:t xml:space="preserve"> waste may be inspected by the competent authorities of Member States for compliance with the minimum requirements set out in </w:t>
      </w:r>
      <w:r w:rsidR="0038405F" w:rsidRPr="00B6196A">
        <w:rPr>
          <w:noProof/>
          <w:highlight w:val="yellow"/>
          <w:lang w:val="en-IE"/>
        </w:rPr>
        <w:t xml:space="preserve">paragraphs </w:t>
      </w:r>
      <w:r w:rsidR="00CB12C5" w:rsidRPr="00B6196A">
        <w:rPr>
          <w:noProof/>
          <w:highlight w:val="yellow"/>
          <w:lang w:val="en-IE"/>
        </w:rPr>
        <w:t>8 and 9</w:t>
      </w:r>
      <w:r w:rsidR="00580C13" w:rsidRPr="00B6196A">
        <w:rPr>
          <w:noProof/>
          <w:highlight w:val="yellow"/>
          <w:lang w:val="en-IE"/>
        </w:rPr>
        <w:t xml:space="preserve"> for the shipments of used textile</w:t>
      </w:r>
      <w:r w:rsidR="00B43AA8" w:rsidRPr="00B6196A">
        <w:rPr>
          <w:noProof/>
          <w:highlight w:val="yellow"/>
          <w:lang w:val="en-IE"/>
        </w:rPr>
        <w:t>, textile related and footwear</w:t>
      </w:r>
      <w:r w:rsidR="00580C13" w:rsidRPr="00B6196A">
        <w:rPr>
          <w:noProof/>
          <w:highlight w:val="yellow"/>
          <w:lang w:val="en-IE"/>
        </w:rPr>
        <w:t xml:space="preserve"> products listed in Annex IVc and monitored accordingly.</w:t>
      </w:r>
    </w:p>
    <w:p w14:paraId="3572DE9D" w14:textId="687A9962" w:rsidR="00354149" w:rsidRPr="00B6196A" w:rsidRDefault="00384B96" w:rsidP="00384B96">
      <w:pPr>
        <w:pStyle w:val="ManualNumPar1"/>
        <w:rPr>
          <w:noProof/>
          <w:highlight w:val="yellow"/>
          <w:lang w:val="en-IE"/>
        </w:rPr>
      </w:pPr>
      <w:r w:rsidRPr="00B6196A">
        <w:rPr>
          <w:highlight w:val="yellow"/>
        </w:rPr>
        <w:t>8.</w:t>
      </w:r>
      <w:r w:rsidRPr="00B6196A">
        <w:rPr>
          <w:highlight w:val="yellow"/>
        </w:rPr>
        <w:tab/>
      </w:r>
      <w:r w:rsidR="00354149" w:rsidRPr="00B6196A">
        <w:rPr>
          <w:noProof/>
          <w:highlight w:val="yellow"/>
          <w:lang w:val="en-IE"/>
        </w:rPr>
        <w:t xml:space="preserve">Member States shall </w:t>
      </w:r>
      <w:r w:rsidR="00393F94" w:rsidRPr="00B6196A">
        <w:rPr>
          <w:noProof/>
          <w:highlight w:val="yellow"/>
          <w:lang w:val="en-IE"/>
        </w:rPr>
        <w:t xml:space="preserve">ensure that shipments </w:t>
      </w:r>
      <w:r w:rsidR="000829CE" w:rsidRPr="00B6196A">
        <w:rPr>
          <w:noProof/>
          <w:highlight w:val="yellow"/>
          <w:lang w:val="en-IE"/>
        </w:rPr>
        <w:t xml:space="preserve">arranged on a professional basis </w:t>
      </w:r>
      <w:r w:rsidR="00393F94" w:rsidRPr="00B6196A">
        <w:rPr>
          <w:noProof/>
          <w:highlight w:val="yellow"/>
          <w:lang w:val="en-IE"/>
        </w:rPr>
        <w:t xml:space="preserve">of used textiles, textile-related and footwear products </w:t>
      </w:r>
      <w:r w:rsidR="00577B2F" w:rsidRPr="00B6196A">
        <w:rPr>
          <w:noProof/>
          <w:highlight w:val="yellow"/>
          <w:lang w:val="en-IE"/>
        </w:rPr>
        <w:t xml:space="preserve">comply with the minimum record keeping requirements set out in </w:t>
      </w:r>
      <w:r w:rsidR="0050662E" w:rsidRPr="00B6196A">
        <w:rPr>
          <w:noProof/>
          <w:highlight w:val="yellow"/>
          <w:lang w:val="en-IE"/>
        </w:rPr>
        <w:t xml:space="preserve">paragraph 9 </w:t>
      </w:r>
      <w:r w:rsidR="00577B2F" w:rsidRPr="00B6196A">
        <w:rPr>
          <w:noProof/>
          <w:highlight w:val="yellow"/>
          <w:lang w:val="en-IE"/>
        </w:rPr>
        <w:t>and are accompanied by</w:t>
      </w:r>
      <w:r w:rsidR="00354149" w:rsidRPr="00B6196A">
        <w:rPr>
          <w:noProof/>
          <w:highlight w:val="yellow"/>
          <w:lang w:val="en-IE"/>
        </w:rPr>
        <w:t xml:space="preserve"> </w:t>
      </w:r>
      <w:r w:rsidR="00577B2F" w:rsidRPr="00B6196A">
        <w:rPr>
          <w:noProof/>
          <w:highlight w:val="yellow"/>
          <w:lang w:val="en-IE"/>
        </w:rPr>
        <w:t xml:space="preserve">at least </w:t>
      </w:r>
      <w:r w:rsidR="00354149" w:rsidRPr="00B6196A">
        <w:rPr>
          <w:noProof/>
          <w:highlight w:val="yellow"/>
          <w:lang w:val="en-IE"/>
        </w:rPr>
        <w:t xml:space="preserve">the following </w:t>
      </w:r>
      <w:r w:rsidR="00853CD4" w:rsidRPr="00B6196A">
        <w:rPr>
          <w:noProof/>
          <w:highlight w:val="yellow"/>
          <w:lang w:val="en-IE"/>
        </w:rPr>
        <w:t>information</w:t>
      </w:r>
      <w:r w:rsidR="00354149" w:rsidRPr="00B6196A">
        <w:rPr>
          <w:noProof/>
          <w:highlight w:val="yellow"/>
          <w:lang w:val="en-IE"/>
        </w:rPr>
        <w:t>:</w:t>
      </w:r>
    </w:p>
    <w:p w14:paraId="12D2ECE1" w14:textId="31496A2A" w:rsidR="00354149" w:rsidRPr="00B6196A" w:rsidRDefault="00384B96" w:rsidP="00384B96">
      <w:pPr>
        <w:pStyle w:val="Point1"/>
        <w:rPr>
          <w:noProof/>
          <w:highlight w:val="yellow"/>
          <w:lang w:val="en-IE"/>
        </w:rPr>
      </w:pPr>
      <w:r w:rsidRPr="00B6196A">
        <w:rPr>
          <w:highlight w:val="yellow"/>
        </w:rPr>
        <w:t>(a)</w:t>
      </w:r>
      <w:r w:rsidRPr="00B6196A">
        <w:rPr>
          <w:highlight w:val="yellow"/>
        </w:rPr>
        <w:tab/>
      </w:r>
      <w:r w:rsidR="00354149" w:rsidRPr="00B6196A">
        <w:rPr>
          <w:noProof/>
          <w:highlight w:val="yellow"/>
          <w:lang w:val="en-IE"/>
        </w:rPr>
        <w:t>a copy of the invoice and contract relating to the sale or transfer of ownership of the textiles</w:t>
      </w:r>
      <w:r w:rsidR="00853CD4" w:rsidRPr="00B6196A">
        <w:rPr>
          <w:noProof/>
          <w:highlight w:val="yellow"/>
          <w:lang w:val="en-IE"/>
        </w:rPr>
        <w:t>, textile-related and footwear products</w:t>
      </w:r>
      <w:r w:rsidR="00354149" w:rsidRPr="00B6196A">
        <w:rPr>
          <w:noProof/>
          <w:highlight w:val="yellow"/>
          <w:lang w:val="en-IE"/>
        </w:rPr>
        <w:t xml:space="preserve"> which states that they are destined for direct re-use and that they are fit for direct re-use; </w:t>
      </w:r>
    </w:p>
    <w:p w14:paraId="40D61DEC" w14:textId="48EC6E1F" w:rsidR="00354149" w:rsidRPr="00B6196A" w:rsidRDefault="00384B96" w:rsidP="00384B96">
      <w:pPr>
        <w:pStyle w:val="Point1"/>
        <w:rPr>
          <w:noProof/>
          <w:highlight w:val="yellow"/>
          <w:lang w:val="en-IE"/>
        </w:rPr>
      </w:pPr>
      <w:r w:rsidRPr="00B6196A">
        <w:rPr>
          <w:highlight w:val="yellow"/>
        </w:rPr>
        <w:t>(b)</w:t>
      </w:r>
      <w:r w:rsidRPr="00B6196A">
        <w:rPr>
          <w:highlight w:val="yellow"/>
        </w:rPr>
        <w:tab/>
      </w:r>
      <w:r w:rsidR="00354149" w:rsidRPr="00B6196A">
        <w:rPr>
          <w:noProof/>
          <w:highlight w:val="yellow"/>
          <w:lang w:val="en-IE"/>
        </w:rPr>
        <w:t xml:space="preserve">evidence of a prior sorting operation carried out in accordance with </w:t>
      </w:r>
      <w:r w:rsidR="00853CD4" w:rsidRPr="00B6196A">
        <w:rPr>
          <w:noProof/>
          <w:highlight w:val="yellow"/>
          <w:lang w:val="en-IE"/>
        </w:rPr>
        <w:t xml:space="preserve">this </w:t>
      </w:r>
      <w:r w:rsidR="00354149" w:rsidRPr="00B6196A">
        <w:rPr>
          <w:noProof/>
          <w:highlight w:val="yellow"/>
          <w:lang w:val="en-IE"/>
        </w:rPr>
        <w:t>Article</w:t>
      </w:r>
      <w:r w:rsidR="00853CD4" w:rsidRPr="00B6196A">
        <w:rPr>
          <w:noProof/>
          <w:highlight w:val="yellow"/>
          <w:lang w:val="en-IE"/>
        </w:rPr>
        <w:t xml:space="preserve"> a</w:t>
      </w:r>
      <w:r w:rsidR="00354149" w:rsidRPr="00B6196A">
        <w:rPr>
          <w:noProof/>
          <w:highlight w:val="yellow"/>
          <w:lang w:val="en-IE"/>
        </w:rPr>
        <w:t xml:space="preserve">nd, where available, the criteria adopted pursuant to Article 6(2), in the form of a copy of the records on every bale within the consignment and a protocol containing all record information according to </w:t>
      </w:r>
      <w:r w:rsidR="0050662E" w:rsidRPr="00B6196A">
        <w:rPr>
          <w:noProof/>
          <w:highlight w:val="yellow"/>
          <w:lang w:val="en-IE"/>
        </w:rPr>
        <w:t>paragraph 9</w:t>
      </w:r>
      <w:r w:rsidR="00853CD4" w:rsidRPr="00B6196A">
        <w:rPr>
          <w:noProof/>
          <w:highlight w:val="yellow"/>
          <w:lang w:val="en-IE"/>
        </w:rPr>
        <w:t>;</w:t>
      </w:r>
      <w:r w:rsidR="00354149" w:rsidRPr="00B6196A">
        <w:rPr>
          <w:noProof/>
          <w:highlight w:val="yellow"/>
          <w:lang w:val="en-IE"/>
        </w:rPr>
        <w:t> </w:t>
      </w:r>
    </w:p>
    <w:p w14:paraId="7146CAB0" w14:textId="00333E5F" w:rsidR="00354149" w:rsidRPr="00B6196A" w:rsidRDefault="00384B96" w:rsidP="00384B96">
      <w:pPr>
        <w:pStyle w:val="Point1"/>
        <w:rPr>
          <w:noProof/>
          <w:highlight w:val="yellow"/>
          <w:lang w:val="en-IE"/>
        </w:rPr>
      </w:pPr>
      <w:r w:rsidRPr="00B6196A">
        <w:rPr>
          <w:highlight w:val="yellow"/>
        </w:rPr>
        <w:t>(c)</w:t>
      </w:r>
      <w:r w:rsidRPr="00B6196A">
        <w:rPr>
          <w:highlight w:val="yellow"/>
        </w:rPr>
        <w:tab/>
      </w:r>
      <w:r w:rsidR="00354149" w:rsidRPr="00B6196A">
        <w:rPr>
          <w:noProof/>
          <w:highlight w:val="yellow"/>
          <w:lang w:val="en-IE"/>
        </w:rPr>
        <w:t xml:space="preserve">a declaration made by the </w:t>
      </w:r>
      <w:r w:rsidR="00577B2F" w:rsidRPr="00B6196A">
        <w:rPr>
          <w:noProof/>
          <w:highlight w:val="yellow"/>
          <w:lang w:val="en-IE"/>
        </w:rPr>
        <w:t>natural or legal person in possession of used tex</w:t>
      </w:r>
      <w:r w:rsidR="00815230" w:rsidRPr="00B6196A">
        <w:rPr>
          <w:noProof/>
          <w:highlight w:val="yellow"/>
          <w:lang w:val="en-IE"/>
        </w:rPr>
        <w:t>t</w:t>
      </w:r>
      <w:r w:rsidR="00577B2F" w:rsidRPr="00B6196A">
        <w:rPr>
          <w:noProof/>
          <w:highlight w:val="yellow"/>
          <w:lang w:val="en-IE"/>
        </w:rPr>
        <w:t>iles, textile-related or footwear products that</w:t>
      </w:r>
      <w:r w:rsidR="00354149" w:rsidRPr="00B6196A">
        <w:rPr>
          <w:noProof/>
          <w:highlight w:val="yellow"/>
          <w:lang w:val="en-IE"/>
        </w:rPr>
        <w:t xml:space="preserve"> arranges</w:t>
      </w:r>
      <w:r w:rsidR="00927916" w:rsidRPr="00B6196A">
        <w:rPr>
          <w:noProof/>
          <w:highlight w:val="yellow"/>
          <w:lang w:val="en-IE"/>
        </w:rPr>
        <w:t>,</w:t>
      </w:r>
      <w:r w:rsidR="00354149" w:rsidRPr="00B6196A">
        <w:rPr>
          <w:noProof/>
          <w:highlight w:val="yellow"/>
          <w:lang w:val="en-IE"/>
        </w:rPr>
        <w:t xml:space="preserve"> </w:t>
      </w:r>
      <w:r w:rsidR="009156BD" w:rsidRPr="00B6196A">
        <w:rPr>
          <w:noProof/>
          <w:highlight w:val="yellow"/>
          <w:lang w:val="en-IE"/>
        </w:rPr>
        <w:t>on a professional basis</w:t>
      </w:r>
      <w:r w:rsidR="00927916" w:rsidRPr="00B6196A">
        <w:rPr>
          <w:noProof/>
          <w:highlight w:val="yellow"/>
          <w:lang w:val="en-IE"/>
        </w:rPr>
        <w:t>,</w:t>
      </w:r>
      <w:r w:rsidR="009156BD" w:rsidRPr="00B6196A">
        <w:rPr>
          <w:noProof/>
          <w:highlight w:val="yellow"/>
          <w:lang w:val="en-IE"/>
        </w:rPr>
        <w:t xml:space="preserve"> </w:t>
      </w:r>
      <w:r w:rsidR="00354149" w:rsidRPr="00B6196A">
        <w:rPr>
          <w:noProof/>
          <w:highlight w:val="yellow"/>
          <w:lang w:val="en-IE"/>
        </w:rPr>
        <w:t>the transport of used textiles</w:t>
      </w:r>
      <w:r w:rsidR="00853CD4" w:rsidRPr="00B6196A">
        <w:rPr>
          <w:noProof/>
          <w:highlight w:val="yellow"/>
          <w:lang w:val="en-IE"/>
        </w:rPr>
        <w:t>, textile-related and footwear products</w:t>
      </w:r>
      <w:r w:rsidR="00354149" w:rsidRPr="00B6196A">
        <w:rPr>
          <w:noProof/>
          <w:highlight w:val="yellow"/>
          <w:lang w:val="en-IE"/>
        </w:rPr>
        <w:t xml:space="preserve"> that none of the material within the consignment is waste as defined by Article 3(1);  </w:t>
      </w:r>
    </w:p>
    <w:p w14:paraId="43DAA79E" w14:textId="1ED583F0" w:rsidR="00354149" w:rsidRPr="00B6196A" w:rsidRDefault="00384B96" w:rsidP="00384B96">
      <w:pPr>
        <w:pStyle w:val="Point1"/>
        <w:rPr>
          <w:noProof/>
          <w:highlight w:val="yellow"/>
          <w:lang w:val="en-IE"/>
        </w:rPr>
      </w:pPr>
      <w:r w:rsidRPr="00B6196A">
        <w:rPr>
          <w:highlight w:val="yellow"/>
        </w:rPr>
        <w:t>(d)</w:t>
      </w:r>
      <w:r w:rsidRPr="00B6196A">
        <w:rPr>
          <w:highlight w:val="yellow"/>
        </w:rPr>
        <w:tab/>
      </w:r>
      <w:r w:rsidR="00354149" w:rsidRPr="00B6196A">
        <w:rPr>
          <w:noProof/>
          <w:highlight w:val="yellow"/>
          <w:lang w:val="en-IE"/>
        </w:rPr>
        <w:t>appropriate protection against damage during transportation, loading and unloading, in particular, through sufficient packaging and appropriate stacking of the load. </w:t>
      </w:r>
    </w:p>
    <w:p w14:paraId="3983AC13" w14:textId="6B75BCB6" w:rsidR="00CB12C5" w:rsidRPr="00B6196A" w:rsidRDefault="00384B96" w:rsidP="00384B96">
      <w:pPr>
        <w:pStyle w:val="ManualNumPar1"/>
        <w:rPr>
          <w:noProof/>
          <w:highlight w:val="yellow"/>
          <w:lang w:val="en-IE"/>
        </w:rPr>
      </w:pPr>
      <w:r w:rsidRPr="00B6196A">
        <w:rPr>
          <w:highlight w:val="yellow"/>
        </w:rPr>
        <w:t>9.</w:t>
      </w:r>
      <w:r w:rsidRPr="00B6196A">
        <w:rPr>
          <w:highlight w:val="yellow"/>
        </w:rPr>
        <w:tab/>
      </w:r>
      <w:r w:rsidR="0050662E" w:rsidRPr="00B6196A">
        <w:rPr>
          <w:noProof/>
          <w:highlight w:val="yellow"/>
          <w:lang w:val="en-IE"/>
        </w:rPr>
        <w:t xml:space="preserve">Member States shall ensure that shipments of used textiles, textile-related and footwear products comply with the </w:t>
      </w:r>
      <w:r w:rsidR="00AD6ABB" w:rsidRPr="00B6196A">
        <w:rPr>
          <w:noProof/>
          <w:highlight w:val="yellow"/>
          <w:lang w:val="en-IE"/>
        </w:rPr>
        <w:t xml:space="preserve">following </w:t>
      </w:r>
      <w:r w:rsidR="0050662E" w:rsidRPr="00B6196A">
        <w:rPr>
          <w:noProof/>
          <w:highlight w:val="yellow"/>
          <w:lang w:val="en-IE"/>
        </w:rPr>
        <w:t>minimum record keeping requirements:</w:t>
      </w:r>
    </w:p>
    <w:p w14:paraId="72EB139E" w14:textId="7D5971F5" w:rsidR="0050662E" w:rsidRPr="00B6196A" w:rsidRDefault="00384B96" w:rsidP="00384B96">
      <w:pPr>
        <w:pStyle w:val="Point1"/>
        <w:rPr>
          <w:noProof/>
          <w:highlight w:val="yellow"/>
          <w:lang w:val="en-IE"/>
        </w:rPr>
      </w:pPr>
      <w:r w:rsidRPr="00B6196A">
        <w:rPr>
          <w:highlight w:val="yellow"/>
        </w:rPr>
        <w:t>(a)</w:t>
      </w:r>
      <w:r w:rsidRPr="00B6196A">
        <w:rPr>
          <w:highlight w:val="yellow"/>
        </w:rPr>
        <w:tab/>
      </w:r>
      <w:r w:rsidR="0050662E" w:rsidRPr="00B6196A">
        <w:rPr>
          <w:noProof/>
          <w:highlight w:val="yellow"/>
          <w:lang w:val="en-IE"/>
        </w:rPr>
        <w:t>the record of the sorting or preparation for re-use operations shall be fixed securely but not permanently on the packaging; </w:t>
      </w:r>
    </w:p>
    <w:p w14:paraId="3F5C76A1" w14:textId="77777777" w:rsidR="0050662E" w:rsidRPr="00B6196A" w:rsidRDefault="0050662E" w:rsidP="0050662E">
      <w:pPr>
        <w:spacing w:after="0"/>
        <w:ind w:left="1410" w:hanging="555"/>
        <w:textAlignment w:val="baseline"/>
        <w:rPr>
          <w:rFonts w:ascii="Segoe UI" w:eastAsia="Times New Roman" w:hAnsi="Segoe UI" w:cs="Segoe UI"/>
          <w:noProof/>
          <w:sz w:val="18"/>
          <w:szCs w:val="18"/>
          <w:highlight w:val="yellow"/>
          <w:lang w:val="en-IE" w:eastAsia="en-IE"/>
        </w:rPr>
      </w:pPr>
      <w:r w:rsidRPr="00B6196A">
        <w:rPr>
          <w:rFonts w:eastAsia="Times New Roman"/>
          <w:noProof/>
          <w:szCs w:val="24"/>
          <w:highlight w:val="yellow"/>
          <w:lang w:eastAsia="en-IE"/>
        </w:rPr>
        <w:t>(b)</w:t>
      </w:r>
      <w:r w:rsidRPr="00B6196A">
        <w:rPr>
          <w:rFonts w:ascii="Calibri" w:eastAsia="Times New Roman" w:hAnsi="Calibri" w:cs="Calibri"/>
          <w:noProof/>
          <w:szCs w:val="24"/>
          <w:highlight w:val="yellow"/>
          <w:lang w:val="en-IE" w:eastAsia="en-IE"/>
        </w:rPr>
        <w:tab/>
      </w:r>
      <w:r w:rsidRPr="00B6196A">
        <w:rPr>
          <w:rFonts w:eastAsia="Times New Roman"/>
          <w:noProof/>
          <w:szCs w:val="24"/>
          <w:highlight w:val="yellow"/>
          <w:lang w:eastAsia="en-IE"/>
        </w:rPr>
        <w:t>the record shall contain the following information:</w:t>
      </w:r>
      <w:r w:rsidRPr="00B6196A">
        <w:rPr>
          <w:rFonts w:eastAsia="Times New Roman"/>
          <w:noProof/>
          <w:szCs w:val="24"/>
          <w:highlight w:val="yellow"/>
          <w:lang w:val="en-IE" w:eastAsia="en-IE"/>
        </w:rPr>
        <w:t> </w:t>
      </w:r>
    </w:p>
    <w:p w14:paraId="593FDD6C" w14:textId="2F58D112" w:rsidR="0050662E" w:rsidRPr="00B6196A" w:rsidRDefault="00384B96" w:rsidP="00384B96">
      <w:pPr>
        <w:pStyle w:val="Point2"/>
        <w:rPr>
          <w:rFonts w:ascii="Segoe UI" w:hAnsi="Segoe UI" w:cs="Segoe UI"/>
          <w:noProof/>
          <w:sz w:val="18"/>
          <w:szCs w:val="18"/>
          <w:highlight w:val="yellow"/>
          <w:lang w:val="en-IE" w:eastAsia="en-IE"/>
        </w:rPr>
      </w:pPr>
      <w:r w:rsidRPr="00B6196A">
        <w:rPr>
          <w:highlight w:val="yellow"/>
        </w:rPr>
        <w:t>(1)</w:t>
      </w:r>
      <w:r w:rsidRPr="00B6196A">
        <w:rPr>
          <w:highlight w:val="yellow"/>
        </w:rPr>
        <w:tab/>
      </w:r>
      <w:r w:rsidR="0050662E" w:rsidRPr="00B6196A">
        <w:rPr>
          <w:noProof/>
          <w:highlight w:val="yellow"/>
          <w:lang w:eastAsia="en-IE"/>
        </w:rPr>
        <w:t>a description of the item or items present in the bale reflecting the most detailed sorting granularity that the textile items have undergone during the sorting or preparation for re-use operations such as type of clothes, size, colour, gender, material composition,</w:t>
      </w:r>
      <w:r w:rsidR="0050662E" w:rsidRPr="00B6196A">
        <w:rPr>
          <w:noProof/>
          <w:highlight w:val="yellow"/>
          <w:lang w:val="en-IE" w:eastAsia="en-IE"/>
        </w:rPr>
        <w:t> </w:t>
      </w:r>
    </w:p>
    <w:p w14:paraId="53926566" w14:textId="4C9FF3CD" w:rsidR="0050662E" w:rsidRPr="00B6196A" w:rsidRDefault="00384B96" w:rsidP="00384B96">
      <w:pPr>
        <w:pStyle w:val="Point2"/>
        <w:rPr>
          <w:noProof/>
          <w:highlight w:val="yellow"/>
          <w:lang w:val="en-IE" w:eastAsia="en-IE"/>
        </w:rPr>
      </w:pPr>
      <w:r w:rsidRPr="00B6196A">
        <w:rPr>
          <w:highlight w:val="yellow"/>
        </w:rPr>
        <w:t>(2)</w:t>
      </w:r>
      <w:r w:rsidRPr="00B6196A">
        <w:rPr>
          <w:highlight w:val="yellow"/>
        </w:rPr>
        <w:tab/>
      </w:r>
      <w:r w:rsidR="0050662E" w:rsidRPr="00B6196A">
        <w:rPr>
          <w:noProof/>
          <w:highlight w:val="yellow"/>
          <w:lang w:val="en-IE" w:eastAsia="en-IE"/>
        </w:rPr>
        <w:t>the name and address of the company responsible for the final sorting or preparation for re-use.</w:t>
      </w:r>
    </w:p>
    <w:p w14:paraId="2D63997B" w14:textId="5F3D457F" w:rsidR="00580C13" w:rsidRPr="00B6196A" w:rsidRDefault="00384B96" w:rsidP="00384B96">
      <w:pPr>
        <w:pStyle w:val="ManualNumPar1"/>
        <w:rPr>
          <w:noProof/>
          <w:highlight w:val="yellow"/>
          <w:lang w:val="en-IE"/>
        </w:rPr>
      </w:pPr>
      <w:r w:rsidRPr="00B6196A">
        <w:rPr>
          <w:highlight w:val="yellow"/>
        </w:rPr>
        <w:t>10.</w:t>
      </w:r>
      <w:r w:rsidRPr="00B6196A">
        <w:rPr>
          <w:highlight w:val="yellow"/>
        </w:rPr>
        <w:tab/>
      </w:r>
      <w:r w:rsidR="008F56CA" w:rsidRPr="00B6196A">
        <w:rPr>
          <w:noProof/>
          <w:highlight w:val="yellow"/>
          <w:lang w:val="en-IE"/>
        </w:rPr>
        <w:t>Member States shall ensure that, w</w:t>
      </w:r>
      <w:r w:rsidR="00580C13" w:rsidRPr="00B6196A">
        <w:rPr>
          <w:noProof/>
          <w:highlight w:val="yellow"/>
          <w:lang w:val="en-IE"/>
        </w:rPr>
        <w:t>here the competent authorities in a Member State establish that an intended shipment of used textiles</w:t>
      </w:r>
      <w:r w:rsidR="00577B2F" w:rsidRPr="00B6196A">
        <w:rPr>
          <w:noProof/>
          <w:highlight w:val="yellow"/>
          <w:lang w:val="en-IE"/>
        </w:rPr>
        <w:t>, textile-related and footwear</w:t>
      </w:r>
      <w:r w:rsidR="00580C13" w:rsidRPr="00B6196A">
        <w:rPr>
          <w:noProof/>
          <w:highlight w:val="yellow"/>
          <w:lang w:val="en-IE"/>
        </w:rPr>
        <w:t xml:space="preserve"> consists of waste, the costs of appropriate analyses, inspections and storage of used textiles</w:t>
      </w:r>
      <w:r w:rsidR="00577B2F" w:rsidRPr="00B6196A">
        <w:rPr>
          <w:noProof/>
          <w:highlight w:val="yellow"/>
          <w:lang w:val="en-IE"/>
        </w:rPr>
        <w:t>, textile-related and footwear</w:t>
      </w:r>
      <w:r w:rsidR="00580C13" w:rsidRPr="00B6196A">
        <w:rPr>
          <w:noProof/>
          <w:highlight w:val="yellow"/>
          <w:lang w:val="en-IE"/>
        </w:rPr>
        <w:t xml:space="preserve"> suspected </w:t>
      </w:r>
      <w:r w:rsidR="00577B2F" w:rsidRPr="00B6196A">
        <w:rPr>
          <w:noProof/>
          <w:highlight w:val="yellow"/>
          <w:lang w:val="en-IE"/>
        </w:rPr>
        <w:t xml:space="preserve">of </w:t>
      </w:r>
      <w:r w:rsidR="00580C13" w:rsidRPr="00B6196A">
        <w:rPr>
          <w:noProof/>
          <w:highlight w:val="yellow"/>
          <w:lang w:val="en-IE"/>
        </w:rPr>
        <w:t>be</w:t>
      </w:r>
      <w:r w:rsidR="00577B2F" w:rsidRPr="00B6196A">
        <w:rPr>
          <w:noProof/>
          <w:highlight w:val="yellow"/>
          <w:lang w:val="en-IE"/>
        </w:rPr>
        <w:t>ing</w:t>
      </w:r>
      <w:r w:rsidR="00580C13" w:rsidRPr="00B6196A">
        <w:rPr>
          <w:noProof/>
          <w:highlight w:val="yellow"/>
          <w:lang w:val="en-IE"/>
        </w:rPr>
        <w:t xml:space="preserve"> waste may be charged to the producers</w:t>
      </w:r>
      <w:r w:rsidR="14FACC7D" w:rsidRPr="00B6196A">
        <w:rPr>
          <w:noProof/>
          <w:highlight w:val="yellow"/>
          <w:lang w:val="en-IE"/>
        </w:rPr>
        <w:t xml:space="preserve"> of tex</w:t>
      </w:r>
      <w:r w:rsidR="00B24CA9" w:rsidRPr="00B6196A">
        <w:rPr>
          <w:noProof/>
          <w:highlight w:val="yellow"/>
          <w:lang w:val="en-IE"/>
        </w:rPr>
        <w:t>tile</w:t>
      </w:r>
      <w:r w:rsidR="14FACC7D" w:rsidRPr="00B6196A">
        <w:rPr>
          <w:noProof/>
          <w:highlight w:val="yellow"/>
          <w:lang w:val="en-IE"/>
        </w:rPr>
        <w:t>, textile-related and footwear products listed in Annex IVc</w:t>
      </w:r>
      <w:r w:rsidR="00580C13" w:rsidRPr="00B6196A">
        <w:rPr>
          <w:noProof/>
          <w:highlight w:val="yellow"/>
          <w:lang w:val="en-IE"/>
        </w:rPr>
        <w:t>, to third parties acting on their behalf or to other persons arranging the shipment.</w:t>
      </w:r>
    </w:p>
    <w:p w14:paraId="6103C445" w14:textId="299178F1" w:rsidR="00B24CA9" w:rsidRPr="00B6196A" w:rsidRDefault="063B0436" w:rsidP="00B24CA9">
      <w:pPr>
        <w:pStyle w:val="Text1"/>
        <w:rPr>
          <w:noProof/>
          <w:highlight w:val="yellow"/>
          <w:lang w:val="en-IE"/>
        </w:rPr>
      </w:pPr>
      <w:r w:rsidRPr="00B6196A">
        <w:rPr>
          <w:noProof/>
          <w:highlight w:val="yellow"/>
          <w:lang w:val="en-IE"/>
        </w:rPr>
        <w:lastRenderedPageBreak/>
        <w:t>*</w:t>
      </w:r>
      <w:r w:rsidR="7B91D415" w:rsidRPr="00B6196A">
        <w:rPr>
          <w:noProof/>
          <w:highlight w:val="yellow"/>
          <w:lang w:val="en-IE"/>
        </w:rPr>
        <w:t xml:space="preserve"> Council Regulation (EEC) No 2658/87 of 23 July 1987 on the tariff and statistical nomenclature and on the Common Customs Tariff (OJ L 256, 7.9.1987, p. 1).</w:t>
      </w:r>
    </w:p>
    <w:p w14:paraId="688D7AEF" w14:textId="416F341E" w:rsidR="7B91D415" w:rsidRPr="00B6196A" w:rsidRDefault="063B0436" w:rsidP="00B24CA9">
      <w:pPr>
        <w:pStyle w:val="Text1"/>
        <w:rPr>
          <w:noProof/>
          <w:highlight w:val="yellow"/>
          <w:lang w:val="en-IE"/>
        </w:rPr>
      </w:pPr>
      <w:r w:rsidRPr="00B6196A">
        <w:rPr>
          <w:noProof/>
          <w:highlight w:val="yellow"/>
          <w:lang w:val="en-IE"/>
        </w:rPr>
        <w:t>*</w:t>
      </w:r>
      <w:r w:rsidR="29118E0B" w:rsidRPr="00B6196A">
        <w:rPr>
          <w:noProof/>
          <w:highlight w:val="yellow"/>
          <w:lang w:val="en-IE"/>
        </w:rPr>
        <w:t>*</w:t>
      </w:r>
      <w:r w:rsidR="7B91D415" w:rsidRPr="00B6196A">
        <w:rPr>
          <w:noProof/>
          <w:highlight w:val="yellow"/>
          <w:lang w:val="en-IE"/>
        </w:rPr>
        <w:t xml:space="preserve"> Regulation …/… (OJ …..p. ) [P</w:t>
      </w:r>
      <w:r w:rsidR="4A736345" w:rsidRPr="00B6196A">
        <w:rPr>
          <w:noProof/>
          <w:highlight w:val="yellow"/>
          <w:lang w:val="en-IE"/>
        </w:rPr>
        <w:t>.</w:t>
      </w:r>
      <w:r w:rsidR="7B91D415" w:rsidRPr="00B6196A">
        <w:rPr>
          <w:noProof/>
          <w:highlight w:val="yellow"/>
          <w:lang w:val="en-IE"/>
        </w:rPr>
        <w:t>O</w:t>
      </w:r>
      <w:r w:rsidR="05FE5503" w:rsidRPr="00B6196A">
        <w:rPr>
          <w:noProof/>
          <w:highlight w:val="yellow"/>
          <w:lang w:val="en-IE"/>
        </w:rPr>
        <w:t>.</w:t>
      </w:r>
      <w:r w:rsidR="7B91D415" w:rsidRPr="00B6196A">
        <w:rPr>
          <w:noProof/>
          <w:highlight w:val="yellow"/>
          <w:lang w:val="en-IE"/>
        </w:rPr>
        <w:t xml:space="preserve"> insert the publication details for the Ecodesign for Sustainable Products </w:t>
      </w:r>
      <w:r w:rsidR="1E7AE0D7" w:rsidRPr="00B6196A">
        <w:rPr>
          <w:noProof/>
          <w:highlight w:val="yellow"/>
          <w:lang w:val="en-IE"/>
        </w:rPr>
        <w:t>R</w:t>
      </w:r>
      <w:r w:rsidR="7B91D415" w:rsidRPr="00B6196A">
        <w:rPr>
          <w:noProof/>
          <w:highlight w:val="yellow"/>
          <w:lang w:val="en-IE"/>
        </w:rPr>
        <w:t>egulation]’;</w:t>
      </w:r>
    </w:p>
    <w:p w14:paraId="16B203EF" w14:textId="77777777" w:rsidR="00817D9C" w:rsidRPr="00B6196A" w:rsidRDefault="002A14C6" w:rsidP="0020411B">
      <w:pPr>
        <w:pStyle w:val="ListNumber1"/>
        <w:rPr>
          <w:noProof/>
          <w:highlight w:val="yellow"/>
          <w:lang w:val="en-IE"/>
        </w:rPr>
      </w:pPr>
      <w:r w:rsidRPr="00B6196A">
        <w:rPr>
          <w:noProof/>
          <w:highlight w:val="yellow"/>
          <w:lang w:val="en-IE"/>
        </w:rPr>
        <w:t>i</w:t>
      </w:r>
      <w:r w:rsidR="004E5F39" w:rsidRPr="00B6196A">
        <w:rPr>
          <w:noProof/>
          <w:highlight w:val="yellow"/>
          <w:lang w:val="en-IE"/>
        </w:rPr>
        <w:t>n Article 29, paragraph 2a is deleted.</w:t>
      </w:r>
    </w:p>
    <w:p w14:paraId="464DAAE3" w14:textId="77777777" w:rsidR="004E5F39" w:rsidRPr="00FA14CE" w:rsidRDefault="002A14C6" w:rsidP="0020411B">
      <w:pPr>
        <w:pStyle w:val="ListNumber1"/>
        <w:rPr>
          <w:noProof/>
          <w:lang w:val="en-IE"/>
        </w:rPr>
      </w:pPr>
      <w:r w:rsidRPr="00FA14CE">
        <w:rPr>
          <w:noProof/>
          <w:lang w:val="en-IE"/>
        </w:rPr>
        <w:t>t</w:t>
      </w:r>
      <w:r w:rsidR="004E5F39" w:rsidRPr="00FA14CE">
        <w:rPr>
          <w:noProof/>
          <w:lang w:val="en-IE"/>
        </w:rPr>
        <w:t>he following Article 29a is inserted</w:t>
      </w:r>
      <w:r w:rsidR="00EF684D" w:rsidRPr="00FA14CE">
        <w:rPr>
          <w:noProof/>
          <w:lang w:val="en-IE"/>
        </w:rPr>
        <w:t>:</w:t>
      </w:r>
    </w:p>
    <w:p w14:paraId="2CA18FBF" w14:textId="77777777" w:rsidR="00EF684D" w:rsidRPr="00FA14CE" w:rsidRDefault="65C314A3" w:rsidP="00EF684D">
      <w:pPr>
        <w:pStyle w:val="Titrearticle"/>
        <w:rPr>
          <w:noProof/>
          <w:lang w:val="en-IE"/>
        </w:rPr>
      </w:pPr>
      <w:r w:rsidRPr="00FA14CE">
        <w:rPr>
          <w:noProof/>
          <w:lang w:val="en-IE"/>
        </w:rPr>
        <w:t>‘</w:t>
      </w:r>
      <w:r w:rsidR="00EF684D" w:rsidRPr="00FA14CE">
        <w:rPr>
          <w:noProof/>
          <w:lang w:val="en-IE"/>
        </w:rPr>
        <w:t>Article 29a</w:t>
      </w:r>
    </w:p>
    <w:p w14:paraId="4D145E97" w14:textId="77777777" w:rsidR="00EF684D" w:rsidRPr="00FA14CE" w:rsidRDefault="00EF684D" w:rsidP="00EF684D">
      <w:pPr>
        <w:pStyle w:val="Titrearticle"/>
        <w:rPr>
          <w:b/>
          <w:bCs/>
          <w:i w:val="0"/>
          <w:iCs/>
          <w:noProof/>
          <w:lang w:val="en-IE"/>
        </w:rPr>
      </w:pPr>
      <w:r w:rsidRPr="00FA14CE">
        <w:rPr>
          <w:b/>
          <w:bCs/>
          <w:i w:val="0"/>
          <w:iCs/>
          <w:noProof/>
          <w:lang w:val="en-IE"/>
        </w:rPr>
        <w:t>Food waste prevention programmes</w:t>
      </w:r>
    </w:p>
    <w:p w14:paraId="217D9648" w14:textId="2197FFCE" w:rsidR="00EF684D" w:rsidRPr="00FA14CE" w:rsidRDefault="00384B96" w:rsidP="00384B96">
      <w:pPr>
        <w:pStyle w:val="ManualNumPar1"/>
        <w:rPr>
          <w:noProof/>
          <w:lang w:val="en-IE"/>
        </w:rPr>
      </w:pPr>
      <w:r w:rsidRPr="00FA14CE">
        <w:t>1.</w:t>
      </w:r>
      <w:r w:rsidRPr="00FA14CE">
        <w:tab/>
      </w:r>
      <w:r w:rsidR="00480860" w:rsidRPr="00FA14CE">
        <w:rPr>
          <w:noProof/>
          <w:lang w:val="en-IE"/>
        </w:rPr>
        <w:t>By [</w:t>
      </w:r>
      <w:r w:rsidR="009E586B" w:rsidRPr="00FA14CE">
        <w:rPr>
          <w:i/>
          <w:noProof/>
          <w:lang w:val="en-IE"/>
        </w:rPr>
        <w:t xml:space="preserve">P.O. </w:t>
      </w:r>
      <w:r w:rsidR="66058A5F" w:rsidRPr="00FA14CE">
        <w:rPr>
          <w:i/>
          <w:noProof/>
          <w:lang w:val="en-IE"/>
        </w:rPr>
        <w:t>i</w:t>
      </w:r>
      <w:r w:rsidR="00480860" w:rsidRPr="00FA14CE">
        <w:rPr>
          <w:i/>
          <w:iCs/>
          <w:noProof/>
          <w:lang w:val="en-IE"/>
        </w:rPr>
        <w:t>nsert date of</w:t>
      </w:r>
      <w:r w:rsidR="00EF684D" w:rsidRPr="00FA14CE">
        <w:rPr>
          <w:i/>
          <w:iCs/>
          <w:noProof/>
          <w:lang w:val="en-IE"/>
        </w:rPr>
        <w:t xml:space="preserve"> two years after entry into force </w:t>
      </w:r>
      <w:r w:rsidR="00480860" w:rsidRPr="00FA14CE">
        <w:rPr>
          <w:i/>
          <w:iCs/>
          <w:noProof/>
          <w:lang w:val="en-IE"/>
        </w:rPr>
        <w:t>of this amending Directive</w:t>
      </w:r>
      <w:r w:rsidR="00EF684D" w:rsidRPr="00FA14CE">
        <w:rPr>
          <w:noProof/>
          <w:lang w:val="en-IE"/>
        </w:rPr>
        <w:t xml:space="preserve">], Member States shall review and adapt their food waste prevention programmes, with a view of attaining the targets </w:t>
      </w:r>
      <w:r w:rsidR="00480860" w:rsidRPr="00FA14CE">
        <w:rPr>
          <w:noProof/>
          <w:lang w:val="en-IE"/>
        </w:rPr>
        <w:t>provided</w:t>
      </w:r>
      <w:r w:rsidR="00EF684D" w:rsidRPr="00FA14CE">
        <w:rPr>
          <w:noProof/>
          <w:lang w:val="en-IE"/>
        </w:rPr>
        <w:t xml:space="preserve"> </w:t>
      </w:r>
      <w:r w:rsidR="009E586B" w:rsidRPr="00FA14CE">
        <w:rPr>
          <w:noProof/>
          <w:lang w:val="en-IE"/>
        </w:rPr>
        <w:t xml:space="preserve">for </w:t>
      </w:r>
      <w:r w:rsidR="00EF684D" w:rsidRPr="00FA14CE">
        <w:rPr>
          <w:noProof/>
          <w:lang w:val="en-IE"/>
        </w:rPr>
        <w:t>in Article 9a(4). Those programmes shall at least contain the measures laid down in Article 9(1) and 9a(1)) and, where relevant, the measures listed in Annex</w:t>
      </w:r>
      <w:r w:rsidR="009E586B" w:rsidRPr="00FA14CE">
        <w:rPr>
          <w:noProof/>
          <w:lang w:val="en-IE"/>
        </w:rPr>
        <w:t>es</w:t>
      </w:r>
      <w:r w:rsidR="00EF684D" w:rsidRPr="00FA14CE">
        <w:rPr>
          <w:noProof/>
          <w:lang w:val="en-IE"/>
        </w:rPr>
        <w:t xml:space="preserve"> IV and IVa.</w:t>
      </w:r>
    </w:p>
    <w:p w14:paraId="69FB104F" w14:textId="266591D3" w:rsidR="00EF684D" w:rsidRPr="00FA14CE" w:rsidRDefault="00384B96" w:rsidP="00384B96">
      <w:pPr>
        <w:pStyle w:val="ManualNumPar1"/>
        <w:rPr>
          <w:noProof/>
          <w:lang w:val="en-IE"/>
        </w:rPr>
      </w:pPr>
      <w:r w:rsidRPr="00FA14CE">
        <w:t>2.</w:t>
      </w:r>
      <w:r w:rsidRPr="00FA14CE">
        <w:tab/>
      </w:r>
      <w:r w:rsidR="00EF684D" w:rsidRPr="00FA14CE">
        <w:rPr>
          <w:noProof/>
          <w:lang w:val="en-IE"/>
        </w:rPr>
        <w:t xml:space="preserve">Each Member State shall designate the competent authorities responsible for the coordination of the food waste reduction measures implemented in order to reach the target set </w:t>
      </w:r>
      <w:r w:rsidR="00D1760A" w:rsidRPr="00FA14CE">
        <w:rPr>
          <w:noProof/>
          <w:lang w:val="en-IE"/>
        </w:rPr>
        <w:t xml:space="preserve">out </w:t>
      </w:r>
      <w:r w:rsidR="00EF684D" w:rsidRPr="00FA14CE">
        <w:rPr>
          <w:noProof/>
          <w:lang w:val="en-IE"/>
        </w:rPr>
        <w:t xml:space="preserve">in Article 9a(4) and inform accordingly the Commission </w:t>
      </w:r>
      <w:r w:rsidR="00480860" w:rsidRPr="00FA14CE">
        <w:rPr>
          <w:noProof/>
          <w:lang w:val="en-IE"/>
        </w:rPr>
        <w:t>by [</w:t>
      </w:r>
      <w:r w:rsidR="009E586B" w:rsidRPr="00FA14CE">
        <w:rPr>
          <w:i/>
          <w:noProof/>
          <w:lang w:val="en-IE"/>
        </w:rPr>
        <w:t xml:space="preserve">P.O. </w:t>
      </w:r>
      <w:r w:rsidR="4E39839B" w:rsidRPr="00FA14CE">
        <w:rPr>
          <w:i/>
          <w:noProof/>
          <w:lang w:val="en-IE"/>
        </w:rPr>
        <w:t>i</w:t>
      </w:r>
      <w:r w:rsidR="00480860" w:rsidRPr="00FA14CE">
        <w:rPr>
          <w:i/>
          <w:iCs/>
          <w:noProof/>
          <w:lang w:val="en-IE"/>
        </w:rPr>
        <w:t xml:space="preserve">nsert the date of </w:t>
      </w:r>
      <w:r w:rsidR="00EF684D" w:rsidRPr="00FA14CE">
        <w:rPr>
          <w:i/>
          <w:iCs/>
          <w:noProof/>
          <w:lang w:val="en-IE"/>
        </w:rPr>
        <w:t>within three months after the entry into force of th</w:t>
      </w:r>
      <w:r w:rsidR="00480860" w:rsidRPr="00FA14CE">
        <w:rPr>
          <w:i/>
          <w:iCs/>
          <w:noProof/>
          <w:lang w:val="en-IE"/>
        </w:rPr>
        <w:t>is amending</w:t>
      </w:r>
      <w:r w:rsidR="00EF684D" w:rsidRPr="00FA14CE">
        <w:rPr>
          <w:i/>
          <w:iCs/>
          <w:noProof/>
          <w:lang w:val="en-IE"/>
        </w:rPr>
        <w:t xml:space="preserve"> Directive</w:t>
      </w:r>
      <w:r w:rsidR="00480860" w:rsidRPr="00FA14CE">
        <w:rPr>
          <w:noProof/>
          <w:lang w:val="en-IE"/>
        </w:rPr>
        <w:t>]</w:t>
      </w:r>
      <w:r w:rsidR="00EF684D" w:rsidRPr="00FA14CE">
        <w:rPr>
          <w:noProof/>
          <w:lang w:val="en-IE"/>
        </w:rPr>
        <w:t>. The Commission shall subsequently publish that information on the relevant EU website</w:t>
      </w:r>
      <w:r w:rsidR="00F70FE5" w:rsidRPr="00FA14CE">
        <w:rPr>
          <w:noProof/>
          <w:lang w:val="en-IE"/>
        </w:rPr>
        <w:t>.</w:t>
      </w:r>
      <w:r w:rsidR="15CC09B0" w:rsidRPr="00FA14CE">
        <w:rPr>
          <w:noProof/>
          <w:lang w:val="en-IE"/>
        </w:rPr>
        <w:t>’</w:t>
      </w:r>
      <w:r w:rsidR="00EF684D" w:rsidRPr="00FA14CE">
        <w:rPr>
          <w:noProof/>
          <w:lang w:val="en-IE"/>
        </w:rPr>
        <w:t xml:space="preserve">; </w:t>
      </w:r>
    </w:p>
    <w:p w14:paraId="5FADA3D4" w14:textId="77777777" w:rsidR="00EF684D" w:rsidRPr="00FA14CE" w:rsidRDefault="00EF684D" w:rsidP="0020411B">
      <w:pPr>
        <w:pStyle w:val="ListNumber1"/>
        <w:rPr>
          <w:noProof/>
          <w:lang w:val="en-IE"/>
        </w:rPr>
      </w:pPr>
      <w:r w:rsidRPr="00FA14CE">
        <w:rPr>
          <w:noProof/>
          <w:lang w:val="en-IE"/>
        </w:rPr>
        <w:t>Article 37</w:t>
      </w:r>
      <w:r w:rsidR="4EAFD2BA" w:rsidRPr="00FA14CE">
        <w:rPr>
          <w:noProof/>
          <w:lang w:val="en-IE"/>
        </w:rPr>
        <w:t xml:space="preserve"> is amended as follows:</w:t>
      </w:r>
    </w:p>
    <w:p w14:paraId="2372E2E5" w14:textId="77777777" w:rsidR="00EF684D" w:rsidRPr="00FA14CE" w:rsidRDefault="4EAFD2BA" w:rsidP="0020411B">
      <w:pPr>
        <w:pStyle w:val="ListNumber1Level2"/>
        <w:rPr>
          <w:noProof/>
          <w:lang w:val="en-IE"/>
        </w:rPr>
      </w:pPr>
      <w:r w:rsidRPr="00FA14CE">
        <w:rPr>
          <w:noProof/>
          <w:lang w:val="en-IE"/>
        </w:rPr>
        <w:t>in</w:t>
      </w:r>
      <w:r w:rsidR="00EF684D" w:rsidRPr="00FA14CE">
        <w:rPr>
          <w:noProof/>
          <w:lang w:val="en-IE"/>
        </w:rPr>
        <w:t xml:space="preserve"> paragraph 3, the first sub-paragraph is replaced by the following:</w:t>
      </w:r>
    </w:p>
    <w:p w14:paraId="09772DBB" w14:textId="051726E8" w:rsidR="00EF684D" w:rsidRPr="00FA14CE" w:rsidRDefault="00EF684D" w:rsidP="00EF684D">
      <w:pPr>
        <w:pStyle w:val="Text1"/>
        <w:rPr>
          <w:noProof/>
          <w:lang w:val="en-IE"/>
        </w:rPr>
      </w:pPr>
      <w:r w:rsidRPr="00FA14CE">
        <w:rPr>
          <w:noProof/>
          <w:lang w:val="en-IE"/>
        </w:rPr>
        <w:t>‘Member States shall report the data concerning the implementation of Article 9(4) and the data</w:t>
      </w:r>
      <w:r w:rsidR="00D20AE4" w:rsidRPr="00FA14CE">
        <w:rPr>
          <w:noProof/>
          <w:lang w:val="en-IE"/>
        </w:rPr>
        <w:t xml:space="preserve"> referred to in point (a) of Article 22c(17)</w:t>
      </w:r>
      <w:r w:rsidRPr="00FA14CE">
        <w:rPr>
          <w:noProof/>
          <w:lang w:val="en-IE"/>
        </w:rPr>
        <w:t xml:space="preserve"> to the European Environment Agency every year. Member States shall not be required to report quantitative data on the re-use of textiles pursuant to Article 9(4). Member States shall report the data concerning the implementation of Article 9</w:t>
      </w:r>
      <w:r w:rsidR="007A42B6" w:rsidRPr="00FA14CE">
        <w:rPr>
          <w:noProof/>
          <w:lang w:val="en-IE"/>
        </w:rPr>
        <w:t>a</w:t>
      </w:r>
      <w:r w:rsidRPr="00FA14CE">
        <w:rPr>
          <w:noProof/>
          <w:lang w:val="en-IE"/>
        </w:rPr>
        <w:t>(</w:t>
      </w:r>
      <w:r w:rsidR="007A42B6" w:rsidRPr="00FA14CE">
        <w:rPr>
          <w:noProof/>
          <w:lang w:val="en-IE"/>
        </w:rPr>
        <w:t>2</w:t>
      </w:r>
      <w:r w:rsidRPr="00FA14CE">
        <w:rPr>
          <w:noProof/>
          <w:lang w:val="en-IE"/>
        </w:rPr>
        <w:t>) to the Commission every year.’</w:t>
      </w:r>
      <w:r w:rsidR="00BD4251" w:rsidRPr="00FA14CE">
        <w:rPr>
          <w:noProof/>
          <w:lang w:val="en-IE"/>
        </w:rPr>
        <w:t>;</w:t>
      </w:r>
    </w:p>
    <w:p w14:paraId="3C221DCD" w14:textId="28497310" w:rsidR="00B56849" w:rsidRPr="00FA14CE" w:rsidRDefault="000028CA" w:rsidP="0020411B">
      <w:pPr>
        <w:pStyle w:val="ListNumber1Level2"/>
        <w:rPr>
          <w:noProof/>
          <w:lang w:val="en-IE"/>
        </w:rPr>
      </w:pPr>
      <w:r w:rsidRPr="00FA14CE">
        <w:rPr>
          <w:noProof/>
          <w:lang w:val="en-IE"/>
        </w:rPr>
        <w:t>paragraph 7</w:t>
      </w:r>
      <w:r w:rsidR="00A362FA" w:rsidRPr="00FA14CE">
        <w:rPr>
          <w:noProof/>
          <w:lang w:val="en-IE"/>
        </w:rPr>
        <w:t xml:space="preserve"> is replaced by the following:</w:t>
      </w:r>
    </w:p>
    <w:p w14:paraId="03DE042A" w14:textId="643C4ED2" w:rsidR="002F4529" w:rsidRPr="00FA14CE" w:rsidRDefault="005A4B0D" w:rsidP="00B24CA9">
      <w:pPr>
        <w:pStyle w:val="Text1"/>
        <w:rPr>
          <w:noProof/>
          <w:lang w:val="en-IE"/>
        </w:rPr>
      </w:pPr>
      <w:r w:rsidRPr="00FA14CE">
        <w:rPr>
          <w:noProof/>
          <w:lang w:val="en-IE"/>
        </w:rPr>
        <w:t xml:space="preserve">‘7.  </w:t>
      </w:r>
      <w:r w:rsidR="00CD36C6" w:rsidRPr="00FA14CE">
        <w:rPr>
          <w:noProof/>
          <w:lang w:val="en-IE"/>
        </w:rPr>
        <w:t>T</w:t>
      </w:r>
      <w:r w:rsidRPr="00FA14CE">
        <w:rPr>
          <w:noProof/>
          <w:lang w:val="en-IE"/>
        </w:rPr>
        <w:t>he Commission shall adopt implementing acts laying down the format for reporting the data referred to in paragraphs 1, 3, 4 and 5 of this Article. For the purposes of reporting on the implementation of points (a) and (b) of Article 11(2), Member States shall use the format established in Commission Implementing Decision of 18 April 2012 establishing a questionnaire for Member States reports on the implementation of Directive 2008/98/EC of the European Parliament and of the Council on waste. For the purpose of reporting on food waste, the methodology developed under Article 9</w:t>
      </w:r>
      <w:r w:rsidR="00BC0008" w:rsidRPr="00FA14CE">
        <w:rPr>
          <w:noProof/>
          <w:lang w:val="en-IE"/>
        </w:rPr>
        <w:t>a</w:t>
      </w:r>
      <w:r w:rsidRPr="00FA14CE">
        <w:rPr>
          <w:noProof/>
          <w:lang w:val="en-IE"/>
        </w:rPr>
        <w:t>(</w:t>
      </w:r>
      <w:r w:rsidR="00BC0008" w:rsidRPr="00FA14CE">
        <w:rPr>
          <w:noProof/>
          <w:lang w:val="en-IE"/>
        </w:rPr>
        <w:t>3)</w:t>
      </w:r>
      <w:r w:rsidRPr="00FA14CE">
        <w:rPr>
          <w:noProof/>
          <w:lang w:val="en-IE"/>
        </w:rPr>
        <w:t xml:space="preserve"> shall be taken into account when developing the format for reporting. Those implementing acts shall be adopted in accordance with the examination procedure referred to in Article 39(2) of this Directive.’</w:t>
      </w:r>
      <w:r w:rsidR="6DAED572" w:rsidRPr="00FA14CE">
        <w:rPr>
          <w:noProof/>
          <w:lang w:val="en-IE"/>
        </w:rPr>
        <w:t>;</w:t>
      </w:r>
    </w:p>
    <w:p w14:paraId="775265B1" w14:textId="78A8C57F" w:rsidR="00EF684D" w:rsidRPr="00FA14CE" w:rsidRDefault="008F56CA" w:rsidP="0020411B">
      <w:pPr>
        <w:pStyle w:val="ListNumber1"/>
        <w:rPr>
          <w:noProof/>
          <w:lang w:val="en-IE"/>
        </w:rPr>
      </w:pPr>
      <w:r w:rsidRPr="00FA14CE">
        <w:rPr>
          <w:noProof/>
          <w:lang w:val="en-IE"/>
        </w:rPr>
        <w:t xml:space="preserve">Article </w:t>
      </w:r>
      <w:r w:rsidR="0050662E" w:rsidRPr="00FA14CE">
        <w:rPr>
          <w:noProof/>
          <w:lang w:val="en-IE"/>
        </w:rPr>
        <w:t xml:space="preserve">38 </w:t>
      </w:r>
      <w:r w:rsidRPr="00FA14CE">
        <w:rPr>
          <w:noProof/>
          <w:lang w:val="en-IE"/>
        </w:rPr>
        <w:t>is amended as follows</w:t>
      </w:r>
      <w:r w:rsidR="7BDE4A46" w:rsidRPr="00FA14CE">
        <w:rPr>
          <w:noProof/>
          <w:lang w:val="en-IE"/>
        </w:rPr>
        <w:t>:</w:t>
      </w:r>
    </w:p>
    <w:p w14:paraId="7ABB19E2" w14:textId="5BB4DCA2" w:rsidR="008F56CA" w:rsidRPr="00FA14CE" w:rsidRDefault="008F56CA" w:rsidP="008F56CA">
      <w:pPr>
        <w:pStyle w:val="ListNumber1Level2"/>
        <w:rPr>
          <w:noProof/>
          <w:lang w:val="en-IE"/>
        </w:rPr>
      </w:pPr>
      <w:r w:rsidRPr="00FA14CE">
        <w:rPr>
          <w:noProof/>
          <w:lang w:val="en-IE"/>
        </w:rPr>
        <w:t>paragraphs 2 and 3 are replaced by the following:</w:t>
      </w:r>
    </w:p>
    <w:p w14:paraId="2F143E79" w14:textId="65DB552D" w:rsidR="00EF684D" w:rsidRPr="00FA14CE" w:rsidRDefault="7BDE4A46" w:rsidP="00B24CA9">
      <w:pPr>
        <w:pStyle w:val="Text1"/>
        <w:rPr>
          <w:noProof/>
          <w:lang w:val="en-IE"/>
        </w:rPr>
      </w:pPr>
      <w:r w:rsidRPr="00FA14CE">
        <w:rPr>
          <w:noProof/>
          <w:lang w:val="en-IE"/>
        </w:rPr>
        <w:t>‘2. The power to adopt delegated acts referred to in Articles 7(1), 9</w:t>
      </w:r>
      <w:r w:rsidR="00EF64FF" w:rsidRPr="00FA14CE">
        <w:rPr>
          <w:noProof/>
          <w:lang w:val="en-IE"/>
        </w:rPr>
        <w:t>a</w:t>
      </w:r>
      <w:r w:rsidRPr="00FA14CE">
        <w:rPr>
          <w:noProof/>
          <w:lang w:val="en-IE"/>
        </w:rPr>
        <w:t>(</w:t>
      </w:r>
      <w:r w:rsidR="00EF64FF" w:rsidRPr="00FA14CE">
        <w:rPr>
          <w:noProof/>
          <w:lang w:val="en-IE"/>
        </w:rPr>
        <w:t>3</w:t>
      </w:r>
      <w:r w:rsidRPr="00FA14CE">
        <w:rPr>
          <w:noProof/>
          <w:lang w:val="en-IE"/>
        </w:rPr>
        <w:t>), 11a(10), 27(1), 27(4), 38(2) and 38(3) shall be conferred on the Commission for a period of five years from 4 July 2018. The power to adopt delegated acts referred to in Article 22</w:t>
      </w:r>
      <w:r w:rsidR="60F91737" w:rsidRPr="00FA14CE">
        <w:rPr>
          <w:noProof/>
          <w:lang w:val="en-IE"/>
        </w:rPr>
        <w:t>a(2)</w:t>
      </w:r>
      <w:r w:rsidRPr="00FA14CE">
        <w:rPr>
          <w:noProof/>
          <w:lang w:val="en-IE"/>
        </w:rPr>
        <w:t xml:space="preserve"> shall </w:t>
      </w:r>
      <w:r w:rsidRPr="00FA14CE">
        <w:rPr>
          <w:noProof/>
          <w:lang w:val="en-IE"/>
        </w:rPr>
        <w:lastRenderedPageBreak/>
        <w:t>be conferred on the Commission for a period of five years from [</w:t>
      </w:r>
      <w:r w:rsidR="5702AE26" w:rsidRPr="00FA14CE">
        <w:rPr>
          <w:noProof/>
          <w:lang w:val="en-IE"/>
        </w:rPr>
        <w:t>PO insert date eighteen months after the entry into force of this amending Directive</w:t>
      </w:r>
      <w:r w:rsidRPr="00FA14CE">
        <w:rPr>
          <w:noProof/>
          <w:lang w:val="en-IE"/>
        </w:rPr>
        <w:t>]. The Commission shall draw up a report in respect of the delegation of power not later than nine months before the end of the five-year period. The delegation of power shall be tacitly extended for periods of an identical duration, unless the European Parliament or the Council opposes such extension not later than three months before the end of each period.</w:t>
      </w:r>
    </w:p>
    <w:p w14:paraId="36AD7582" w14:textId="613C3926" w:rsidR="00EF684D" w:rsidRPr="00FA14CE" w:rsidRDefault="008F56CA" w:rsidP="008F56CA">
      <w:pPr>
        <w:pStyle w:val="Text1"/>
        <w:rPr>
          <w:noProof/>
          <w:lang w:val="en-IE"/>
        </w:rPr>
      </w:pPr>
      <w:r w:rsidRPr="00FA14CE">
        <w:rPr>
          <w:noProof/>
          <w:lang w:val="en-IE"/>
        </w:rPr>
        <w:t xml:space="preserve">3. </w:t>
      </w:r>
      <w:r w:rsidR="7BDE4A46" w:rsidRPr="00FA14CE">
        <w:rPr>
          <w:noProof/>
          <w:lang w:val="en-IE"/>
        </w:rPr>
        <w:t>The delegation of power referred to in Articles 7(1), 9</w:t>
      </w:r>
      <w:r w:rsidR="00F1189E" w:rsidRPr="00FA14CE">
        <w:rPr>
          <w:noProof/>
          <w:lang w:val="en-IE"/>
        </w:rPr>
        <w:t>a</w:t>
      </w:r>
      <w:r w:rsidR="7BDE4A46" w:rsidRPr="00FA14CE">
        <w:rPr>
          <w:noProof/>
          <w:lang w:val="en-IE"/>
        </w:rPr>
        <w:t>(</w:t>
      </w:r>
      <w:r w:rsidR="00F1189E" w:rsidRPr="00FA14CE">
        <w:rPr>
          <w:noProof/>
          <w:lang w:val="en-IE"/>
        </w:rPr>
        <w:t>3</w:t>
      </w:r>
      <w:r w:rsidR="7BDE4A46" w:rsidRPr="00FA14CE">
        <w:rPr>
          <w:noProof/>
          <w:lang w:val="en-IE"/>
        </w:rPr>
        <w:t xml:space="preserve">), 11a(10), </w:t>
      </w:r>
      <w:r w:rsidR="0F40FCF4" w:rsidRPr="00FA14CE">
        <w:rPr>
          <w:noProof/>
          <w:lang w:val="en-IE"/>
        </w:rPr>
        <w:t>22a(2)</w:t>
      </w:r>
      <w:r w:rsidR="7BDE4A46" w:rsidRPr="00FA14CE">
        <w:rPr>
          <w:noProof/>
          <w:lang w:val="en-IE"/>
        </w:rPr>
        <w:t>, 27(1), 27(4), 38(2) and 38(3) may be revoked at any time by the European Parliament or by the Council. A decision to revoke shall put an end to the delegation of the power specified in that decision. It shall take effect the day following the publication of the decision in the Official Journal of the European Union or at a later date specified therein. It shall not affect the validity of any delegated acts already in force.</w:t>
      </w:r>
      <w:r w:rsidRPr="00FA14CE">
        <w:rPr>
          <w:noProof/>
          <w:lang w:val="en-IE"/>
        </w:rPr>
        <w:t>’;</w:t>
      </w:r>
    </w:p>
    <w:p w14:paraId="09CBC522" w14:textId="334A4CFB" w:rsidR="008F56CA" w:rsidRPr="00FA14CE" w:rsidRDefault="008F56CA" w:rsidP="008F56CA">
      <w:pPr>
        <w:pStyle w:val="ListNumber1Level2"/>
        <w:rPr>
          <w:noProof/>
          <w:lang w:val="en-IE"/>
        </w:rPr>
      </w:pPr>
      <w:r w:rsidRPr="00FA14CE">
        <w:rPr>
          <w:noProof/>
          <w:lang w:val="en-IE"/>
        </w:rPr>
        <w:t>paragraph 6 is replaced by the following:</w:t>
      </w:r>
    </w:p>
    <w:p w14:paraId="3781D5FE" w14:textId="25E1F16D" w:rsidR="00EF684D" w:rsidRPr="00FA14CE" w:rsidRDefault="008F56CA" w:rsidP="00B24CA9">
      <w:pPr>
        <w:pStyle w:val="Text1"/>
        <w:rPr>
          <w:noProof/>
          <w:lang w:val="en-IE"/>
        </w:rPr>
      </w:pPr>
      <w:r w:rsidRPr="00FA14CE">
        <w:rPr>
          <w:noProof/>
          <w:lang w:val="en-IE"/>
        </w:rPr>
        <w:t>‘</w:t>
      </w:r>
      <w:r w:rsidR="7BDE4A46" w:rsidRPr="00FA14CE">
        <w:rPr>
          <w:noProof/>
          <w:lang w:val="en-IE"/>
        </w:rPr>
        <w:t>6. A delegated act adopted pursuant to Articles 7(1), 9</w:t>
      </w:r>
      <w:r w:rsidR="00F1189E" w:rsidRPr="00FA14CE">
        <w:rPr>
          <w:noProof/>
          <w:lang w:val="en-IE"/>
        </w:rPr>
        <w:t>a</w:t>
      </w:r>
      <w:r w:rsidR="7BDE4A46" w:rsidRPr="00FA14CE">
        <w:rPr>
          <w:noProof/>
          <w:lang w:val="en-IE"/>
        </w:rPr>
        <w:t>(</w:t>
      </w:r>
      <w:r w:rsidR="00F1189E" w:rsidRPr="00FA14CE">
        <w:rPr>
          <w:noProof/>
          <w:lang w:val="en-IE"/>
        </w:rPr>
        <w:t>3</w:t>
      </w:r>
      <w:r w:rsidR="7BDE4A46" w:rsidRPr="00FA14CE">
        <w:rPr>
          <w:noProof/>
          <w:lang w:val="en-IE"/>
        </w:rPr>
        <w:t>), 11a(10), 22</w:t>
      </w:r>
      <w:r w:rsidR="409A32CC" w:rsidRPr="00FA14CE">
        <w:rPr>
          <w:noProof/>
          <w:lang w:val="en-IE"/>
        </w:rPr>
        <w:t>a(2)</w:t>
      </w:r>
      <w:r w:rsidR="7BDE4A46" w:rsidRPr="00FA14CE">
        <w:rPr>
          <w:noProof/>
          <w:lang w:val="en-IE"/>
        </w:rPr>
        <w:t>, 27(1), 27(4), 38(2) and 38(3) shall enter into force only if no objection has been expressed either by the European Parliament or by the Council within a period of two months of notification of that act to the European Parliament and to the Council or if, before the expiry of that period, the European Parliament and the Council have both informed the Commission that they will not object. That period shall be extended by two months at the initiative of the European Parliament or of the Council.’</w:t>
      </w:r>
      <w:r w:rsidR="51D98C6E" w:rsidRPr="00FA14CE">
        <w:rPr>
          <w:noProof/>
          <w:lang w:val="en-IE"/>
        </w:rPr>
        <w:t>;</w:t>
      </w:r>
      <w:r w:rsidR="7BDE4A46" w:rsidRPr="00FA14CE">
        <w:rPr>
          <w:noProof/>
          <w:lang w:val="en-IE"/>
        </w:rPr>
        <w:t xml:space="preserve"> </w:t>
      </w:r>
    </w:p>
    <w:p w14:paraId="0AFB3BFB" w14:textId="6CC654FF" w:rsidR="00EF684D" w:rsidRPr="00FA14CE" w:rsidRDefault="00BD4251" w:rsidP="0020411B">
      <w:pPr>
        <w:pStyle w:val="ListNumber1"/>
        <w:rPr>
          <w:noProof/>
          <w:lang w:val="en-IE"/>
        </w:rPr>
      </w:pPr>
      <w:r w:rsidRPr="00FA14CE">
        <w:rPr>
          <w:noProof/>
          <w:lang w:val="en-IE"/>
        </w:rPr>
        <w:t xml:space="preserve">Annex IVc </w:t>
      </w:r>
      <w:r w:rsidR="0050662E" w:rsidRPr="00FA14CE">
        <w:rPr>
          <w:noProof/>
          <w:lang w:val="en-IE"/>
        </w:rPr>
        <w:t xml:space="preserve">is </w:t>
      </w:r>
      <w:r w:rsidRPr="00FA14CE">
        <w:rPr>
          <w:noProof/>
          <w:lang w:val="en-IE"/>
        </w:rPr>
        <w:t xml:space="preserve">inserted </w:t>
      </w:r>
      <w:r w:rsidR="00480860" w:rsidRPr="00FA14CE">
        <w:rPr>
          <w:noProof/>
          <w:lang w:val="en-IE"/>
        </w:rPr>
        <w:t>as set out in</w:t>
      </w:r>
      <w:r w:rsidRPr="00FA14CE">
        <w:rPr>
          <w:noProof/>
          <w:lang w:val="en-IE"/>
        </w:rPr>
        <w:t xml:space="preserve"> the Annex to this Directive.</w:t>
      </w:r>
    </w:p>
    <w:p w14:paraId="6338C354" w14:textId="77777777" w:rsidR="00BD4251" w:rsidRPr="00E50A7A" w:rsidRDefault="00BD4251" w:rsidP="00BD4251">
      <w:pPr>
        <w:pStyle w:val="Titrearticle"/>
        <w:rPr>
          <w:noProof/>
          <w:lang w:val="en-IE"/>
        </w:rPr>
      </w:pPr>
      <w:r w:rsidRPr="00E50A7A">
        <w:rPr>
          <w:noProof/>
          <w:lang w:val="en-IE"/>
        </w:rPr>
        <w:t>Article 2</w:t>
      </w:r>
    </w:p>
    <w:p w14:paraId="13AA61BC" w14:textId="77777777" w:rsidR="00BD4251" w:rsidRPr="00E50A7A" w:rsidRDefault="00BD4251" w:rsidP="00BD4251">
      <w:pPr>
        <w:pStyle w:val="Titrearticle"/>
        <w:rPr>
          <w:b/>
          <w:i w:val="0"/>
          <w:iCs/>
          <w:noProof/>
          <w:lang w:val="en-IE"/>
        </w:rPr>
      </w:pPr>
      <w:r w:rsidRPr="00E50A7A">
        <w:rPr>
          <w:b/>
          <w:i w:val="0"/>
          <w:iCs/>
          <w:noProof/>
          <w:lang w:val="en-IE"/>
        </w:rPr>
        <w:t>Transposition</w:t>
      </w:r>
    </w:p>
    <w:p w14:paraId="0A741236" w14:textId="3CABD05F" w:rsidR="00BD4251" w:rsidRPr="00E50A7A" w:rsidRDefault="00384B96" w:rsidP="00384B96">
      <w:pPr>
        <w:pStyle w:val="ManualNumPar1"/>
        <w:rPr>
          <w:noProof/>
          <w:lang w:val="en-IE"/>
        </w:rPr>
      </w:pPr>
      <w:r w:rsidRPr="00384B96">
        <w:t>1.</w:t>
      </w:r>
      <w:r w:rsidRPr="00384B96">
        <w:tab/>
      </w:r>
      <w:r w:rsidR="00BD4251" w:rsidRPr="00E50A7A">
        <w:rPr>
          <w:noProof/>
          <w:lang w:val="en-IE"/>
        </w:rPr>
        <w:t>Member States shall bring into force the laws, regulations and administrative provisions necessary to comply with this Directive by [</w:t>
      </w:r>
      <w:r w:rsidR="7718904E" w:rsidRPr="00E50A7A">
        <w:rPr>
          <w:i/>
          <w:noProof/>
          <w:lang w:val="en-IE"/>
        </w:rPr>
        <w:t xml:space="preserve">P.O. </w:t>
      </w:r>
      <w:r w:rsidR="00BD4251" w:rsidRPr="00E50A7A">
        <w:rPr>
          <w:i/>
          <w:noProof/>
          <w:lang w:val="en-IE"/>
        </w:rPr>
        <w:t xml:space="preserve">insert date eighteen months after the entry into force of this </w:t>
      </w:r>
      <w:r w:rsidR="506EDCFF" w:rsidRPr="00E50A7A">
        <w:rPr>
          <w:i/>
          <w:noProof/>
          <w:lang w:val="en-IE"/>
        </w:rPr>
        <w:t xml:space="preserve">amending </w:t>
      </w:r>
      <w:r w:rsidR="00BD4251" w:rsidRPr="00E50A7A">
        <w:rPr>
          <w:i/>
          <w:noProof/>
          <w:lang w:val="en-IE"/>
        </w:rPr>
        <w:t>Directive</w:t>
      </w:r>
      <w:r w:rsidR="00BD4251" w:rsidRPr="00E50A7A">
        <w:rPr>
          <w:noProof/>
          <w:lang w:val="en-IE"/>
        </w:rPr>
        <w:t>] at the latest. They shall forthwith communicate to the Commission the text of those provisions.</w:t>
      </w:r>
    </w:p>
    <w:p w14:paraId="21EB5BD7" w14:textId="77777777" w:rsidR="00BD4251" w:rsidRPr="00E50A7A" w:rsidRDefault="00BD4251" w:rsidP="002310BE">
      <w:pPr>
        <w:pStyle w:val="Text1"/>
        <w:rPr>
          <w:noProof/>
          <w:lang w:val="en-IE"/>
        </w:rPr>
      </w:pPr>
      <w:r w:rsidRPr="00E50A7A">
        <w:rPr>
          <w:noProof/>
          <w:lang w:val="en-IE"/>
        </w:rPr>
        <w:t>When Member States adopt those provisions, they shall contain a reference to this Directive or be accompanied by such a reference on the occasion of their official publication. Member States shall determine how such reference is to be made.</w:t>
      </w:r>
    </w:p>
    <w:p w14:paraId="5D2EFFC0" w14:textId="03750E22" w:rsidR="00BD4251" w:rsidRPr="00E50A7A" w:rsidRDefault="00384B96" w:rsidP="00384B96">
      <w:pPr>
        <w:pStyle w:val="ManualNumPar1"/>
        <w:rPr>
          <w:noProof/>
          <w:lang w:val="en-IE"/>
        </w:rPr>
      </w:pPr>
      <w:r w:rsidRPr="00384B96">
        <w:t>2.</w:t>
      </w:r>
      <w:r w:rsidRPr="00384B96">
        <w:tab/>
      </w:r>
      <w:r w:rsidR="00BD4251" w:rsidRPr="00E50A7A">
        <w:rPr>
          <w:noProof/>
          <w:lang w:val="en-IE"/>
        </w:rPr>
        <w:t>Member States shall communicate to the Commission the text of the main provisions of national law which they adopt in the field covered by this Directive.</w:t>
      </w:r>
    </w:p>
    <w:p w14:paraId="6F164EE0" w14:textId="77777777" w:rsidR="00BD152F" w:rsidRPr="00E50A7A" w:rsidRDefault="00BD152F" w:rsidP="00F10DF9">
      <w:pPr>
        <w:pStyle w:val="Titrearticle"/>
        <w:rPr>
          <w:noProof/>
          <w:lang w:val="en-IE"/>
        </w:rPr>
      </w:pPr>
      <w:r w:rsidRPr="00E50A7A">
        <w:rPr>
          <w:noProof/>
          <w:lang w:val="en-IE"/>
        </w:rPr>
        <w:t>Article</w:t>
      </w:r>
      <w:r w:rsidR="00630070" w:rsidRPr="00E50A7A">
        <w:rPr>
          <w:noProof/>
          <w:lang w:val="en-IE"/>
        </w:rPr>
        <w:t xml:space="preserve"> 3</w:t>
      </w:r>
    </w:p>
    <w:p w14:paraId="45DCD751" w14:textId="77777777" w:rsidR="00CD572B" w:rsidRPr="00E50A7A" w:rsidRDefault="00CD572B" w:rsidP="00F10DF9">
      <w:pPr>
        <w:pStyle w:val="Titrearticle"/>
        <w:rPr>
          <w:b/>
          <w:bCs/>
          <w:i w:val="0"/>
          <w:iCs/>
          <w:noProof/>
          <w:lang w:val="en-IE"/>
        </w:rPr>
      </w:pPr>
      <w:r w:rsidRPr="00E50A7A">
        <w:rPr>
          <w:b/>
          <w:bCs/>
          <w:i w:val="0"/>
          <w:iCs/>
          <w:noProof/>
          <w:lang w:val="en-IE"/>
        </w:rPr>
        <w:t>Entry into force</w:t>
      </w:r>
    </w:p>
    <w:p w14:paraId="443D26A7" w14:textId="77777777" w:rsidR="00BD152F" w:rsidRPr="00E50A7A" w:rsidRDefault="00BD152F" w:rsidP="00B00391">
      <w:pPr>
        <w:rPr>
          <w:noProof/>
          <w:lang w:val="en-IE"/>
        </w:rPr>
      </w:pPr>
      <w:r w:rsidRPr="00E50A7A">
        <w:rPr>
          <w:noProof/>
          <w:lang w:val="en-IE"/>
        </w:rPr>
        <w:t>This Directive shall enter into force on the</w:t>
      </w:r>
      <w:r w:rsidR="00CD572B" w:rsidRPr="00E50A7A">
        <w:rPr>
          <w:noProof/>
          <w:lang w:val="en-IE"/>
        </w:rPr>
        <w:t xml:space="preserve"> twentieth</w:t>
      </w:r>
      <w:r w:rsidRPr="00E50A7A">
        <w:rPr>
          <w:noProof/>
          <w:lang w:val="en-IE"/>
        </w:rPr>
        <w:t xml:space="preserve"> day following that of its publication in the </w:t>
      </w:r>
      <w:r w:rsidRPr="00E50A7A">
        <w:rPr>
          <w:i/>
          <w:noProof/>
          <w:lang w:val="en-IE"/>
        </w:rPr>
        <w:t>Official Journal of the European Union</w:t>
      </w:r>
      <w:r w:rsidRPr="00E50A7A">
        <w:rPr>
          <w:noProof/>
          <w:lang w:val="en-IE"/>
        </w:rPr>
        <w:t>.</w:t>
      </w:r>
    </w:p>
    <w:p w14:paraId="7900A18B" w14:textId="77777777" w:rsidR="00BD152F" w:rsidRPr="00E50A7A" w:rsidRDefault="00BD152F" w:rsidP="00B00391">
      <w:pPr>
        <w:pStyle w:val="Titrearticle"/>
        <w:rPr>
          <w:noProof/>
          <w:lang w:val="en-IE"/>
        </w:rPr>
      </w:pPr>
      <w:r w:rsidRPr="00E50A7A">
        <w:rPr>
          <w:noProof/>
          <w:lang w:val="en-IE"/>
        </w:rPr>
        <w:lastRenderedPageBreak/>
        <w:t xml:space="preserve">Article </w:t>
      </w:r>
      <w:r w:rsidR="00CD572B" w:rsidRPr="00E50A7A">
        <w:rPr>
          <w:noProof/>
          <w:lang w:val="en-IE"/>
        </w:rPr>
        <w:t>4</w:t>
      </w:r>
    </w:p>
    <w:p w14:paraId="28423946" w14:textId="77777777" w:rsidR="00CD572B" w:rsidRPr="00E50A7A" w:rsidRDefault="00CD572B" w:rsidP="00FD3E25">
      <w:pPr>
        <w:pStyle w:val="Titrearticle"/>
        <w:rPr>
          <w:b/>
          <w:bCs/>
          <w:i w:val="0"/>
          <w:iCs/>
          <w:noProof/>
          <w:lang w:val="en-IE"/>
        </w:rPr>
      </w:pPr>
      <w:r w:rsidRPr="00E50A7A">
        <w:rPr>
          <w:b/>
          <w:bCs/>
          <w:i w:val="0"/>
          <w:iCs/>
          <w:noProof/>
          <w:lang w:val="en-IE"/>
        </w:rPr>
        <w:t>Addressees</w:t>
      </w:r>
    </w:p>
    <w:p w14:paraId="0F9BFBF0" w14:textId="77777777" w:rsidR="00BD152F" w:rsidRPr="00E50A7A" w:rsidRDefault="00BD152F" w:rsidP="00B00391">
      <w:pPr>
        <w:keepNext/>
        <w:keepLines/>
        <w:rPr>
          <w:noProof/>
          <w:lang w:val="en-IE"/>
        </w:rPr>
      </w:pPr>
      <w:r w:rsidRPr="00E50A7A">
        <w:rPr>
          <w:noProof/>
          <w:lang w:val="en-IE"/>
        </w:rPr>
        <w:t>This Directive is addressed to the Member States.</w:t>
      </w:r>
    </w:p>
    <w:p w14:paraId="6E1CE0EE" w14:textId="4C18B459" w:rsidR="00BD152F" w:rsidRPr="00E50A7A" w:rsidRDefault="00AB78E5" w:rsidP="00FD3E25">
      <w:pPr>
        <w:pStyle w:val="Fait"/>
        <w:rPr>
          <w:noProof/>
          <w:lang w:val="en-IE"/>
        </w:rPr>
      </w:pPr>
      <w:r w:rsidRPr="00AB78E5">
        <w:t>Done at Brussels,</w:t>
      </w:r>
    </w:p>
    <w:p w14:paraId="64EDF3E2" w14:textId="77777777" w:rsidR="00BD152F" w:rsidRPr="00E50A7A" w:rsidRDefault="00BD152F" w:rsidP="00FD3E25">
      <w:pPr>
        <w:pStyle w:val="Institutionquisigne"/>
        <w:rPr>
          <w:noProof/>
          <w:lang w:val="en-IE"/>
        </w:rPr>
      </w:pPr>
      <w:r w:rsidRPr="00E50A7A">
        <w:rPr>
          <w:noProof/>
          <w:lang w:val="en-IE"/>
        </w:rPr>
        <w:t>For the European Parliament</w:t>
      </w:r>
      <w:r w:rsidRPr="00E50A7A">
        <w:rPr>
          <w:noProof/>
          <w:lang w:val="en-IE"/>
        </w:rPr>
        <w:tab/>
        <w:t>For the Council</w:t>
      </w:r>
    </w:p>
    <w:p w14:paraId="17B214D3" w14:textId="77777777" w:rsidR="00BD152F" w:rsidRPr="00E50A7A" w:rsidRDefault="00BD152F" w:rsidP="00BD152F">
      <w:pPr>
        <w:pStyle w:val="Personnequisigne"/>
        <w:rPr>
          <w:noProof/>
          <w:lang w:val="en-IE"/>
        </w:rPr>
      </w:pPr>
      <w:r w:rsidRPr="00E50A7A">
        <w:rPr>
          <w:noProof/>
          <w:lang w:val="en-IE"/>
        </w:rPr>
        <w:t>The President</w:t>
      </w:r>
      <w:r w:rsidRPr="00E50A7A">
        <w:rPr>
          <w:noProof/>
          <w:lang w:val="en-IE"/>
        </w:rPr>
        <w:tab/>
        <w:t>The President</w:t>
      </w:r>
    </w:p>
    <w:p w14:paraId="25D58F76" w14:textId="77777777" w:rsidR="00BD152F" w:rsidRPr="00E50A7A" w:rsidRDefault="00BD152F" w:rsidP="00BD152F">
      <w:pPr>
        <w:rPr>
          <w:noProof/>
          <w:lang w:val="en-IE"/>
        </w:rPr>
        <w:sectPr w:rsidR="00BD152F" w:rsidRPr="00E50A7A" w:rsidSect="001F75A6">
          <w:footnotePr>
            <w:numRestart w:val="eachSect"/>
          </w:footnotePr>
          <w:pgSz w:w="11907" w:h="16839"/>
          <w:pgMar w:top="1134" w:right="1417" w:bottom="1134" w:left="1417" w:header="709" w:footer="709" w:gutter="0"/>
          <w:cols w:space="708"/>
          <w:docGrid w:linePitch="360"/>
        </w:sectPr>
      </w:pPr>
    </w:p>
    <w:p w14:paraId="0CED6D2C" w14:textId="77777777" w:rsidR="00BD152F" w:rsidRPr="00E50A7A" w:rsidRDefault="00BD152F" w:rsidP="00B00391">
      <w:pPr>
        <w:pStyle w:val="Fichefinanciretitre"/>
        <w:keepNext/>
        <w:rPr>
          <w:noProof/>
          <w:lang w:val="en-IE"/>
        </w:rPr>
      </w:pPr>
      <w:r w:rsidRPr="00E50A7A">
        <w:rPr>
          <w:noProof/>
          <w:lang w:val="en-IE"/>
        </w:rPr>
        <w:lastRenderedPageBreak/>
        <w:t>LEGISLATIVE FINANCIAL STATEMENT</w:t>
      </w:r>
    </w:p>
    <w:p w14:paraId="0B81F985" w14:textId="77777777" w:rsidR="00BD152F" w:rsidRPr="00E50A7A" w:rsidRDefault="00BD152F" w:rsidP="00B00391">
      <w:pPr>
        <w:pStyle w:val="ManualHeading1"/>
        <w:rPr>
          <w:noProof/>
          <w:lang w:val="en-IE"/>
        </w:rPr>
      </w:pPr>
      <w:r w:rsidRPr="00E50A7A">
        <w:rPr>
          <w:noProof/>
          <w:lang w:val="en-IE"/>
        </w:rPr>
        <w:t>1.</w:t>
      </w:r>
      <w:r w:rsidRPr="00E50A7A">
        <w:rPr>
          <w:noProof/>
          <w:lang w:val="en-IE"/>
        </w:rPr>
        <w:tab/>
        <w:t>FRAMEWORK OF THE PROPOSAL/INITIATIVE</w:t>
      </w:r>
    </w:p>
    <w:p w14:paraId="144E1034" w14:textId="77777777" w:rsidR="00BD152F" w:rsidRPr="00E50A7A" w:rsidRDefault="00BD152F" w:rsidP="00B00391">
      <w:pPr>
        <w:pStyle w:val="ManualHeading2"/>
        <w:rPr>
          <w:noProof/>
          <w:lang w:val="en-IE"/>
        </w:rPr>
      </w:pPr>
      <w:r w:rsidRPr="00E50A7A">
        <w:rPr>
          <w:noProof/>
          <w:lang w:val="en-IE"/>
        </w:rPr>
        <w:t>1.1.</w:t>
      </w:r>
      <w:r w:rsidRPr="00E50A7A">
        <w:rPr>
          <w:noProof/>
          <w:lang w:val="en-IE"/>
        </w:rPr>
        <w:tab/>
        <w:t>Title of the proposal/initiative</w:t>
      </w:r>
    </w:p>
    <w:p w14:paraId="11D046CD" w14:textId="77777777" w:rsidR="00BD152F" w:rsidRPr="00E50A7A" w:rsidRDefault="00BD152F" w:rsidP="00B00391">
      <w:pPr>
        <w:pStyle w:val="ManualHeading2"/>
        <w:rPr>
          <w:noProof/>
          <w:lang w:val="en-IE"/>
        </w:rPr>
      </w:pPr>
      <w:r w:rsidRPr="00E50A7A">
        <w:rPr>
          <w:noProof/>
          <w:lang w:val="en-IE"/>
        </w:rPr>
        <w:t>1.2.</w:t>
      </w:r>
      <w:r w:rsidRPr="00E50A7A">
        <w:rPr>
          <w:noProof/>
          <w:lang w:val="en-IE"/>
        </w:rPr>
        <w:tab/>
        <w:t>Policy area(s) concerned</w:t>
      </w:r>
    </w:p>
    <w:p w14:paraId="7E38EAE1" w14:textId="77777777" w:rsidR="00BD152F" w:rsidRPr="00E50A7A" w:rsidRDefault="00BD152F" w:rsidP="00B00391">
      <w:pPr>
        <w:pStyle w:val="ManualHeading2"/>
        <w:rPr>
          <w:noProof/>
          <w:lang w:val="en-IE"/>
        </w:rPr>
      </w:pPr>
      <w:r w:rsidRPr="00E50A7A">
        <w:rPr>
          <w:noProof/>
          <w:lang w:val="en-IE"/>
        </w:rPr>
        <w:t>1.3.</w:t>
      </w:r>
      <w:r w:rsidRPr="00E50A7A">
        <w:rPr>
          <w:noProof/>
          <w:lang w:val="en-IE"/>
        </w:rPr>
        <w:tab/>
        <w:t>The proposal/initiative relates to:</w:t>
      </w:r>
    </w:p>
    <w:p w14:paraId="6897B3B8" w14:textId="77777777" w:rsidR="00BD152F" w:rsidRPr="00E50A7A" w:rsidRDefault="00BD152F" w:rsidP="00B00391">
      <w:pPr>
        <w:pStyle w:val="ManualHeading2"/>
        <w:rPr>
          <w:noProof/>
          <w:lang w:val="en-IE"/>
        </w:rPr>
      </w:pPr>
      <w:r w:rsidRPr="00E50A7A">
        <w:rPr>
          <w:noProof/>
          <w:lang w:val="en-IE"/>
        </w:rPr>
        <w:t>1.4.</w:t>
      </w:r>
      <w:r w:rsidRPr="00E50A7A">
        <w:rPr>
          <w:noProof/>
          <w:lang w:val="en-IE"/>
        </w:rPr>
        <w:tab/>
        <w:t>Objective(s)</w:t>
      </w:r>
    </w:p>
    <w:p w14:paraId="1ED68EF6" w14:textId="77777777" w:rsidR="00BD152F" w:rsidRPr="00E50A7A" w:rsidRDefault="00BD152F" w:rsidP="00B00391">
      <w:pPr>
        <w:pStyle w:val="ManualHeading3"/>
        <w:rPr>
          <w:noProof/>
          <w:lang w:val="en-IE"/>
        </w:rPr>
      </w:pPr>
      <w:r w:rsidRPr="00E50A7A">
        <w:rPr>
          <w:noProof/>
          <w:lang w:val="en-IE"/>
        </w:rPr>
        <w:t>1.4.1.</w:t>
      </w:r>
      <w:r w:rsidRPr="00E50A7A">
        <w:rPr>
          <w:noProof/>
          <w:lang w:val="en-IE"/>
        </w:rPr>
        <w:tab/>
        <w:t>General objective(s)</w:t>
      </w:r>
    </w:p>
    <w:p w14:paraId="2837232C" w14:textId="77777777" w:rsidR="00BD152F" w:rsidRPr="00E50A7A" w:rsidRDefault="00BD152F" w:rsidP="00B00391">
      <w:pPr>
        <w:pStyle w:val="ManualHeading3"/>
        <w:rPr>
          <w:noProof/>
          <w:lang w:val="en-IE"/>
        </w:rPr>
      </w:pPr>
      <w:r w:rsidRPr="00E50A7A">
        <w:rPr>
          <w:noProof/>
          <w:lang w:val="en-IE"/>
        </w:rPr>
        <w:t>1.4.2.</w:t>
      </w:r>
      <w:r w:rsidRPr="00E50A7A">
        <w:rPr>
          <w:noProof/>
          <w:lang w:val="en-IE"/>
        </w:rPr>
        <w:tab/>
        <w:t>Specific objective(s)</w:t>
      </w:r>
    </w:p>
    <w:p w14:paraId="664D247A" w14:textId="77777777" w:rsidR="00BD152F" w:rsidRPr="00E50A7A" w:rsidRDefault="00BD152F" w:rsidP="00B00391">
      <w:pPr>
        <w:pStyle w:val="ManualHeading3"/>
        <w:rPr>
          <w:noProof/>
          <w:lang w:val="en-IE"/>
        </w:rPr>
      </w:pPr>
      <w:r w:rsidRPr="00E50A7A">
        <w:rPr>
          <w:noProof/>
          <w:lang w:val="en-IE"/>
        </w:rPr>
        <w:t>1.4.3.</w:t>
      </w:r>
      <w:r w:rsidRPr="00E50A7A">
        <w:rPr>
          <w:noProof/>
          <w:lang w:val="en-IE"/>
        </w:rPr>
        <w:tab/>
        <w:t>Expected result(s) and impact</w:t>
      </w:r>
    </w:p>
    <w:p w14:paraId="387D3FD3" w14:textId="77777777" w:rsidR="00BD152F" w:rsidRPr="00E50A7A" w:rsidRDefault="00BD152F" w:rsidP="00B00391">
      <w:pPr>
        <w:pStyle w:val="ManualHeading3"/>
        <w:rPr>
          <w:noProof/>
          <w:lang w:val="en-IE"/>
        </w:rPr>
      </w:pPr>
      <w:r w:rsidRPr="00E50A7A">
        <w:rPr>
          <w:noProof/>
          <w:lang w:val="en-IE"/>
        </w:rPr>
        <w:t>1.4.4.</w:t>
      </w:r>
      <w:r w:rsidRPr="00E50A7A">
        <w:rPr>
          <w:noProof/>
          <w:lang w:val="en-IE"/>
        </w:rPr>
        <w:tab/>
        <w:t>Indicators of performance</w:t>
      </w:r>
    </w:p>
    <w:p w14:paraId="380663E2" w14:textId="77777777" w:rsidR="00BD152F" w:rsidRPr="00E50A7A" w:rsidRDefault="00BD152F" w:rsidP="00B00391">
      <w:pPr>
        <w:pStyle w:val="ManualHeading2"/>
        <w:rPr>
          <w:noProof/>
          <w:lang w:val="en-IE"/>
        </w:rPr>
      </w:pPr>
      <w:r w:rsidRPr="00E50A7A">
        <w:rPr>
          <w:noProof/>
          <w:lang w:val="en-IE"/>
        </w:rPr>
        <w:t>1.5.</w:t>
      </w:r>
      <w:r w:rsidRPr="00E50A7A">
        <w:rPr>
          <w:noProof/>
          <w:lang w:val="en-IE"/>
        </w:rPr>
        <w:tab/>
        <w:t>Grounds for the proposal/initiative</w:t>
      </w:r>
    </w:p>
    <w:p w14:paraId="6832B3F5" w14:textId="77777777" w:rsidR="00BD152F" w:rsidRPr="00E50A7A" w:rsidRDefault="00BD152F" w:rsidP="00B00391">
      <w:pPr>
        <w:pStyle w:val="ManualHeading3"/>
        <w:rPr>
          <w:noProof/>
          <w:lang w:val="en-IE"/>
        </w:rPr>
      </w:pPr>
      <w:r w:rsidRPr="00E50A7A">
        <w:rPr>
          <w:noProof/>
          <w:lang w:val="en-IE"/>
        </w:rPr>
        <w:t>1.5.1.</w:t>
      </w:r>
      <w:r w:rsidRPr="00E50A7A">
        <w:rPr>
          <w:noProof/>
          <w:lang w:val="en-IE"/>
        </w:rPr>
        <w:tab/>
        <w:t>Requirement(s) to be met in the short or long term including a detailed timeline for roll-out of the implementation of the initiative</w:t>
      </w:r>
    </w:p>
    <w:p w14:paraId="7C2EBC8E" w14:textId="77777777" w:rsidR="00BD152F" w:rsidRPr="00E50A7A" w:rsidRDefault="00BD152F" w:rsidP="00B00391">
      <w:pPr>
        <w:pStyle w:val="ManualHeading3"/>
        <w:rPr>
          <w:noProof/>
          <w:lang w:val="en-IE"/>
        </w:rPr>
      </w:pPr>
      <w:r w:rsidRPr="00E50A7A">
        <w:rPr>
          <w:noProof/>
          <w:lang w:val="en-IE"/>
        </w:rPr>
        <w:t>1.5.2.</w:t>
      </w:r>
      <w:r w:rsidRPr="00E50A7A">
        <w:rPr>
          <w:noProof/>
          <w:lang w:val="en-IE"/>
        </w:rPr>
        <w:tab/>
        <w:t xml:space="preserve">Added value of Union involvement (it may result from different factors, e.g. coordination gains, legal certainty, greater effectiveness or complementarities). For the purposes of this point 'added value of Union involvement' is the value resulting </w:t>
      </w:r>
      <w:r w:rsidRPr="00E50A7A">
        <w:rPr>
          <w:noProof/>
          <w:lang w:val="en-IE"/>
        </w:rPr>
        <w:lastRenderedPageBreak/>
        <w:t>from Union intervention, which is additional to the value that would have been otherwise created by Member States alone.</w:t>
      </w:r>
    </w:p>
    <w:p w14:paraId="28048BC6" w14:textId="77777777" w:rsidR="00BD152F" w:rsidRPr="00E50A7A" w:rsidRDefault="00BD152F" w:rsidP="00B00391">
      <w:pPr>
        <w:pStyle w:val="ManualHeading3"/>
        <w:rPr>
          <w:noProof/>
          <w:lang w:val="en-IE"/>
        </w:rPr>
      </w:pPr>
      <w:r w:rsidRPr="00E50A7A">
        <w:rPr>
          <w:noProof/>
          <w:lang w:val="en-IE"/>
        </w:rPr>
        <w:t>1.5.3.</w:t>
      </w:r>
      <w:r w:rsidRPr="00E50A7A">
        <w:rPr>
          <w:noProof/>
          <w:lang w:val="en-IE"/>
        </w:rPr>
        <w:tab/>
        <w:t>Lessons learned from similar experiences in the past</w:t>
      </w:r>
    </w:p>
    <w:p w14:paraId="5172EBE4" w14:textId="77777777" w:rsidR="00BD152F" w:rsidRPr="00E50A7A" w:rsidRDefault="00BD152F" w:rsidP="00B00391">
      <w:pPr>
        <w:pStyle w:val="ManualHeading3"/>
        <w:rPr>
          <w:noProof/>
          <w:lang w:val="en-IE"/>
        </w:rPr>
      </w:pPr>
      <w:r w:rsidRPr="00E50A7A">
        <w:rPr>
          <w:noProof/>
          <w:lang w:val="en-IE"/>
        </w:rPr>
        <w:t>1.5.4.</w:t>
      </w:r>
      <w:r w:rsidRPr="00E50A7A">
        <w:rPr>
          <w:noProof/>
          <w:lang w:val="en-IE"/>
        </w:rPr>
        <w:tab/>
        <w:t>Compatibility with the Multiannual Financial Framework and possible synergies with other appropriate instruments</w:t>
      </w:r>
    </w:p>
    <w:p w14:paraId="40D0762D" w14:textId="77777777" w:rsidR="00BD152F" w:rsidRPr="00E50A7A" w:rsidRDefault="00BD152F" w:rsidP="00B00391">
      <w:pPr>
        <w:pStyle w:val="ManualHeading3"/>
        <w:rPr>
          <w:noProof/>
          <w:lang w:val="en-IE"/>
        </w:rPr>
      </w:pPr>
      <w:r w:rsidRPr="00E50A7A">
        <w:rPr>
          <w:noProof/>
          <w:lang w:val="en-IE"/>
        </w:rPr>
        <w:t>1.5.5.</w:t>
      </w:r>
      <w:r w:rsidRPr="00E50A7A">
        <w:rPr>
          <w:noProof/>
          <w:lang w:val="en-IE"/>
        </w:rPr>
        <w:tab/>
        <w:t>Assessment of the different available financing options, including scope for redeployment</w:t>
      </w:r>
    </w:p>
    <w:p w14:paraId="185268DA" w14:textId="77777777" w:rsidR="00BD152F" w:rsidRPr="00E50A7A" w:rsidRDefault="00BD152F" w:rsidP="00B00391">
      <w:pPr>
        <w:pStyle w:val="ManualHeading2"/>
        <w:rPr>
          <w:noProof/>
          <w:lang w:val="en-IE"/>
        </w:rPr>
      </w:pPr>
      <w:r w:rsidRPr="00E50A7A">
        <w:rPr>
          <w:noProof/>
          <w:lang w:val="en-IE"/>
        </w:rPr>
        <w:t>1.6.</w:t>
      </w:r>
      <w:r w:rsidRPr="00E50A7A">
        <w:rPr>
          <w:noProof/>
          <w:lang w:val="en-IE"/>
        </w:rPr>
        <w:tab/>
        <w:t>Duration and financial impact of the proposal/initiative</w:t>
      </w:r>
    </w:p>
    <w:p w14:paraId="2C8D3821" w14:textId="77777777" w:rsidR="00BD152F" w:rsidRPr="00E50A7A" w:rsidRDefault="00BD152F" w:rsidP="00B00391">
      <w:pPr>
        <w:pStyle w:val="ManualHeading2"/>
        <w:rPr>
          <w:noProof/>
          <w:lang w:val="en-IE"/>
        </w:rPr>
      </w:pPr>
      <w:r w:rsidRPr="00E50A7A">
        <w:rPr>
          <w:noProof/>
          <w:lang w:val="en-IE"/>
        </w:rPr>
        <w:t>1.7.</w:t>
      </w:r>
      <w:r w:rsidRPr="00E50A7A">
        <w:rPr>
          <w:noProof/>
          <w:lang w:val="en-IE"/>
        </w:rPr>
        <w:tab/>
        <w:t>Method(s) of budget implementation planned</w:t>
      </w:r>
    </w:p>
    <w:p w14:paraId="40AF2806" w14:textId="77777777" w:rsidR="00BD152F" w:rsidRPr="00E50A7A" w:rsidRDefault="00BD152F" w:rsidP="00B00391">
      <w:pPr>
        <w:pStyle w:val="ManualHeading1"/>
        <w:rPr>
          <w:noProof/>
          <w:lang w:val="en-IE"/>
        </w:rPr>
      </w:pPr>
      <w:r w:rsidRPr="00E50A7A">
        <w:rPr>
          <w:noProof/>
          <w:lang w:val="en-IE"/>
        </w:rPr>
        <w:t>2.</w:t>
      </w:r>
      <w:r w:rsidRPr="00E50A7A">
        <w:rPr>
          <w:noProof/>
          <w:lang w:val="en-IE"/>
        </w:rPr>
        <w:tab/>
        <w:t>MANAGEMENT MEASURES</w:t>
      </w:r>
    </w:p>
    <w:p w14:paraId="1A9F4673" w14:textId="77777777" w:rsidR="00BD152F" w:rsidRPr="00E50A7A" w:rsidRDefault="00BD152F" w:rsidP="00B00391">
      <w:pPr>
        <w:pStyle w:val="ManualHeading2"/>
        <w:rPr>
          <w:noProof/>
          <w:lang w:val="en-IE"/>
        </w:rPr>
      </w:pPr>
      <w:r w:rsidRPr="00E50A7A">
        <w:rPr>
          <w:noProof/>
          <w:lang w:val="en-IE"/>
        </w:rPr>
        <w:t>2.1.</w:t>
      </w:r>
      <w:r w:rsidRPr="00E50A7A">
        <w:rPr>
          <w:noProof/>
          <w:lang w:val="en-IE"/>
        </w:rPr>
        <w:tab/>
        <w:t>Monitoring and reporting rules</w:t>
      </w:r>
    </w:p>
    <w:p w14:paraId="6B5E5C34" w14:textId="77777777" w:rsidR="00BD152F" w:rsidRPr="00E50A7A" w:rsidRDefault="00BD152F" w:rsidP="00B00391">
      <w:pPr>
        <w:pStyle w:val="ManualHeading2"/>
        <w:rPr>
          <w:noProof/>
          <w:lang w:val="en-IE"/>
        </w:rPr>
      </w:pPr>
      <w:r w:rsidRPr="00E50A7A">
        <w:rPr>
          <w:noProof/>
          <w:lang w:val="en-IE"/>
        </w:rPr>
        <w:t>2.2.</w:t>
      </w:r>
      <w:r w:rsidRPr="00E50A7A">
        <w:rPr>
          <w:noProof/>
          <w:lang w:val="en-IE"/>
        </w:rPr>
        <w:tab/>
        <w:t>Management and control system(s)</w:t>
      </w:r>
    </w:p>
    <w:p w14:paraId="1E041A19" w14:textId="77777777" w:rsidR="00BD152F" w:rsidRPr="00E50A7A" w:rsidRDefault="00BD152F" w:rsidP="00B00391">
      <w:pPr>
        <w:pStyle w:val="ManualHeading3"/>
        <w:rPr>
          <w:noProof/>
          <w:lang w:val="en-IE"/>
        </w:rPr>
      </w:pPr>
      <w:r w:rsidRPr="00E50A7A">
        <w:rPr>
          <w:noProof/>
          <w:lang w:val="en-IE"/>
        </w:rPr>
        <w:t>2.2.1.</w:t>
      </w:r>
      <w:r w:rsidRPr="00E50A7A">
        <w:rPr>
          <w:noProof/>
          <w:lang w:val="en-IE"/>
        </w:rPr>
        <w:tab/>
        <w:t>Justification of the management mode(s), the funding implementation mechanism(s), the payment modalities and the control strategy proposed</w:t>
      </w:r>
    </w:p>
    <w:p w14:paraId="1E69F771" w14:textId="77777777" w:rsidR="00BD152F" w:rsidRPr="00E50A7A" w:rsidRDefault="00BD152F" w:rsidP="00B00391">
      <w:pPr>
        <w:pStyle w:val="ManualHeading3"/>
        <w:rPr>
          <w:noProof/>
          <w:lang w:val="en-IE"/>
        </w:rPr>
      </w:pPr>
      <w:r w:rsidRPr="00E50A7A">
        <w:rPr>
          <w:noProof/>
          <w:lang w:val="en-IE"/>
        </w:rPr>
        <w:t>2.2.2.</w:t>
      </w:r>
      <w:r w:rsidRPr="00E50A7A">
        <w:rPr>
          <w:noProof/>
          <w:lang w:val="en-IE"/>
        </w:rPr>
        <w:tab/>
        <w:t>Information concerning the risks identified and the internal control system(s) set up to mitigate them</w:t>
      </w:r>
    </w:p>
    <w:p w14:paraId="62467307" w14:textId="77777777" w:rsidR="00BD152F" w:rsidRPr="00E50A7A" w:rsidRDefault="00BD152F" w:rsidP="00B00391">
      <w:pPr>
        <w:pStyle w:val="ManualHeading3"/>
        <w:rPr>
          <w:noProof/>
          <w:lang w:val="en-IE"/>
        </w:rPr>
      </w:pPr>
      <w:r w:rsidRPr="00E50A7A">
        <w:rPr>
          <w:noProof/>
          <w:lang w:val="en-IE"/>
        </w:rPr>
        <w:t>2.2.3.</w:t>
      </w:r>
      <w:r w:rsidRPr="00E50A7A">
        <w:rPr>
          <w:noProof/>
          <w:lang w:val="en-IE"/>
        </w:rPr>
        <w:tab/>
        <w:t>Estimation and justification of the cost-effectiveness of the controls (ratio of "control costs ÷ value of the related funds managed"), and assessment of the expected levels of risk of error (at payment &amp; at closure)</w:t>
      </w:r>
    </w:p>
    <w:p w14:paraId="43B7D099" w14:textId="77777777" w:rsidR="00BD152F" w:rsidRPr="00E50A7A" w:rsidRDefault="00BD152F" w:rsidP="00B00391">
      <w:pPr>
        <w:pStyle w:val="ManualHeading2"/>
        <w:rPr>
          <w:noProof/>
          <w:lang w:val="en-IE"/>
        </w:rPr>
      </w:pPr>
      <w:r w:rsidRPr="00E50A7A">
        <w:rPr>
          <w:noProof/>
          <w:lang w:val="en-IE"/>
        </w:rPr>
        <w:t>2.3.</w:t>
      </w:r>
      <w:r w:rsidRPr="00E50A7A">
        <w:rPr>
          <w:noProof/>
          <w:lang w:val="en-IE"/>
        </w:rPr>
        <w:tab/>
        <w:t>Measures to prevent fraud and irregularities</w:t>
      </w:r>
    </w:p>
    <w:p w14:paraId="7DCA5D7D" w14:textId="77777777" w:rsidR="00BD152F" w:rsidRPr="00E50A7A" w:rsidRDefault="00BD152F" w:rsidP="00B00391">
      <w:pPr>
        <w:pStyle w:val="ManualHeading1"/>
        <w:rPr>
          <w:noProof/>
          <w:lang w:val="en-IE"/>
        </w:rPr>
      </w:pPr>
      <w:r w:rsidRPr="00E50A7A">
        <w:rPr>
          <w:noProof/>
          <w:lang w:val="en-IE"/>
        </w:rPr>
        <w:t>3.</w:t>
      </w:r>
      <w:r w:rsidRPr="00E50A7A">
        <w:rPr>
          <w:noProof/>
          <w:lang w:val="en-IE"/>
        </w:rPr>
        <w:tab/>
        <w:t>ESTIMATED FINANCIAL IMPACT OF THE PROPOSAL/INITIATIVE</w:t>
      </w:r>
    </w:p>
    <w:p w14:paraId="5771716E" w14:textId="77777777" w:rsidR="00BD152F" w:rsidRPr="00E50A7A" w:rsidRDefault="00BD152F" w:rsidP="00B00391">
      <w:pPr>
        <w:pStyle w:val="ManualHeading2"/>
        <w:rPr>
          <w:noProof/>
          <w:lang w:val="en-IE"/>
        </w:rPr>
      </w:pPr>
      <w:r w:rsidRPr="00E50A7A">
        <w:rPr>
          <w:noProof/>
          <w:lang w:val="en-IE"/>
        </w:rPr>
        <w:t>3.1.</w:t>
      </w:r>
      <w:r w:rsidRPr="00E50A7A">
        <w:rPr>
          <w:noProof/>
          <w:lang w:val="en-IE"/>
        </w:rPr>
        <w:tab/>
        <w:t>Heading(s) of the multiannual financial framework and expenditure budget line(s) affected</w:t>
      </w:r>
    </w:p>
    <w:p w14:paraId="36196DE4" w14:textId="77777777" w:rsidR="00BD152F" w:rsidRPr="00E50A7A" w:rsidRDefault="00BD152F" w:rsidP="00B00391">
      <w:pPr>
        <w:pStyle w:val="ManualHeading2"/>
        <w:rPr>
          <w:noProof/>
          <w:lang w:val="en-IE"/>
        </w:rPr>
      </w:pPr>
      <w:r w:rsidRPr="00E50A7A">
        <w:rPr>
          <w:noProof/>
          <w:lang w:val="en-IE"/>
        </w:rPr>
        <w:t>3.2.</w:t>
      </w:r>
      <w:r w:rsidRPr="00E50A7A">
        <w:rPr>
          <w:noProof/>
          <w:lang w:val="en-IE"/>
        </w:rPr>
        <w:tab/>
        <w:t>Estimated financial impact of the proposal on appropriations</w:t>
      </w:r>
    </w:p>
    <w:p w14:paraId="08999102" w14:textId="77777777" w:rsidR="00BD152F" w:rsidRPr="00E50A7A" w:rsidRDefault="00BD152F" w:rsidP="00B00391">
      <w:pPr>
        <w:pStyle w:val="ManualHeading3"/>
        <w:rPr>
          <w:noProof/>
          <w:lang w:val="en-IE"/>
        </w:rPr>
      </w:pPr>
      <w:r w:rsidRPr="00E50A7A">
        <w:rPr>
          <w:noProof/>
          <w:lang w:val="en-IE"/>
        </w:rPr>
        <w:t>3.2.1.</w:t>
      </w:r>
      <w:r w:rsidRPr="00E50A7A">
        <w:rPr>
          <w:noProof/>
          <w:lang w:val="en-IE"/>
        </w:rPr>
        <w:tab/>
        <w:t>Summary of estimated impact on operational appropriations</w:t>
      </w:r>
    </w:p>
    <w:p w14:paraId="065CB0A7" w14:textId="77777777" w:rsidR="00BD152F" w:rsidRPr="00E50A7A" w:rsidRDefault="00BD152F" w:rsidP="00B00391">
      <w:pPr>
        <w:pStyle w:val="ManualHeading3"/>
        <w:rPr>
          <w:noProof/>
          <w:lang w:val="en-IE"/>
        </w:rPr>
      </w:pPr>
      <w:r w:rsidRPr="00E50A7A">
        <w:rPr>
          <w:noProof/>
          <w:lang w:val="en-IE"/>
        </w:rPr>
        <w:t>3.2.2.</w:t>
      </w:r>
      <w:r w:rsidRPr="00E50A7A">
        <w:rPr>
          <w:noProof/>
          <w:lang w:val="en-IE"/>
        </w:rPr>
        <w:tab/>
        <w:t>Estimated output funded with operational appropriations</w:t>
      </w:r>
    </w:p>
    <w:p w14:paraId="2CF1AF9D" w14:textId="77777777" w:rsidR="00BD152F" w:rsidRPr="00E50A7A" w:rsidRDefault="00BD152F" w:rsidP="00B00391">
      <w:pPr>
        <w:pStyle w:val="ManualHeading3"/>
        <w:rPr>
          <w:noProof/>
          <w:lang w:val="en-IE"/>
        </w:rPr>
      </w:pPr>
      <w:r w:rsidRPr="00E50A7A">
        <w:rPr>
          <w:noProof/>
          <w:lang w:val="en-IE"/>
        </w:rPr>
        <w:t>3.2.3.</w:t>
      </w:r>
      <w:r w:rsidRPr="00E50A7A">
        <w:rPr>
          <w:noProof/>
          <w:lang w:val="en-IE"/>
        </w:rPr>
        <w:tab/>
        <w:t>Summary of estimated impact on administrative appropriations</w:t>
      </w:r>
    </w:p>
    <w:p w14:paraId="4EEAF5AC" w14:textId="77777777" w:rsidR="00BD152F" w:rsidRPr="00E50A7A" w:rsidRDefault="00BD152F" w:rsidP="00B00391">
      <w:pPr>
        <w:pStyle w:val="ManualHeading3"/>
        <w:rPr>
          <w:noProof/>
          <w:lang w:val="en-IE"/>
        </w:rPr>
      </w:pPr>
      <w:r w:rsidRPr="00E50A7A">
        <w:rPr>
          <w:noProof/>
          <w:lang w:val="en-IE"/>
        </w:rPr>
        <w:t>3.2.3.1.</w:t>
      </w:r>
      <w:r w:rsidRPr="00E50A7A">
        <w:rPr>
          <w:noProof/>
          <w:lang w:val="en-IE"/>
        </w:rPr>
        <w:tab/>
        <w:t>Estimated requirements of human resources</w:t>
      </w:r>
    </w:p>
    <w:p w14:paraId="26DFA6F2" w14:textId="77777777" w:rsidR="00BD152F" w:rsidRPr="00E50A7A" w:rsidRDefault="00BD152F" w:rsidP="00B00391">
      <w:pPr>
        <w:pStyle w:val="ManualHeading3"/>
        <w:rPr>
          <w:noProof/>
          <w:lang w:val="en-IE"/>
        </w:rPr>
      </w:pPr>
      <w:r w:rsidRPr="00E50A7A">
        <w:rPr>
          <w:noProof/>
          <w:lang w:val="en-IE"/>
        </w:rPr>
        <w:t>3.2.4.</w:t>
      </w:r>
      <w:r w:rsidRPr="00E50A7A">
        <w:rPr>
          <w:noProof/>
          <w:lang w:val="en-IE"/>
        </w:rPr>
        <w:tab/>
        <w:t>Compatibility with the current multiannual financial framework</w:t>
      </w:r>
    </w:p>
    <w:p w14:paraId="6D14551F" w14:textId="77777777" w:rsidR="00BD152F" w:rsidRPr="00E50A7A" w:rsidRDefault="00BD152F" w:rsidP="00B00391">
      <w:pPr>
        <w:pStyle w:val="ManualHeading3"/>
        <w:rPr>
          <w:noProof/>
          <w:lang w:val="en-IE"/>
        </w:rPr>
      </w:pPr>
      <w:r w:rsidRPr="00E50A7A">
        <w:rPr>
          <w:noProof/>
          <w:lang w:val="en-IE"/>
        </w:rPr>
        <w:t>3.2.5.</w:t>
      </w:r>
      <w:r w:rsidRPr="00E50A7A">
        <w:rPr>
          <w:noProof/>
          <w:lang w:val="en-IE"/>
        </w:rPr>
        <w:tab/>
        <w:t>Third-party contributions</w:t>
      </w:r>
    </w:p>
    <w:p w14:paraId="401283D8" w14:textId="77777777" w:rsidR="00BD152F" w:rsidRPr="00E50A7A" w:rsidRDefault="00BD152F" w:rsidP="00B00391">
      <w:pPr>
        <w:pStyle w:val="ManualHeading2"/>
        <w:rPr>
          <w:noProof/>
          <w:lang w:val="en-IE"/>
        </w:rPr>
      </w:pPr>
      <w:r w:rsidRPr="00E50A7A">
        <w:rPr>
          <w:noProof/>
          <w:lang w:val="en-IE"/>
        </w:rPr>
        <w:t>3.3.</w:t>
      </w:r>
      <w:r w:rsidRPr="00E50A7A">
        <w:rPr>
          <w:noProof/>
          <w:lang w:val="en-IE"/>
        </w:rPr>
        <w:tab/>
        <w:t>Estimated impact on revenue</w:t>
      </w:r>
    </w:p>
    <w:p w14:paraId="2158B96E" w14:textId="77777777" w:rsidR="00BD152F" w:rsidRPr="00E50A7A" w:rsidRDefault="00BD152F" w:rsidP="00B00391">
      <w:pPr>
        <w:rPr>
          <w:noProof/>
          <w:lang w:val="en-IE"/>
        </w:rPr>
        <w:sectPr w:rsidR="00BD152F" w:rsidRPr="00E50A7A" w:rsidSect="001F75A6">
          <w:pgSz w:w="11907" w:h="16840" w:code="9"/>
          <w:pgMar w:top="1134" w:right="1418" w:bottom="1134" w:left="1418" w:header="709" w:footer="709" w:gutter="0"/>
          <w:pgNumType w:start="1"/>
          <w:cols w:space="720"/>
          <w:docGrid w:linePitch="360"/>
        </w:sectPr>
      </w:pPr>
    </w:p>
    <w:p w14:paraId="63CE8122" w14:textId="77777777" w:rsidR="00BD152F" w:rsidRPr="00E50A7A" w:rsidRDefault="00BD152F" w:rsidP="00B00391">
      <w:pPr>
        <w:pStyle w:val="ManualHeading1"/>
        <w:rPr>
          <w:noProof/>
          <w:lang w:val="en-IE"/>
        </w:rPr>
      </w:pPr>
      <w:r w:rsidRPr="00E50A7A">
        <w:rPr>
          <w:noProof/>
          <w:lang w:val="en-IE"/>
        </w:rPr>
        <w:lastRenderedPageBreak/>
        <w:t>1.</w:t>
      </w:r>
      <w:r w:rsidRPr="00E50A7A">
        <w:rPr>
          <w:noProof/>
          <w:lang w:val="en-IE"/>
        </w:rPr>
        <w:tab/>
        <w:t xml:space="preserve">FRAMEWORK OF THE PROPOSAL/INITIATIVE </w:t>
      </w:r>
    </w:p>
    <w:p w14:paraId="043CDCD5" w14:textId="77777777" w:rsidR="00BD152F" w:rsidRPr="00E50A7A" w:rsidRDefault="00BD152F" w:rsidP="00B00391">
      <w:pPr>
        <w:pStyle w:val="ManualHeading2"/>
        <w:rPr>
          <w:noProof/>
          <w:lang w:val="en-IE"/>
        </w:rPr>
      </w:pPr>
      <w:r w:rsidRPr="00E50A7A">
        <w:rPr>
          <w:noProof/>
          <w:lang w:val="en-IE"/>
        </w:rPr>
        <w:t>1.1.</w:t>
      </w:r>
      <w:r w:rsidRPr="00E50A7A">
        <w:rPr>
          <w:noProof/>
          <w:lang w:val="en-IE"/>
        </w:rPr>
        <w:tab/>
        <w:t>Title of the proposal/initiative</w:t>
      </w:r>
    </w:p>
    <w:p w14:paraId="2DF084F0" w14:textId="77777777" w:rsidR="00BD152F" w:rsidRPr="00E50A7A" w:rsidRDefault="00B44E68" w:rsidP="00B44E68">
      <w:pPr>
        <w:pStyle w:val="Text1"/>
        <w:pBdr>
          <w:top w:val="single" w:sz="4" w:space="1" w:color="auto"/>
          <w:left w:val="single" w:sz="4" w:space="4" w:color="auto"/>
          <w:bottom w:val="single" w:sz="4" w:space="1" w:color="auto"/>
          <w:right w:val="single" w:sz="4" w:space="4" w:color="auto"/>
        </w:pBdr>
        <w:rPr>
          <w:noProof/>
          <w:lang w:val="en-IE"/>
        </w:rPr>
      </w:pPr>
      <w:r w:rsidRPr="00E50A7A">
        <w:rPr>
          <w:rStyle w:val="normaltextrun"/>
          <w:noProof/>
          <w:color w:val="000000"/>
          <w:shd w:val="clear" w:color="auto" w:fill="FFFFFF"/>
          <w:lang w:val="en-IE"/>
        </w:rPr>
        <w:t>Proposal for a Directive of the European Parliament and of the Council amending Directive 2008/98/EC on waste</w:t>
      </w:r>
      <w:r w:rsidRPr="00E50A7A">
        <w:rPr>
          <w:rStyle w:val="eop"/>
          <w:noProof/>
          <w:color w:val="000000"/>
          <w:shd w:val="clear" w:color="auto" w:fill="FFFFFF"/>
          <w:lang w:val="en-IE"/>
        </w:rPr>
        <w:t> </w:t>
      </w:r>
    </w:p>
    <w:p w14:paraId="7F28AF72" w14:textId="77777777" w:rsidR="00BD152F" w:rsidRPr="00E50A7A" w:rsidRDefault="00BD152F" w:rsidP="00B00391">
      <w:pPr>
        <w:pStyle w:val="ManualHeading2"/>
        <w:rPr>
          <w:i/>
          <w:noProof/>
          <w:lang w:val="en-IE"/>
        </w:rPr>
      </w:pPr>
      <w:r w:rsidRPr="00E50A7A">
        <w:rPr>
          <w:noProof/>
          <w:lang w:val="en-IE"/>
        </w:rPr>
        <w:t>1.2.</w:t>
      </w:r>
      <w:r w:rsidRPr="00E50A7A">
        <w:rPr>
          <w:noProof/>
          <w:lang w:val="en-IE"/>
        </w:rPr>
        <w:tab/>
        <w:t>Policy area(s) concerned</w:t>
      </w:r>
      <w:r w:rsidRPr="00E50A7A">
        <w:rPr>
          <w:i/>
          <w:noProof/>
          <w:lang w:val="en-IE"/>
        </w:rPr>
        <w:t xml:space="preserve"> </w:t>
      </w:r>
    </w:p>
    <w:p w14:paraId="56DF9476" w14:textId="77777777" w:rsidR="00BB1A93" w:rsidRPr="00E50A7A" w:rsidRDefault="00B44E68" w:rsidP="00B44E68">
      <w:pPr>
        <w:pStyle w:val="Text1"/>
        <w:pBdr>
          <w:top w:val="single" w:sz="4" w:space="1" w:color="auto"/>
          <w:left w:val="single" w:sz="4" w:space="4" w:color="auto"/>
          <w:bottom w:val="single" w:sz="4" w:space="1" w:color="auto"/>
          <w:right w:val="single" w:sz="4" w:space="4" w:color="auto"/>
        </w:pBdr>
        <w:rPr>
          <w:rStyle w:val="normaltextrun"/>
          <w:noProof/>
          <w:color w:val="000000"/>
          <w:shd w:val="clear" w:color="auto" w:fill="FFFFFF"/>
          <w:lang w:val="en-IE"/>
        </w:rPr>
      </w:pPr>
      <w:r w:rsidRPr="00E50A7A">
        <w:rPr>
          <w:rStyle w:val="normaltextrun"/>
          <w:noProof/>
          <w:color w:val="000000"/>
          <w:shd w:val="clear" w:color="auto" w:fill="FFFFFF"/>
          <w:lang w:val="en-IE"/>
        </w:rPr>
        <w:t>09 – Environment &amp; Climate Change</w:t>
      </w:r>
    </w:p>
    <w:p w14:paraId="0BDD83ED" w14:textId="77777777" w:rsidR="00BD152F" w:rsidRPr="00E50A7A" w:rsidRDefault="00BD152F" w:rsidP="00B00391">
      <w:pPr>
        <w:pStyle w:val="ManualHeading2"/>
        <w:rPr>
          <w:bCs/>
          <w:noProof/>
          <w:szCs w:val="24"/>
          <w:lang w:val="en-IE"/>
        </w:rPr>
      </w:pPr>
      <w:r w:rsidRPr="00E50A7A">
        <w:rPr>
          <w:noProof/>
          <w:lang w:val="en-IE"/>
        </w:rPr>
        <w:t>1.3.</w:t>
      </w:r>
      <w:r w:rsidRPr="00E50A7A">
        <w:rPr>
          <w:noProof/>
          <w:lang w:val="en-IE"/>
        </w:rPr>
        <w:tab/>
        <w:t xml:space="preserve">The proposal/initiative relates to: </w:t>
      </w:r>
    </w:p>
    <w:p w14:paraId="4C1ADBD6" w14:textId="77777777" w:rsidR="00BD152F" w:rsidRPr="00E50A7A" w:rsidRDefault="00B44E68" w:rsidP="00B00391">
      <w:pPr>
        <w:pStyle w:val="Text1"/>
        <w:rPr>
          <w:b/>
          <w:noProof/>
          <w:sz w:val="22"/>
          <w:lang w:val="en-IE"/>
        </w:rPr>
      </w:pPr>
      <w:r w:rsidRPr="00E50A7A">
        <w:rPr>
          <w:rStyle w:val="normaltextrun"/>
          <w:rFonts w:ascii="Wingdings" w:eastAsia="Wingdings" w:hAnsi="Wingdings" w:cs="Wingdings"/>
          <w:noProof/>
          <w:color w:val="000000"/>
          <w:sz w:val="22"/>
          <w:bdr w:val="none" w:sz="0" w:space="0" w:color="auto" w:frame="1"/>
          <w:lang w:val="en-IE"/>
        </w:rPr>
        <w:t></w:t>
      </w:r>
      <w:r w:rsidR="00BD152F" w:rsidRPr="00E50A7A">
        <w:rPr>
          <w:b/>
          <w:i/>
          <w:noProof/>
          <w:sz w:val="22"/>
          <w:lang w:val="en-IE"/>
        </w:rPr>
        <w:t xml:space="preserve"> </w:t>
      </w:r>
      <w:r w:rsidR="00BD152F" w:rsidRPr="00E50A7A">
        <w:rPr>
          <w:b/>
          <w:noProof/>
          <w:lang w:val="en-IE"/>
        </w:rPr>
        <w:t>a new action</w:t>
      </w:r>
      <w:r w:rsidR="00BD152F" w:rsidRPr="00E50A7A">
        <w:rPr>
          <w:b/>
          <w:noProof/>
          <w:sz w:val="22"/>
          <w:lang w:val="en-IE"/>
        </w:rPr>
        <w:t xml:space="preserve"> </w:t>
      </w:r>
    </w:p>
    <w:p w14:paraId="3D70782F" w14:textId="77777777" w:rsidR="00BD152F" w:rsidRPr="00E50A7A" w:rsidRDefault="76754597" w:rsidP="00B00391">
      <w:pPr>
        <w:pStyle w:val="Text1"/>
        <w:rPr>
          <w:noProof/>
          <w:sz w:val="22"/>
          <w:lang w:val="en-IE"/>
        </w:rPr>
      </w:pPr>
      <w:r w:rsidRPr="00E50A7A">
        <w:rPr>
          <w:rFonts w:ascii="Wingdings" w:eastAsia="Wingdings" w:hAnsi="Wingdings" w:cs="Wingdings"/>
          <w:noProof/>
          <w:sz w:val="22"/>
          <w:lang w:val="en-IE"/>
        </w:rPr>
        <w:t></w:t>
      </w:r>
      <w:r w:rsidRPr="00E50A7A">
        <w:rPr>
          <w:i/>
          <w:iCs/>
          <w:noProof/>
          <w:sz w:val="22"/>
          <w:lang w:val="en-IE"/>
        </w:rPr>
        <w:t xml:space="preserve"> </w:t>
      </w:r>
      <w:r w:rsidRPr="00E50A7A">
        <w:rPr>
          <w:b/>
          <w:bCs/>
          <w:noProof/>
          <w:lang w:val="en-IE"/>
        </w:rPr>
        <w:t>a new action following a pilot project/preparatory action</w:t>
      </w:r>
      <w:r w:rsidR="00BD152F" w:rsidRPr="00E50A7A">
        <w:rPr>
          <w:rStyle w:val="FootnoteReference"/>
          <w:b/>
          <w:bCs/>
          <w:noProof/>
          <w:lang w:val="en-IE"/>
        </w:rPr>
        <w:footnoteReference w:id="87"/>
      </w:r>
      <w:r w:rsidRPr="00E50A7A">
        <w:rPr>
          <w:noProof/>
          <w:sz w:val="22"/>
          <w:lang w:val="en-IE"/>
        </w:rPr>
        <w:t xml:space="preserve"> </w:t>
      </w:r>
    </w:p>
    <w:p w14:paraId="1EBF7BF1" w14:textId="77777777" w:rsidR="00BD152F" w:rsidRPr="00E50A7A" w:rsidRDefault="00B44E68" w:rsidP="00B00391">
      <w:pPr>
        <w:pStyle w:val="Text1"/>
        <w:rPr>
          <w:noProof/>
          <w:sz w:val="22"/>
          <w:lang w:val="en-IE"/>
        </w:rPr>
      </w:pPr>
      <w:r w:rsidRPr="00E50A7A">
        <w:rPr>
          <w:rStyle w:val="normaltextrun"/>
          <w:rFonts w:ascii="Wingdings" w:eastAsia="Wingdings" w:hAnsi="Wingdings" w:cs="Wingdings"/>
          <w:noProof/>
          <w:color w:val="000000"/>
          <w:sz w:val="22"/>
          <w:bdr w:val="none" w:sz="0" w:space="0" w:color="auto" w:frame="1"/>
          <w:lang w:val="en-IE"/>
        </w:rPr>
        <w:t></w:t>
      </w:r>
      <w:r w:rsidR="00BD152F" w:rsidRPr="00E50A7A">
        <w:rPr>
          <w:i/>
          <w:noProof/>
          <w:sz w:val="22"/>
          <w:lang w:val="en-IE"/>
        </w:rPr>
        <w:t xml:space="preserve"> </w:t>
      </w:r>
      <w:r w:rsidR="00BD152F" w:rsidRPr="00E50A7A">
        <w:rPr>
          <w:b/>
          <w:noProof/>
          <w:lang w:val="en-IE"/>
        </w:rPr>
        <w:t>the extension of an existing action</w:t>
      </w:r>
      <w:r w:rsidR="00BD152F" w:rsidRPr="00E50A7A">
        <w:rPr>
          <w:noProof/>
          <w:sz w:val="22"/>
          <w:lang w:val="en-IE"/>
        </w:rPr>
        <w:t xml:space="preserve"> </w:t>
      </w:r>
    </w:p>
    <w:p w14:paraId="3302905D" w14:textId="77777777" w:rsidR="00BD152F" w:rsidRPr="00E50A7A" w:rsidRDefault="00BD152F" w:rsidP="00B00391">
      <w:pPr>
        <w:pStyle w:val="Text1"/>
        <w:rPr>
          <w:noProof/>
          <w:lang w:val="en-IE"/>
        </w:rPr>
      </w:pPr>
      <w:r w:rsidRPr="00E50A7A">
        <w:rPr>
          <w:rFonts w:ascii="Wingdings" w:eastAsia="Wingdings" w:hAnsi="Wingdings" w:cs="Wingdings"/>
          <w:noProof/>
          <w:sz w:val="22"/>
          <w:lang w:val="en-IE"/>
        </w:rPr>
        <w:t></w:t>
      </w:r>
      <w:r w:rsidRPr="00E50A7A">
        <w:rPr>
          <w:i/>
          <w:noProof/>
          <w:sz w:val="22"/>
          <w:lang w:val="en-IE"/>
        </w:rPr>
        <w:t xml:space="preserve"> </w:t>
      </w:r>
      <w:r w:rsidRPr="00E50A7A">
        <w:rPr>
          <w:b/>
          <w:noProof/>
          <w:lang w:val="en-IE"/>
        </w:rPr>
        <w:t>a merger or redirection of one or more actions towards another/a new action</w:t>
      </w:r>
      <w:r w:rsidRPr="00E50A7A">
        <w:rPr>
          <w:noProof/>
          <w:lang w:val="en-IE"/>
        </w:rPr>
        <w:t xml:space="preserve"> </w:t>
      </w:r>
    </w:p>
    <w:p w14:paraId="04690207" w14:textId="77777777" w:rsidR="00BD152F" w:rsidRPr="00E50A7A" w:rsidRDefault="00BD152F" w:rsidP="00B00391">
      <w:pPr>
        <w:pStyle w:val="ManualHeading2"/>
        <w:rPr>
          <w:bCs/>
          <w:noProof/>
          <w:szCs w:val="24"/>
          <w:lang w:val="en-IE"/>
        </w:rPr>
      </w:pPr>
      <w:r w:rsidRPr="00E50A7A">
        <w:rPr>
          <w:noProof/>
          <w:lang w:val="en-IE"/>
        </w:rPr>
        <w:t>1.4.</w:t>
      </w:r>
      <w:r w:rsidRPr="00E50A7A">
        <w:rPr>
          <w:noProof/>
          <w:lang w:val="en-IE"/>
        </w:rPr>
        <w:tab/>
        <w:t>Objective(s)</w:t>
      </w:r>
    </w:p>
    <w:p w14:paraId="4B7F6989" w14:textId="77777777" w:rsidR="00BD152F" w:rsidRPr="00E50A7A" w:rsidRDefault="00BD152F" w:rsidP="00B00391">
      <w:pPr>
        <w:pStyle w:val="ManualHeading3"/>
        <w:rPr>
          <w:noProof/>
          <w:lang w:val="en-IE"/>
        </w:rPr>
      </w:pPr>
      <w:r w:rsidRPr="00E50A7A">
        <w:rPr>
          <w:noProof/>
          <w:lang w:val="en-IE"/>
        </w:rPr>
        <w:t>1.4.1.</w:t>
      </w:r>
      <w:r w:rsidRPr="00E50A7A">
        <w:rPr>
          <w:noProof/>
          <w:lang w:val="en-IE"/>
        </w:rPr>
        <w:tab/>
        <w:t>General objective(s)</w:t>
      </w:r>
    </w:p>
    <w:p w14:paraId="72007FF0" w14:textId="77777777" w:rsidR="003C7F43" w:rsidRPr="00E50A7A" w:rsidRDefault="00BB1A93" w:rsidP="003C7F43">
      <w:pPr>
        <w:pStyle w:val="Text1"/>
        <w:pBdr>
          <w:top w:val="single" w:sz="4" w:space="1" w:color="auto"/>
          <w:left w:val="single" w:sz="4" w:space="4" w:color="auto"/>
          <w:bottom w:val="single" w:sz="4" w:space="1" w:color="auto"/>
          <w:right w:val="single" w:sz="4" w:space="4" w:color="auto"/>
        </w:pBdr>
        <w:rPr>
          <w:rStyle w:val="normaltextrun"/>
          <w:noProof/>
          <w:color w:val="000000"/>
          <w:shd w:val="clear" w:color="auto" w:fill="FFFFFF"/>
          <w:lang w:val="en-IE"/>
        </w:rPr>
      </w:pPr>
      <w:r w:rsidRPr="00E50A7A">
        <w:rPr>
          <w:rStyle w:val="normaltextrun"/>
          <w:noProof/>
          <w:color w:val="000000"/>
          <w:shd w:val="clear" w:color="auto" w:fill="FFFFFF"/>
          <w:lang w:val="en-IE"/>
        </w:rPr>
        <w:t>The general objectives of the amendment of the Waste Framework Directive, respectively for textile and food are to:</w:t>
      </w:r>
    </w:p>
    <w:p w14:paraId="18390BDB" w14:textId="77777777" w:rsidR="00BB1A93" w:rsidRPr="00E50A7A" w:rsidRDefault="003C7F43" w:rsidP="003C7F43">
      <w:pPr>
        <w:pStyle w:val="Text1"/>
        <w:pBdr>
          <w:top w:val="single" w:sz="4" w:space="1" w:color="auto"/>
          <w:left w:val="single" w:sz="4" w:space="4" w:color="auto"/>
          <w:bottom w:val="single" w:sz="4" w:space="1" w:color="auto"/>
          <w:right w:val="single" w:sz="4" w:space="4" w:color="auto"/>
        </w:pBdr>
        <w:rPr>
          <w:noProof/>
          <w:color w:val="000000"/>
          <w:shd w:val="clear" w:color="auto" w:fill="FFFFFF"/>
          <w:lang w:val="en-IE"/>
        </w:rPr>
      </w:pPr>
      <w:r w:rsidRPr="00E50A7A">
        <w:rPr>
          <w:rStyle w:val="normaltextrun"/>
          <w:noProof/>
          <w:color w:val="000000"/>
          <w:shd w:val="clear" w:color="auto" w:fill="FFFFFF"/>
          <w:lang w:val="en-IE"/>
        </w:rPr>
        <w:t xml:space="preserve">- </w:t>
      </w:r>
      <w:r w:rsidR="00BB1A93" w:rsidRPr="00E50A7A">
        <w:rPr>
          <w:rFonts w:eastAsia="Times New Roman"/>
          <w:noProof/>
          <w:szCs w:val="24"/>
          <w:lang w:val="en-IE" w:eastAsia="en-IE"/>
        </w:rPr>
        <w:t>reduce environmental and climate impacts, increase environment quality and improve public health associated with textiles waste management in line with the waste hierarchy,</w:t>
      </w:r>
    </w:p>
    <w:p w14:paraId="5F88992A" w14:textId="77777777" w:rsidR="00BB1A93" w:rsidRPr="00E50A7A" w:rsidRDefault="003C7F43" w:rsidP="003C7F43">
      <w:pPr>
        <w:pStyle w:val="Text1"/>
        <w:pBdr>
          <w:top w:val="single" w:sz="4" w:space="1" w:color="auto"/>
          <w:left w:val="single" w:sz="4" w:space="4" w:color="auto"/>
          <w:bottom w:val="single" w:sz="4" w:space="1" w:color="auto"/>
          <w:right w:val="single" w:sz="4" w:space="4" w:color="auto"/>
        </w:pBdr>
        <w:rPr>
          <w:rStyle w:val="normaltextrun"/>
          <w:rFonts w:eastAsia="Times New Roman"/>
          <w:noProof/>
          <w:szCs w:val="24"/>
          <w:lang w:val="en-IE" w:eastAsia="en-IE"/>
        </w:rPr>
      </w:pPr>
      <w:r w:rsidRPr="00B314C8">
        <w:rPr>
          <w:rFonts w:eastAsia="Times New Roman"/>
          <w:noProof/>
          <w:szCs w:val="24"/>
          <w:lang w:val="en-IE" w:eastAsia="en-IE"/>
        </w:rPr>
        <w:t xml:space="preserve">- </w:t>
      </w:r>
      <w:r w:rsidR="00BB1A93" w:rsidRPr="00B314C8">
        <w:rPr>
          <w:rFonts w:eastAsia="Times New Roman"/>
          <w:noProof/>
          <w:szCs w:val="24"/>
          <w:lang w:val="en-IE" w:eastAsia="en-IE"/>
        </w:rPr>
        <w:t>reduce the environmental and climate impacts of food systems associated with food waste generation. Preventing food waste would also contribute to food security.</w:t>
      </w:r>
    </w:p>
    <w:p w14:paraId="1668BA79" w14:textId="77777777" w:rsidR="00BD152F" w:rsidRPr="00E50A7A" w:rsidRDefault="00BD152F" w:rsidP="00B00391">
      <w:pPr>
        <w:pStyle w:val="ManualHeading3"/>
        <w:rPr>
          <w:bCs/>
          <w:noProof/>
          <w:szCs w:val="24"/>
          <w:lang w:val="en-IE"/>
        </w:rPr>
      </w:pPr>
      <w:r w:rsidRPr="00E50A7A">
        <w:rPr>
          <w:noProof/>
          <w:lang w:val="en-IE"/>
        </w:rPr>
        <w:t>1.4.2.</w:t>
      </w:r>
      <w:r w:rsidRPr="00E50A7A">
        <w:rPr>
          <w:noProof/>
          <w:lang w:val="en-IE"/>
        </w:rPr>
        <w:tab/>
        <w:t>Specific objective(s)</w:t>
      </w:r>
    </w:p>
    <w:p w14:paraId="4AC6821B" w14:textId="77777777" w:rsidR="006D5EFE" w:rsidRPr="00E50A7A" w:rsidRDefault="006D5EFE" w:rsidP="00B00391">
      <w:pPr>
        <w:pStyle w:val="Text1"/>
        <w:pBdr>
          <w:top w:val="single" w:sz="4" w:space="1" w:color="auto"/>
          <w:left w:val="single" w:sz="4" w:space="4" w:color="auto"/>
          <w:bottom w:val="single" w:sz="4" w:space="1" w:color="auto"/>
          <w:right w:val="single" w:sz="4" w:space="4" w:color="auto"/>
        </w:pBdr>
        <w:rPr>
          <w:rStyle w:val="normaltextrun"/>
          <w:noProof/>
          <w:color w:val="000000"/>
          <w:bdr w:val="none" w:sz="0" w:space="0" w:color="auto" w:frame="1"/>
          <w:lang w:val="en-IE"/>
        </w:rPr>
      </w:pPr>
      <w:r w:rsidRPr="00E50A7A">
        <w:rPr>
          <w:rStyle w:val="normaltextrun"/>
          <w:noProof/>
          <w:color w:val="000000"/>
          <w:bdr w:val="none" w:sz="0" w:space="0" w:color="auto" w:frame="1"/>
          <w:lang w:val="en-IE"/>
        </w:rPr>
        <w:t xml:space="preserve">For textile waste, </w:t>
      </w:r>
      <w:r w:rsidR="00B00391" w:rsidRPr="00B314C8">
        <w:rPr>
          <w:noProof/>
          <w:color w:val="000000"/>
          <w:bdr w:val="none" w:sz="0" w:space="0" w:color="auto" w:frame="1"/>
          <w:lang w:val="en-IE"/>
        </w:rPr>
        <w:t>this proposal aims to improve textile waste management in line with the ‘waste hierarchy’</w:t>
      </w:r>
      <w:r w:rsidR="00B00391" w:rsidRPr="00E50A7A">
        <w:rPr>
          <w:noProof/>
          <w:color w:val="000000"/>
          <w:bdr w:val="none" w:sz="0" w:space="0" w:color="auto" w:frame="1"/>
          <w:vertAlign w:val="superscript"/>
          <w:lang w:val="en-IE"/>
        </w:rPr>
        <w:footnoteRef/>
      </w:r>
      <w:r w:rsidR="00B00391" w:rsidRPr="00B314C8">
        <w:rPr>
          <w:noProof/>
          <w:color w:val="000000"/>
          <w:bdr w:val="none" w:sz="0" w:space="0" w:color="auto" w:frame="1"/>
          <w:lang w:val="en-IE"/>
        </w:rPr>
        <w:t xml:space="preserve"> enshrined in the WFD, prioritising waste prevention, preparing for re-use and recycling of textiles over other recovery options and disposal and implement the polluter pays principle.</w:t>
      </w:r>
    </w:p>
    <w:p w14:paraId="3C7A30F5" w14:textId="77777777" w:rsidR="00BD152F" w:rsidRPr="00E50A7A" w:rsidRDefault="006D5EFE" w:rsidP="006D5EFE">
      <w:pPr>
        <w:pStyle w:val="Text1"/>
        <w:pBdr>
          <w:top w:val="single" w:sz="4" w:space="1" w:color="auto"/>
          <w:left w:val="single" w:sz="4" w:space="4" w:color="auto"/>
          <w:bottom w:val="single" w:sz="4" w:space="1" w:color="auto"/>
          <w:right w:val="single" w:sz="4" w:space="4" w:color="auto"/>
        </w:pBdr>
        <w:rPr>
          <w:noProof/>
          <w:lang w:val="en-IE"/>
        </w:rPr>
      </w:pPr>
      <w:r w:rsidRPr="00E50A7A">
        <w:rPr>
          <w:rStyle w:val="normaltextrun"/>
          <w:noProof/>
          <w:color w:val="000000"/>
          <w:shd w:val="clear" w:color="auto" w:fill="FFFFFF"/>
          <w:lang w:val="en-IE"/>
        </w:rPr>
        <w:t>For food waste, the specific objectives are to assign clear responsibility to Member States for accelerating reduction of food waste in line with SDG Target 12.3 and to ensure sufficient and consistent response by all Member States.</w:t>
      </w:r>
      <w:r w:rsidRPr="00E50A7A">
        <w:rPr>
          <w:noProof/>
          <w:lang w:val="en-IE"/>
        </w:rPr>
        <w:t xml:space="preserve"> </w:t>
      </w:r>
    </w:p>
    <w:p w14:paraId="36B4F71A" w14:textId="77777777" w:rsidR="00BD152F" w:rsidRPr="00E50A7A" w:rsidRDefault="00BD152F" w:rsidP="00B00391">
      <w:pPr>
        <w:pStyle w:val="ManualHeading3"/>
        <w:rPr>
          <w:noProof/>
          <w:lang w:val="en-IE"/>
        </w:rPr>
      </w:pPr>
      <w:r w:rsidRPr="00E50A7A">
        <w:rPr>
          <w:noProof/>
          <w:lang w:val="en-IE"/>
        </w:rPr>
        <w:t>1.4.3.</w:t>
      </w:r>
      <w:r w:rsidRPr="00E50A7A">
        <w:rPr>
          <w:noProof/>
          <w:lang w:val="en-IE"/>
        </w:rPr>
        <w:tab/>
        <w:t>Expected result(s) and impact</w:t>
      </w:r>
    </w:p>
    <w:p w14:paraId="577880F4" w14:textId="77777777" w:rsidR="00BD152F" w:rsidRPr="00E50A7A" w:rsidRDefault="00BD152F" w:rsidP="00B00391">
      <w:pPr>
        <w:pStyle w:val="Text1"/>
        <w:rPr>
          <w:i/>
          <w:noProof/>
          <w:sz w:val="20"/>
          <w:lang w:val="en-IE"/>
        </w:rPr>
      </w:pPr>
      <w:r w:rsidRPr="00E50A7A">
        <w:rPr>
          <w:i/>
          <w:noProof/>
          <w:sz w:val="20"/>
          <w:lang w:val="en-IE"/>
        </w:rPr>
        <w:t>Specify the effects which the proposal/initiative should have on the beneficiaries/groups targeted.</w:t>
      </w:r>
    </w:p>
    <w:p w14:paraId="44F7E8AE" w14:textId="77777777" w:rsidR="006D5EFE" w:rsidRPr="00E50A7A" w:rsidRDefault="006D5EFE" w:rsidP="006D5EFE">
      <w:pPr>
        <w:pStyle w:val="Text1"/>
        <w:pBdr>
          <w:top w:val="single" w:sz="4" w:space="1" w:color="auto"/>
          <w:left w:val="single" w:sz="4" w:space="4" w:color="auto"/>
          <w:bottom w:val="single" w:sz="4" w:space="1" w:color="auto"/>
          <w:right w:val="single" w:sz="4" w:space="4" w:color="auto"/>
        </w:pBdr>
        <w:rPr>
          <w:rStyle w:val="normaltextrun"/>
          <w:noProof/>
          <w:color w:val="000000"/>
          <w:shd w:val="clear" w:color="auto" w:fill="FFFFFF"/>
          <w:lang w:val="en-IE"/>
        </w:rPr>
      </w:pPr>
      <w:r w:rsidRPr="00E50A7A">
        <w:rPr>
          <w:rStyle w:val="normaltextrun"/>
          <w:noProof/>
          <w:color w:val="000000"/>
          <w:shd w:val="clear" w:color="auto" w:fill="FFFFFF"/>
          <w:lang w:val="en-IE"/>
        </w:rPr>
        <w:t>The expected results are as follows:</w:t>
      </w:r>
    </w:p>
    <w:p w14:paraId="75A64575" w14:textId="77777777" w:rsidR="006D5EFE" w:rsidRPr="00E50A7A" w:rsidRDefault="003C7F43" w:rsidP="003C7F43">
      <w:pPr>
        <w:pStyle w:val="Text1"/>
        <w:pBdr>
          <w:top w:val="single" w:sz="4" w:space="1" w:color="auto"/>
          <w:left w:val="single" w:sz="4" w:space="4" w:color="auto"/>
          <w:bottom w:val="single" w:sz="4" w:space="1" w:color="auto"/>
          <w:right w:val="single" w:sz="4" w:space="4" w:color="auto"/>
        </w:pBdr>
        <w:rPr>
          <w:rFonts w:eastAsia="Times New Roman"/>
          <w:noProof/>
          <w:szCs w:val="24"/>
          <w:lang w:val="en-IE" w:eastAsia="en-IE"/>
        </w:rPr>
      </w:pPr>
      <w:r w:rsidRPr="00E50A7A">
        <w:rPr>
          <w:rFonts w:eastAsia="Times New Roman"/>
          <w:noProof/>
          <w:szCs w:val="24"/>
          <w:lang w:val="en-IE" w:eastAsia="en-IE"/>
        </w:rPr>
        <w:t xml:space="preserve">- </w:t>
      </w:r>
      <w:r w:rsidR="006D5EFE" w:rsidRPr="00E50A7A">
        <w:rPr>
          <w:rFonts w:eastAsia="Times New Roman"/>
          <w:noProof/>
          <w:szCs w:val="24"/>
          <w:lang w:val="en-IE" w:eastAsia="en-IE"/>
        </w:rPr>
        <w:t>Reducing textile waste, increasing re-use, preparing for re-use and recycling of textiles, incentives to design textiles to facilitate re-use, preparing for re-use and recycling (through the extended producer responsibility) as well as generating financial possibilities to increase the re-use, preparing for re-use and recycling infrastructure required in the EU</w:t>
      </w:r>
    </w:p>
    <w:p w14:paraId="06C38913" w14:textId="77777777" w:rsidR="006D5EFE" w:rsidRPr="00E50A7A" w:rsidRDefault="003C7F43" w:rsidP="003C7F43">
      <w:pPr>
        <w:pStyle w:val="Text1"/>
        <w:pBdr>
          <w:top w:val="single" w:sz="4" w:space="1" w:color="auto"/>
          <w:left w:val="single" w:sz="4" w:space="4" w:color="auto"/>
          <w:bottom w:val="single" w:sz="4" w:space="1" w:color="auto"/>
          <w:right w:val="single" w:sz="4" w:space="4" w:color="auto"/>
        </w:pBdr>
        <w:rPr>
          <w:rFonts w:eastAsia="Times New Roman"/>
          <w:noProof/>
          <w:szCs w:val="24"/>
          <w:lang w:val="en-IE" w:eastAsia="en-IE"/>
        </w:rPr>
      </w:pPr>
      <w:r w:rsidRPr="00E50A7A">
        <w:rPr>
          <w:rFonts w:eastAsia="Times New Roman"/>
          <w:noProof/>
          <w:szCs w:val="24"/>
          <w:lang w:val="en-IE" w:eastAsia="en-IE"/>
        </w:rPr>
        <w:lastRenderedPageBreak/>
        <w:t xml:space="preserve">- </w:t>
      </w:r>
      <w:r w:rsidR="006D5EFE" w:rsidRPr="00E50A7A">
        <w:rPr>
          <w:rFonts w:eastAsia="Times New Roman"/>
          <w:noProof/>
          <w:szCs w:val="24"/>
          <w:lang w:val="en-IE" w:eastAsia="en-IE"/>
        </w:rPr>
        <w:t>Additional benefits of €656 million of reusable and recyclable textiles for the EU reuse and recycling market as well as support to €3.5-4.5 billion annual overall returns from extended producer responsibility investments</w:t>
      </w:r>
    </w:p>
    <w:p w14:paraId="166E6337" w14:textId="77777777" w:rsidR="006D5EFE" w:rsidRPr="00E50A7A" w:rsidRDefault="003C7F43" w:rsidP="003C7F43">
      <w:pPr>
        <w:pStyle w:val="Text1"/>
        <w:pBdr>
          <w:top w:val="single" w:sz="4" w:space="1" w:color="auto"/>
          <w:left w:val="single" w:sz="4" w:space="4" w:color="auto"/>
          <w:bottom w:val="single" w:sz="4" w:space="1" w:color="auto"/>
          <w:right w:val="single" w:sz="4" w:space="4" w:color="auto"/>
        </w:pBdr>
        <w:rPr>
          <w:rFonts w:eastAsia="Times New Roman"/>
          <w:noProof/>
          <w:szCs w:val="24"/>
          <w:lang w:val="en-IE" w:eastAsia="en-IE"/>
        </w:rPr>
      </w:pPr>
      <w:r w:rsidRPr="00E50A7A">
        <w:rPr>
          <w:rFonts w:eastAsia="Times New Roman"/>
          <w:noProof/>
          <w:szCs w:val="24"/>
          <w:lang w:val="en-IE" w:eastAsia="en-IE"/>
        </w:rPr>
        <w:t xml:space="preserve">- </w:t>
      </w:r>
      <w:r w:rsidR="006D5EFE" w:rsidRPr="00E50A7A">
        <w:rPr>
          <w:rFonts w:eastAsia="Times New Roman"/>
          <w:noProof/>
          <w:szCs w:val="24"/>
          <w:lang w:val="en-IE" w:eastAsia="en-IE"/>
        </w:rPr>
        <w:t>Additional GHG emission reduction equal to €16 million per year from textiles </w:t>
      </w:r>
    </w:p>
    <w:p w14:paraId="23E0E922" w14:textId="77777777" w:rsidR="006D5EFE" w:rsidRPr="00E50A7A" w:rsidRDefault="003C7F43" w:rsidP="003C7F43">
      <w:pPr>
        <w:pStyle w:val="Text1"/>
        <w:pBdr>
          <w:top w:val="single" w:sz="4" w:space="1" w:color="auto"/>
          <w:left w:val="single" w:sz="4" w:space="4" w:color="auto"/>
          <w:bottom w:val="single" w:sz="4" w:space="1" w:color="auto"/>
          <w:right w:val="single" w:sz="4" w:space="4" w:color="auto"/>
        </w:pBdr>
        <w:rPr>
          <w:rFonts w:eastAsia="Times New Roman"/>
          <w:noProof/>
          <w:szCs w:val="24"/>
          <w:lang w:val="en-IE" w:eastAsia="en-IE"/>
        </w:rPr>
      </w:pPr>
      <w:r w:rsidRPr="00E50A7A">
        <w:rPr>
          <w:rFonts w:eastAsia="Times New Roman"/>
          <w:noProof/>
          <w:szCs w:val="24"/>
          <w:lang w:val="en-IE" w:eastAsia="en-IE"/>
        </w:rPr>
        <w:t xml:space="preserve">- </w:t>
      </w:r>
      <w:r w:rsidR="006D5EFE" w:rsidRPr="00E50A7A">
        <w:rPr>
          <w:rFonts w:eastAsia="Times New Roman"/>
          <w:noProof/>
          <w:szCs w:val="24"/>
          <w:lang w:val="en-IE" w:eastAsia="en-IE"/>
        </w:rPr>
        <w:t>8 740 jobs created in waste management </w:t>
      </w:r>
    </w:p>
    <w:p w14:paraId="065C8104" w14:textId="77777777" w:rsidR="006D5EFE" w:rsidRPr="00E50A7A" w:rsidRDefault="003C7F43" w:rsidP="003C7F43">
      <w:pPr>
        <w:pStyle w:val="Text1"/>
        <w:pBdr>
          <w:top w:val="single" w:sz="4" w:space="1" w:color="auto"/>
          <w:left w:val="single" w:sz="4" w:space="4" w:color="auto"/>
          <w:bottom w:val="single" w:sz="4" w:space="1" w:color="auto"/>
          <w:right w:val="single" w:sz="4" w:space="4" w:color="auto"/>
        </w:pBdr>
        <w:rPr>
          <w:rFonts w:eastAsia="Times New Roman"/>
          <w:noProof/>
          <w:szCs w:val="24"/>
          <w:lang w:val="en-IE" w:eastAsia="en-IE"/>
        </w:rPr>
      </w:pPr>
      <w:r w:rsidRPr="00E50A7A">
        <w:rPr>
          <w:rFonts w:eastAsia="Times New Roman"/>
          <w:noProof/>
          <w:szCs w:val="24"/>
          <w:lang w:val="en-IE" w:eastAsia="en-IE"/>
        </w:rPr>
        <w:t xml:space="preserve">- </w:t>
      </w:r>
      <w:r w:rsidR="006D5EFE" w:rsidRPr="00E50A7A">
        <w:rPr>
          <w:rFonts w:eastAsia="Times New Roman"/>
          <w:noProof/>
          <w:szCs w:val="24"/>
          <w:lang w:val="en-IE" w:eastAsia="en-IE"/>
        </w:rPr>
        <w:t>Reducing food waste generation by 10% in the processing and manufacturing of food and by 30% in retail, food services and households (by 2030)</w:t>
      </w:r>
    </w:p>
    <w:p w14:paraId="25CE2AC1" w14:textId="77777777" w:rsidR="006D5EFE" w:rsidRPr="00E50A7A" w:rsidRDefault="003C7F43" w:rsidP="003C7F43">
      <w:pPr>
        <w:pStyle w:val="Text1"/>
        <w:pBdr>
          <w:top w:val="single" w:sz="4" w:space="1" w:color="auto"/>
          <w:left w:val="single" w:sz="4" w:space="4" w:color="auto"/>
          <w:bottom w:val="single" w:sz="4" w:space="1" w:color="auto"/>
          <w:right w:val="single" w:sz="4" w:space="4" w:color="auto"/>
        </w:pBdr>
        <w:rPr>
          <w:rFonts w:eastAsia="Times New Roman"/>
          <w:noProof/>
          <w:szCs w:val="24"/>
          <w:lang w:val="en-IE" w:eastAsia="en-IE"/>
        </w:rPr>
      </w:pPr>
      <w:r w:rsidRPr="00E50A7A">
        <w:rPr>
          <w:rFonts w:eastAsia="Times New Roman"/>
          <w:noProof/>
          <w:szCs w:val="24"/>
          <w:lang w:val="en-IE" w:eastAsia="en-IE"/>
        </w:rPr>
        <w:t>- O</w:t>
      </w:r>
      <w:r w:rsidR="006D5EFE" w:rsidRPr="00E50A7A">
        <w:rPr>
          <w:rFonts w:eastAsia="Times New Roman"/>
          <w:noProof/>
          <w:szCs w:val="24"/>
          <w:lang w:val="en-IE" w:eastAsia="en-IE"/>
        </w:rPr>
        <w:t>verall value added for EU economy €1.6 bn (including abovementioned costs) </w:t>
      </w:r>
    </w:p>
    <w:p w14:paraId="714AFFB5" w14:textId="77777777" w:rsidR="006D5EFE" w:rsidRPr="00E50A7A" w:rsidRDefault="003C7F43" w:rsidP="003C7F43">
      <w:pPr>
        <w:pStyle w:val="Text1"/>
        <w:pBdr>
          <w:top w:val="single" w:sz="4" w:space="1" w:color="auto"/>
          <w:left w:val="single" w:sz="4" w:space="4" w:color="auto"/>
          <w:bottom w:val="single" w:sz="4" w:space="1" w:color="auto"/>
          <w:right w:val="single" w:sz="4" w:space="4" w:color="auto"/>
        </w:pBdr>
        <w:rPr>
          <w:rFonts w:eastAsia="Times New Roman"/>
          <w:noProof/>
          <w:szCs w:val="24"/>
          <w:lang w:val="en-IE" w:eastAsia="en-IE"/>
        </w:rPr>
      </w:pPr>
      <w:r w:rsidRPr="00E50A7A">
        <w:rPr>
          <w:rFonts w:eastAsia="Times New Roman"/>
          <w:noProof/>
          <w:szCs w:val="24"/>
          <w:lang w:val="en-IE" w:eastAsia="en-IE"/>
        </w:rPr>
        <w:t>- S</w:t>
      </w:r>
      <w:r w:rsidR="006D5EFE" w:rsidRPr="00E50A7A">
        <w:rPr>
          <w:rFonts w:eastAsia="Times New Roman"/>
          <w:noProof/>
          <w:szCs w:val="24"/>
          <w:lang w:val="en-IE" w:eastAsia="en-IE"/>
        </w:rPr>
        <w:t>avings in household food expenditure of €439 per year per household (4 pers.) </w:t>
      </w:r>
    </w:p>
    <w:p w14:paraId="6540BB89" w14:textId="77777777" w:rsidR="006D5EFE" w:rsidRPr="00E50A7A" w:rsidRDefault="003C7F43" w:rsidP="003C7F43">
      <w:pPr>
        <w:pStyle w:val="Text1"/>
        <w:pBdr>
          <w:top w:val="single" w:sz="4" w:space="1" w:color="auto"/>
          <w:left w:val="single" w:sz="4" w:space="4" w:color="auto"/>
          <w:bottom w:val="single" w:sz="4" w:space="1" w:color="auto"/>
          <w:right w:val="single" w:sz="4" w:space="4" w:color="auto"/>
        </w:pBdr>
        <w:rPr>
          <w:rFonts w:eastAsia="Times New Roman"/>
          <w:noProof/>
          <w:szCs w:val="24"/>
          <w:lang w:val="en-IE" w:eastAsia="en-IE"/>
        </w:rPr>
      </w:pPr>
      <w:r w:rsidRPr="00E50A7A">
        <w:rPr>
          <w:rFonts w:eastAsia="Times New Roman"/>
          <w:noProof/>
          <w:szCs w:val="24"/>
          <w:lang w:val="en-IE" w:eastAsia="en-IE"/>
        </w:rPr>
        <w:t>- R</w:t>
      </w:r>
      <w:r w:rsidR="006D5EFE" w:rsidRPr="00E50A7A">
        <w:rPr>
          <w:rFonts w:eastAsia="Times New Roman"/>
          <w:noProof/>
          <w:szCs w:val="24"/>
          <w:lang w:val="en-IE" w:eastAsia="en-IE"/>
        </w:rPr>
        <w:t xml:space="preserve">eduction in a number of environmental impacts related to food such as GHG emissions, marine </w:t>
      </w:r>
      <w:r w:rsidR="00682C4D" w:rsidRPr="00E50A7A">
        <w:rPr>
          <w:rFonts w:eastAsia="Times New Roman"/>
          <w:noProof/>
          <w:szCs w:val="24"/>
          <w:lang w:val="en-IE" w:eastAsia="en-IE"/>
        </w:rPr>
        <w:t>eutrophication</w:t>
      </w:r>
      <w:r w:rsidR="006D5EFE" w:rsidRPr="00E50A7A">
        <w:rPr>
          <w:rFonts w:eastAsia="Times New Roman"/>
          <w:noProof/>
          <w:szCs w:val="24"/>
          <w:lang w:val="en-IE" w:eastAsia="en-IE"/>
        </w:rPr>
        <w:t>, land use or water scarcity – of overa</w:t>
      </w:r>
      <w:r w:rsidR="00682C4D" w:rsidRPr="00E50A7A">
        <w:rPr>
          <w:rFonts w:eastAsia="Times New Roman"/>
          <w:noProof/>
          <w:szCs w:val="24"/>
          <w:lang w:val="en-IE" w:eastAsia="en-IE"/>
        </w:rPr>
        <w:t>l</w:t>
      </w:r>
      <w:r w:rsidR="006D5EFE" w:rsidRPr="00E50A7A">
        <w:rPr>
          <w:rFonts w:eastAsia="Times New Roman"/>
          <w:noProof/>
          <w:szCs w:val="24"/>
          <w:lang w:val="en-IE" w:eastAsia="en-IE"/>
        </w:rPr>
        <w:t>l value estimated €9-23 bn, including between 16.5 and 62 million tonnes of estimated GHG emissions reduction</w:t>
      </w:r>
    </w:p>
    <w:p w14:paraId="7F676F7A" w14:textId="77777777" w:rsidR="00BD152F" w:rsidRPr="00E50A7A" w:rsidRDefault="00BD152F" w:rsidP="00B00391">
      <w:pPr>
        <w:pStyle w:val="ManualHeading3"/>
        <w:rPr>
          <w:noProof/>
          <w:szCs w:val="24"/>
          <w:lang w:val="en-IE"/>
        </w:rPr>
      </w:pPr>
      <w:r w:rsidRPr="00E50A7A">
        <w:rPr>
          <w:noProof/>
          <w:lang w:val="en-IE"/>
        </w:rPr>
        <w:t>1.4.4.</w:t>
      </w:r>
      <w:r w:rsidRPr="00E50A7A">
        <w:rPr>
          <w:noProof/>
          <w:lang w:val="en-IE"/>
        </w:rPr>
        <w:tab/>
        <w:t>Indicators of performance</w:t>
      </w:r>
    </w:p>
    <w:p w14:paraId="3E2C8D10" w14:textId="77777777" w:rsidR="00BD152F" w:rsidRPr="00E50A7A" w:rsidRDefault="00BD152F" w:rsidP="00B00391">
      <w:pPr>
        <w:pStyle w:val="Text1"/>
        <w:rPr>
          <w:i/>
          <w:noProof/>
          <w:sz w:val="20"/>
          <w:lang w:val="en-IE"/>
        </w:rPr>
      </w:pPr>
      <w:r w:rsidRPr="00E50A7A">
        <w:rPr>
          <w:i/>
          <w:noProof/>
          <w:sz w:val="20"/>
          <w:lang w:val="en-IE"/>
        </w:rPr>
        <w:t>Specify the indicators for monitoring progress and achievements.</w:t>
      </w:r>
    </w:p>
    <w:p w14:paraId="4E2C6E76" w14:textId="77777777" w:rsidR="00BD152F" w:rsidRPr="00E50A7A" w:rsidRDefault="00016CEB" w:rsidP="00B00391">
      <w:pPr>
        <w:pStyle w:val="Text1"/>
        <w:pBdr>
          <w:top w:val="single" w:sz="4" w:space="1" w:color="auto"/>
          <w:left w:val="single" w:sz="4" w:space="4" w:color="auto"/>
          <w:bottom w:val="single" w:sz="4" w:space="1" w:color="auto"/>
          <w:right w:val="single" w:sz="4" w:space="4" w:color="auto"/>
        </w:pBdr>
        <w:rPr>
          <w:rFonts w:eastAsia="Times New Roman"/>
          <w:noProof/>
          <w:szCs w:val="24"/>
          <w:lang w:val="en-IE" w:eastAsia="en-IE"/>
        </w:rPr>
      </w:pPr>
      <w:r w:rsidRPr="00E50A7A">
        <w:rPr>
          <w:rFonts w:eastAsia="Times New Roman"/>
          <w:noProof/>
          <w:szCs w:val="24"/>
          <w:lang w:val="en-IE" w:eastAsia="en-IE"/>
        </w:rPr>
        <w:t>The indicators of progress and achievement of the objectives will be:</w:t>
      </w:r>
    </w:p>
    <w:p w14:paraId="199681EE" w14:textId="77777777" w:rsidR="00016CEB" w:rsidRPr="00E50A7A" w:rsidRDefault="003C7F43" w:rsidP="003C7F43">
      <w:pPr>
        <w:pStyle w:val="Text1"/>
        <w:pBdr>
          <w:top w:val="single" w:sz="4" w:space="1" w:color="auto"/>
          <w:left w:val="single" w:sz="4" w:space="4" w:color="auto"/>
          <w:bottom w:val="single" w:sz="4" w:space="1" w:color="auto"/>
          <w:right w:val="single" w:sz="4" w:space="4" w:color="auto"/>
        </w:pBdr>
        <w:rPr>
          <w:rFonts w:eastAsia="Times New Roman"/>
          <w:noProof/>
          <w:szCs w:val="24"/>
          <w:lang w:val="en-IE" w:eastAsia="en-IE"/>
        </w:rPr>
      </w:pPr>
      <w:r w:rsidRPr="00E50A7A">
        <w:rPr>
          <w:rFonts w:eastAsia="Times New Roman"/>
          <w:noProof/>
          <w:szCs w:val="24"/>
          <w:lang w:val="en-IE" w:eastAsia="en-IE"/>
        </w:rPr>
        <w:t xml:space="preserve">- </w:t>
      </w:r>
      <w:r w:rsidR="00016CEB" w:rsidRPr="00E50A7A">
        <w:rPr>
          <w:rFonts w:eastAsia="Times New Roman"/>
          <w:noProof/>
          <w:szCs w:val="24"/>
          <w:lang w:val="en-IE" w:eastAsia="en-IE"/>
        </w:rPr>
        <w:t>Compositional survey of collected mixed municipal waste to determine the share of waste textiles therein</w:t>
      </w:r>
    </w:p>
    <w:p w14:paraId="3E0351DD" w14:textId="77777777" w:rsidR="00016CEB" w:rsidRPr="00E50A7A" w:rsidRDefault="003C7F43" w:rsidP="003C7F43">
      <w:pPr>
        <w:pStyle w:val="Text1"/>
        <w:pBdr>
          <w:top w:val="single" w:sz="4" w:space="1" w:color="auto"/>
          <w:left w:val="single" w:sz="4" w:space="4" w:color="auto"/>
          <w:bottom w:val="single" w:sz="4" w:space="1" w:color="auto"/>
          <w:right w:val="single" w:sz="4" w:space="4" w:color="auto"/>
        </w:pBdr>
        <w:rPr>
          <w:rFonts w:eastAsia="Times New Roman"/>
          <w:noProof/>
          <w:szCs w:val="24"/>
          <w:lang w:val="en-IE" w:eastAsia="en-IE"/>
        </w:rPr>
      </w:pPr>
      <w:r w:rsidRPr="00E50A7A">
        <w:rPr>
          <w:rFonts w:eastAsia="Times New Roman"/>
          <w:noProof/>
          <w:szCs w:val="24"/>
          <w:lang w:val="en-IE" w:eastAsia="en-IE"/>
        </w:rPr>
        <w:t xml:space="preserve">- </w:t>
      </w:r>
      <w:r w:rsidR="00016CEB" w:rsidRPr="00E50A7A">
        <w:rPr>
          <w:rFonts w:eastAsia="Times New Roman"/>
          <w:noProof/>
          <w:szCs w:val="24"/>
          <w:lang w:val="en-IE" w:eastAsia="en-IE"/>
        </w:rPr>
        <w:t>Data on the preparation for re-use of used and waste textile</w:t>
      </w:r>
    </w:p>
    <w:p w14:paraId="2068734A" w14:textId="77777777" w:rsidR="00016CEB" w:rsidRPr="00E50A7A" w:rsidRDefault="003C7F43" w:rsidP="003C7F43">
      <w:pPr>
        <w:pStyle w:val="Text1"/>
        <w:pBdr>
          <w:top w:val="single" w:sz="4" w:space="1" w:color="auto"/>
          <w:left w:val="single" w:sz="4" w:space="4" w:color="auto"/>
          <w:bottom w:val="single" w:sz="4" w:space="1" w:color="auto"/>
          <w:right w:val="single" w:sz="4" w:space="4" w:color="auto"/>
        </w:pBdr>
        <w:rPr>
          <w:rFonts w:eastAsia="Times New Roman"/>
          <w:noProof/>
          <w:szCs w:val="24"/>
          <w:lang w:val="en-IE" w:eastAsia="en-IE"/>
        </w:rPr>
      </w:pPr>
      <w:r w:rsidRPr="00E50A7A">
        <w:rPr>
          <w:rFonts w:eastAsia="Times New Roman"/>
          <w:noProof/>
          <w:szCs w:val="24"/>
          <w:lang w:val="en-IE" w:eastAsia="en-IE"/>
        </w:rPr>
        <w:t xml:space="preserve">- </w:t>
      </w:r>
      <w:r w:rsidR="00016CEB" w:rsidRPr="00E50A7A">
        <w:rPr>
          <w:rFonts w:eastAsia="Times New Roman"/>
          <w:noProof/>
          <w:szCs w:val="24"/>
          <w:lang w:val="en-IE" w:eastAsia="en-IE"/>
        </w:rPr>
        <w:t>Information on the rate of separate collection of used and waste textile and footwear products listed in Annex IVc, the re-use and preparation for re-use and recycling rate achieved by the producer responsibility organisation</w:t>
      </w:r>
    </w:p>
    <w:p w14:paraId="621B95DA" w14:textId="77777777" w:rsidR="00016CEB" w:rsidRPr="00E50A7A" w:rsidRDefault="003C7F43" w:rsidP="003C7F43">
      <w:pPr>
        <w:pStyle w:val="Text1"/>
        <w:pBdr>
          <w:top w:val="single" w:sz="4" w:space="1" w:color="auto"/>
          <w:left w:val="single" w:sz="4" w:space="4" w:color="auto"/>
          <w:bottom w:val="single" w:sz="4" w:space="1" w:color="auto"/>
          <w:right w:val="single" w:sz="4" w:space="4" w:color="auto"/>
        </w:pBdr>
        <w:rPr>
          <w:rFonts w:eastAsia="Times New Roman"/>
          <w:noProof/>
          <w:szCs w:val="24"/>
          <w:lang w:val="en-IE" w:eastAsia="en-IE"/>
        </w:rPr>
      </w:pPr>
      <w:r w:rsidRPr="00E50A7A">
        <w:rPr>
          <w:rFonts w:eastAsia="Times New Roman"/>
          <w:noProof/>
          <w:szCs w:val="24"/>
          <w:lang w:val="en-IE" w:eastAsia="en-IE"/>
        </w:rPr>
        <w:t xml:space="preserve">- </w:t>
      </w:r>
      <w:r w:rsidR="00016CEB" w:rsidRPr="00E50A7A">
        <w:rPr>
          <w:rFonts w:eastAsia="Times New Roman"/>
          <w:noProof/>
          <w:szCs w:val="24"/>
          <w:lang w:val="en-IE" w:eastAsia="en-IE"/>
        </w:rPr>
        <w:t>By 2030, achieving reduction food waste generation by 10% in the processing and manufacturing of food and by 30% in the retail, food services and households</w:t>
      </w:r>
    </w:p>
    <w:p w14:paraId="5750C055" w14:textId="77777777" w:rsidR="00BD152F" w:rsidRPr="00E50A7A" w:rsidRDefault="00BD152F" w:rsidP="00B00391">
      <w:pPr>
        <w:pStyle w:val="ManualHeading2"/>
        <w:rPr>
          <w:bCs/>
          <w:noProof/>
          <w:szCs w:val="24"/>
          <w:lang w:val="en-IE"/>
        </w:rPr>
      </w:pPr>
      <w:r w:rsidRPr="00E50A7A">
        <w:rPr>
          <w:noProof/>
          <w:lang w:val="en-IE"/>
        </w:rPr>
        <w:t>1.5.</w:t>
      </w:r>
      <w:r w:rsidRPr="00E50A7A">
        <w:rPr>
          <w:noProof/>
          <w:lang w:val="en-IE"/>
        </w:rPr>
        <w:tab/>
        <w:t xml:space="preserve">Grounds for the proposal/initiative </w:t>
      </w:r>
    </w:p>
    <w:p w14:paraId="4FEF6B8C" w14:textId="77777777" w:rsidR="00BD152F" w:rsidRPr="00E50A7A" w:rsidRDefault="00BD152F" w:rsidP="00B00391">
      <w:pPr>
        <w:pStyle w:val="ManualHeading3"/>
        <w:rPr>
          <w:noProof/>
          <w:lang w:val="en-IE"/>
        </w:rPr>
      </w:pPr>
      <w:r w:rsidRPr="00E50A7A">
        <w:rPr>
          <w:noProof/>
          <w:lang w:val="en-IE"/>
        </w:rPr>
        <w:t>1.5.1.</w:t>
      </w:r>
      <w:r w:rsidRPr="00E50A7A">
        <w:rPr>
          <w:noProof/>
          <w:lang w:val="en-IE"/>
        </w:rPr>
        <w:tab/>
        <w:t>Requirement(s) to be met in the short or long term including a detailed timeline for roll-out of the implementation of the initiative</w:t>
      </w:r>
    </w:p>
    <w:p w14:paraId="2EFDBE90" w14:textId="77777777" w:rsidR="00BD152F" w:rsidRPr="00E50A7A" w:rsidRDefault="00A16DC9" w:rsidP="00A16DC9">
      <w:pPr>
        <w:pStyle w:val="Text1"/>
        <w:pBdr>
          <w:top w:val="single" w:sz="4" w:space="1" w:color="auto"/>
          <w:left w:val="single" w:sz="4" w:space="4" w:color="auto"/>
          <w:bottom w:val="single" w:sz="4" w:space="1" w:color="auto"/>
          <w:right w:val="single" w:sz="4" w:space="4" w:color="auto"/>
        </w:pBdr>
        <w:rPr>
          <w:rStyle w:val="normaltextrun"/>
          <w:noProof/>
          <w:color w:val="000000"/>
          <w:shd w:val="clear" w:color="auto" w:fill="FFFFFF"/>
          <w:lang w:val="en-IE"/>
        </w:rPr>
      </w:pPr>
      <w:r w:rsidRPr="00E50A7A">
        <w:rPr>
          <w:rStyle w:val="normaltextrun"/>
          <w:noProof/>
          <w:color w:val="000000"/>
          <w:shd w:val="clear" w:color="auto" w:fill="FFFFFF"/>
          <w:lang w:val="en-IE"/>
        </w:rPr>
        <w:t>The detailed requirements would need to be specified through implementing acts in a time horizon of around 3 years. These will cover the following:</w:t>
      </w:r>
    </w:p>
    <w:p w14:paraId="578478F2" w14:textId="2E7EB61C" w:rsidR="003056CA" w:rsidRPr="00E50A7A" w:rsidRDefault="003056CA" w:rsidP="00A23F8A">
      <w:pPr>
        <w:pStyle w:val="Text1"/>
        <w:pBdr>
          <w:top w:val="single" w:sz="4" w:space="1" w:color="auto"/>
          <w:left w:val="single" w:sz="4" w:space="4" w:color="auto"/>
          <w:bottom w:val="single" w:sz="4" w:space="1" w:color="auto"/>
          <w:right w:val="single" w:sz="4" w:space="4" w:color="auto"/>
        </w:pBdr>
        <w:rPr>
          <w:rFonts w:eastAsia="Times New Roman"/>
          <w:noProof/>
          <w:lang w:val="en-IE" w:eastAsia="en-IE"/>
        </w:rPr>
      </w:pPr>
      <w:r w:rsidRPr="00E50A7A">
        <w:rPr>
          <w:rFonts w:eastAsia="Times New Roman"/>
          <w:noProof/>
          <w:lang w:val="en-IE" w:eastAsia="en-IE"/>
        </w:rPr>
        <w:t>- Implementing acts establishing the harmonised format for registration in the register </w:t>
      </w:r>
    </w:p>
    <w:p w14:paraId="1020C591" w14:textId="77777777" w:rsidR="00665C42" w:rsidRPr="00E50A7A" w:rsidRDefault="00A23F8A" w:rsidP="00A23F8A">
      <w:pPr>
        <w:pStyle w:val="Text1"/>
        <w:pBdr>
          <w:top w:val="single" w:sz="4" w:space="1" w:color="auto"/>
          <w:left w:val="single" w:sz="4" w:space="4" w:color="auto"/>
          <w:bottom w:val="single" w:sz="4" w:space="1" w:color="auto"/>
          <w:right w:val="single" w:sz="4" w:space="4" w:color="auto"/>
        </w:pBdr>
        <w:rPr>
          <w:rFonts w:eastAsia="Times New Roman"/>
          <w:noProof/>
          <w:szCs w:val="24"/>
          <w:lang w:val="en-IE" w:eastAsia="en-IE"/>
        </w:rPr>
      </w:pPr>
      <w:r w:rsidRPr="00E50A7A">
        <w:rPr>
          <w:rFonts w:eastAsia="Times New Roman"/>
          <w:noProof/>
          <w:szCs w:val="24"/>
          <w:lang w:val="en-IE" w:eastAsia="en-IE"/>
        </w:rPr>
        <w:t xml:space="preserve">- </w:t>
      </w:r>
      <w:r w:rsidR="00665C42" w:rsidRPr="00E50A7A">
        <w:rPr>
          <w:rFonts w:eastAsia="Times New Roman"/>
          <w:noProof/>
          <w:szCs w:val="24"/>
          <w:lang w:val="en-IE" w:eastAsia="en-IE"/>
        </w:rPr>
        <w:t xml:space="preserve">Possible </w:t>
      </w:r>
      <w:r w:rsidR="00EC1087" w:rsidRPr="00E50A7A">
        <w:rPr>
          <w:rFonts w:eastAsia="Times New Roman"/>
          <w:noProof/>
          <w:szCs w:val="24"/>
          <w:lang w:val="en-IE" w:eastAsia="en-IE"/>
        </w:rPr>
        <w:t xml:space="preserve">delegated </w:t>
      </w:r>
      <w:r w:rsidR="00665C42" w:rsidRPr="00E50A7A">
        <w:rPr>
          <w:rFonts w:eastAsia="Times New Roman"/>
          <w:noProof/>
          <w:szCs w:val="24"/>
          <w:lang w:val="en-IE" w:eastAsia="en-IE"/>
        </w:rPr>
        <w:t xml:space="preserve">acts to amend the </w:t>
      </w:r>
      <w:r w:rsidR="00EC1087" w:rsidRPr="00E50A7A">
        <w:rPr>
          <w:rFonts w:eastAsia="Times New Roman"/>
          <w:noProof/>
          <w:szCs w:val="24"/>
          <w:lang w:val="en-IE" w:eastAsia="en-IE"/>
        </w:rPr>
        <w:t>C</w:t>
      </w:r>
      <w:r w:rsidR="005D3A0C" w:rsidRPr="00E50A7A">
        <w:rPr>
          <w:rFonts w:eastAsia="Times New Roman"/>
          <w:noProof/>
          <w:szCs w:val="24"/>
          <w:lang w:val="en-IE" w:eastAsia="en-IE"/>
        </w:rPr>
        <w:t xml:space="preserve">ombined </w:t>
      </w:r>
      <w:r w:rsidR="00EC1087" w:rsidRPr="00E50A7A">
        <w:rPr>
          <w:rFonts w:eastAsia="Times New Roman"/>
          <w:noProof/>
          <w:szCs w:val="24"/>
          <w:lang w:val="en-IE" w:eastAsia="en-IE"/>
        </w:rPr>
        <w:t>N</w:t>
      </w:r>
      <w:r w:rsidR="00665C42" w:rsidRPr="00E50A7A">
        <w:rPr>
          <w:rFonts w:eastAsia="Times New Roman"/>
          <w:noProof/>
          <w:szCs w:val="24"/>
          <w:lang w:val="en-IE" w:eastAsia="en-IE"/>
        </w:rPr>
        <w:t>omenclature codes listed in Annex IVc to bring them in line with the codes listed in Annex 1 of Council Regulation (EEC) No 2658/87 and to ensure the legal certainty on the products covered by the extended producer responsibility</w:t>
      </w:r>
    </w:p>
    <w:p w14:paraId="5448037F" w14:textId="77777777" w:rsidR="001D3ECB" w:rsidRPr="00E50A7A" w:rsidRDefault="00A23F8A" w:rsidP="00A23F8A">
      <w:pPr>
        <w:pStyle w:val="Text1"/>
        <w:pBdr>
          <w:top w:val="single" w:sz="4" w:space="1" w:color="auto"/>
          <w:left w:val="single" w:sz="4" w:space="4" w:color="auto"/>
          <w:bottom w:val="single" w:sz="4" w:space="1" w:color="auto"/>
          <w:right w:val="single" w:sz="4" w:space="4" w:color="auto"/>
        </w:pBdr>
        <w:rPr>
          <w:rFonts w:eastAsia="Times New Roman"/>
          <w:noProof/>
          <w:szCs w:val="24"/>
          <w:lang w:val="en-IE" w:eastAsia="en-IE"/>
        </w:rPr>
      </w:pPr>
      <w:r w:rsidRPr="00E50A7A">
        <w:rPr>
          <w:rFonts w:eastAsia="Times New Roman"/>
          <w:noProof/>
          <w:szCs w:val="24"/>
          <w:lang w:val="en-IE" w:eastAsia="en-IE"/>
        </w:rPr>
        <w:t xml:space="preserve">- </w:t>
      </w:r>
      <w:r w:rsidR="00665C42" w:rsidRPr="00E50A7A">
        <w:rPr>
          <w:rFonts w:eastAsia="Times New Roman"/>
          <w:noProof/>
          <w:szCs w:val="24"/>
          <w:lang w:val="en-IE" w:eastAsia="en-IE"/>
        </w:rPr>
        <w:t>Possible implementing act laying down criteria for producer responsibility organisations for the financial contributions paid to them by producer</w:t>
      </w:r>
    </w:p>
    <w:p w14:paraId="69BB0556" w14:textId="77777777" w:rsidR="001D3ECB" w:rsidRPr="00E50A7A" w:rsidRDefault="00A23F8A" w:rsidP="00A23F8A">
      <w:pPr>
        <w:pStyle w:val="Text1"/>
        <w:pBdr>
          <w:top w:val="single" w:sz="4" w:space="1" w:color="auto"/>
          <w:left w:val="single" w:sz="4" w:space="4" w:color="auto"/>
          <w:bottom w:val="single" w:sz="4" w:space="1" w:color="auto"/>
          <w:right w:val="single" w:sz="4" w:space="4" w:color="auto"/>
        </w:pBdr>
        <w:rPr>
          <w:rFonts w:eastAsia="Times New Roman"/>
          <w:noProof/>
          <w:szCs w:val="24"/>
          <w:lang w:val="en-IE" w:eastAsia="en-IE"/>
        </w:rPr>
      </w:pPr>
      <w:r w:rsidRPr="00E50A7A">
        <w:rPr>
          <w:rFonts w:eastAsia="Times New Roman"/>
          <w:noProof/>
          <w:szCs w:val="24"/>
          <w:lang w:val="en-IE" w:eastAsia="en-IE"/>
        </w:rPr>
        <w:t xml:space="preserve">- </w:t>
      </w:r>
      <w:r w:rsidR="00665C42" w:rsidRPr="00E50A7A">
        <w:rPr>
          <w:rFonts w:eastAsia="Times New Roman"/>
          <w:noProof/>
          <w:szCs w:val="24"/>
          <w:lang w:val="en-IE" w:eastAsia="en-IE"/>
        </w:rPr>
        <w:t xml:space="preserve">Implementing act laying down the methodology for the calculation and verification of the separate collection </w:t>
      </w:r>
      <w:r w:rsidR="003056CA" w:rsidRPr="00E50A7A">
        <w:rPr>
          <w:rFonts w:eastAsia="Times New Roman"/>
          <w:noProof/>
          <w:szCs w:val="24"/>
          <w:lang w:val="en-IE" w:eastAsia="en-IE"/>
        </w:rPr>
        <w:t>rate</w:t>
      </w:r>
    </w:p>
    <w:p w14:paraId="1B5ADB20" w14:textId="77777777" w:rsidR="001D3ECB" w:rsidRPr="00E50A7A" w:rsidRDefault="00A23F8A" w:rsidP="00A23F8A">
      <w:pPr>
        <w:pStyle w:val="Text1"/>
        <w:pBdr>
          <w:top w:val="single" w:sz="4" w:space="1" w:color="auto"/>
          <w:left w:val="single" w:sz="4" w:space="4" w:color="auto"/>
          <w:bottom w:val="single" w:sz="4" w:space="1" w:color="auto"/>
          <w:right w:val="single" w:sz="4" w:space="4" w:color="auto"/>
        </w:pBdr>
        <w:rPr>
          <w:rFonts w:eastAsia="Times New Roman"/>
          <w:noProof/>
          <w:szCs w:val="24"/>
          <w:lang w:val="en-IE" w:eastAsia="en-IE"/>
        </w:rPr>
      </w:pPr>
      <w:r w:rsidRPr="00E50A7A">
        <w:rPr>
          <w:rFonts w:eastAsia="Times New Roman"/>
          <w:noProof/>
          <w:szCs w:val="24"/>
          <w:lang w:val="en-IE" w:eastAsia="en-IE"/>
        </w:rPr>
        <w:t xml:space="preserve">- </w:t>
      </w:r>
      <w:r w:rsidR="00665C42" w:rsidRPr="00E50A7A">
        <w:rPr>
          <w:rFonts w:eastAsia="Times New Roman"/>
          <w:noProof/>
          <w:szCs w:val="24"/>
          <w:lang w:val="en-IE" w:eastAsia="en-IE"/>
        </w:rPr>
        <w:t>Implementing acts adopted pursuant to paragraph 37 of this Article laying down the format for reporting the data referred to in paragraph 1 to adapt them to the requirements set out in paragraph 3 of that Article</w:t>
      </w:r>
    </w:p>
    <w:p w14:paraId="079519F1" w14:textId="77777777" w:rsidR="00A16DC9" w:rsidRPr="00E50A7A" w:rsidRDefault="00A23F8A" w:rsidP="00A23F8A">
      <w:pPr>
        <w:pStyle w:val="Text1"/>
        <w:pBdr>
          <w:top w:val="single" w:sz="4" w:space="1" w:color="auto"/>
          <w:left w:val="single" w:sz="4" w:space="4" w:color="auto"/>
          <w:bottom w:val="single" w:sz="4" w:space="1" w:color="auto"/>
          <w:right w:val="single" w:sz="4" w:space="4" w:color="auto"/>
        </w:pBdr>
        <w:rPr>
          <w:rFonts w:eastAsia="Times New Roman"/>
          <w:noProof/>
          <w:szCs w:val="24"/>
          <w:lang w:val="en-IE" w:eastAsia="en-IE"/>
        </w:rPr>
      </w:pPr>
      <w:r w:rsidRPr="00E50A7A">
        <w:rPr>
          <w:rFonts w:eastAsia="Times New Roman"/>
          <w:noProof/>
          <w:szCs w:val="24"/>
          <w:lang w:val="en-IE" w:eastAsia="en-IE"/>
        </w:rPr>
        <w:lastRenderedPageBreak/>
        <w:t xml:space="preserve">- </w:t>
      </w:r>
      <w:r w:rsidR="00665C42" w:rsidRPr="00E50A7A">
        <w:rPr>
          <w:rFonts w:eastAsia="Times New Roman"/>
          <w:noProof/>
          <w:szCs w:val="24"/>
          <w:lang w:val="en-IE" w:eastAsia="en-IE"/>
        </w:rPr>
        <w:t>There are no requirements to be met in the area of food waste (as the necessary pre-requisites have already been adopted in the 2018 WFD revision and subsequent secondary legislation</w:t>
      </w:r>
    </w:p>
    <w:p w14:paraId="7E10F8AE" w14:textId="77777777" w:rsidR="00BD152F" w:rsidRPr="00E50A7A" w:rsidRDefault="00BD152F" w:rsidP="00B00391">
      <w:pPr>
        <w:pStyle w:val="ManualHeading3"/>
        <w:rPr>
          <w:bCs/>
          <w:noProof/>
          <w:szCs w:val="24"/>
          <w:lang w:val="en-IE"/>
        </w:rPr>
      </w:pPr>
      <w:r w:rsidRPr="00E50A7A">
        <w:rPr>
          <w:noProof/>
          <w:lang w:val="en-IE"/>
        </w:rPr>
        <w:t>1.5.2.</w:t>
      </w:r>
      <w:r w:rsidRPr="00E50A7A">
        <w:rPr>
          <w:noProof/>
          <w:lang w:val="en-IE"/>
        </w:rPr>
        <w:tab/>
        <w:t>Added value of Union involvement (it may result from different factors, e.g. coordination gains, legal certainty, greater effectiveness or complementarities). For the purposes of this point 'added value of Union involvement' is the value resulting from Union intervention, which is additional to the value that would have been otherwise created by Member States alone.</w:t>
      </w:r>
    </w:p>
    <w:p w14:paraId="6C212C03" w14:textId="77777777" w:rsidR="00BD152F" w:rsidRPr="00E50A7A" w:rsidRDefault="005D28F0" w:rsidP="00B00391">
      <w:pPr>
        <w:pStyle w:val="Text1"/>
        <w:pBdr>
          <w:top w:val="single" w:sz="4" w:space="1" w:color="auto"/>
          <w:left w:val="single" w:sz="4" w:space="4" w:color="auto"/>
          <w:bottom w:val="single" w:sz="4" w:space="1" w:color="auto"/>
          <w:right w:val="single" w:sz="4" w:space="4" w:color="auto"/>
        </w:pBdr>
        <w:rPr>
          <w:noProof/>
          <w:lang w:val="en-IE"/>
        </w:rPr>
      </w:pPr>
      <w:r w:rsidRPr="00E50A7A">
        <w:rPr>
          <w:rStyle w:val="normaltextrun"/>
          <w:noProof/>
          <w:color w:val="000000"/>
          <w:bdr w:val="none" w:sz="0" w:space="0" w:color="auto" w:frame="1"/>
          <w:lang w:val="en-IE"/>
        </w:rPr>
        <w:t>Given the transboundary nature of textiles value chain from an economic, environmental and social perspective, the sale, consumption and end-of-life management of textiles is intrinsically linked to the functioning of the single market and global value chains. The high dependency on raw materials highlights the importance of boosting circular business models to lower the use of primary raw materials and help mitigate the associated with its negative environmental externalitie</w:t>
      </w:r>
      <w:r w:rsidRPr="00E50A7A">
        <w:rPr>
          <w:noProof/>
          <w:lang w:val="en-IE"/>
        </w:rPr>
        <w:t>s.</w:t>
      </w:r>
    </w:p>
    <w:p w14:paraId="4FA25238" w14:textId="77777777" w:rsidR="005D28F0" w:rsidRPr="00B314C8" w:rsidRDefault="005D28F0" w:rsidP="00B00391">
      <w:pPr>
        <w:pStyle w:val="Text1"/>
        <w:pBdr>
          <w:top w:val="single" w:sz="4" w:space="1" w:color="auto"/>
          <w:left w:val="single" w:sz="4" w:space="4" w:color="auto"/>
          <w:bottom w:val="single" w:sz="4" w:space="1" w:color="auto"/>
          <w:right w:val="single" w:sz="4" w:space="4" w:color="auto"/>
        </w:pBdr>
        <w:rPr>
          <w:rFonts w:eastAsia="Times New Roman"/>
          <w:noProof/>
          <w:szCs w:val="24"/>
          <w:lang w:val="en-IE" w:eastAsia="en-IE"/>
        </w:rPr>
      </w:pPr>
      <w:r w:rsidRPr="00E50A7A">
        <w:rPr>
          <w:rStyle w:val="normaltextrun"/>
          <w:noProof/>
          <w:color w:val="000000"/>
          <w:shd w:val="clear" w:color="auto" w:fill="FFFFFF"/>
          <w:lang w:val="en-IE"/>
        </w:rPr>
        <w:t>The collection, sorting and recycling systems need to be scaled up to be prepared for the upcoming separate collection obligation and its full implementation since several regulatory and market failures that impact all Member States and actors across the textile value chain currently obstruct sufficient provision of collection, sorting and recycling capacity. The absence of a common EU approach to textiles management risks creating or further entrenching a regulatory fragmentation and disrupted waste and material flows, thereby hampering cross-border movements of textiles (products, used and waste textiles) and coordinated action and swift investments across the EU. There are high risks for further increase in the regulatory fragmentation and administrative burdens on the industry stakeholders, mainly SMEs, resulting from diverse application of the polluter pays principle through national extended producer responsibility schemes for textiles. Addressing transboundary environmental externalities, including GHG emissions and the export of textiles (and waste disguised as non-waste) to third countries is more effectively addressed by EU action, in particular, as the key problem drivers relate to regulatory failures resulting from lack of harmonised definitions and regulatory fragmentation and a funding gap common to all Member States</w:t>
      </w:r>
      <w:r w:rsidRPr="00E50A7A">
        <w:rPr>
          <w:rStyle w:val="eop"/>
          <w:noProof/>
          <w:color w:val="000000"/>
          <w:shd w:val="clear" w:color="auto" w:fill="FFFFFF"/>
          <w:lang w:val="en-IE"/>
        </w:rPr>
        <w:t>.</w:t>
      </w:r>
      <w:r w:rsidRPr="00B314C8">
        <w:rPr>
          <w:rFonts w:eastAsia="Times New Roman"/>
          <w:noProof/>
          <w:szCs w:val="24"/>
          <w:lang w:val="en-IE" w:eastAsia="en-IE"/>
        </w:rPr>
        <w:t xml:space="preserve"> </w:t>
      </w:r>
    </w:p>
    <w:p w14:paraId="2139142C" w14:textId="77777777" w:rsidR="005D28F0" w:rsidRPr="00B314C8" w:rsidRDefault="005D28F0" w:rsidP="00B00391">
      <w:pPr>
        <w:pStyle w:val="Text1"/>
        <w:pBdr>
          <w:top w:val="single" w:sz="4" w:space="1" w:color="auto"/>
          <w:left w:val="single" w:sz="4" w:space="4" w:color="auto"/>
          <w:bottom w:val="single" w:sz="4" w:space="1" w:color="auto"/>
          <w:right w:val="single" w:sz="4" w:space="4" w:color="auto"/>
        </w:pBdr>
        <w:rPr>
          <w:rFonts w:eastAsia="Times New Roman"/>
          <w:noProof/>
          <w:szCs w:val="24"/>
          <w:lang w:val="en-IE" w:eastAsia="en-IE"/>
        </w:rPr>
      </w:pPr>
      <w:r w:rsidRPr="00B314C8">
        <w:rPr>
          <w:rFonts w:eastAsia="Times New Roman"/>
          <w:noProof/>
          <w:szCs w:val="24"/>
          <w:lang w:val="en-IE" w:eastAsia="en-IE"/>
        </w:rPr>
        <w:t>All Member States generate food waste, which creates significant transboundary environmental externalities. The production, storage, transport and processing of food and disposal of food waste cause environmental and climate impacts (such as GHG emissions, and effects on land use, biodiversity, water use and eutrophication) within the EU. Moreover, production of food imported to the EU can lead to significant global environmental and climate impacts.</w:t>
      </w:r>
    </w:p>
    <w:p w14:paraId="25C7B00E" w14:textId="77777777" w:rsidR="005D28F0" w:rsidRPr="00B314C8" w:rsidRDefault="005D28F0" w:rsidP="00B00391">
      <w:pPr>
        <w:pStyle w:val="Text1"/>
        <w:pBdr>
          <w:top w:val="single" w:sz="4" w:space="1" w:color="auto"/>
          <w:left w:val="single" w:sz="4" w:space="4" w:color="auto"/>
          <w:bottom w:val="single" w:sz="4" w:space="1" w:color="auto"/>
          <w:right w:val="single" w:sz="4" w:space="4" w:color="auto"/>
        </w:pBdr>
        <w:rPr>
          <w:rFonts w:eastAsia="Times New Roman"/>
          <w:noProof/>
          <w:szCs w:val="24"/>
          <w:lang w:val="en-IE" w:eastAsia="en-IE"/>
        </w:rPr>
      </w:pPr>
      <w:r w:rsidRPr="00B314C8">
        <w:rPr>
          <w:rFonts w:eastAsia="Times New Roman"/>
          <w:noProof/>
          <w:szCs w:val="24"/>
          <w:lang w:val="en-IE" w:eastAsia="en-IE"/>
        </w:rPr>
        <w:t>Reduction of food waste across the EU in a consistent manner is needed to ensure, in each Member State, prudent and rational utilisation of natural resources, reduction of negative impacts on climate, biodiversity and use of natural resources, with benefits extending beyond national borders.  Importantly, by making the food system more efficient, food waste reduction also contributes to food security across the EU.</w:t>
      </w:r>
    </w:p>
    <w:p w14:paraId="78B9DB47" w14:textId="77777777" w:rsidR="005D28F0" w:rsidRPr="00B314C8" w:rsidRDefault="005D28F0" w:rsidP="00B00391">
      <w:pPr>
        <w:pStyle w:val="Text1"/>
        <w:pBdr>
          <w:top w:val="single" w:sz="4" w:space="1" w:color="auto"/>
          <w:left w:val="single" w:sz="4" w:space="4" w:color="auto"/>
          <w:bottom w:val="single" w:sz="4" w:space="1" w:color="auto"/>
          <w:right w:val="single" w:sz="4" w:space="4" w:color="auto"/>
        </w:pBdr>
        <w:rPr>
          <w:rFonts w:eastAsia="Times New Roman"/>
          <w:noProof/>
          <w:szCs w:val="24"/>
          <w:lang w:val="en-IE" w:eastAsia="en-IE"/>
        </w:rPr>
      </w:pPr>
      <w:r w:rsidRPr="00B314C8">
        <w:rPr>
          <w:rFonts w:eastAsia="Times New Roman"/>
          <w:noProof/>
          <w:szCs w:val="24"/>
          <w:lang w:val="en-IE" w:eastAsia="en-IE"/>
        </w:rPr>
        <w:t xml:space="preserve">Food is traded widely within the EU market and food businesses that operate cross-border need coherence and clarity on the level of ambition expected in order to plan investments and actions on food waste prevention. A coordinated approach at EU level can bring reliability and continuity and thus support adoption of new business models </w:t>
      </w:r>
      <w:r w:rsidRPr="00B314C8">
        <w:rPr>
          <w:rFonts w:eastAsia="Times New Roman"/>
          <w:noProof/>
          <w:szCs w:val="24"/>
          <w:lang w:val="en-IE" w:eastAsia="en-IE"/>
        </w:rPr>
        <w:lastRenderedPageBreak/>
        <w:t>by food business operators in order to accelerate food waste reduction across the food value chain.</w:t>
      </w:r>
    </w:p>
    <w:p w14:paraId="0D1E3CF7" w14:textId="77777777" w:rsidR="005D28F0" w:rsidRPr="00E50A7A" w:rsidRDefault="005D28F0" w:rsidP="00B00391">
      <w:pPr>
        <w:pStyle w:val="Text1"/>
        <w:pBdr>
          <w:top w:val="single" w:sz="4" w:space="1" w:color="auto"/>
          <w:left w:val="single" w:sz="4" w:space="4" w:color="auto"/>
          <w:bottom w:val="single" w:sz="4" w:space="1" w:color="auto"/>
          <w:right w:val="single" w:sz="4" w:space="4" w:color="auto"/>
        </w:pBdr>
        <w:rPr>
          <w:rStyle w:val="eop"/>
          <w:noProof/>
          <w:color w:val="000000"/>
          <w:shd w:val="clear" w:color="auto" w:fill="FFFFFF"/>
          <w:lang w:val="en-IE"/>
        </w:rPr>
      </w:pPr>
      <w:r w:rsidRPr="00E50A7A">
        <w:rPr>
          <w:rFonts w:eastAsia="Times New Roman"/>
          <w:noProof/>
          <w:szCs w:val="24"/>
          <w:lang w:val="en-IE" w:eastAsia="en-IE"/>
        </w:rPr>
        <w:t>Setting food waste reduction targets for Member States to achieve by 2030 is expected to reinforce efforts to identify and scale-up effective strategies and initiatives both within and across Member States by: streamlining the contribution of food business operators, notably in the context of cross-border supply chains; helping to ensure that drivers of food waste generation (market and behavioural) are addressed consistently and simultaneously by all Member States, in line with actions taken by the – so far few- frontrunners; and accelerating  the development of effective  national food waste prevention strategies through the spreading of good practices and further leveraging the EU knowledge base related to food waste prevention.</w:t>
      </w:r>
    </w:p>
    <w:p w14:paraId="5C15811B" w14:textId="77777777" w:rsidR="00BD152F" w:rsidRPr="00E50A7A" w:rsidRDefault="00BD152F" w:rsidP="00B00391">
      <w:pPr>
        <w:pStyle w:val="ManualHeading3"/>
        <w:rPr>
          <w:noProof/>
          <w:lang w:val="en-IE"/>
        </w:rPr>
      </w:pPr>
      <w:r w:rsidRPr="00E50A7A">
        <w:rPr>
          <w:noProof/>
          <w:lang w:val="en-IE"/>
        </w:rPr>
        <w:t>1.5.3.</w:t>
      </w:r>
      <w:r w:rsidRPr="00E50A7A">
        <w:rPr>
          <w:noProof/>
          <w:lang w:val="en-IE"/>
        </w:rPr>
        <w:tab/>
        <w:t>Lessons learned from similar experiences in the past</w:t>
      </w:r>
    </w:p>
    <w:p w14:paraId="4006DD8C" w14:textId="77777777" w:rsidR="00BD152F" w:rsidRPr="00E50A7A" w:rsidRDefault="005D28F0" w:rsidP="00B00391">
      <w:pPr>
        <w:pStyle w:val="Text1"/>
        <w:pBdr>
          <w:top w:val="single" w:sz="4" w:space="1" w:color="auto"/>
          <w:left w:val="single" w:sz="4" w:space="4" w:color="auto"/>
          <w:bottom w:val="single" w:sz="4" w:space="1" w:color="auto"/>
          <w:right w:val="single" w:sz="4" w:space="4" w:color="auto"/>
        </w:pBdr>
        <w:rPr>
          <w:rStyle w:val="normaltextrun"/>
          <w:noProof/>
          <w:color w:val="000000"/>
          <w:shd w:val="clear" w:color="auto" w:fill="FFFFFF"/>
          <w:lang w:val="en-IE"/>
        </w:rPr>
      </w:pPr>
      <w:r w:rsidRPr="00E50A7A">
        <w:rPr>
          <w:rStyle w:val="normaltextrun"/>
          <w:noProof/>
          <w:color w:val="000000"/>
          <w:shd w:val="clear" w:color="auto" w:fill="FFFFFF"/>
          <w:lang w:val="en-IE"/>
        </w:rPr>
        <w:t>The Waste Framework Directive (WFD) establishes horizontally applicable concepts related to waste generation and waste management, including waste treatment, recycling and recovery. It creates the waste hierarchy, giving priority to waste prevention over reuse and/or recycling, subsequently recycling over other recovery options and final disposal via landfilling. Further, it obliges Member States to have in place functioning Extended Producer’s Responsibility (EPR) schemes, which ensure that producers of products bear responsibility for the management of the waste stage of their products. In the Circular Economy Action Plan (CEAP), the Commission committed to review the WFD in the context of textiles waste.</w:t>
      </w:r>
    </w:p>
    <w:p w14:paraId="626E1D8C" w14:textId="77777777" w:rsidR="00BD152F" w:rsidRPr="00E50A7A" w:rsidRDefault="00D32E1B" w:rsidP="00D32E1B">
      <w:pPr>
        <w:pStyle w:val="Text1"/>
        <w:pBdr>
          <w:top w:val="single" w:sz="4" w:space="1" w:color="auto"/>
          <w:left w:val="single" w:sz="4" w:space="4" w:color="auto"/>
          <w:bottom w:val="single" w:sz="4" w:space="1" w:color="auto"/>
          <w:right w:val="single" w:sz="4" w:space="4" w:color="auto"/>
        </w:pBdr>
        <w:rPr>
          <w:noProof/>
          <w:lang w:val="en-IE"/>
        </w:rPr>
      </w:pPr>
      <w:r w:rsidRPr="00E50A7A">
        <w:rPr>
          <w:rStyle w:val="normaltextrun"/>
          <w:noProof/>
          <w:color w:val="000000"/>
          <w:lang w:val="en-IE"/>
        </w:rPr>
        <w:t>For food, while this is the first target on reduction of food waste generation, other targets set in waste legislation aiming to increase waste recycling or decrease landfilling of waste are generally regarded as successful, as they provide clear objectives and legal certainty for all players and society in general, while giving Member States full flexibility as to the selection of measures required. Experience shows that progress made towards targets need to be monitored and support provided to Member States through the exchange of best practices on instruments and tools applicable at national level to achieve the targets as well as clarification through guidance and/or amendment of relevant measures in related legislation to facilitate waste prevention (e.g. addressing any barriers encountered.</w:t>
      </w:r>
    </w:p>
    <w:p w14:paraId="35706DF5" w14:textId="77777777" w:rsidR="00BD152F" w:rsidRPr="00E50A7A" w:rsidRDefault="00BD152F" w:rsidP="00B00391">
      <w:pPr>
        <w:pStyle w:val="ManualHeading3"/>
        <w:rPr>
          <w:noProof/>
          <w:lang w:val="en-IE"/>
        </w:rPr>
      </w:pPr>
      <w:r w:rsidRPr="00E50A7A">
        <w:rPr>
          <w:noProof/>
          <w:lang w:val="en-IE"/>
        </w:rPr>
        <w:t>1.5.4.</w:t>
      </w:r>
      <w:r w:rsidRPr="00E50A7A">
        <w:rPr>
          <w:noProof/>
          <w:lang w:val="en-IE"/>
        </w:rPr>
        <w:tab/>
        <w:t>Compatibility with the Multiannual Financial Framework and possible synergies with other appropriate instruments</w:t>
      </w:r>
    </w:p>
    <w:p w14:paraId="353731A3" w14:textId="77777777" w:rsidR="00BD152F" w:rsidRPr="00E50A7A" w:rsidRDefault="00112B99" w:rsidP="00B00391">
      <w:pPr>
        <w:pStyle w:val="Text1"/>
        <w:pBdr>
          <w:top w:val="single" w:sz="4" w:space="1" w:color="auto"/>
          <w:left w:val="single" w:sz="4" w:space="4" w:color="auto"/>
          <w:bottom w:val="single" w:sz="4" w:space="1" w:color="auto"/>
          <w:right w:val="single" w:sz="4" w:space="4" w:color="auto"/>
        </w:pBdr>
        <w:rPr>
          <w:rStyle w:val="normaltextrun"/>
          <w:noProof/>
          <w:color w:val="000000"/>
          <w:lang w:val="en-IE"/>
        </w:rPr>
      </w:pPr>
      <w:r w:rsidRPr="00E50A7A">
        <w:rPr>
          <w:rStyle w:val="normaltextrun"/>
          <w:noProof/>
          <w:color w:val="000000"/>
          <w:shd w:val="clear" w:color="auto" w:fill="FFFFFF"/>
          <w:lang w:val="en-IE"/>
        </w:rPr>
        <w:t xml:space="preserve">The initiatives fall under the umbrella of the European Green Deal, which guides the EU's recovery strategy. The Green Deal recognises the advantages of investing in our competitive sustainability by building a fairer, greener and more digital Europe. This includes circular economy, which is the main driver of increasing material recovery and improving quality of secondary raw materials </w:t>
      </w:r>
      <w:r w:rsidRPr="00E50A7A">
        <w:rPr>
          <w:rStyle w:val="normaltextrun"/>
          <w:noProof/>
          <w:color w:val="000000"/>
          <w:lang w:val="en-IE"/>
        </w:rPr>
        <w:t>as well as the Farm to Fork Strategy.</w:t>
      </w:r>
    </w:p>
    <w:p w14:paraId="217807B1" w14:textId="77777777" w:rsidR="00BD152F" w:rsidRPr="00E50A7A" w:rsidRDefault="00112B99" w:rsidP="00B00391">
      <w:pPr>
        <w:pStyle w:val="Text1"/>
        <w:pBdr>
          <w:top w:val="single" w:sz="4" w:space="1" w:color="auto"/>
          <w:left w:val="single" w:sz="4" w:space="4" w:color="auto"/>
          <w:bottom w:val="single" w:sz="4" w:space="1" w:color="auto"/>
          <w:right w:val="single" w:sz="4" w:space="4" w:color="auto"/>
        </w:pBdr>
        <w:rPr>
          <w:noProof/>
          <w:lang w:val="en-IE"/>
        </w:rPr>
      </w:pPr>
      <w:r w:rsidRPr="00E50A7A">
        <w:rPr>
          <w:rStyle w:val="normaltextrun"/>
          <w:noProof/>
          <w:color w:val="000000"/>
          <w:lang w:val="en-IE"/>
        </w:rPr>
        <w:t xml:space="preserve">The support and commitment of the European Commission in the research in the field of circular economy and in particular related to textiles is covered by projects funded under the H2020 programme and the financial contribution to their implementation. The results of these projects will support and promote circularity and recyclability of textiles. </w:t>
      </w:r>
      <w:r w:rsidR="004707F9" w:rsidRPr="00E50A7A">
        <w:rPr>
          <w:rStyle w:val="normaltextrun"/>
          <w:noProof/>
          <w:color w:val="000000"/>
          <w:lang w:val="en-IE"/>
        </w:rPr>
        <w:t xml:space="preserve">The network of European Digital Innovation Hubs – funded under the Digital Europe Programme, helps SMEs to implement digital tools that support circularity and recyclability of textiles as well as to mitigate food waste in the agri-food and hospitality industry. </w:t>
      </w:r>
      <w:r w:rsidRPr="00E50A7A">
        <w:rPr>
          <w:rStyle w:val="normaltextrun"/>
          <w:noProof/>
          <w:color w:val="000000"/>
          <w:lang w:val="en-IE"/>
        </w:rPr>
        <w:t>In the area of food waste, supporting projects research projects are funded under the H2020 programme but also under Horizon Europe.</w:t>
      </w:r>
    </w:p>
    <w:p w14:paraId="14CBE419" w14:textId="77777777" w:rsidR="00BD152F" w:rsidRPr="00E50A7A" w:rsidRDefault="00BD152F" w:rsidP="00B00391">
      <w:pPr>
        <w:pStyle w:val="ManualHeading3"/>
        <w:rPr>
          <w:noProof/>
          <w:lang w:val="en-IE"/>
        </w:rPr>
      </w:pPr>
      <w:r w:rsidRPr="00E50A7A">
        <w:rPr>
          <w:noProof/>
          <w:lang w:val="en-IE"/>
        </w:rPr>
        <w:lastRenderedPageBreak/>
        <w:t>1.5.5.</w:t>
      </w:r>
      <w:r w:rsidRPr="00E50A7A">
        <w:rPr>
          <w:noProof/>
          <w:lang w:val="en-IE"/>
        </w:rPr>
        <w:tab/>
        <w:t>Assessment of the different available financing options, including scope for redeployment</w:t>
      </w:r>
    </w:p>
    <w:p w14:paraId="6CFA61E7" w14:textId="77777777" w:rsidR="00BD152F" w:rsidRPr="00E50A7A" w:rsidRDefault="00112B99" w:rsidP="00B00391">
      <w:pPr>
        <w:pStyle w:val="Text1"/>
        <w:pBdr>
          <w:top w:val="single" w:sz="4" w:space="1" w:color="auto"/>
          <w:left w:val="single" w:sz="4" w:space="4" w:color="auto"/>
          <w:bottom w:val="single" w:sz="4" w:space="1" w:color="auto"/>
          <w:right w:val="single" w:sz="4" w:space="4" w:color="auto"/>
        </w:pBdr>
        <w:rPr>
          <w:rStyle w:val="normaltextrun"/>
          <w:noProof/>
          <w:color w:val="000000"/>
          <w:shd w:val="clear" w:color="auto" w:fill="FFFFFF"/>
          <w:lang w:val="en-IE"/>
        </w:rPr>
      </w:pPr>
      <w:r w:rsidRPr="00E50A7A">
        <w:rPr>
          <w:rStyle w:val="normaltextrun"/>
          <w:noProof/>
          <w:color w:val="000000"/>
          <w:shd w:val="clear" w:color="auto" w:fill="FFFFFF"/>
          <w:lang w:val="en-IE"/>
        </w:rPr>
        <w:t>For textiles, in theory, national legislations in Member States could have been established. However, it can be observed that the legislation in place (and planned) would not guarantee the required level of harmonisation across the EU that would avoid contributing to the fragmentation of the internal market.</w:t>
      </w:r>
    </w:p>
    <w:p w14:paraId="5C8ADE6A" w14:textId="77777777" w:rsidR="00112B99" w:rsidRPr="00E50A7A" w:rsidRDefault="00112B99" w:rsidP="00B00391">
      <w:pPr>
        <w:pStyle w:val="Text1"/>
        <w:pBdr>
          <w:top w:val="single" w:sz="4" w:space="1" w:color="auto"/>
          <w:left w:val="single" w:sz="4" w:space="4" w:color="auto"/>
          <w:bottom w:val="single" w:sz="4" w:space="1" w:color="auto"/>
          <w:right w:val="single" w:sz="4" w:space="4" w:color="auto"/>
        </w:pBdr>
        <w:rPr>
          <w:rFonts w:eastAsia="Times New Roman"/>
          <w:noProof/>
          <w:szCs w:val="24"/>
          <w:lang w:val="en-IE" w:eastAsia="en-IE"/>
        </w:rPr>
      </w:pPr>
      <w:r w:rsidRPr="00E50A7A">
        <w:rPr>
          <w:rFonts w:eastAsia="Times New Roman"/>
          <w:noProof/>
          <w:szCs w:val="24"/>
          <w:lang w:val="en-IE" w:eastAsia="en-IE"/>
        </w:rPr>
        <w:t>For textiles, in theory, national legislations in Member States could have been established. However, it can be observed that the legislation in place (and planned) would not guarantee the required level of harmonisation across the EU that would avoid contributing to the fragmentation of the internal market.</w:t>
      </w:r>
    </w:p>
    <w:p w14:paraId="56838051" w14:textId="77777777" w:rsidR="00112B99" w:rsidRPr="00E50A7A" w:rsidRDefault="00112B99" w:rsidP="00B00391">
      <w:pPr>
        <w:pStyle w:val="Text1"/>
        <w:pBdr>
          <w:top w:val="single" w:sz="4" w:space="1" w:color="auto"/>
          <w:left w:val="single" w:sz="4" w:space="4" w:color="auto"/>
          <w:bottom w:val="single" w:sz="4" w:space="1" w:color="auto"/>
          <w:right w:val="single" w:sz="4" w:space="4" w:color="auto"/>
        </w:pBdr>
        <w:rPr>
          <w:rFonts w:eastAsia="Times New Roman"/>
          <w:noProof/>
          <w:szCs w:val="24"/>
          <w:lang w:val="en-IE" w:eastAsia="en-IE"/>
        </w:rPr>
      </w:pPr>
      <w:r w:rsidRPr="00E50A7A">
        <w:rPr>
          <w:rFonts w:eastAsia="Times New Roman"/>
          <w:noProof/>
          <w:szCs w:val="24"/>
          <w:lang w:val="en-IE" w:eastAsia="en-IE"/>
        </w:rPr>
        <w:t>The European Environmental Agency was chosen for the data collection and validation given the existing management of re-use of products data flow, outstanding reputation and its availability to manage the data flow.</w:t>
      </w:r>
      <w:r w:rsidR="00A141B9" w:rsidRPr="00E50A7A">
        <w:rPr>
          <w:rFonts w:eastAsia="Times New Roman"/>
          <w:noProof/>
          <w:szCs w:val="24"/>
          <w:lang w:val="en-IE" w:eastAsia="en-IE"/>
        </w:rPr>
        <w:t xml:space="preserve"> Links to the Manufacturing Data Spaces can help to reduce implementation and transaction costs.</w:t>
      </w:r>
    </w:p>
    <w:p w14:paraId="0DDE8E47" w14:textId="77777777" w:rsidR="00112B99" w:rsidRPr="00E50A7A" w:rsidRDefault="00112B99" w:rsidP="00B00391">
      <w:pPr>
        <w:pStyle w:val="Text1"/>
        <w:pBdr>
          <w:top w:val="single" w:sz="4" w:space="1" w:color="auto"/>
          <w:left w:val="single" w:sz="4" w:space="4" w:color="auto"/>
          <w:bottom w:val="single" w:sz="4" w:space="1" w:color="auto"/>
          <w:right w:val="single" w:sz="4" w:space="4" w:color="auto"/>
        </w:pBdr>
        <w:rPr>
          <w:rFonts w:eastAsia="Times New Roman"/>
          <w:noProof/>
          <w:szCs w:val="24"/>
          <w:lang w:val="en-IE" w:eastAsia="en-IE"/>
        </w:rPr>
      </w:pPr>
      <w:r w:rsidRPr="00E50A7A">
        <w:rPr>
          <w:rFonts w:eastAsia="Times New Roman"/>
          <w:noProof/>
          <w:szCs w:val="24"/>
          <w:lang w:val="en-IE" w:eastAsia="en-IE"/>
        </w:rPr>
        <w:t>Tasks related to development of implementing acts at the EU level cannot be externalised.</w:t>
      </w:r>
    </w:p>
    <w:p w14:paraId="2E04EE05" w14:textId="77777777" w:rsidR="00BD152F" w:rsidRPr="00E50A7A" w:rsidRDefault="00112B99" w:rsidP="00112B99">
      <w:pPr>
        <w:pStyle w:val="Text1"/>
        <w:pBdr>
          <w:top w:val="single" w:sz="4" w:space="1" w:color="auto"/>
          <w:left w:val="single" w:sz="4" w:space="4" w:color="auto"/>
          <w:bottom w:val="single" w:sz="4" w:space="1" w:color="auto"/>
          <w:right w:val="single" w:sz="4" w:space="4" w:color="auto"/>
        </w:pBdr>
        <w:rPr>
          <w:noProof/>
          <w:color w:val="000000"/>
          <w:shd w:val="clear" w:color="auto" w:fill="FFFFFF"/>
          <w:lang w:val="en-IE"/>
        </w:rPr>
      </w:pPr>
      <w:r w:rsidRPr="00E50A7A">
        <w:rPr>
          <w:rFonts w:eastAsia="Times New Roman"/>
          <w:noProof/>
          <w:szCs w:val="24"/>
          <w:lang w:val="en-IE" w:eastAsia="en-IE"/>
        </w:rPr>
        <w:t>The nature of the proposal – legally binding targets imposed on Member States means that related measures will be financed mostly at national level.</w:t>
      </w:r>
    </w:p>
    <w:p w14:paraId="0E2C0073" w14:textId="77777777" w:rsidR="00BD152F" w:rsidRPr="00E50A7A" w:rsidRDefault="00BD152F" w:rsidP="00B00391">
      <w:pPr>
        <w:pStyle w:val="ManualHeading2"/>
        <w:rPr>
          <w:bCs/>
          <w:noProof/>
          <w:szCs w:val="24"/>
          <w:lang w:val="en-IE"/>
        </w:rPr>
      </w:pPr>
      <w:r w:rsidRPr="00E50A7A">
        <w:rPr>
          <w:noProof/>
          <w:lang w:val="en-IE"/>
        </w:rPr>
        <w:br w:type="page"/>
      </w:r>
      <w:r w:rsidRPr="00E50A7A">
        <w:rPr>
          <w:noProof/>
          <w:lang w:val="en-IE"/>
        </w:rPr>
        <w:lastRenderedPageBreak/>
        <w:t>1.6.</w:t>
      </w:r>
      <w:r w:rsidRPr="00E50A7A">
        <w:rPr>
          <w:noProof/>
          <w:lang w:val="en-IE"/>
        </w:rPr>
        <w:tab/>
        <w:t>Duration and financial impact of the proposal/initiative</w:t>
      </w:r>
    </w:p>
    <w:p w14:paraId="4919EBF5" w14:textId="77777777" w:rsidR="00BD152F" w:rsidRPr="00E50A7A" w:rsidRDefault="00BD152F" w:rsidP="00B00391">
      <w:pPr>
        <w:pStyle w:val="Text1"/>
        <w:rPr>
          <w:noProof/>
          <w:lang w:val="en-IE"/>
        </w:rPr>
      </w:pPr>
      <w:r w:rsidRPr="00E50A7A">
        <w:rPr>
          <w:rFonts w:ascii="Wingdings" w:eastAsia="Wingdings" w:hAnsi="Wingdings" w:cs="Wingdings"/>
          <w:noProof/>
          <w:lang w:val="en-IE"/>
        </w:rPr>
        <w:t></w:t>
      </w:r>
      <w:r w:rsidRPr="00E50A7A">
        <w:rPr>
          <w:b/>
          <w:i/>
          <w:noProof/>
          <w:lang w:val="en-IE"/>
        </w:rPr>
        <w:t xml:space="preserve"> </w:t>
      </w:r>
      <w:r w:rsidRPr="00E50A7A">
        <w:rPr>
          <w:b/>
          <w:noProof/>
          <w:lang w:val="en-IE"/>
        </w:rPr>
        <w:t xml:space="preserve">limited duration </w:t>
      </w:r>
    </w:p>
    <w:p w14:paraId="027DE7FB" w14:textId="77777777" w:rsidR="00BD152F" w:rsidRPr="00E50A7A" w:rsidRDefault="00BD152F" w:rsidP="0020411B">
      <w:pPr>
        <w:pStyle w:val="ListDash2"/>
        <w:rPr>
          <w:noProof/>
          <w:lang w:val="en-IE"/>
        </w:rPr>
      </w:pPr>
      <w:r w:rsidRPr="00E50A7A">
        <w:rPr>
          <w:rFonts w:ascii="Wingdings" w:eastAsia="Wingdings" w:hAnsi="Wingdings" w:cs="Wingdings"/>
          <w:noProof/>
          <w:lang w:val="en-IE"/>
        </w:rPr>
        <w:t></w:t>
      </w:r>
      <w:r w:rsidRPr="00E50A7A">
        <w:rPr>
          <w:noProof/>
          <w:lang w:val="en-IE"/>
        </w:rPr>
        <w:tab/>
        <w:t xml:space="preserve">in effect from [DD/MM]YYYY to [DD/MM]YYYY </w:t>
      </w:r>
    </w:p>
    <w:p w14:paraId="333930B9" w14:textId="77777777" w:rsidR="00BD152F" w:rsidRPr="00E50A7A" w:rsidRDefault="00BD152F" w:rsidP="0020411B">
      <w:pPr>
        <w:pStyle w:val="ListDash2"/>
        <w:rPr>
          <w:noProof/>
          <w:lang w:val="en-IE"/>
        </w:rPr>
      </w:pPr>
      <w:r w:rsidRPr="00E50A7A">
        <w:rPr>
          <w:rFonts w:ascii="Wingdings" w:eastAsia="Wingdings" w:hAnsi="Wingdings" w:cs="Wingdings"/>
          <w:noProof/>
          <w:lang w:val="en-IE"/>
        </w:rPr>
        <w:t></w:t>
      </w:r>
      <w:r w:rsidRPr="00E50A7A">
        <w:rPr>
          <w:noProof/>
          <w:lang w:val="en-IE"/>
        </w:rPr>
        <w:tab/>
        <w:t xml:space="preserve">Financial impact from YYYY to YYYY for commitment appropriations and from YYYY to YYYY for payment appropriations. </w:t>
      </w:r>
    </w:p>
    <w:p w14:paraId="340EE6F4" w14:textId="77777777" w:rsidR="00BD152F" w:rsidRPr="00E50A7A" w:rsidRDefault="00112B99" w:rsidP="00B00391">
      <w:pPr>
        <w:pStyle w:val="Text1"/>
        <w:rPr>
          <w:noProof/>
          <w:lang w:val="en-IE"/>
        </w:rPr>
      </w:pPr>
      <w:r w:rsidRPr="00E50A7A">
        <w:rPr>
          <w:rStyle w:val="normaltextrun"/>
          <w:rFonts w:ascii="Wingdings" w:eastAsia="Wingdings" w:hAnsi="Wingdings" w:cs="Wingdings"/>
          <w:b/>
          <w:bCs/>
          <w:noProof/>
          <w:color w:val="000000"/>
          <w:bdr w:val="none" w:sz="0" w:space="0" w:color="auto" w:frame="1"/>
          <w:lang w:val="en-IE"/>
        </w:rPr>
        <w:t></w:t>
      </w:r>
      <w:r w:rsidR="00BD152F" w:rsidRPr="00E50A7A">
        <w:rPr>
          <w:b/>
          <w:i/>
          <w:noProof/>
          <w:lang w:val="en-IE"/>
        </w:rPr>
        <w:t xml:space="preserve"> </w:t>
      </w:r>
      <w:r w:rsidR="00BD152F" w:rsidRPr="00E50A7A">
        <w:rPr>
          <w:b/>
          <w:noProof/>
          <w:lang w:val="en-IE"/>
        </w:rPr>
        <w:t>unlimited duration</w:t>
      </w:r>
    </w:p>
    <w:p w14:paraId="3ABEDC88" w14:textId="77777777" w:rsidR="00BD152F" w:rsidRPr="00E50A7A" w:rsidRDefault="00BD152F" w:rsidP="0020411B">
      <w:pPr>
        <w:pStyle w:val="ListDash1"/>
        <w:rPr>
          <w:noProof/>
          <w:lang w:val="en-IE"/>
        </w:rPr>
      </w:pPr>
      <w:r w:rsidRPr="00E50A7A">
        <w:rPr>
          <w:noProof/>
          <w:lang w:val="en-IE"/>
        </w:rPr>
        <w:t xml:space="preserve">Implementation with a start-up period from </w:t>
      </w:r>
      <w:r w:rsidR="00112B99" w:rsidRPr="00E50A7A">
        <w:rPr>
          <w:noProof/>
          <w:lang w:val="en-IE"/>
        </w:rPr>
        <w:t>2024</w:t>
      </w:r>
      <w:r w:rsidRPr="00E50A7A">
        <w:rPr>
          <w:noProof/>
          <w:lang w:val="en-IE"/>
        </w:rPr>
        <w:t xml:space="preserve"> to </w:t>
      </w:r>
      <w:r w:rsidR="00112B99" w:rsidRPr="00E50A7A">
        <w:rPr>
          <w:noProof/>
          <w:lang w:val="en-IE"/>
        </w:rPr>
        <w:t>2028</w:t>
      </w:r>
      <w:r w:rsidRPr="00E50A7A">
        <w:rPr>
          <w:noProof/>
          <w:lang w:val="en-IE"/>
        </w:rPr>
        <w:t>,</w:t>
      </w:r>
    </w:p>
    <w:p w14:paraId="471F2898" w14:textId="77777777" w:rsidR="00BD152F" w:rsidRPr="00E50A7A" w:rsidRDefault="00BD152F" w:rsidP="0020411B">
      <w:pPr>
        <w:pStyle w:val="ListDash1"/>
        <w:rPr>
          <w:noProof/>
          <w:lang w:val="en-IE"/>
        </w:rPr>
      </w:pPr>
      <w:r w:rsidRPr="00E50A7A">
        <w:rPr>
          <w:noProof/>
          <w:lang w:val="en-IE"/>
        </w:rPr>
        <w:t>followed by full-scale operation.</w:t>
      </w:r>
    </w:p>
    <w:p w14:paraId="11652B3C" w14:textId="77777777" w:rsidR="00BD152F" w:rsidRPr="00E50A7A" w:rsidRDefault="76754597" w:rsidP="00B00391">
      <w:pPr>
        <w:pStyle w:val="ManualHeading2"/>
        <w:rPr>
          <w:bCs/>
          <w:noProof/>
          <w:szCs w:val="24"/>
          <w:lang w:val="en-IE"/>
        </w:rPr>
      </w:pPr>
      <w:r w:rsidRPr="00E50A7A">
        <w:rPr>
          <w:noProof/>
          <w:lang w:val="en-IE"/>
        </w:rPr>
        <w:t>1.7.</w:t>
      </w:r>
      <w:r w:rsidR="00BD152F" w:rsidRPr="00E50A7A">
        <w:rPr>
          <w:noProof/>
          <w:lang w:val="en-IE"/>
        </w:rPr>
        <w:tab/>
      </w:r>
      <w:r w:rsidRPr="00E50A7A">
        <w:rPr>
          <w:noProof/>
          <w:lang w:val="en-IE"/>
        </w:rPr>
        <w:t>Method(s) of budget implementation planned</w:t>
      </w:r>
      <w:r w:rsidR="00BD152F" w:rsidRPr="00E50A7A">
        <w:rPr>
          <w:rStyle w:val="FootnoteReference"/>
          <w:noProof/>
          <w:lang w:val="en-IE"/>
        </w:rPr>
        <w:footnoteReference w:id="88"/>
      </w:r>
      <w:r w:rsidRPr="00E50A7A">
        <w:rPr>
          <w:rStyle w:val="FootnoteReference"/>
          <w:noProof/>
          <w:lang w:val="en-IE"/>
        </w:rPr>
        <w:t xml:space="preserve"> </w:t>
      </w:r>
    </w:p>
    <w:p w14:paraId="7138525E" w14:textId="77777777" w:rsidR="00BD152F" w:rsidRPr="00E50A7A" w:rsidRDefault="00112B99" w:rsidP="00B00391">
      <w:pPr>
        <w:pStyle w:val="Text1"/>
        <w:rPr>
          <w:noProof/>
          <w:lang w:val="en-IE"/>
        </w:rPr>
      </w:pPr>
      <w:r w:rsidRPr="00E50A7A">
        <w:rPr>
          <w:rStyle w:val="normaltextrun"/>
          <w:rFonts w:ascii="Wingdings" w:eastAsia="Wingdings" w:hAnsi="Wingdings" w:cs="Wingdings"/>
          <w:b/>
          <w:bCs/>
          <w:noProof/>
          <w:color w:val="000000"/>
          <w:bdr w:val="none" w:sz="0" w:space="0" w:color="auto" w:frame="1"/>
          <w:lang w:val="en-IE"/>
        </w:rPr>
        <w:t></w:t>
      </w:r>
      <w:r w:rsidR="00BD152F" w:rsidRPr="00E50A7A">
        <w:rPr>
          <w:i/>
          <w:noProof/>
          <w:lang w:val="en-IE"/>
        </w:rPr>
        <w:t xml:space="preserve"> </w:t>
      </w:r>
      <w:r w:rsidR="00BD152F" w:rsidRPr="00E50A7A">
        <w:rPr>
          <w:b/>
          <w:noProof/>
          <w:lang w:val="en-IE"/>
        </w:rPr>
        <w:t>Direct management</w:t>
      </w:r>
      <w:r w:rsidR="00BD152F" w:rsidRPr="00E50A7A">
        <w:rPr>
          <w:noProof/>
          <w:lang w:val="en-IE"/>
        </w:rPr>
        <w:t xml:space="preserve"> by the Commission</w:t>
      </w:r>
    </w:p>
    <w:p w14:paraId="18BCDB7C" w14:textId="77777777" w:rsidR="00BD152F" w:rsidRPr="00E50A7A" w:rsidRDefault="00112B99" w:rsidP="0020411B">
      <w:pPr>
        <w:pStyle w:val="ListDash2"/>
        <w:rPr>
          <w:rFonts w:cs="EUAlbertina"/>
          <w:noProof/>
          <w:lang w:val="en-IE"/>
        </w:rPr>
      </w:pPr>
      <w:r w:rsidRPr="00E50A7A">
        <w:rPr>
          <w:rStyle w:val="normaltextrun"/>
          <w:rFonts w:ascii="Wingdings" w:eastAsia="Wingdings" w:hAnsi="Wingdings" w:cs="Wingdings"/>
          <w:b/>
          <w:bCs/>
          <w:noProof/>
          <w:color w:val="000000"/>
          <w:bdr w:val="none" w:sz="0" w:space="0" w:color="auto" w:frame="1"/>
          <w:lang w:val="en-IE"/>
        </w:rPr>
        <w:t></w:t>
      </w:r>
      <w:r w:rsidR="00BD152F" w:rsidRPr="00E50A7A">
        <w:rPr>
          <w:noProof/>
          <w:lang w:val="en-IE"/>
        </w:rPr>
        <w:t xml:space="preserve"> by its departments, including by its staff in the Union delegations; </w:t>
      </w:r>
    </w:p>
    <w:p w14:paraId="203CD6ED" w14:textId="77777777" w:rsidR="00BD152F" w:rsidRPr="00E50A7A" w:rsidRDefault="00BD152F" w:rsidP="0020411B">
      <w:pPr>
        <w:pStyle w:val="ListDash2"/>
        <w:rPr>
          <w:noProof/>
          <w:lang w:val="en-IE"/>
        </w:rPr>
      </w:pPr>
      <w:r w:rsidRPr="00E50A7A">
        <w:rPr>
          <w:rFonts w:ascii="Wingdings" w:eastAsia="Wingdings" w:hAnsi="Wingdings" w:cs="Wingdings"/>
          <w:noProof/>
          <w:lang w:val="en-IE"/>
        </w:rPr>
        <w:t></w:t>
      </w:r>
      <w:r w:rsidRPr="00E50A7A">
        <w:rPr>
          <w:noProof/>
          <w:lang w:val="en-IE"/>
        </w:rPr>
        <w:tab/>
        <w:t xml:space="preserve">by the executive agencies </w:t>
      </w:r>
      <w:r w:rsidR="00112B99" w:rsidRPr="00E50A7A">
        <w:rPr>
          <w:noProof/>
          <w:lang w:val="en-IE"/>
        </w:rPr>
        <w:t xml:space="preserve"> </w:t>
      </w:r>
    </w:p>
    <w:p w14:paraId="590E0263" w14:textId="77777777" w:rsidR="00BD152F" w:rsidRPr="00E50A7A" w:rsidRDefault="00BD152F" w:rsidP="00B00391">
      <w:pPr>
        <w:pStyle w:val="Text1"/>
        <w:rPr>
          <w:noProof/>
          <w:lang w:val="en-IE"/>
        </w:rPr>
      </w:pPr>
      <w:r w:rsidRPr="00E50A7A">
        <w:rPr>
          <w:rFonts w:ascii="Wingdings" w:eastAsia="Wingdings" w:hAnsi="Wingdings" w:cs="Wingdings"/>
          <w:noProof/>
          <w:lang w:val="en-IE"/>
        </w:rPr>
        <w:t></w:t>
      </w:r>
      <w:r w:rsidRPr="00E50A7A">
        <w:rPr>
          <w:b/>
          <w:i/>
          <w:noProof/>
          <w:lang w:val="en-IE"/>
        </w:rPr>
        <w:t xml:space="preserve"> </w:t>
      </w:r>
      <w:r w:rsidRPr="00E50A7A">
        <w:rPr>
          <w:b/>
          <w:noProof/>
          <w:lang w:val="en-IE"/>
        </w:rPr>
        <w:t>Shared management</w:t>
      </w:r>
      <w:r w:rsidRPr="00E50A7A">
        <w:rPr>
          <w:noProof/>
          <w:lang w:val="en-IE"/>
        </w:rPr>
        <w:t xml:space="preserve"> with the Member States </w:t>
      </w:r>
    </w:p>
    <w:p w14:paraId="097E63F7" w14:textId="2C9145E3" w:rsidR="00BD152F" w:rsidRPr="00E50A7A" w:rsidRDefault="00A64E5B" w:rsidP="00B00391">
      <w:pPr>
        <w:pStyle w:val="Text1"/>
        <w:rPr>
          <w:noProof/>
          <w:lang w:val="en-IE"/>
        </w:rPr>
      </w:pPr>
      <w:r w:rsidRPr="00E50A7A">
        <w:rPr>
          <w:rFonts w:ascii="Wingdings" w:eastAsia="Wingdings" w:hAnsi="Wingdings" w:cs="Wingdings"/>
          <w:noProof/>
          <w:lang w:val="en-IE"/>
        </w:rPr>
        <w:t></w:t>
      </w:r>
      <w:r w:rsidR="00BD152F" w:rsidRPr="00E50A7A">
        <w:rPr>
          <w:i/>
          <w:noProof/>
          <w:lang w:val="en-IE"/>
        </w:rPr>
        <w:t xml:space="preserve"> </w:t>
      </w:r>
      <w:r w:rsidR="00BD152F" w:rsidRPr="00E50A7A">
        <w:rPr>
          <w:b/>
          <w:noProof/>
          <w:lang w:val="en-IE"/>
        </w:rPr>
        <w:t>Indirect management</w:t>
      </w:r>
      <w:r w:rsidR="00BD152F" w:rsidRPr="00E50A7A">
        <w:rPr>
          <w:noProof/>
          <w:lang w:val="en-IE"/>
        </w:rPr>
        <w:t xml:space="preserve"> by entrusting budget implementation tasks to:</w:t>
      </w:r>
    </w:p>
    <w:p w14:paraId="50CD9F98" w14:textId="77777777" w:rsidR="00BD152F" w:rsidRPr="00E50A7A" w:rsidRDefault="00BD152F" w:rsidP="0020411B">
      <w:pPr>
        <w:pStyle w:val="ListDash2"/>
        <w:rPr>
          <w:noProof/>
          <w:lang w:val="en-IE"/>
        </w:rPr>
      </w:pPr>
      <w:r w:rsidRPr="00E50A7A">
        <w:rPr>
          <w:rFonts w:ascii="Wingdings" w:eastAsia="Wingdings" w:hAnsi="Wingdings" w:cs="Wingdings"/>
          <w:noProof/>
          <w:lang w:val="en-IE"/>
        </w:rPr>
        <w:t></w:t>
      </w:r>
      <w:r w:rsidRPr="00E50A7A">
        <w:rPr>
          <w:noProof/>
          <w:lang w:val="en-IE"/>
        </w:rPr>
        <w:t xml:space="preserve"> third countries or the bodies they have designated;</w:t>
      </w:r>
    </w:p>
    <w:p w14:paraId="7B707224" w14:textId="77777777" w:rsidR="00BD152F" w:rsidRPr="00E50A7A" w:rsidRDefault="00BD152F" w:rsidP="0020411B">
      <w:pPr>
        <w:pStyle w:val="ListDash2"/>
        <w:rPr>
          <w:noProof/>
          <w:lang w:val="en-IE"/>
        </w:rPr>
      </w:pPr>
      <w:r w:rsidRPr="00E50A7A">
        <w:rPr>
          <w:rFonts w:ascii="Wingdings" w:eastAsia="Wingdings" w:hAnsi="Wingdings" w:cs="Wingdings"/>
          <w:noProof/>
          <w:lang w:val="en-IE"/>
        </w:rPr>
        <w:t></w:t>
      </w:r>
      <w:r w:rsidRPr="00E50A7A">
        <w:rPr>
          <w:noProof/>
          <w:lang w:val="en-IE"/>
        </w:rPr>
        <w:t xml:space="preserve"> international organisations and their agencies (to be specified);</w:t>
      </w:r>
    </w:p>
    <w:p w14:paraId="23D7CCCF" w14:textId="77777777" w:rsidR="00BD152F" w:rsidRPr="00E50A7A" w:rsidRDefault="00BD152F" w:rsidP="0020411B">
      <w:pPr>
        <w:pStyle w:val="ListDash2"/>
        <w:rPr>
          <w:noProof/>
          <w:lang w:val="en-IE"/>
        </w:rPr>
      </w:pPr>
      <w:r w:rsidRPr="00E50A7A">
        <w:rPr>
          <w:rFonts w:ascii="Wingdings" w:eastAsia="Wingdings" w:hAnsi="Wingdings" w:cs="Wingdings"/>
          <w:noProof/>
          <w:lang w:val="en-IE"/>
        </w:rPr>
        <w:t></w:t>
      </w:r>
      <w:r w:rsidRPr="00E50A7A">
        <w:rPr>
          <w:noProof/>
          <w:lang w:val="en-IE"/>
        </w:rPr>
        <w:t xml:space="preserve"> the EIB and the European Investment Fund;</w:t>
      </w:r>
    </w:p>
    <w:p w14:paraId="28D8F33F" w14:textId="5C32DE98" w:rsidR="00BD152F" w:rsidRPr="00E50A7A" w:rsidRDefault="00A64E5B" w:rsidP="0020411B">
      <w:pPr>
        <w:pStyle w:val="ListDash2"/>
        <w:rPr>
          <w:noProof/>
          <w:lang w:val="en-IE"/>
        </w:rPr>
      </w:pPr>
      <w:r w:rsidRPr="00E50A7A">
        <w:rPr>
          <w:rFonts w:ascii="Wingdings" w:eastAsia="Wingdings" w:hAnsi="Wingdings" w:cs="Wingdings"/>
          <w:noProof/>
          <w:lang w:val="en-IE"/>
        </w:rPr>
        <w:t></w:t>
      </w:r>
      <w:r w:rsidR="00BD152F" w:rsidRPr="00E50A7A">
        <w:rPr>
          <w:noProof/>
          <w:lang w:val="en-IE"/>
        </w:rPr>
        <w:t xml:space="preserve"> bodies referred to in Articles 70 and 71 of the Financial Regulation;</w:t>
      </w:r>
    </w:p>
    <w:p w14:paraId="25F88DC2" w14:textId="77777777" w:rsidR="00BD152F" w:rsidRPr="00E50A7A" w:rsidRDefault="00BD152F" w:rsidP="0020411B">
      <w:pPr>
        <w:pStyle w:val="ListDash2"/>
        <w:rPr>
          <w:noProof/>
          <w:lang w:val="en-IE"/>
        </w:rPr>
      </w:pPr>
      <w:r w:rsidRPr="00E50A7A">
        <w:rPr>
          <w:rFonts w:ascii="Wingdings" w:eastAsia="Wingdings" w:hAnsi="Wingdings" w:cs="Wingdings"/>
          <w:noProof/>
          <w:lang w:val="en-IE"/>
        </w:rPr>
        <w:t></w:t>
      </w:r>
      <w:r w:rsidRPr="00E50A7A">
        <w:rPr>
          <w:noProof/>
          <w:lang w:val="en-IE"/>
        </w:rPr>
        <w:t xml:space="preserve"> public law bodies;</w:t>
      </w:r>
    </w:p>
    <w:p w14:paraId="4B630519" w14:textId="77777777" w:rsidR="00BD152F" w:rsidRPr="00E50A7A" w:rsidRDefault="00BD152F" w:rsidP="0020411B">
      <w:pPr>
        <w:pStyle w:val="ListDash2"/>
        <w:rPr>
          <w:noProof/>
          <w:lang w:val="en-IE"/>
        </w:rPr>
      </w:pPr>
      <w:r w:rsidRPr="00E50A7A">
        <w:rPr>
          <w:rFonts w:ascii="Wingdings" w:eastAsia="Wingdings" w:hAnsi="Wingdings" w:cs="Wingdings"/>
          <w:noProof/>
          <w:lang w:val="en-IE"/>
        </w:rPr>
        <w:t></w:t>
      </w:r>
      <w:r w:rsidRPr="00E50A7A">
        <w:rPr>
          <w:noProof/>
          <w:lang w:val="en-IE"/>
        </w:rPr>
        <w:t xml:space="preserve"> bodies governed by private law with a public service mission to the extent that they are provided with adequate financial guarantees;</w:t>
      </w:r>
    </w:p>
    <w:p w14:paraId="30C75DB6" w14:textId="77777777" w:rsidR="00BD152F" w:rsidRPr="00E50A7A" w:rsidRDefault="00BD152F" w:rsidP="0020411B">
      <w:pPr>
        <w:pStyle w:val="ListDash2"/>
        <w:rPr>
          <w:noProof/>
          <w:lang w:val="en-IE"/>
        </w:rPr>
      </w:pPr>
      <w:r w:rsidRPr="00E50A7A">
        <w:rPr>
          <w:rFonts w:ascii="Wingdings" w:eastAsia="Wingdings" w:hAnsi="Wingdings" w:cs="Wingdings"/>
          <w:noProof/>
          <w:lang w:val="en-IE"/>
        </w:rPr>
        <w:t></w:t>
      </w:r>
      <w:r w:rsidRPr="00E50A7A">
        <w:rPr>
          <w:noProof/>
          <w:lang w:val="en-IE"/>
        </w:rPr>
        <w:t xml:space="preserve"> bodies governed by the private law of a Member State that are entrusted with the implementation of a public-private partnership and that are provided with adequate financial guarantees;</w:t>
      </w:r>
    </w:p>
    <w:p w14:paraId="6B62C97C" w14:textId="77777777" w:rsidR="00BD152F" w:rsidRPr="00E50A7A" w:rsidRDefault="00BD152F" w:rsidP="0020411B">
      <w:pPr>
        <w:pStyle w:val="ListDash2"/>
        <w:rPr>
          <w:noProof/>
          <w:lang w:val="en-IE"/>
        </w:rPr>
      </w:pPr>
      <w:r w:rsidRPr="00E50A7A">
        <w:rPr>
          <w:rFonts w:ascii="Wingdings" w:eastAsia="Wingdings" w:hAnsi="Wingdings" w:cs="Wingdings"/>
          <w:noProof/>
          <w:lang w:val="en-IE"/>
        </w:rPr>
        <w:t></w:t>
      </w:r>
      <w:r w:rsidRPr="00E50A7A">
        <w:rPr>
          <w:noProof/>
          <w:lang w:val="en-IE"/>
        </w:rPr>
        <w:t xml:space="preserve"> bodies or persons entrusted with the implementation of specific actions in the CFSP pursuant to Title V of the TEU, and identified in the relevant basic act.</w:t>
      </w:r>
    </w:p>
    <w:p w14:paraId="47D886FE" w14:textId="77777777" w:rsidR="00BD152F" w:rsidRPr="00E50A7A" w:rsidRDefault="00BD152F" w:rsidP="0020411B">
      <w:pPr>
        <w:pStyle w:val="ListDash2"/>
        <w:rPr>
          <w:i/>
          <w:noProof/>
          <w:sz w:val="18"/>
          <w:u w:val="single"/>
          <w:lang w:val="en-IE"/>
        </w:rPr>
      </w:pPr>
      <w:r w:rsidRPr="00E50A7A">
        <w:rPr>
          <w:i/>
          <w:noProof/>
          <w:sz w:val="18"/>
          <w:lang w:val="en-IE"/>
        </w:rPr>
        <w:t>If more than one management mode is indicated, please provide details in the ‘Comments’ section.</w:t>
      </w:r>
    </w:p>
    <w:p w14:paraId="58BF9C4F" w14:textId="77777777" w:rsidR="00BD152F" w:rsidRPr="00E50A7A" w:rsidRDefault="00BD152F" w:rsidP="00B00391">
      <w:pPr>
        <w:rPr>
          <w:noProof/>
          <w:lang w:val="en-IE"/>
        </w:rPr>
      </w:pPr>
      <w:r w:rsidRPr="00E50A7A">
        <w:rPr>
          <w:noProof/>
          <w:lang w:val="en-IE"/>
        </w:rPr>
        <w:t xml:space="preserve">Comments </w:t>
      </w:r>
    </w:p>
    <w:p w14:paraId="49DC5AF7" w14:textId="77777777" w:rsidR="00BD152F" w:rsidRPr="00E50A7A" w:rsidRDefault="00112B99" w:rsidP="00A23F8A">
      <w:pPr>
        <w:pStyle w:val="Text1"/>
        <w:pBdr>
          <w:top w:val="single" w:sz="4" w:space="1" w:color="auto"/>
          <w:left w:val="single" w:sz="4" w:space="4" w:color="auto"/>
          <w:bottom w:val="single" w:sz="4" w:space="1" w:color="auto"/>
          <w:right w:val="single" w:sz="4" w:space="4" w:color="auto"/>
        </w:pBdr>
        <w:rPr>
          <w:rStyle w:val="normaltextrun"/>
          <w:noProof/>
          <w:color w:val="000000"/>
          <w:lang w:val="en-IE"/>
        </w:rPr>
      </w:pPr>
      <w:r w:rsidRPr="00E50A7A">
        <w:rPr>
          <w:rStyle w:val="normaltextrun"/>
          <w:noProof/>
          <w:color w:val="000000"/>
          <w:lang w:val="en-IE"/>
        </w:rPr>
        <w:t>None.</w:t>
      </w:r>
    </w:p>
    <w:p w14:paraId="259A8E86" w14:textId="77777777" w:rsidR="00BD152F" w:rsidRPr="00E50A7A" w:rsidRDefault="00BD152F" w:rsidP="00B00391">
      <w:pPr>
        <w:rPr>
          <w:noProof/>
          <w:lang w:val="en-IE"/>
        </w:rPr>
        <w:sectPr w:rsidR="00BD152F" w:rsidRPr="00E50A7A" w:rsidSect="001F75A6">
          <w:pgSz w:w="11907" w:h="16840" w:code="9"/>
          <w:pgMar w:top="1134" w:right="1418" w:bottom="1134" w:left="1418" w:header="709" w:footer="709" w:gutter="0"/>
          <w:cols w:space="708"/>
          <w:docGrid w:linePitch="360"/>
        </w:sectPr>
      </w:pPr>
    </w:p>
    <w:p w14:paraId="355A6786" w14:textId="77777777" w:rsidR="00BD152F" w:rsidRPr="00E50A7A" w:rsidRDefault="00BD152F" w:rsidP="00B00391">
      <w:pPr>
        <w:pStyle w:val="ManualHeading1"/>
        <w:rPr>
          <w:bCs/>
          <w:noProof/>
          <w:szCs w:val="24"/>
          <w:lang w:val="en-IE"/>
        </w:rPr>
      </w:pPr>
      <w:r w:rsidRPr="00E50A7A">
        <w:rPr>
          <w:noProof/>
          <w:lang w:val="en-IE"/>
        </w:rPr>
        <w:lastRenderedPageBreak/>
        <w:t>2.</w:t>
      </w:r>
      <w:r w:rsidRPr="00E50A7A">
        <w:rPr>
          <w:noProof/>
          <w:lang w:val="en-IE"/>
        </w:rPr>
        <w:tab/>
        <w:t xml:space="preserve">MANAGEMENT MEASURES </w:t>
      </w:r>
    </w:p>
    <w:p w14:paraId="68424609" w14:textId="77777777" w:rsidR="00BD152F" w:rsidRPr="00E50A7A" w:rsidRDefault="00BD152F" w:rsidP="00B00391">
      <w:pPr>
        <w:pStyle w:val="ManualHeading2"/>
        <w:rPr>
          <w:noProof/>
          <w:lang w:val="en-IE"/>
        </w:rPr>
      </w:pPr>
      <w:r w:rsidRPr="00E50A7A">
        <w:rPr>
          <w:noProof/>
          <w:lang w:val="en-IE"/>
        </w:rPr>
        <w:t>2.1.</w:t>
      </w:r>
      <w:r w:rsidRPr="00E50A7A">
        <w:rPr>
          <w:noProof/>
          <w:lang w:val="en-IE"/>
        </w:rPr>
        <w:tab/>
        <w:t xml:space="preserve">Monitoring and reporting rules </w:t>
      </w:r>
    </w:p>
    <w:p w14:paraId="5185B69D" w14:textId="77777777" w:rsidR="00BD152F" w:rsidRPr="00E50A7A" w:rsidRDefault="00BD152F" w:rsidP="00B00391">
      <w:pPr>
        <w:pStyle w:val="Text1"/>
        <w:rPr>
          <w:i/>
          <w:noProof/>
          <w:sz w:val="20"/>
          <w:lang w:val="en-IE"/>
        </w:rPr>
      </w:pPr>
      <w:r w:rsidRPr="00E50A7A">
        <w:rPr>
          <w:i/>
          <w:noProof/>
          <w:sz w:val="20"/>
          <w:lang w:val="en-IE"/>
        </w:rPr>
        <w:t>Specify frequency and conditions.</w:t>
      </w:r>
    </w:p>
    <w:p w14:paraId="11BB7BBB" w14:textId="04308015" w:rsidR="00BD152F" w:rsidRPr="00E50A7A" w:rsidRDefault="00682C4D" w:rsidP="00B00391">
      <w:pPr>
        <w:pStyle w:val="Text1"/>
        <w:pBdr>
          <w:top w:val="single" w:sz="4" w:space="1" w:color="auto"/>
          <w:left w:val="single" w:sz="4" w:space="4" w:color="auto"/>
          <w:bottom w:val="single" w:sz="4" w:space="1" w:color="auto"/>
          <w:right w:val="single" w:sz="4" w:space="4" w:color="auto"/>
        </w:pBdr>
        <w:rPr>
          <w:noProof/>
          <w:lang w:val="en-IE"/>
        </w:rPr>
      </w:pPr>
      <w:r w:rsidRPr="00E50A7A">
        <w:rPr>
          <w:rStyle w:val="normaltextrun"/>
          <w:noProof/>
          <w:color w:val="000000"/>
          <w:lang w:val="en-IE"/>
        </w:rPr>
        <w:t>This Legislative Financial Statement includes staff expenditure in the Commission</w:t>
      </w:r>
      <w:r w:rsidR="00163955" w:rsidRPr="00E50A7A">
        <w:rPr>
          <w:rStyle w:val="normaltextrun"/>
          <w:noProof/>
          <w:color w:val="000000"/>
          <w:lang w:val="en-IE"/>
        </w:rPr>
        <w:t>.</w:t>
      </w:r>
      <w:r w:rsidR="009810E6" w:rsidRPr="00E50A7A">
        <w:rPr>
          <w:rStyle w:val="normaltextrun"/>
          <w:noProof/>
          <w:color w:val="000000"/>
          <w:lang w:val="en-IE"/>
        </w:rPr>
        <w:t xml:space="preserve"> </w:t>
      </w:r>
      <w:r w:rsidR="00A64E5B">
        <w:rPr>
          <w:rStyle w:val="normaltextrun"/>
          <w:noProof/>
          <w:color w:val="000000"/>
          <w:lang w:val="en-IE"/>
        </w:rPr>
        <w:t>A potential need for reinforcement for the European Environmental Agency will be grouped together in a Legislative Financial Statement of a forthcoming legal proposal, taking synergies into account.</w:t>
      </w:r>
      <w:r w:rsidRPr="00E50A7A">
        <w:rPr>
          <w:rStyle w:val="normaltextrun"/>
          <w:noProof/>
          <w:color w:val="000000"/>
          <w:lang w:val="en-IE"/>
        </w:rPr>
        <w:t xml:space="preserve"> </w:t>
      </w:r>
      <w:r w:rsidR="00112B99" w:rsidRPr="00E50A7A">
        <w:rPr>
          <w:rStyle w:val="normaltextrun"/>
          <w:noProof/>
          <w:color w:val="000000"/>
          <w:bdr w:val="none" w:sz="0" w:space="0" w:color="auto" w:frame="1"/>
          <w:lang w:val="en-IE"/>
        </w:rPr>
        <w:t>Standard rules for this type of expenditure apply.</w:t>
      </w:r>
    </w:p>
    <w:p w14:paraId="60866E7A" w14:textId="77777777" w:rsidR="00BD152F" w:rsidRPr="00E50A7A" w:rsidRDefault="00BD152F" w:rsidP="00112B99">
      <w:pPr>
        <w:pStyle w:val="ManualHeading2"/>
        <w:ind w:left="0" w:firstLine="0"/>
        <w:rPr>
          <w:bCs/>
          <w:noProof/>
          <w:szCs w:val="24"/>
          <w:lang w:val="en-IE"/>
        </w:rPr>
      </w:pPr>
      <w:r w:rsidRPr="00E50A7A">
        <w:rPr>
          <w:noProof/>
          <w:lang w:val="en-IE"/>
        </w:rPr>
        <w:t>2.2.</w:t>
      </w:r>
      <w:r w:rsidRPr="00E50A7A">
        <w:rPr>
          <w:noProof/>
          <w:lang w:val="en-IE"/>
        </w:rPr>
        <w:tab/>
        <w:t xml:space="preserve">Management and control system(s) </w:t>
      </w:r>
    </w:p>
    <w:p w14:paraId="20492B58" w14:textId="77777777" w:rsidR="00BD152F" w:rsidRPr="00E50A7A" w:rsidRDefault="00BD152F" w:rsidP="00B00391">
      <w:pPr>
        <w:pStyle w:val="ManualHeading3"/>
        <w:rPr>
          <w:noProof/>
          <w:lang w:val="en-IE"/>
        </w:rPr>
      </w:pPr>
      <w:r w:rsidRPr="00E50A7A">
        <w:rPr>
          <w:noProof/>
          <w:lang w:val="en-IE"/>
        </w:rPr>
        <w:t>2.2.1.</w:t>
      </w:r>
      <w:r w:rsidRPr="00E50A7A">
        <w:rPr>
          <w:noProof/>
          <w:lang w:val="en-IE"/>
        </w:rPr>
        <w:tab/>
        <w:t>Justification of the management mode(s), the funding implementation mechanism(s), the payment modalities and the control strategy proposed</w:t>
      </w:r>
    </w:p>
    <w:p w14:paraId="32108D76" w14:textId="77777777" w:rsidR="00BD152F" w:rsidRPr="00E50A7A" w:rsidRDefault="008549AD" w:rsidP="008549AD">
      <w:pPr>
        <w:pStyle w:val="Text1"/>
        <w:pBdr>
          <w:top w:val="single" w:sz="4" w:space="1" w:color="auto"/>
          <w:left w:val="single" w:sz="4" w:space="4" w:color="auto"/>
          <w:bottom w:val="single" w:sz="4" w:space="1" w:color="auto"/>
          <w:right w:val="single" w:sz="4" w:space="4" w:color="auto"/>
        </w:pBdr>
        <w:rPr>
          <w:noProof/>
          <w:color w:val="0000FF"/>
          <w:lang w:val="en-IE"/>
        </w:rPr>
      </w:pPr>
      <w:r w:rsidRPr="00E50A7A">
        <w:rPr>
          <w:rStyle w:val="normaltextrun"/>
          <w:noProof/>
          <w:color w:val="000000"/>
          <w:bdr w:val="none" w:sz="0" w:space="0" w:color="auto" w:frame="1"/>
          <w:lang w:val="en-IE"/>
        </w:rPr>
        <w:t>N/A – cf. above</w:t>
      </w:r>
      <w:r w:rsidRPr="00E50A7A">
        <w:rPr>
          <w:noProof/>
          <w:lang w:val="en-IE"/>
        </w:rPr>
        <w:t xml:space="preserve"> </w:t>
      </w:r>
    </w:p>
    <w:p w14:paraId="400FAE13" w14:textId="77777777" w:rsidR="00BD152F" w:rsidRPr="00E50A7A" w:rsidRDefault="00BD152F" w:rsidP="00B00391">
      <w:pPr>
        <w:pStyle w:val="ManualHeading3"/>
        <w:rPr>
          <w:bCs/>
          <w:noProof/>
          <w:szCs w:val="24"/>
          <w:lang w:val="en-IE"/>
        </w:rPr>
      </w:pPr>
      <w:r w:rsidRPr="00E50A7A">
        <w:rPr>
          <w:noProof/>
          <w:lang w:val="en-IE"/>
        </w:rPr>
        <w:t>2.2.2.</w:t>
      </w:r>
      <w:r w:rsidRPr="00E50A7A">
        <w:rPr>
          <w:noProof/>
          <w:lang w:val="en-IE"/>
        </w:rPr>
        <w:tab/>
        <w:t>Information concerning the risks identified and the internal control system(s) set up to mitigate them</w:t>
      </w:r>
    </w:p>
    <w:p w14:paraId="3495F04F" w14:textId="77777777" w:rsidR="00BD152F" w:rsidRPr="00E50A7A" w:rsidRDefault="008549AD" w:rsidP="008549AD">
      <w:pPr>
        <w:pStyle w:val="Text1"/>
        <w:pBdr>
          <w:top w:val="single" w:sz="4" w:space="1" w:color="auto"/>
          <w:left w:val="single" w:sz="4" w:space="4" w:color="auto"/>
          <w:bottom w:val="single" w:sz="4" w:space="1" w:color="auto"/>
          <w:right w:val="single" w:sz="4" w:space="4" w:color="auto"/>
        </w:pBdr>
        <w:rPr>
          <w:noProof/>
          <w:color w:val="0000FF"/>
          <w:lang w:val="en-IE"/>
        </w:rPr>
      </w:pPr>
      <w:r w:rsidRPr="00E50A7A">
        <w:rPr>
          <w:rStyle w:val="normaltextrun"/>
          <w:noProof/>
          <w:color w:val="000000"/>
          <w:bdr w:val="none" w:sz="0" w:space="0" w:color="auto" w:frame="1"/>
          <w:lang w:val="en-IE"/>
        </w:rPr>
        <w:t>N/A – cf. above</w:t>
      </w:r>
      <w:r w:rsidRPr="00E50A7A">
        <w:rPr>
          <w:noProof/>
          <w:lang w:val="en-IE"/>
        </w:rPr>
        <w:t xml:space="preserve"> </w:t>
      </w:r>
    </w:p>
    <w:p w14:paraId="7730E5A1" w14:textId="77777777" w:rsidR="00BD152F" w:rsidRPr="00E50A7A" w:rsidRDefault="00BD152F" w:rsidP="00B00391">
      <w:pPr>
        <w:pStyle w:val="ManualHeading3"/>
        <w:rPr>
          <w:noProof/>
          <w:lang w:val="en-IE"/>
        </w:rPr>
      </w:pPr>
      <w:r w:rsidRPr="00E50A7A">
        <w:rPr>
          <w:noProof/>
          <w:lang w:val="en-IE"/>
        </w:rPr>
        <w:t>2.2.3.</w:t>
      </w:r>
      <w:r w:rsidRPr="00E50A7A">
        <w:rPr>
          <w:noProof/>
          <w:lang w:val="en-IE"/>
        </w:rPr>
        <w:tab/>
        <w:t xml:space="preserve">Estimation and justification of the cost-effectiveness of the controls (ratio of "control costs ÷ value of the related funds managed"), and assessment of the expected levels of risk of error (at payment &amp; at closure) </w:t>
      </w:r>
    </w:p>
    <w:p w14:paraId="29E65703" w14:textId="77777777" w:rsidR="00BD152F" w:rsidRPr="00E50A7A" w:rsidRDefault="008549AD" w:rsidP="00B00391">
      <w:pPr>
        <w:pStyle w:val="Text1"/>
        <w:pBdr>
          <w:top w:val="single" w:sz="4" w:space="1" w:color="auto"/>
          <w:left w:val="single" w:sz="4" w:space="4" w:color="auto"/>
          <w:bottom w:val="single" w:sz="4" w:space="1" w:color="auto"/>
          <w:right w:val="single" w:sz="4" w:space="4" w:color="auto"/>
        </w:pBdr>
        <w:rPr>
          <w:noProof/>
          <w:color w:val="0000FF"/>
          <w:lang w:val="en-IE"/>
        </w:rPr>
      </w:pPr>
      <w:r w:rsidRPr="00E50A7A">
        <w:rPr>
          <w:rStyle w:val="normaltextrun"/>
          <w:noProof/>
          <w:color w:val="000000"/>
          <w:bdr w:val="none" w:sz="0" w:space="0" w:color="auto" w:frame="1"/>
          <w:lang w:val="en-IE"/>
        </w:rPr>
        <w:t>N/A – cf. above</w:t>
      </w:r>
    </w:p>
    <w:p w14:paraId="04A4DBF2" w14:textId="77777777" w:rsidR="00BD152F" w:rsidRPr="00E50A7A" w:rsidRDefault="00BD152F" w:rsidP="00B00391">
      <w:pPr>
        <w:pStyle w:val="ManualHeading2"/>
        <w:rPr>
          <w:bCs/>
          <w:noProof/>
          <w:szCs w:val="24"/>
          <w:lang w:val="en-IE"/>
        </w:rPr>
      </w:pPr>
      <w:r w:rsidRPr="00E50A7A">
        <w:rPr>
          <w:noProof/>
          <w:lang w:val="en-IE"/>
        </w:rPr>
        <w:t>2.3.</w:t>
      </w:r>
      <w:r w:rsidRPr="00E50A7A">
        <w:rPr>
          <w:noProof/>
          <w:lang w:val="en-IE"/>
        </w:rPr>
        <w:tab/>
        <w:t xml:space="preserve">Measures to prevent fraud and irregularities </w:t>
      </w:r>
    </w:p>
    <w:p w14:paraId="43967BD3" w14:textId="77777777" w:rsidR="00BD152F" w:rsidRPr="00E50A7A" w:rsidRDefault="00BD152F" w:rsidP="00B00391">
      <w:pPr>
        <w:pStyle w:val="Text1"/>
        <w:rPr>
          <w:i/>
          <w:noProof/>
          <w:sz w:val="20"/>
          <w:lang w:val="en-IE"/>
        </w:rPr>
      </w:pPr>
      <w:r w:rsidRPr="00E50A7A">
        <w:rPr>
          <w:i/>
          <w:noProof/>
          <w:sz w:val="20"/>
          <w:lang w:val="en-IE"/>
        </w:rPr>
        <w:t>Specify existing or envisaged prevention and protection measures, e.g. from the Anti-Fraud Strategy.</w:t>
      </w:r>
    </w:p>
    <w:p w14:paraId="7F192E3B" w14:textId="77777777" w:rsidR="00BD152F" w:rsidRPr="00E50A7A" w:rsidRDefault="008549AD" w:rsidP="00B00391">
      <w:pPr>
        <w:pStyle w:val="Text1"/>
        <w:pBdr>
          <w:top w:val="single" w:sz="4" w:space="1" w:color="auto"/>
          <w:left w:val="single" w:sz="4" w:space="4" w:color="auto"/>
          <w:bottom w:val="single" w:sz="4" w:space="1" w:color="auto"/>
          <w:right w:val="single" w:sz="4" w:space="4" w:color="auto"/>
        </w:pBdr>
        <w:rPr>
          <w:noProof/>
          <w:lang w:val="en-IE"/>
        </w:rPr>
      </w:pPr>
      <w:r w:rsidRPr="00E50A7A">
        <w:rPr>
          <w:rStyle w:val="normaltextrun"/>
          <w:noProof/>
          <w:color w:val="000000"/>
          <w:bdr w:val="none" w:sz="0" w:space="0" w:color="auto" w:frame="1"/>
          <w:lang w:val="en-IE"/>
        </w:rPr>
        <w:t>N/A – cf. above</w:t>
      </w:r>
    </w:p>
    <w:p w14:paraId="040F92CF" w14:textId="77777777" w:rsidR="00BD152F" w:rsidRPr="00E50A7A" w:rsidRDefault="00BD152F" w:rsidP="00B00391">
      <w:pPr>
        <w:rPr>
          <w:noProof/>
          <w:lang w:val="en-IE"/>
        </w:rPr>
        <w:sectPr w:rsidR="00BD152F" w:rsidRPr="00E50A7A" w:rsidSect="001F75A6">
          <w:pgSz w:w="11907" w:h="16840" w:code="9"/>
          <w:pgMar w:top="1134" w:right="1418" w:bottom="1134" w:left="1418" w:header="709" w:footer="709" w:gutter="0"/>
          <w:cols w:space="708"/>
          <w:docGrid w:linePitch="360"/>
        </w:sectPr>
      </w:pPr>
    </w:p>
    <w:p w14:paraId="647FCEF6" w14:textId="77777777" w:rsidR="00BD152F" w:rsidRPr="00E50A7A" w:rsidRDefault="00BD152F" w:rsidP="00B00391">
      <w:pPr>
        <w:pStyle w:val="ManualHeading1"/>
        <w:rPr>
          <w:bCs/>
          <w:noProof/>
          <w:szCs w:val="24"/>
          <w:lang w:val="en-IE"/>
        </w:rPr>
      </w:pPr>
      <w:r w:rsidRPr="00E50A7A">
        <w:rPr>
          <w:noProof/>
          <w:lang w:val="en-IE"/>
        </w:rPr>
        <w:lastRenderedPageBreak/>
        <w:t>3.</w:t>
      </w:r>
      <w:r w:rsidRPr="00E50A7A">
        <w:rPr>
          <w:noProof/>
          <w:lang w:val="en-IE"/>
        </w:rPr>
        <w:tab/>
        <w:t xml:space="preserve">ESTIMATED FINANCIAL IMPACT OF THE PROPOSAL/INITIATIVE </w:t>
      </w:r>
    </w:p>
    <w:p w14:paraId="1633A350" w14:textId="77777777" w:rsidR="00BD152F" w:rsidRPr="00E50A7A" w:rsidRDefault="00BD152F" w:rsidP="00B00391">
      <w:pPr>
        <w:pStyle w:val="ManualHeading2"/>
        <w:rPr>
          <w:noProof/>
          <w:lang w:val="en-IE"/>
        </w:rPr>
      </w:pPr>
      <w:r w:rsidRPr="00E50A7A">
        <w:rPr>
          <w:noProof/>
          <w:lang w:val="en-IE"/>
        </w:rPr>
        <w:t>3.1.</w:t>
      </w:r>
      <w:r w:rsidRPr="00E50A7A">
        <w:rPr>
          <w:noProof/>
          <w:lang w:val="en-IE"/>
        </w:rPr>
        <w:tab/>
        <w:t xml:space="preserve">Heading(s) of the multiannual financial framework and expenditure budget line(s) affected </w:t>
      </w:r>
    </w:p>
    <w:p w14:paraId="560CF5C6" w14:textId="77777777" w:rsidR="00BD152F" w:rsidRPr="00E50A7A" w:rsidRDefault="00BD152F" w:rsidP="0020411B">
      <w:pPr>
        <w:pStyle w:val="ListBullet1"/>
        <w:rPr>
          <w:noProof/>
          <w:lang w:val="en-IE"/>
        </w:rPr>
      </w:pPr>
      <w:r w:rsidRPr="00E50A7A">
        <w:rPr>
          <w:noProof/>
          <w:lang w:val="en-IE"/>
        </w:rPr>
        <w:t xml:space="preserve">Existing budget lines </w:t>
      </w:r>
    </w:p>
    <w:p w14:paraId="4A3D923C" w14:textId="77777777" w:rsidR="00BD152F" w:rsidRPr="00E50A7A" w:rsidRDefault="00BD152F" w:rsidP="00B00391">
      <w:pPr>
        <w:pStyle w:val="Text1"/>
        <w:rPr>
          <w:i/>
          <w:noProof/>
          <w:lang w:val="en-IE"/>
        </w:rPr>
      </w:pPr>
      <w:r w:rsidRPr="00E50A7A">
        <w:rPr>
          <w:i/>
          <w:noProof/>
          <w:u w:val="single"/>
          <w:lang w:val="en-IE"/>
        </w:rPr>
        <w:t>In order</w:t>
      </w:r>
      <w:r w:rsidRPr="00E50A7A">
        <w:rPr>
          <w:i/>
          <w:noProof/>
          <w:lang w:val="en-IE"/>
        </w:rPr>
        <w:t xml:space="preserve"> of multiannual financial framework headings and budget lines.</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rsidR="00F55A81" w:rsidRPr="00B314C8" w14:paraId="2B4E6212" w14:textId="77777777" w:rsidTr="1BD3479F">
        <w:tc>
          <w:tcPr>
            <w:tcW w:w="1080" w:type="dxa"/>
            <w:vMerge w:val="restart"/>
            <w:vAlign w:val="center"/>
          </w:tcPr>
          <w:p w14:paraId="371FD174" w14:textId="77777777" w:rsidR="00BD152F" w:rsidRPr="00E50A7A" w:rsidRDefault="00BD152F" w:rsidP="00B00391">
            <w:pPr>
              <w:spacing w:before="60" w:after="60"/>
              <w:jc w:val="center"/>
              <w:rPr>
                <w:noProof/>
                <w:lang w:val="en-IE"/>
              </w:rPr>
            </w:pPr>
            <w:r w:rsidRPr="00E50A7A">
              <w:rPr>
                <w:noProof/>
                <w:sz w:val="18"/>
                <w:lang w:val="en-IE"/>
              </w:rPr>
              <w:t>Heading of multiannual financial framework</w:t>
            </w:r>
          </w:p>
        </w:tc>
        <w:tc>
          <w:tcPr>
            <w:tcW w:w="3960" w:type="dxa"/>
            <w:vAlign w:val="center"/>
          </w:tcPr>
          <w:p w14:paraId="5AB317D2" w14:textId="77777777" w:rsidR="00BD152F" w:rsidRPr="00E50A7A" w:rsidRDefault="00BD152F" w:rsidP="00B00391">
            <w:pPr>
              <w:spacing w:before="60" w:after="60"/>
              <w:jc w:val="center"/>
              <w:rPr>
                <w:noProof/>
                <w:lang w:val="en-IE"/>
              </w:rPr>
            </w:pPr>
            <w:r w:rsidRPr="00E50A7A">
              <w:rPr>
                <w:noProof/>
                <w:sz w:val="20"/>
                <w:lang w:val="en-IE"/>
              </w:rPr>
              <w:t>Budget line</w:t>
            </w:r>
          </w:p>
        </w:tc>
        <w:tc>
          <w:tcPr>
            <w:tcW w:w="1080" w:type="dxa"/>
            <w:vAlign w:val="center"/>
          </w:tcPr>
          <w:p w14:paraId="23A5B479" w14:textId="77777777" w:rsidR="00BD152F" w:rsidRPr="00E50A7A" w:rsidRDefault="00BD152F" w:rsidP="00B00391">
            <w:pPr>
              <w:spacing w:before="60" w:after="60"/>
              <w:jc w:val="center"/>
              <w:rPr>
                <w:noProof/>
                <w:lang w:val="en-IE"/>
              </w:rPr>
            </w:pPr>
            <w:r w:rsidRPr="00E50A7A">
              <w:rPr>
                <w:noProof/>
                <w:sz w:val="18"/>
                <w:lang w:val="en-IE"/>
              </w:rPr>
              <w:t xml:space="preserve">Type of </w:t>
            </w:r>
            <w:r w:rsidRPr="00E50A7A">
              <w:rPr>
                <w:noProof/>
                <w:sz w:val="22"/>
                <w:lang w:val="en-IE"/>
              </w:rPr>
              <w:br/>
            </w:r>
            <w:r w:rsidRPr="00E50A7A">
              <w:rPr>
                <w:noProof/>
                <w:sz w:val="18"/>
                <w:lang w:val="en-IE"/>
              </w:rPr>
              <w:t>expenditure</w:t>
            </w:r>
          </w:p>
        </w:tc>
        <w:tc>
          <w:tcPr>
            <w:tcW w:w="4440" w:type="dxa"/>
            <w:gridSpan w:val="4"/>
            <w:vAlign w:val="center"/>
          </w:tcPr>
          <w:p w14:paraId="27094FFD" w14:textId="77777777" w:rsidR="00BD152F" w:rsidRPr="00E50A7A" w:rsidRDefault="00BD152F" w:rsidP="00B00391">
            <w:pPr>
              <w:spacing w:before="60" w:after="60"/>
              <w:jc w:val="center"/>
              <w:rPr>
                <w:noProof/>
                <w:lang w:val="en-IE"/>
              </w:rPr>
            </w:pPr>
            <w:r w:rsidRPr="00E50A7A">
              <w:rPr>
                <w:noProof/>
                <w:sz w:val="20"/>
                <w:lang w:val="en-IE"/>
              </w:rPr>
              <w:t xml:space="preserve">Contribution </w:t>
            </w:r>
          </w:p>
        </w:tc>
      </w:tr>
      <w:tr w:rsidR="008A3CEF" w:rsidRPr="00B314C8" w14:paraId="6B93F5E1" w14:textId="77777777" w:rsidTr="0068785E">
        <w:trPr>
          <w:trHeight w:val="1772"/>
        </w:trPr>
        <w:tc>
          <w:tcPr>
            <w:tcW w:w="1080" w:type="dxa"/>
            <w:vMerge/>
            <w:vAlign w:val="center"/>
          </w:tcPr>
          <w:p w14:paraId="7915191D" w14:textId="77777777" w:rsidR="00BD152F" w:rsidRPr="00E50A7A" w:rsidRDefault="00BD152F" w:rsidP="00B00391">
            <w:pPr>
              <w:jc w:val="center"/>
              <w:rPr>
                <w:noProof/>
                <w:lang w:val="en-IE"/>
              </w:rPr>
            </w:pPr>
          </w:p>
        </w:tc>
        <w:tc>
          <w:tcPr>
            <w:tcW w:w="3960" w:type="dxa"/>
            <w:vAlign w:val="center"/>
          </w:tcPr>
          <w:p w14:paraId="39715FCD" w14:textId="77777777" w:rsidR="00BD152F" w:rsidRPr="00E50A7A" w:rsidRDefault="00BD152F" w:rsidP="00B00391">
            <w:pPr>
              <w:rPr>
                <w:noProof/>
                <w:lang w:val="en-IE"/>
              </w:rPr>
            </w:pPr>
            <w:r w:rsidRPr="00E50A7A">
              <w:rPr>
                <w:noProof/>
                <w:sz w:val="20"/>
                <w:lang w:val="en-IE"/>
              </w:rPr>
              <w:t xml:space="preserve">Number </w:t>
            </w:r>
            <w:r w:rsidRPr="00E50A7A">
              <w:rPr>
                <w:noProof/>
                <w:sz w:val="22"/>
                <w:lang w:val="en-IE"/>
              </w:rPr>
              <w:br/>
            </w:r>
          </w:p>
        </w:tc>
        <w:tc>
          <w:tcPr>
            <w:tcW w:w="1080" w:type="dxa"/>
            <w:vAlign w:val="center"/>
          </w:tcPr>
          <w:p w14:paraId="4D751576" w14:textId="77777777" w:rsidR="00BD152F" w:rsidRPr="00E50A7A" w:rsidRDefault="76754597" w:rsidP="00B00391">
            <w:pPr>
              <w:jc w:val="center"/>
              <w:rPr>
                <w:noProof/>
                <w:lang w:val="en-IE"/>
              </w:rPr>
            </w:pPr>
            <w:r w:rsidRPr="00E50A7A">
              <w:rPr>
                <w:noProof/>
                <w:sz w:val="18"/>
                <w:szCs w:val="18"/>
                <w:lang w:val="en-IE"/>
              </w:rPr>
              <w:t>Diff./Non-diff.</w:t>
            </w:r>
            <w:r w:rsidR="00BD152F" w:rsidRPr="00E50A7A">
              <w:rPr>
                <w:rStyle w:val="FootnoteReference"/>
                <w:noProof/>
                <w:sz w:val="18"/>
                <w:szCs w:val="18"/>
                <w:lang w:val="en-IE"/>
              </w:rPr>
              <w:footnoteReference w:id="89"/>
            </w:r>
          </w:p>
        </w:tc>
        <w:tc>
          <w:tcPr>
            <w:tcW w:w="956" w:type="dxa"/>
            <w:vAlign w:val="center"/>
          </w:tcPr>
          <w:p w14:paraId="1FC52F7A" w14:textId="77777777" w:rsidR="00BD152F" w:rsidRPr="00E50A7A" w:rsidRDefault="76754597" w:rsidP="00B00391">
            <w:pPr>
              <w:jc w:val="center"/>
              <w:rPr>
                <w:b/>
                <w:noProof/>
                <w:sz w:val="18"/>
                <w:lang w:val="en-IE"/>
              </w:rPr>
            </w:pPr>
            <w:r w:rsidRPr="00E50A7A">
              <w:rPr>
                <w:noProof/>
                <w:sz w:val="18"/>
                <w:szCs w:val="18"/>
                <w:lang w:val="en-IE"/>
              </w:rPr>
              <w:t>from EFTA countries</w:t>
            </w:r>
            <w:r w:rsidR="00BD152F" w:rsidRPr="00E50A7A">
              <w:rPr>
                <w:rStyle w:val="FootnoteReference"/>
                <w:noProof/>
                <w:sz w:val="18"/>
                <w:szCs w:val="18"/>
                <w:lang w:val="en-IE"/>
              </w:rPr>
              <w:footnoteReference w:id="90"/>
            </w:r>
          </w:p>
        </w:tc>
        <w:tc>
          <w:tcPr>
            <w:tcW w:w="1080" w:type="dxa"/>
            <w:vAlign w:val="center"/>
          </w:tcPr>
          <w:p w14:paraId="6ABB2C77" w14:textId="77777777" w:rsidR="00BD152F" w:rsidRPr="00E50A7A" w:rsidRDefault="76754597" w:rsidP="00B00391">
            <w:pPr>
              <w:jc w:val="center"/>
              <w:rPr>
                <w:noProof/>
                <w:sz w:val="18"/>
                <w:lang w:val="en-IE"/>
              </w:rPr>
            </w:pPr>
            <w:r w:rsidRPr="00E50A7A">
              <w:rPr>
                <w:noProof/>
                <w:sz w:val="18"/>
                <w:szCs w:val="18"/>
                <w:lang w:val="en-IE"/>
              </w:rPr>
              <w:t>from candidate countries and potential candidates</w:t>
            </w:r>
            <w:r w:rsidR="00BD152F" w:rsidRPr="00E50A7A">
              <w:rPr>
                <w:rStyle w:val="FootnoteReference"/>
                <w:noProof/>
                <w:sz w:val="18"/>
                <w:szCs w:val="18"/>
                <w:lang w:val="en-IE"/>
              </w:rPr>
              <w:footnoteReference w:id="91"/>
            </w:r>
          </w:p>
        </w:tc>
        <w:tc>
          <w:tcPr>
            <w:tcW w:w="956" w:type="dxa"/>
            <w:vAlign w:val="center"/>
          </w:tcPr>
          <w:p w14:paraId="29A5C692" w14:textId="77777777" w:rsidR="00BD152F" w:rsidRPr="00E50A7A" w:rsidRDefault="00B24CA9" w:rsidP="00B00391">
            <w:pPr>
              <w:jc w:val="center"/>
              <w:rPr>
                <w:noProof/>
                <w:sz w:val="18"/>
                <w:lang w:val="en-IE"/>
              </w:rPr>
            </w:pPr>
            <w:r w:rsidRPr="00E50A7A">
              <w:rPr>
                <w:noProof/>
                <w:sz w:val="18"/>
                <w:lang w:val="en-IE"/>
              </w:rPr>
              <w:t>F</w:t>
            </w:r>
            <w:r w:rsidR="00BD152F" w:rsidRPr="00E50A7A">
              <w:rPr>
                <w:noProof/>
                <w:sz w:val="18"/>
                <w:lang w:val="en-IE"/>
              </w:rPr>
              <w:t>rom</w:t>
            </w:r>
            <w:r>
              <w:rPr>
                <w:noProof/>
                <w:sz w:val="18"/>
                <w:lang w:val="en-IE"/>
              </w:rPr>
              <w:t xml:space="preserve"> </w:t>
            </w:r>
            <w:r w:rsidR="00BD152F" w:rsidRPr="00E50A7A">
              <w:rPr>
                <w:noProof/>
                <w:sz w:val="18"/>
                <w:lang w:val="en-IE"/>
              </w:rPr>
              <w:t>the third countries</w:t>
            </w:r>
          </w:p>
        </w:tc>
        <w:tc>
          <w:tcPr>
            <w:tcW w:w="1448" w:type="dxa"/>
            <w:vAlign w:val="center"/>
          </w:tcPr>
          <w:p w14:paraId="57BF93BF" w14:textId="77777777" w:rsidR="00BD152F" w:rsidRPr="00E50A7A" w:rsidRDefault="00BD152F" w:rsidP="00B00391">
            <w:pPr>
              <w:jc w:val="center"/>
              <w:rPr>
                <w:noProof/>
                <w:lang w:val="en-IE"/>
              </w:rPr>
            </w:pPr>
            <w:r w:rsidRPr="00E50A7A">
              <w:rPr>
                <w:noProof/>
                <w:sz w:val="18"/>
                <w:szCs w:val="18"/>
                <w:lang w:val="en-IE"/>
              </w:rPr>
              <w:t>other assigned revenue</w:t>
            </w:r>
          </w:p>
        </w:tc>
      </w:tr>
      <w:tr w:rsidR="008B5470" w:rsidRPr="00B314C8" w14:paraId="746E25B7" w14:textId="77777777" w:rsidTr="1BD3479F">
        <w:tc>
          <w:tcPr>
            <w:tcW w:w="1080" w:type="dxa"/>
            <w:vAlign w:val="center"/>
          </w:tcPr>
          <w:p w14:paraId="0A30526E" w14:textId="4F8F0FA3" w:rsidR="008B5470" w:rsidRPr="00E50A7A" w:rsidRDefault="008B5470" w:rsidP="008B5470">
            <w:pPr>
              <w:jc w:val="center"/>
              <w:rPr>
                <w:noProof/>
                <w:lang w:val="en-IE"/>
              </w:rPr>
            </w:pPr>
            <w:r>
              <w:rPr>
                <w:noProof/>
                <w:lang w:val="en-IE"/>
              </w:rPr>
              <w:t>7</w:t>
            </w:r>
          </w:p>
        </w:tc>
        <w:tc>
          <w:tcPr>
            <w:tcW w:w="3960" w:type="dxa"/>
            <w:vAlign w:val="center"/>
          </w:tcPr>
          <w:p w14:paraId="7AD70DE4" w14:textId="48BF5CD7" w:rsidR="008B5470" w:rsidRPr="00E50A7A" w:rsidRDefault="008B5470" w:rsidP="00F30D31">
            <w:pPr>
              <w:spacing w:before="60"/>
              <w:rPr>
                <w:noProof/>
                <w:sz w:val="20"/>
                <w:lang w:val="en-IE"/>
              </w:rPr>
            </w:pPr>
            <w:r w:rsidRPr="00E50A7A">
              <w:rPr>
                <w:rStyle w:val="normaltextrun"/>
                <w:noProof/>
                <w:shd w:val="clear" w:color="auto" w:fill="FFFFFF"/>
                <w:lang w:val="en-IE"/>
              </w:rPr>
              <w:t>20 02 0</w:t>
            </w:r>
            <w:r>
              <w:rPr>
                <w:rStyle w:val="normaltextrun"/>
                <w:noProof/>
                <w:shd w:val="clear" w:color="auto" w:fill="FFFFFF"/>
                <w:lang w:val="en-IE"/>
              </w:rPr>
              <w:t>2</w:t>
            </w:r>
            <w:r w:rsidRPr="00E50A7A">
              <w:rPr>
                <w:rStyle w:val="normaltextrun"/>
                <w:noProof/>
                <w:shd w:val="clear" w:color="auto" w:fill="FFFFFF"/>
                <w:lang w:val="en-IE"/>
              </w:rPr>
              <w:t xml:space="preserve"> 01 </w:t>
            </w:r>
            <w:r>
              <w:rPr>
                <w:rStyle w:val="normaltextrun"/>
                <w:noProof/>
                <w:shd w:val="clear" w:color="auto" w:fill="FFFFFF"/>
                <w:lang w:val="en-IE"/>
              </w:rPr>
              <w:t>Headquarters and Representation offices</w:t>
            </w:r>
            <w:r w:rsidRPr="00E50A7A">
              <w:rPr>
                <w:rStyle w:val="eop"/>
                <w:noProof/>
                <w:shd w:val="clear" w:color="auto" w:fill="FFFFFF"/>
                <w:lang w:val="en-IE"/>
              </w:rPr>
              <w:t> </w:t>
            </w:r>
          </w:p>
        </w:tc>
        <w:tc>
          <w:tcPr>
            <w:tcW w:w="1080" w:type="dxa"/>
            <w:vAlign w:val="center"/>
          </w:tcPr>
          <w:p w14:paraId="273CCC0E" w14:textId="3CBF9806" w:rsidR="008B5470" w:rsidRPr="00E50A7A" w:rsidRDefault="008B5470" w:rsidP="008B5470">
            <w:pPr>
              <w:jc w:val="center"/>
              <w:rPr>
                <w:noProof/>
                <w:sz w:val="18"/>
                <w:szCs w:val="18"/>
                <w:lang w:val="en-IE"/>
              </w:rPr>
            </w:pPr>
            <w:r w:rsidRPr="00F30D31">
              <w:rPr>
                <w:rStyle w:val="normaltextrun"/>
                <w:noProof/>
                <w:color w:val="000000"/>
                <w:shd w:val="clear" w:color="auto" w:fill="FFFFFF"/>
              </w:rPr>
              <w:t>Non-diff.</w:t>
            </w:r>
          </w:p>
        </w:tc>
        <w:tc>
          <w:tcPr>
            <w:tcW w:w="956" w:type="dxa"/>
            <w:vAlign w:val="center"/>
          </w:tcPr>
          <w:p w14:paraId="626D0209" w14:textId="2B7AA7D5" w:rsidR="008B5470" w:rsidRPr="00E50A7A" w:rsidRDefault="008B5470" w:rsidP="008B5470">
            <w:pPr>
              <w:jc w:val="center"/>
              <w:rPr>
                <w:noProof/>
                <w:sz w:val="18"/>
                <w:szCs w:val="18"/>
                <w:lang w:val="en-IE"/>
              </w:rPr>
            </w:pPr>
            <w:r w:rsidRPr="00E50A7A">
              <w:rPr>
                <w:noProof/>
                <w:sz w:val="20"/>
                <w:szCs w:val="20"/>
                <w:lang w:val="en-IE"/>
              </w:rPr>
              <w:t>NO</w:t>
            </w:r>
          </w:p>
        </w:tc>
        <w:tc>
          <w:tcPr>
            <w:tcW w:w="1080" w:type="dxa"/>
            <w:vAlign w:val="center"/>
          </w:tcPr>
          <w:p w14:paraId="0AF40204" w14:textId="1B854FDA" w:rsidR="008B5470" w:rsidRPr="00E50A7A" w:rsidRDefault="008B5470" w:rsidP="008B5470">
            <w:pPr>
              <w:jc w:val="center"/>
              <w:rPr>
                <w:noProof/>
                <w:sz w:val="18"/>
                <w:szCs w:val="18"/>
                <w:lang w:val="en-IE"/>
              </w:rPr>
            </w:pPr>
            <w:r w:rsidRPr="00E50A7A">
              <w:rPr>
                <w:noProof/>
                <w:sz w:val="20"/>
                <w:szCs w:val="20"/>
                <w:lang w:val="en-IE"/>
              </w:rPr>
              <w:t>NO</w:t>
            </w:r>
          </w:p>
        </w:tc>
        <w:tc>
          <w:tcPr>
            <w:tcW w:w="956" w:type="dxa"/>
            <w:vAlign w:val="center"/>
          </w:tcPr>
          <w:p w14:paraId="4DFE18C3" w14:textId="64551DE2" w:rsidR="008B5470" w:rsidRPr="00E50A7A" w:rsidRDefault="008B5470" w:rsidP="008B5470">
            <w:pPr>
              <w:jc w:val="center"/>
              <w:rPr>
                <w:noProof/>
                <w:sz w:val="18"/>
                <w:lang w:val="en-IE"/>
              </w:rPr>
            </w:pPr>
            <w:r w:rsidRPr="00E50A7A">
              <w:rPr>
                <w:noProof/>
                <w:sz w:val="20"/>
                <w:szCs w:val="20"/>
                <w:lang w:val="en-IE"/>
              </w:rPr>
              <w:t>NO</w:t>
            </w:r>
          </w:p>
        </w:tc>
        <w:tc>
          <w:tcPr>
            <w:tcW w:w="1448" w:type="dxa"/>
            <w:vAlign w:val="center"/>
          </w:tcPr>
          <w:p w14:paraId="2808CB5B" w14:textId="30685014" w:rsidR="008B5470" w:rsidRPr="00E50A7A" w:rsidRDefault="008B5470" w:rsidP="008B5470">
            <w:pPr>
              <w:jc w:val="center"/>
              <w:rPr>
                <w:noProof/>
                <w:sz w:val="18"/>
                <w:szCs w:val="18"/>
                <w:lang w:val="en-IE"/>
              </w:rPr>
            </w:pPr>
            <w:r w:rsidRPr="00E50A7A">
              <w:rPr>
                <w:noProof/>
                <w:sz w:val="20"/>
                <w:szCs w:val="20"/>
                <w:lang w:val="en-IE"/>
              </w:rPr>
              <w:t>NO</w:t>
            </w:r>
          </w:p>
        </w:tc>
      </w:tr>
      <w:tr w:rsidR="008B5470" w:rsidRPr="00B314C8" w14:paraId="515CC480" w14:textId="77777777" w:rsidTr="1BD3479F">
        <w:tc>
          <w:tcPr>
            <w:tcW w:w="1080" w:type="dxa"/>
            <w:vAlign w:val="center"/>
          </w:tcPr>
          <w:p w14:paraId="264C9D5E" w14:textId="77777777" w:rsidR="008B5470" w:rsidRPr="00E50A7A" w:rsidRDefault="008B5470" w:rsidP="008B5470">
            <w:pPr>
              <w:jc w:val="center"/>
              <w:rPr>
                <w:noProof/>
                <w:lang w:val="en-IE"/>
              </w:rPr>
            </w:pPr>
            <w:r w:rsidRPr="00E50A7A">
              <w:rPr>
                <w:noProof/>
                <w:lang w:val="en-IE"/>
              </w:rPr>
              <w:t>7</w:t>
            </w:r>
          </w:p>
        </w:tc>
        <w:tc>
          <w:tcPr>
            <w:tcW w:w="3960" w:type="dxa"/>
            <w:vAlign w:val="center"/>
          </w:tcPr>
          <w:p w14:paraId="643DF6E3" w14:textId="77777777" w:rsidR="008B5470" w:rsidRPr="00E50A7A" w:rsidRDefault="008B5470" w:rsidP="008B5470">
            <w:pPr>
              <w:spacing w:before="60"/>
              <w:rPr>
                <w:noProof/>
                <w:sz w:val="22"/>
                <w:lang w:val="en-IE"/>
              </w:rPr>
            </w:pPr>
            <w:r w:rsidRPr="00E50A7A">
              <w:rPr>
                <w:rStyle w:val="normaltextrun"/>
                <w:noProof/>
                <w:shd w:val="clear" w:color="auto" w:fill="FFFFFF"/>
                <w:lang w:val="en-IE"/>
              </w:rPr>
              <w:t>20 02 01 01 Contract staff</w:t>
            </w:r>
            <w:r w:rsidRPr="00E50A7A">
              <w:rPr>
                <w:rStyle w:val="eop"/>
                <w:noProof/>
                <w:shd w:val="clear" w:color="auto" w:fill="FFFFFF"/>
                <w:lang w:val="en-IE"/>
              </w:rPr>
              <w:t> </w:t>
            </w:r>
          </w:p>
        </w:tc>
        <w:tc>
          <w:tcPr>
            <w:tcW w:w="1080" w:type="dxa"/>
            <w:vAlign w:val="center"/>
          </w:tcPr>
          <w:p w14:paraId="38355734" w14:textId="77777777" w:rsidR="008B5470" w:rsidRPr="00E50A7A" w:rsidRDefault="008B5470" w:rsidP="008B5470">
            <w:pPr>
              <w:jc w:val="center"/>
              <w:rPr>
                <w:noProof/>
                <w:sz w:val="22"/>
                <w:lang w:val="en-IE"/>
              </w:rPr>
            </w:pPr>
            <w:r w:rsidRPr="00E50A7A">
              <w:rPr>
                <w:rStyle w:val="normaltextrun"/>
                <w:noProof/>
                <w:color w:val="000000"/>
                <w:shd w:val="clear" w:color="auto" w:fill="FFFFFF"/>
                <w:lang w:val="en-IE"/>
              </w:rPr>
              <w:t>Non-diff.</w:t>
            </w:r>
            <w:r w:rsidRPr="00E50A7A">
              <w:rPr>
                <w:rStyle w:val="eop"/>
                <w:noProof/>
                <w:color w:val="000000"/>
                <w:shd w:val="clear" w:color="auto" w:fill="FFFFFF"/>
                <w:lang w:val="en-IE"/>
              </w:rPr>
              <w:t> </w:t>
            </w:r>
          </w:p>
        </w:tc>
        <w:tc>
          <w:tcPr>
            <w:tcW w:w="956" w:type="dxa"/>
            <w:vAlign w:val="center"/>
          </w:tcPr>
          <w:p w14:paraId="715F3F94" w14:textId="77777777" w:rsidR="008B5470" w:rsidRPr="00E50A7A" w:rsidRDefault="008B5470" w:rsidP="008B5470">
            <w:pPr>
              <w:jc w:val="center"/>
              <w:rPr>
                <w:noProof/>
                <w:sz w:val="20"/>
                <w:szCs w:val="20"/>
                <w:lang w:val="en-IE"/>
              </w:rPr>
            </w:pPr>
            <w:r w:rsidRPr="00E50A7A">
              <w:rPr>
                <w:noProof/>
                <w:sz w:val="20"/>
                <w:szCs w:val="20"/>
                <w:lang w:val="en-IE"/>
              </w:rPr>
              <w:t>NO</w:t>
            </w:r>
          </w:p>
        </w:tc>
        <w:tc>
          <w:tcPr>
            <w:tcW w:w="1080" w:type="dxa"/>
            <w:vAlign w:val="center"/>
          </w:tcPr>
          <w:p w14:paraId="6E16FADD" w14:textId="77777777" w:rsidR="008B5470" w:rsidRPr="00E50A7A" w:rsidRDefault="008B5470" w:rsidP="008B5470">
            <w:pPr>
              <w:jc w:val="center"/>
              <w:rPr>
                <w:noProof/>
                <w:sz w:val="20"/>
                <w:szCs w:val="20"/>
                <w:lang w:val="en-IE"/>
              </w:rPr>
            </w:pPr>
            <w:r w:rsidRPr="00E50A7A">
              <w:rPr>
                <w:noProof/>
                <w:sz w:val="20"/>
                <w:szCs w:val="20"/>
                <w:lang w:val="en-IE"/>
              </w:rPr>
              <w:t>NO</w:t>
            </w:r>
          </w:p>
        </w:tc>
        <w:tc>
          <w:tcPr>
            <w:tcW w:w="956" w:type="dxa"/>
            <w:vAlign w:val="center"/>
          </w:tcPr>
          <w:p w14:paraId="02A2D1EC" w14:textId="77777777" w:rsidR="008B5470" w:rsidRPr="00E50A7A" w:rsidRDefault="008B5470" w:rsidP="008B5470">
            <w:pPr>
              <w:jc w:val="center"/>
              <w:rPr>
                <w:noProof/>
                <w:sz w:val="20"/>
                <w:szCs w:val="20"/>
                <w:lang w:val="en-IE"/>
              </w:rPr>
            </w:pPr>
            <w:r w:rsidRPr="00E50A7A">
              <w:rPr>
                <w:noProof/>
                <w:sz w:val="20"/>
                <w:szCs w:val="20"/>
                <w:lang w:val="en-IE"/>
              </w:rPr>
              <w:t>NO</w:t>
            </w:r>
          </w:p>
        </w:tc>
        <w:tc>
          <w:tcPr>
            <w:tcW w:w="1448" w:type="dxa"/>
            <w:vAlign w:val="center"/>
          </w:tcPr>
          <w:p w14:paraId="3B5BF1EC" w14:textId="77777777" w:rsidR="008B5470" w:rsidRPr="00E50A7A" w:rsidRDefault="008B5470" w:rsidP="008B5470">
            <w:pPr>
              <w:jc w:val="center"/>
              <w:rPr>
                <w:noProof/>
                <w:sz w:val="20"/>
                <w:szCs w:val="20"/>
                <w:lang w:val="en-IE"/>
              </w:rPr>
            </w:pPr>
            <w:r w:rsidRPr="00E50A7A">
              <w:rPr>
                <w:noProof/>
                <w:sz w:val="20"/>
                <w:szCs w:val="20"/>
                <w:lang w:val="en-IE"/>
              </w:rPr>
              <w:t>NO</w:t>
            </w:r>
          </w:p>
        </w:tc>
      </w:tr>
    </w:tbl>
    <w:p w14:paraId="6EEB4434" w14:textId="77777777" w:rsidR="00BD152F" w:rsidRPr="00E50A7A" w:rsidRDefault="00BD152F" w:rsidP="0020411B">
      <w:pPr>
        <w:pStyle w:val="ListBullet1"/>
        <w:rPr>
          <w:noProof/>
          <w:lang w:val="en-IE"/>
        </w:rPr>
      </w:pPr>
      <w:r w:rsidRPr="00E50A7A">
        <w:rPr>
          <w:noProof/>
          <w:lang w:val="en-IE"/>
        </w:rPr>
        <w:t xml:space="preserve">New budget lines requested </w:t>
      </w:r>
    </w:p>
    <w:p w14:paraId="52A479B3" w14:textId="77777777" w:rsidR="00BD152F" w:rsidRPr="00E50A7A" w:rsidRDefault="00D91E47" w:rsidP="00B00391">
      <w:pPr>
        <w:pStyle w:val="Text1"/>
        <w:rPr>
          <w:iCs/>
          <w:noProof/>
          <w:sz w:val="20"/>
          <w:lang w:val="en-IE"/>
        </w:rPr>
      </w:pPr>
      <w:r w:rsidRPr="00E50A7A">
        <w:rPr>
          <w:iCs/>
          <w:noProof/>
          <w:u w:val="single"/>
          <w:lang w:val="en-IE"/>
        </w:rPr>
        <w:t>N/A</w:t>
      </w:r>
    </w:p>
    <w:p w14:paraId="0ADD96C8" w14:textId="77777777" w:rsidR="00BD152F" w:rsidRPr="00E50A7A" w:rsidRDefault="00BD152F" w:rsidP="00B00391">
      <w:pPr>
        <w:rPr>
          <w:noProof/>
          <w:lang w:val="en-IE"/>
        </w:rPr>
        <w:sectPr w:rsidR="00BD152F" w:rsidRPr="00E50A7A" w:rsidSect="001F75A6">
          <w:pgSz w:w="11907" w:h="16840" w:code="1"/>
          <w:pgMar w:top="1134" w:right="1418" w:bottom="1134" w:left="1418" w:header="709" w:footer="709" w:gutter="0"/>
          <w:cols w:space="708"/>
          <w:docGrid w:linePitch="360"/>
        </w:sectPr>
      </w:pPr>
    </w:p>
    <w:p w14:paraId="71EE2675" w14:textId="77777777" w:rsidR="00BD152F" w:rsidRPr="00E50A7A" w:rsidRDefault="00BD152F" w:rsidP="00B00391">
      <w:pPr>
        <w:pStyle w:val="ManualHeading2"/>
        <w:rPr>
          <w:bCs/>
          <w:noProof/>
          <w:szCs w:val="24"/>
          <w:lang w:val="en-IE"/>
        </w:rPr>
      </w:pPr>
      <w:r w:rsidRPr="00E50A7A">
        <w:rPr>
          <w:noProof/>
          <w:lang w:val="en-IE"/>
        </w:rPr>
        <w:lastRenderedPageBreak/>
        <w:t>3.2.</w:t>
      </w:r>
      <w:r w:rsidRPr="00E50A7A">
        <w:rPr>
          <w:noProof/>
          <w:lang w:val="en-IE"/>
        </w:rPr>
        <w:tab/>
        <w:t xml:space="preserve">Estimated financial impact of the proposal on appropriations </w:t>
      </w:r>
    </w:p>
    <w:p w14:paraId="5846525C" w14:textId="77777777" w:rsidR="00BD152F" w:rsidRPr="00E50A7A" w:rsidRDefault="00BD152F" w:rsidP="00B00391">
      <w:pPr>
        <w:pStyle w:val="ManualHeading3"/>
        <w:rPr>
          <w:noProof/>
          <w:lang w:val="en-IE"/>
        </w:rPr>
      </w:pPr>
      <w:r w:rsidRPr="00E50A7A">
        <w:rPr>
          <w:noProof/>
          <w:lang w:val="en-IE"/>
        </w:rPr>
        <w:t>3.2.1.</w:t>
      </w:r>
      <w:r w:rsidRPr="00E50A7A">
        <w:rPr>
          <w:noProof/>
          <w:lang w:val="en-IE"/>
        </w:rPr>
        <w:tab/>
        <w:t xml:space="preserve">Summary of estimated impact on operational appropriations </w:t>
      </w:r>
    </w:p>
    <w:p w14:paraId="1CD27701" w14:textId="77777777" w:rsidR="00BD152F" w:rsidRPr="00E50A7A" w:rsidRDefault="00BD152F" w:rsidP="0020411B">
      <w:pPr>
        <w:pStyle w:val="ListDash1"/>
        <w:rPr>
          <w:noProof/>
          <w:lang w:val="en-IE"/>
        </w:rPr>
      </w:pPr>
      <w:r w:rsidRPr="00E50A7A">
        <w:rPr>
          <w:rFonts w:ascii="Wingdings" w:eastAsia="Wingdings" w:hAnsi="Wingdings" w:cs="Wingdings"/>
          <w:noProof/>
          <w:lang w:val="en-IE"/>
        </w:rPr>
        <w:t></w:t>
      </w:r>
      <w:r w:rsidRPr="00E50A7A">
        <w:rPr>
          <w:noProof/>
          <w:lang w:val="en-IE"/>
        </w:rPr>
        <w:tab/>
        <w:t xml:space="preserve">The proposal/initiative does not require the use of operational appropriations </w:t>
      </w:r>
    </w:p>
    <w:p w14:paraId="512C2433" w14:textId="77777777" w:rsidR="00BD152F" w:rsidRPr="00E50A7A" w:rsidRDefault="00D91E47" w:rsidP="0020411B">
      <w:pPr>
        <w:pStyle w:val="ListDash1"/>
        <w:rPr>
          <w:noProof/>
          <w:lang w:val="en-IE"/>
        </w:rPr>
      </w:pPr>
      <w:r w:rsidRPr="00E50A7A">
        <w:rPr>
          <w:rStyle w:val="normaltextrun"/>
          <w:rFonts w:ascii="Wingdings" w:eastAsia="Wingdings" w:hAnsi="Wingdings" w:cs="Wingdings"/>
          <w:b/>
          <w:bCs/>
          <w:noProof/>
          <w:color w:val="000000"/>
          <w:bdr w:val="none" w:sz="0" w:space="0" w:color="auto" w:frame="1"/>
          <w:lang w:val="en-IE"/>
        </w:rPr>
        <w:t></w:t>
      </w:r>
      <w:r w:rsidR="00BD152F" w:rsidRPr="00E50A7A">
        <w:rPr>
          <w:noProof/>
          <w:lang w:val="en-IE"/>
        </w:rPr>
        <w:tab/>
        <w:t>The proposal/initiative requires the use of operational appropriations, as explained below:</w:t>
      </w:r>
    </w:p>
    <w:p w14:paraId="25759344" w14:textId="77777777" w:rsidR="00BD152F" w:rsidRPr="00E50A7A" w:rsidRDefault="00BD152F" w:rsidP="00B00391">
      <w:pPr>
        <w:jc w:val="right"/>
        <w:rPr>
          <w:noProof/>
          <w:sz w:val="18"/>
          <w:szCs w:val="18"/>
          <w:lang w:val="en-IE"/>
        </w:rPr>
      </w:pPr>
      <w:r w:rsidRPr="00E50A7A">
        <w:rPr>
          <w:noProof/>
          <w:sz w:val="18"/>
          <w:szCs w:val="18"/>
          <w:lang w:val="en-IE"/>
        </w:rPr>
        <w:t>EUR million (to three decimal places)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79610B" w:rsidRPr="00B314C8" w14:paraId="1D7EB7DF" w14:textId="77777777" w:rsidTr="0079610B">
        <w:trPr>
          <w:jc w:val="center"/>
        </w:trPr>
        <w:tc>
          <w:tcPr>
            <w:tcW w:w="4744" w:type="dxa"/>
            <w:shd w:val="thinDiagStripe" w:color="C0C0C0" w:fill="auto"/>
            <w:vAlign w:val="center"/>
          </w:tcPr>
          <w:p w14:paraId="2A9F7045" w14:textId="77777777" w:rsidR="0079610B" w:rsidRPr="00E50A7A" w:rsidRDefault="0079610B" w:rsidP="00B00391">
            <w:pPr>
              <w:spacing w:before="60" w:after="60"/>
              <w:jc w:val="center"/>
              <w:rPr>
                <w:b/>
                <w:noProof/>
                <w:lang w:val="en-IE"/>
              </w:rPr>
            </w:pPr>
            <w:r w:rsidRPr="00E50A7A">
              <w:rPr>
                <w:b/>
                <w:noProof/>
                <w:sz w:val="22"/>
                <w:lang w:val="en-IE"/>
              </w:rPr>
              <w:t xml:space="preserve">Heading of multiannual financial </w:t>
            </w:r>
            <w:r w:rsidRPr="00E50A7A">
              <w:rPr>
                <w:noProof/>
                <w:sz w:val="22"/>
                <w:lang w:val="en-IE"/>
              </w:rPr>
              <w:br/>
            </w:r>
            <w:r w:rsidRPr="00E50A7A">
              <w:rPr>
                <w:b/>
                <w:noProof/>
                <w:sz w:val="22"/>
                <w:lang w:val="en-IE"/>
              </w:rPr>
              <w:t xml:space="preserve">framework </w:t>
            </w:r>
          </w:p>
        </w:tc>
        <w:tc>
          <w:tcPr>
            <w:tcW w:w="1080" w:type="dxa"/>
            <w:vAlign w:val="center"/>
          </w:tcPr>
          <w:p w14:paraId="41A2D55E" w14:textId="77777777" w:rsidR="0079610B" w:rsidRPr="00E50A7A" w:rsidRDefault="0079610B" w:rsidP="00B00391">
            <w:pPr>
              <w:spacing w:before="60" w:after="60"/>
              <w:jc w:val="center"/>
              <w:rPr>
                <w:noProof/>
                <w:lang w:val="en-IE"/>
              </w:rPr>
            </w:pPr>
            <w:r w:rsidRPr="00E50A7A">
              <w:rPr>
                <w:noProof/>
                <w:sz w:val="22"/>
                <w:lang w:val="en-IE"/>
              </w:rPr>
              <w:t>7</w:t>
            </w:r>
          </w:p>
        </w:tc>
        <w:tc>
          <w:tcPr>
            <w:tcW w:w="7817" w:type="dxa"/>
            <w:vAlign w:val="center"/>
          </w:tcPr>
          <w:p w14:paraId="1EE049DF" w14:textId="77777777" w:rsidR="0079610B" w:rsidRPr="00E50A7A" w:rsidRDefault="0079610B" w:rsidP="00B00391">
            <w:pPr>
              <w:spacing w:before="60" w:after="60"/>
              <w:rPr>
                <w:noProof/>
                <w:lang w:val="en-IE"/>
              </w:rPr>
            </w:pPr>
            <w:r w:rsidRPr="00E50A7A">
              <w:rPr>
                <w:rFonts w:eastAsia="Times New Roman"/>
                <w:noProof/>
                <w:sz w:val="22"/>
                <w:lang w:val="en-IE" w:eastAsia="en-IE"/>
              </w:rPr>
              <w:t>‘Administrative expenditure’</w:t>
            </w:r>
            <w:r w:rsidRPr="00B314C8">
              <w:rPr>
                <w:rFonts w:eastAsia="Times New Roman"/>
                <w:noProof/>
                <w:sz w:val="22"/>
                <w:lang w:val="en-IE" w:eastAsia="en-IE"/>
              </w:rPr>
              <w:t> </w:t>
            </w:r>
          </w:p>
        </w:tc>
      </w:tr>
    </w:tbl>
    <w:p w14:paraId="2160A0E8" w14:textId="77777777" w:rsidR="00235A4F" w:rsidRPr="00B314C8" w:rsidRDefault="0079610B" w:rsidP="00235A4F">
      <w:pPr>
        <w:spacing w:before="0" w:after="0"/>
        <w:jc w:val="left"/>
        <w:textAlignment w:val="baseline"/>
        <w:rPr>
          <w:rFonts w:eastAsia="Times New Roman"/>
          <w:noProof/>
          <w:szCs w:val="24"/>
          <w:lang w:val="en-IE" w:eastAsia="en-IE"/>
        </w:rPr>
      </w:pPr>
      <w:r w:rsidRPr="00B314C8">
        <w:rPr>
          <w:rFonts w:eastAsia="Times New Roman"/>
          <w:noProof/>
          <w:szCs w:val="24"/>
          <w:lang w:val="en-IE" w:eastAsia="en-IE"/>
        </w:rPr>
        <w:t xml:space="preserve">This section should be filled in using the 'budget data of an administrative nature' to be firstly introduced in the </w:t>
      </w:r>
      <w:hyperlink r:id="rId37" w:tgtFrame="_blank" w:history="1">
        <w:r w:rsidRPr="00B314C8">
          <w:rPr>
            <w:rFonts w:eastAsia="Times New Roman"/>
            <w:noProof/>
            <w:color w:val="000000"/>
            <w:szCs w:val="24"/>
            <w:u w:val="single"/>
            <w:shd w:val="clear" w:color="auto" w:fill="E1E3E6"/>
            <w:lang w:val="en-IE" w:eastAsia="en-IE"/>
          </w:rPr>
          <w:t>Annex to the Legislative Financial Statement</w:t>
        </w:r>
      </w:hyperlink>
      <w:r w:rsidRPr="00B314C8">
        <w:rPr>
          <w:rFonts w:eastAsia="Times New Roman"/>
          <w:noProof/>
          <w:szCs w:val="24"/>
          <w:lang w:val="en-IE" w:eastAsia="en-IE"/>
        </w:rPr>
        <w:t xml:space="preserve"> (Annex 5 to the Commission decision on the internal rules for the implementation of the Commission section of the general budget of the European Union), which is uploaded to DECIDE for interservice consultation purposes</w:t>
      </w:r>
      <w:r w:rsidR="00682C4D" w:rsidRPr="00B314C8">
        <w:rPr>
          <w:rFonts w:eastAsia="Times New Roman"/>
          <w:noProof/>
          <w:szCs w:val="24"/>
          <w:lang w:val="en-IE" w:eastAsia="en-IE"/>
        </w:rPr>
        <w:t>.</w:t>
      </w:r>
    </w:p>
    <w:p w14:paraId="1309B548" w14:textId="77777777" w:rsidR="00682C4D" w:rsidRPr="00B314C8" w:rsidRDefault="00682C4D" w:rsidP="00235A4F">
      <w:pPr>
        <w:spacing w:before="0" w:after="0"/>
        <w:jc w:val="left"/>
        <w:textAlignment w:val="baseline"/>
        <w:rPr>
          <w:rFonts w:eastAsia="Times New Roman"/>
          <w:noProof/>
          <w:szCs w:val="24"/>
          <w:lang w:val="en-IE" w:eastAsia="en-IE"/>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88"/>
        <w:gridCol w:w="986"/>
      </w:tblGrid>
      <w:tr w:rsidR="002A1674" w:rsidRPr="00B314C8" w14:paraId="6D5DC09B" w14:textId="77777777" w:rsidTr="00A10DCB">
        <w:tc>
          <w:tcPr>
            <w:tcW w:w="3960" w:type="dxa"/>
            <w:vAlign w:val="center"/>
          </w:tcPr>
          <w:p w14:paraId="767C4C31" w14:textId="77777777" w:rsidR="00B137D3" w:rsidRPr="00E50A7A" w:rsidRDefault="00B137D3" w:rsidP="00B00391">
            <w:pPr>
              <w:jc w:val="center"/>
              <w:rPr>
                <w:noProof/>
                <w:lang w:val="en-IE"/>
              </w:rPr>
            </w:pPr>
            <w:r w:rsidRPr="00E50A7A">
              <w:rPr>
                <w:noProof/>
                <w:sz w:val="22"/>
                <w:lang w:val="en-IE"/>
              </w:rPr>
              <w:t>DG Environment</w:t>
            </w:r>
          </w:p>
        </w:tc>
        <w:tc>
          <w:tcPr>
            <w:tcW w:w="2094" w:type="dxa"/>
          </w:tcPr>
          <w:p w14:paraId="1983E71E" w14:textId="77777777" w:rsidR="00B137D3" w:rsidRPr="00E50A7A" w:rsidRDefault="00B137D3" w:rsidP="00B00391">
            <w:pPr>
              <w:jc w:val="center"/>
              <w:rPr>
                <w:noProof/>
                <w:sz w:val="20"/>
                <w:lang w:val="en-IE"/>
              </w:rPr>
            </w:pPr>
          </w:p>
        </w:tc>
        <w:tc>
          <w:tcPr>
            <w:tcW w:w="868" w:type="dxa"/>
            <w:vAlign w:val="center"/>
          </w:tcPr>
          <w:p w14:paraId="7446325A" w14:textId="77777777" w:rsidR="00B137D3" w:rsidRPr="00E50A7A" w:rsidRDefault="00B137D3" w:rsidP="00B00391">
            <w:pPr>
              <w:jc w:val="center"/>
              <w:rPr>
                <w:noProof/>
                <w:sz w:val="20"/>
                <w:lang w:val="en-IE"/>
              </w:rPr>
            </w:pPr>
            <w:r w:rsidRPr="00E50A7A">
              <w:rPr>
                <w:noProof/>
                <w:sz w:val="20"/>
                <w:lang w:val="en-IE"/>
              </w:rPr>
              <w:t>2023</w:t>
            </w:r>
          </w:p>
        </w:tc>
        <w:tc>
          <w:tcPr>
            <w:tcW w:w="868" w:type="dxa"/>
            <w:vAlign w:val="center"/>
          </w:tcPr>
          <w:p w14:paraId="44069956" w14:textId="77777777" w:rsidR="00B137D3" w:rsidRPr="00E50A7A" w:rsidRDefault="00B137D3" w:rsidP="00B00391">
            <w:pPr>
              <w:jc w:val="center"/>
              <w:rPr>
                <w:noProof/>
                <w:sz w:val="20"/>
                <w:lang w:val="en-IE"/>
              </w:rPr>
            </w:pPr>
            <w:r w:rsidRPr="00E50A7A">
              <w:rPr>
                <w:noProof/>
                <w:sz w:val="20"/>
                <w:lang w:val="en-IE"/>
              </w:rPr>
              <w:t>2024</w:t>
            </w:r>
          </w:p>
        </w:tc>
        <w:tc>
          <w:tcPr>
            <w:tcW w:w="868" w:type="dxa"/>
            <w:vAlign w:val="center"/>
          </w:tcPr>
          <w:p w14:paraId="4C354EC9" w14:textId="77777777" w:rsidR="00B137D3" w:rsidRPr="00E50A7A" w:rsidRDefault="00B137D3" w:rsidP="00B00391">
            <w:pPr>
              <w:jc w:val="center"/>
              <w:rPr>
                <w:noProof/>
                <w:sz w:val="20"/>
                <w:lang w:val="en-IE"/>
              </w:rPr>
            </w:pPr>
            <w:r w:rsidRPr="00E50A7A">
              <w:rPr>
                <w:noProof/>
                <w:sz w:val="20"/>
                <w:lang w:val="en-IE"/>
              </w:rPr>
              <w:t>2025</w:t>
            </w:r>
          </w:p>
        </w:tc>
        <w:tc>
          <w:tcPr>
            <w:tcW w:w="868" w:type="dxa"/>
            <w:vAlign w:val="center"/>
          </w:tcPr>
          <w:p w14:paraId="341C46FE" w14:textId="77777777" w:rsidR="00B137D3" w:rsidRPr="00E50A7A" w:rsidRDefault="00B137D3" w:rsidP="00B00391">
            <w:pPr>
              <w:jc w:val="center"/>
              <w:rPr>
                <w:noProof/>
                <w:sz w:val="20"/>
                <w:lang w:val="en-IE"/>
              </w:rPr>
            </w:pPr>
            <w:r w:rsidRPr="00E50A7A">
              <w:rPr>
                <w:noProof/>
                <w:sz w:val="20"/>
                <w:lang w:val="en-IE"/>
              </w:rPr>
              <w:t>2026</w:t>
            </w:r>
          </w:p>
        </w:tc>
        <w:tc>
          <w:tcPr>
            <w:tcW w:w="888" w:type="dxa"/>
          </w:tcPr>
          <w:p w14:paraId="3BDC4D2C" w14:textId="53AE647E" w:rsidR="00B137D3" w:rsidRPr="00E50A7A" w:rsidRDefault="00B137D3" w:rsidP="00B00391">
            <w:pPr>
              <w:jc w:val="center"/>
              <w:rPr>
                <w:noProof/>
                <w:sz w:val="18"/>
                <w:lang w:val="en-IE"/>
              </w:rPr>
            </w:pPr>
            <w:r w:rsidRPr="00E50A7A">
              <w:rPr>
                <w:noProof/>
                <w:sz w:val="18"/>
                <w:lang w:val="en-IE"/>
              </w:rPr>
              <w:t>2027</w:t>
            </w:r>
          </w:p>
        </w:tc>
        <w:tc>
          <w:tcPr>
            <w:tcW w:w="986" w:type="dxa"/>
          </w:tcPr>
          <w:p w14:paraId="0D897518" w14:textId="77777777" w:rsidR="00B137D3" w:rsidRPr="00E50A7A" w:rsidRDefault="00B137D3" w:rsidP="00B00391">
            <w:pPr>
              <w:jc w:val="center"/>
              <w:rPr>
                <w:noProof/>
                <w:sz w:val="18"/>
                <w:lang w:val="en-IE"/>
              </w:rPr>
            </w:pPr>
            <w:r w:rsidRPr="00E50A7A">
              <w:rPr>
                <w:b/>
                <w:noProof/>
                <w:sz w:val="20"/>
                <w:lang w:val="en-IE"/>
              </w:rPr>
              <w:t>TOTAL</w:t>
            </w:r>
          </w:p>
        </w:tc>
      </w:tr>
      <w:tr w:rsidR="008B5470" w:rsidRPr="00B314C8" w14:paraId="38BFB325" w14:textId="77777777" w:rsidTr="00B137D3">
        <w:trPr>
          <w:trHeight w:val="213"/>
        </w:trPr>
        <w:tc>
          <w:tcPr>
            <w:tcW w:w="6054" w:type="dxa"/>
            <w:gridSpan w:val="2"/>
            <w:vAlign w:val="center"/>
          </w:tcPr>
          <w:p w14:paraId="40B2DE90" w14:textId="77777777" w:rsidR="008B5470" w:rsidRPr="00E50A7A" w:rsidRDefault="008B5470" w:rsidP="008B5470">
            <w:pPr>
              <w:spacing w:before="20" w:after="20"/>
              <w:rPr>
                <w:noProof/>
                <w:sz w:val="21"/>
                <w:lang w:val="en-IE"/>
              </w:rPr>
            </w:pPr>
            <w:r w:rsidRPr="00E50A7A">
              <w:rPr>
                <w:noProof/>
                <w:sz w:val="21"/>
                <w:lang w:val="en-IE"/>
              </w:rPr>
              <w:t xml:space="preserve">□ Human resources </w:t>
            </w:r>
          </w:p>
        </w:tc>
        <w:tc>
          <w:tcPr>
            <w:tcW w:w="868" w:type="dxa"/>
            <w:vAlign w:val="center"/>
          </w:tcPr>
          <w:p w14:paraId="291115A7" w14:textId="64521ED2" w:rsidR="008B5470" w:rsidRPr="00E50A7A" w:rsidRDefault="008B5470" w:rsidP="008B5470">
            <w:pPr>
              <w:jc w:val="center"/>
              <w:rPr>
                <w:noProof/>
                <w:sz w:val="20"/>
                <w:lang w:val="en-IE"/>
              </w:rPr>
            </w:pPr>
            <w:r w:rsidRPr="00E50A7A">
              <w:rPr>
                <w:noProof/>
                <w:sz w:val="20"/>
                <w:lang w:val="en-IE"/>
              </w:rPr>
              <w:t>0.1</w:t>
            </w:r>
            <w:r>
              <w:rPr>
                <w:noProof/>
                <w:sz w:val="20"/>
                <w:lang w:val="en-IE"/>
              </w:rPr>
              <w:t>71</w:t>
            </w:r>
          </w:p>
        </w:tc>
        <w:tc>
          <w:tcPr>
            <w:tcW w:w="868" w:type="dxa"/>
            <w:vAlign w:val="center"/>
          </w:tcPr>
          <w:p w14:paraId="0F786B42" w14:textId="3D755174" w:rsidR="008B5470" w:rsidRPr="00E50A7A" w:rsidRDefault="008B5470" w:rsidP="008B5470">
            <w:pPr>
              <w:jc w:val="center"/>
              <w:rPr>
                <w:noProof/>
                <w:sz w:val="20"/>
                <w:lang w:val="en-IE"/>
              </w:rPr>
            </w:pPr>
            <w:r w:rsidRPr="00E50A7A">
              <w:rPr>
                <w:rStyle w:val="normaltextrun"/>
                <w:noProof/>
                <w:color w:val="000000"/>
                <w:sz w:val="20"/>
                <w:szCs w:val="20"/>
                <w:lang w:val="en-IE"/>
              </w:rPr>
              <w:t>0.3</w:t>
            </w:r>
            <w:r>
              <w:rPr>
                <w:rStyle w:val="normaltextrun"/>
                <w:noProof/>
                <w:color w:val="000000"/>
                <w:sz w:val="20"/>
                <w:szCs w:val="20"/>
                <w:lang w:val="en-IE"/>
              </w:rPr>
              <w:t>58</w:t>
            </w:r>
          </w:p>
        </w:tc>
        <w:tc>
          <w:tcPr>
            <w:tcW w:w="868" w:type="dxa"/>
            <w:vAlign w:val="center"/>
          </w:tcPr>
          <w:p w14:paraId="19B77050" w14:textId="58C2AFF2" w:rsidR="008B5470" w:rsidRPr="00E50A7A" w:rsidRDefault="008B5470" w:rsidP="008B5470">
            <w:pPr>
              <w:jc w:val="center"/>
              <w:rPr>
                <w:noProof/>
                <w:sz w:val="20"/>
                <w:lang w:val="en-IE"/>
              </w:rPr>
            </w:pPr>
            <w:r w:rsidRPr="00E50A7A">
              <w:rPr>
                <w:rStyle w:val="normaltextrun"/>
                <w:noProof/>
                <w:color w:val="000000"/>
                <w:sz w:val="20"/>
                <w:szCs w:val="20"/>
                <w:lang w:val="en-IE"/>
              </w:rPr>
              <w:t>0.3</w:t>
            </w:r>
            <w:r>
              <w:rPr>
                <w:rStyle w:val="normaltextrun"/>
                <w:noProof/>
                <w:color w:val="000000"/>
                <w:sz w:val="20"/>
                <w:szCs w:val="20"/>
                <w:lang w:val="en-IE"/>
              </w:rPr>
              <w:t>58</w:t>
            </w:r>
          </w:p>
        </w:tc>
        <w:tc>
          <w:tcPr>
            <w:tcW w:w="868" w:type="dxa"/>
            <w:vAlign w:val="center"/>
          </w:tcPr>
          <w:p w14:paraId="2D5C5C6B" w14:textId="3FE4CAD4" w:rsidR="008B5470" w:rsidRPr="00E50A7A" w:rsidRDefault="008B5470" w:rsidP="008B5470">
            <w:pPr>
              <w:jc w:val="center"/>
              <w:rPr>
                <w:noProof/>
                <w:sz w:val="20"/>
                <w:lang w:val="en-IE"/>
              </w:rPr>
            </w:pPr>
            <w:r w:rsidRPr="00E50A7A">
              <w:rPr>
                <w:noProof/>
                <w:sz w:val="20"/>
                <w:lang w:val="en-IE"/>
              </w:rPr>
              <w:t>0.3</w:t>
            </w:r>
            <w:r>
              <w:rPr>
                <w:noProof/>
                <w:sz w:val="20"/>
                <w:lang w:val="en-IE"/>
              </w:rPr>
              <w:t>58</w:t>
            </w:r>
          </w:p>
        </w:tc>
        <w:tc>
          <w:tcPr>
            <w:tcW w:w="888" w:type="dxa"/>
            <w:vAlign w:val="center"/>
          </w:tcPr>
          <w:p w14:paraId="4B5246EB" w14:textId="474600C8" w:rsidR="008B5470" w:rsidRPr="00E50A7A" w:rsidRDefault="008B5470" w:rsidP="008B5470">
            <w:pPr>
              <w:jc w:val="center"/>
              <w:rPr>
                <w:rStyle w:val="normaltextrun"/>
                <w:noProof/>
                <w:sz w:val="20"/>
                <w:szCs w:val="20"/>
                <w:lang w:val="en-IE"/>
              </w:rPr>
            </w:pPr>
            <w:r w:rsidRPr="00E50A7A">
              <w:rPr>
                <w:noProof/>
                <w:sz w:val="20"/>
                <w:lang w:val="en-IE"/>
              </w:rPr>
              <w:t>0.3</w:t>
            </w:r>
            <w:r>
              <w:rPr>
                <w:noProof/>
                <w:sz w:val="20"/>
                <w:lang w:val="en-IE"/>
              </w:rPr>
              <w:t>58</w:t>
            </w:r>
          </w:p>
        </w:tc>
        <w:tc>
          <w:tcPr>
            <w:tcW w:w="986" w:type="dxa"/>
            <w:vAlign w:val="center"/>
          </w:tcPr>
          <w:p w14:paraId="2E777B3E" w14:textId="6398C35C" w:rsidR="008B5470" w:rsidRPr="00E50A7A" w:rsidRDefault="008B5470" w:rsidP="008B5470">
            <w:pPr>
              <w:jc w:val="center"/>
              <w:rPr>
                <w:rStyle w:val="normaltextrun"/>
                <w:noProof/>
                <w:sz w:val="20"/>
                <w:szCs w:val="20"/>
                <w:lang w:val="en-IE"/>
              </w:rPr>
            </w:pPr>
            <w:r w:rsidRPr="00E50A7A">
              <w:rPr>
                <w:rStyle w:val="normaltextrun"/>
                <w:b/>
                <w:bCs/>
                <w:noProof/>
                <w:color w:val="000000"/>
                <w:sz w:val="20"/>
                <w:szCs w:val="20"/>
                <w:lang w:val="en-IE"/>
              </w:rPr>
              <w:t>1</w:t>
            </w:r>
            <w:r>
              <w:rPr>
                <w:rStyle w:val="normaltextrun"/>
                <w:b/>
                <w:bCs/>
                <w:noProof/>
                <w:color w:val="000000"/>
                <w:sz w:val="20"/>
                <w:szCs w:val="20"/>
                <w:lang w:val="en-IE"/>
              </w:rPr>
              <w:t>,603</w:t>
            </w:r>
          </w:p>
        </w:tc>
      </w:tr>
      <w:tr w:rsidR="008B5470" w:rsidRPr="00B314C8" w14:paraId="4B530CB7" w14:textId="77777777" w:rsidTr="00B137D3">
        <w:trPr>
          <w:trHeight w:val="213"/>
        </w:trPr>
        <w:tc>
          <w:tcPr>
            <w:tcW w:w="6054" w:type="dxa"/>
            <w:gridSpan w:val="2"/>
            <w:vAlign w:val="center"/>
          </w:tcPr>
          <w:p w14:paraId="2D486012" w14:textId="77777777" w:rsidR="008B5470" w:rsidRPr="00E50A7A" w:rsidRDefault="008B5470" w:rsidP="008B5470">
            <w:pPr>
              <w:spacing w:before="20" w:after="20"/>
              <w:rPr>
                <w:noProof/>
                <w:sz w:val="21"/>
                <w:lang w:val="en-IE"/>
              </w:rPr>
            </w:pPr>
            <w:r w:rsidRPr="00E50A7A">
              <w:rPr>
                <w:rFonts w:ascii="Wingdings" w:eastAsia="Wingdings" w:hAnsi="Wingdings" w:cs="Wingdings"/>
                <w:noProof/>
                <w:sz w:val="21"/>
                <w:lang w:val="en-IE"/>
              </w:rPr>
              <w:t>□</w:t>
            </w:r>
            <w:r w:rsidRPr="00E50A7A">
              <w:rPr>
                <w:noProof/>
                <w:sz w:val="21"/>
                <w:lang w:val="en-IE"/>
              </w:rPr>
              <w:t xml:space="preserve"> </w:t>
            </w:r>
            <w:r w:rsidRPr="00E50A7A">
              <w:rPr>
                <w:rStyle w:val="normaltextrun"/>
                <w:noProof/>
                <w:color w:val="000000"/>
                <w:sz w:val="22"/>
                <w:bdr w:val="none" w:sz="0" w:space="0" w:color="auto" w:frame="1"/>
                <w:lang w:val="en-IE"/>
              </w:rPr>
              <w:t>Other administrative expenditure</w:t>
            </w:r>
            <w:r w:rsidRPr="00E50A7A">
              <w:rPr>
                <w:noProof/>
                <w:sz w:val="21"/>
                <w:lang w:val="en-IE"/>
              </w:rPr>
              <w:t xml:space="preserve"> </w:t>
            </w:r>
          </w:p>
        </w:tc>
        <w:tc>
          <w:tcPr>
            <w:tcW w:w="868" w:type="dxa"/>
            <w:vAlign w:val="center"/>
          </w:tcPr>
          <w:p w14:paraId="4C9A4CE8" w14:textId="77777777" w:rsidR="008B5470" w:rsidRPr="00E50A7A" w:rsidRDefault="008B5470" w:rsidP="008B5470">
            <w:pPr>
              <w:jc w:val="center"/>
              <w:rPr>
                <w:noProof/>
                <w:sz w:val="20"/>
                <w:lang w:val="en-IE"/>
              </w:rPr>
            </w:pPr>
          </w:p>
        </w:tc>
        <w:tc>
          <w:tcPr>
            <w:tcW w:w="868" w:type="dxa"/>
            <w:vAlign w:val="center"/>
          </w:tcPr>
          <w:p w14:paraId="56854D3A" w14:textId="77777777" w:rsidR="008B5470" w:rsidRPr="00E50A7A" w:rsidRDefault="008B5470" w:rsidP="008B5470">
            <w:pPr>
              <w:jc w:val="center"/>
              <w:rPr>
                <w:rStyle w:val="normaltextrun"/>
                <w:noProof/>
                <w:sz w:val="20"/>
                <w:szCs w:val="20"/>
                <w:lang w:val="en-IE"/>
              </w:rPr>
            </w:pPr>
          </w:p>
        </w:tc>
        <w:tc>
          <w:tcPr>
            <w:tcW w:w="868" w:type="dxa"/>
            <w:vAlign w:val="center"/>
          </w:tcPr>
          <w:p w14:paraId="52F087F4" w14:textId="77777777" w:rsidR="008B5470" w:rsidRPr="00E50A7A" w:rsidRDefault="008B5470" w:rsidP="008B5470">
            <w:pPr>
              <w:jc w:val="center"/>
              <w:rPr>
                <w:rStyle w:val="normaltextrun"/>
                <w:noProof/>
                <w:sz w:val="20"/>
                <w:szCs w:val="20"/>
                <w:lang w:val="en-IE"/>
              </w:rPr>
            </w:pPr>
          </w:p>
        </w:tc>
        <w:tc>
          <w:tcPr>
            <w:tcW w:w="868" w:type="dxa"/>
            <w:vAlign w:val="center"/>
          </w:tcPr>
          <w:p w14:paraId="709C8C55" w14:textId="77777777" w:rsidR="008B5470" w:rsidRPr="00E50A7A" w:rsidRDefault="008B5470" w:rsidP="008B5470">
            <w:pPr>
              <w:jc w:val="center"/>
              <w:rPr>
                <w:rStyle w:val="normaltextrun"/>
                <w:noProof/>
                <w:sz w:val="20"/>
                <w:szCs w:val="20"/>
                <w:lang w:val="en-IE"/>
              </w:rPr>
            </w:pPr>
          </w:p>
        </w:tc>
        <w:tc>
          <w:tcPr>
            <w:tcW w:w="888" w:type="dxa"/>
            <w:vAlign w:val="center"/>
          </w:tcPr>
          <w:p w14:paraId="40C079E9" w14:textId="77777777" w:rsidR="008B5470" w:rsidRPr="00E50A7A" w:rsidRDefault="008B5470" w:rsidP="008B5470">
            <w:pPr>
              <w:jc w:val="center"/>
              <w:rPr>
                <w:rStyle w:val="normaltextrun"/>
                <w:noProof/>
                <w:sz w:val="20"/>
                <w:szCs w:val="20"/>
                <w:lang w:val="en-IE"/>
              </w:rPr>
            </w:pPr>
          </w:p>
        </w:tc>
        <w:tc>
          <w:tcPr>
            <w:tcW w:w="986" w:type="dxa"/>
            <w:vAlign w:val="center"/>
          </w:tcPr>
          <w:p w14:paraId="3311C22D" w14:textId="77777777" w:rsidR="008B5470" w:rsidRPr="00E50A7A" w:rsidRDefault="008B5470" w:rsidP="008B5470">
            <w:pPr>
              <w:jc w:val="center"/>
              <w:rPr>
                <w:rStyle w:val="normaltextrun"/>
                <w:b/>
                <w:bCs/>
                <w:noProof/>
                <w:color w:val="000000"/>
                <w:sz w:val="20"/>
                <w:szCs w:val="20"/>
                <w:lang w:val="en-IE"/>
              </w:rPr>
            </w:pPr>
          </w:p>
        </w:tc>
      </w:tr>
      <w:tr w:rsidR="008B5470" w:rsidRPr="00B314C8" w14:paraId="526ADFEA" w14:textId="77777777" w:rsidTr="00B137D3">
        <w:tc>
          <w:tcPr>
            <w:tcW w:w="3960" w:type="dxa"/>
            <w:vAlign w:val="center"/>
          </w:tcPr>
          <w:p w14:paraId="4C1BB68D" w14:textId="77777777" w:rsidR="008B5470" w:rsidRPr="00E50A7A" w:rsidRDefault="008B5470" w:rsidP="008B5470">
            <w:pPr>
              <w:jc w:val="center"/>
              <w:rPr>
                <w:b/>
                <w:noProof/>
                <w:lang w:val="en-IE"/>
              </w:rPr>
            </w:pPr>
            <w:r w:rsidRPr="00E50A7A">
              <w:rPr>
                <w:b/>
                <w:noProof/>
                <w:sz w:val="22"/>
                <w:lang w:val="en-IE"/>
              </w:rPr>
              <w:t xml:space="preserve">TOTAL </w:t>
            </w:r>
            <w:r w:rsidRPr="00E50A7A">
              <w:rPr>
                <w:noProof/>
                <w:sz w:val="22"/>
                <w:lang w:val="en-IE"/>
              </w:rPr>
              <w:t>DG Environment</w:t>
            </w:r>
          </w:p>
        </w:tc>
        <w:tc>
          <w:tcPr>
            <w:tcW w:w="2094" w:type="dxa"/>
            <w:vAlign w:val="center"/>
          </w:tcPr>
          <w:p w14:paraId="5E37128B" w14:textId="3969A74D" w:rsidR="008B5470" w:rsidRPr="00E50A7A" w:rsidRDefault="008B5470" w:rsidP="008B5470">
            <w:pPr>
              <w:jc w:val="center"/>
              <w:rPr>
                <w:noProof/>
                <w:sz w:val="14"/>
                <w:lang w:val="en-IE"/>
              </w:rPr>
            </w:pPr>
            <w:r w:rsidRPr="00E50A7A">
              <w:rPr>
                <w:noProof/>
                <w:sz w:val="18"/>
                <w:lang w:val="en-IE"/>
              </w:rPr>
              <w:t>Appropriations</w:t>
            </w:r>
          </w:p>
        </w:tc>
        <w:tc>
          <w:tcPr>
            <w:tcW w:w="868" w:type="dxa"/>
            <w:vAlign w:val="center"/>
          </w:tcPr>
          <w:p w14:paraId="01CF37BD" w14:textId="768B7DEE" w:rsidR="008B5470" w:rsidRPr="00E50A7A" w:rsidRDefault="008B5470" w:rsidP="008B5470">
            <w:pPr>
              <w:spacing w:before="20" w:after="20"/>
              <w:jc w:val="center"/>
              <w:rPr>
                <w:noProof/>
                <w:sz w:val="20"/>
                <w:lang w:val="en-IE"/>
              </w:rPr>
            </w:pPr>
            <w:r w:rsidRPr="00E50A7A">
              <w:rPr>
                <w:noProof/>
                <w:sz w:val="20"/>
                <w:lang w:val="en-IE"/>
              </w:rPr>
              <w:t>0.1</w:t>
            </w:r>
            <w:r>
              <w:rPr>
                <w:noProof/>
                <w:sz w:val="20"/>
                <w:lang w:val="en-IE"/>
              </w:rPr>
              <w:t>71</w:t>
            </w:r>
          </w:p>
        </w:tc>
        <w:tc>
          <w:tcPr>
            <w:tcW w:w="868" w:type="dxa"/>
            <w:vAlign w:val="center"/>
          </w:tcPr>
          <w:p w14:paraId="059A0DF4" w14:textId="606B07AC" w:rsidR="008B5470" w:rsidRPr="00E50A7A" w:rsidRDefault="008B5470" w:rsidP="008B5470">
            <w:pPr>
              <w:spacing w:before="20" w:after="20"/>
              <w:jc w:val="center"/>
              <w:rPr>
                <w:noProof/>
                <w:sz w:val="20"/>
                <w:lang w:val="en-IE"/>
              </w:rPr>
            </w:pPr>
            <w:r w:rsidRPr="00E50A7A">
              <w:rPr>
                <w:rStyle w:val="normaltextrun"/>
                <w:noProof/>
                <w:color w:val="000000"/>
                <w:sz w:val="20"/>
                <w:szCs w:val="20"/>
                <w:lang w:val="en-IE"/>
              </w:rPr>
              <w:t>0.3</w:t>
            </w:r>
            <w:r>
              <w:rPr>
                <w:rStyle w:val="normaltextrun"/>
                <w:noProof/>
                <w:color w:val="000000"/>
                <w:sz w:val="20"/>
                <w:szCs w:val="20"/>
                <w:lang w:val="en-IE"/>
              </w:rPr>
              <w:t>58</w:t>
            </w:r>
          </w:p>
        </w:tc>
        <w:tc>
          <w:tcPr>
            <w:tcW w:w="868" w:type="dxa"/>
            <w:vAlign w:val="center"/>
          </w:tcPr>
          <w:p w14:paraId="0215F747" w14:textId="05124733" w:rsidR="008B5470" w:rsidRPr="00E50A7A" w:rsidRDefault="008B5470" w:rsidP="008B5470">
            <w:pPr>
              <w:spacing w:before="20" w:after="20"/>
              <w:jc w:val="center"/>
              <w:rPr>
                <w:noProof/>
                <w:sz w:val="20"/>
                <w:lang w:val="en-IE"/>
              </w:rPr>
            </w:pPr>
            <w:r w:rsidRPr="00E50A7A">
              <w:rPr>
                <w:rStyle w:val="normaltextrun"/>
                <w:noProof/>
                <w:color w:val="000000"/>
                <w:sz w:val="20"/>
                <w:szCs w:val="20"/>
                <w:lang w:val="en-IE"/>
              </w:rPr>
              <w:t>0.3</w:t>
            </w:r>
            <w:r>
              <w:rPr>
                <w:rStyle w:val="normaltextrun"/>
                <w:noProof/>
                <w:color w:val="000000"/>
                <w:sz w:val="20"/>
                <w:szCs w:val="20"/>
                <w:lang w:val="en-IE"/>
              </w:rPr>
              <w:t>58</w:t>
            </w:r>
          </w:p>
        </w:tc>
        <w:tc>
          <w:tcPr>
            <w:tcW w:w="868" w:type="dxa"/>
            <w:vAlign w:val="center"/>
          </w:tcPr>
          <w:p w14:paraId="1FBC1AA7" w14:textId="294230B7" w:rsidR="008B5470" w:rsidRPr="00E50A7A" w:rsidRDefault="008B5470" w:rsidP="008B5470">
            <w:pPr>
              <w:spacing w:before="20" w:after="20"/>
              <w:jc w:val="center"/>
              <w:rPr>
                <w:noProof/>
                <w:sz w:val="20"/>
                <w:lang w:val="en-IE"/>
              </w:rPr>
            </w:pPr>
            <w:r w:rsidRPr="00E50A7A">
              <w:rPr>
                <w:noProof/>
                <w:sz w:val="20"/>
                <w:lang w:val="en-IE"/>
              </w:rPr>
              <w:t>0.3</w:t>
            </w:r>
            <w:r>
              <w:rPr>
                <w:noProof/>
                <w:sz w:val="20"/>
                <w:lang w:val="en-IE"/>
              </w:rPr>
              <w:t>58</w:t>
            </w:r>
          </w:p>
        </w:tc>
        <w:tc>
          <w:tcPr>
            <w:tcW w:w="888" w:type="dxa"/>
            <w:vAlign w:val="center"/>
          </w:tcPr>
          <w:p w14:paraId="0E574847" w14:textId="6B53B75E" w:rsidR="008B5470" w:rsidRPr="00E50A7A" w:rsidRDefault="008B5470" w:rsidP="008B5470">
            <w:pPr>
              <w:spacing w:before="20" w:after="20"/>
              <w:jc w:val="center"/>
              <w:rPr>
                <w:noProof/>
                <w:sz w:val="20"/>
                <w:lang w:val="en-IE"/>
              </w:rPr>
            </w:pPr>
            <w:r w:rsidRPr="00E50A7A">
              <w:rPr>
                <w:noProof/>
                <w:sz w:val="20"/>
                <w:lang w:val="en-IE"/>
              </w:rPr>
              <w:t>0.3</w:t>
            </w:r>
            <w:r>
              <w:rPr>
                <w:noProof/>
                <w:sz w:val="20"/>
                <w:lang w:val="en-IE"/>
              </w:rPr>
              <w:t>58</w:t>
            </w:r>
          </w:p>
        </w:tc>
        <w:tc>
          <w:tcPr>
            <w:tcW w:w="986" w:type="dxa"/>
            <w:vAlign w:val="center"/>
          </w:tcPr>
          <w:p w14:paraId="457C7394" w14:textId="05AE77A7" w:rsidR="008B5470" w:rsidRPr="00E50A7A" w:rsidRDefault="008B5470" w:rsidP="008B5470">
            <w:pPr>
              <w:spacing w:before="20" w:after="20"/>
              <w:jc w:val="center"/>
              <w:rPr>
                <w:noProof/>
                <w:sz w:val="20"/>
                <w:lang w:val="en-IE"/>
              </w:rPr>
            </w:pPr>
            <w:r w:rsidRPr="00E50A7A">
              <w:rPr>
                <w:rStyle w:val="normaltextrun"/>
                <w:b/>
                <w:bCs/>
                <w:noProof/>
                <w:color w:val="000000"/>
                <w:sz w:val="20"/>
                <w:szCs w:val="20"/>
                <w:lang w:val="en-IE"/>
              </w:rPr>
              <w:t>1</w:t>
            </w:r>
            <w:r>
              <w:rPr>
                <w:rStyle w:val="normaltextrun"/>
                <w:b/>
                <w:bCs/>
                <w:noProof/>
                <w:color w:val="000000"/>
                <w:sz w:val="20"/>
                <w:szCs w:val="20"/>
                <w:lang w:val="en-IE"/>
              </w:rPr>
              <w:t>,603</w:t>
            </w:r>
          </w:p>
        </w:tc>
      </w:tr>
    </w:tbl>
    <w:p w14:paraId="691CE41B" w14:textId="77777777" w:rsidR="00235A4F" w:rsidRPr="00E50A7A" w:rsidRDefault="00235A4F" w:rsidP="00235A4F">
      <w:pPr>
        <w:rPr>
          <w:rStyle w:val="normaltextrun"/>
          <w:noProof/>
          <w:color w:val="000000"/>
          <w:shd w:val="clear" w:color="auto" w:fill="FFFFFF"/>
          <w:lang w:val="en-IE"/>
        </w:rPr>
      </w:pPr>
      <w:r w:rsidRPr="00E50A7A">
        <w:rPr>
          <w:rStyle w:val="normaltextrun"/>
          <w:noProof/>
          <w:color w:val="000000"/>
          <w:shd w:val="clear" w:color="auto" w:fill="FFFFFF"/>
          <w:lang w:val="en-IE"/>
        </w:rPr>
        <w:t>DG ENV costs stem from the co-decision process and implementation as well as the various implementing acts proposed under the proposed amendments.  </w:t>
      </w:r>
    </w:p>
    <w:p w14:paraId="1467C052" w14:textId="77777777" w:rsidR="005F41FD" w:rsidRPr="00E50A7A" w:rsidRDefault="005F41FD" w:rsidP="005F41FD">
      <w:pPr>
        <w:rPr>
          <w:rStyle w:val="normaltextrun"/>
          <w:noProof/>
          <w:color w:val="000000"/>
          <w:shd w:val="clear" w:color="auto" w:fill="FFFFFF"/>
          <w:lang w:val="en-IE"/>
        </w:rPr>
      </w:pPr>
      <w:r w:rsidRPr="00E50A7A">
        <w:rPr>
          <w:rStyle w:val="normaltextrun"/>
          <w:noProof/>
          <w:color w:val="000000"/>
          <w:shd w:val="clear" w:color="auto" w:fill="FFFFFF"/>
          <w:lang w:val="en-IE"/>
        </w:rPr>
        <w:t>Existing staff (0.75 FTE, AD) will be fully employed for the negotiation and general implementation of the amended Directive and the different preparatory work and drafting of the implementing acts according to the deadlines proposed in amendment. The latter will require 0.33 FTE (AD). </w:t>
      </w:r>
    </w:p>
    <w:p w14:paraId="6B49BB77" w14:textId="21023E0B" w:rsidR="00235A4F" w:rsidRPr="00E50A7A" w:rsidRDefault="00C85F36" w:rsidP="00235A4F">
      <w:pPr>
        <w:rPr>
          <w:rStyle w:val="normaltextrun"/>
          <w:noProof/>
          <w:color w:val="000000"/>
          <w:shd w:val="clear" w:color="auto" w:fill="FFFFFF"/>
          <w:lang w:val="en-IE"/>
        </w:rPr>
      </w:pPr>
      <w:r>
        <w:rPr>
          <w:rStyle w:val="normaltextrun"/>
          <w:noProof/>
          <w:color w:val="000000"/>
          <w:shd w:val="clear" w:color="auto" w:fill="FFFFFF"/>
          <w:lang w:val="en-IE"/>
        </w:rPr>
        <w:t>3</w:t>
      </w:r>
      <w:r w:rsidR="00235A4F" w:rsidRPr="00E50A7A">
        <w:rPr>
          <w:rStyle w:val="normaltextrun"/>
          <w:noProof/>
          <w:color w:val="000000"/>
          <w:shd w:val="clear" w:color="auto" w:fill="FFFFFF"/>
          <w:lang w:val="en-IE"/>
        </w:rPr>
        <w:t xml:space="preserve"> additional contractual staff (</w:t>
      </w:r>
      <w:r>
        <w:rPr>
          <w:rStyle w:val="normaltextrun"/>
          <w:noProof/>
          <w:color w:val="000000"/>
          <w:shd w:val="clear" w:color="auto" w:fill="FFFFFF"/>
          <w:lang w:val="en-IE"/>
        </w:rPr>
        <w:t>3</w:t>
      </w:r>
      <w:r w:rsidR="00235A4F" w:rsidRPr="00E50A7A">
        <w:rPr>
          <w:rStyle w:val="normaltextrun"/>
          <w:noProof/>
          <w:color w:val="000000"/>
          <w:shd w:val="clear" w:color="auto" w:fill="FFFFFF"/>
          <w:lang w:val="en-IE"/>
        </w:rPr>
        <w:t xml:space="preserve"> CAs) are needed to perform the technical work, including: </w:t>
      </w:r>
    </w:p>
    <w:p w14:paraId="06A9AE7C" w14:textId="77777777" w:rsidR="003056CA" w:rsidRPr="00E50A7A" w:rsidRDefault="003056CA" w:rsidP="003056CA">
      <w:pPr>
        <w:rPr>
          <w:noProof/>
          <w:color w:val="000000"/>
          <w:shd w:val="clear" w:color="auto" w:fill="FFFFFF"/>
          <w:lang w:val="en-IE"/>
        </w:rPr>
      </w:pPr>
      <w:r w:rsidRPr="00E50A7A">
        <w:rPr>
          <w:noProof/>
          <w:color w:val="000000" w:themeColor="text1"/>
          <w:lang w:val="en-IE"/>
        </w:rPr>
        <w:t>- Implementing acts establishing the harmonised format for registration in the register </w:t>
      </w:r>
    </w:p>
    <w:p w14:paraId="36976E0A" w14:textId="77777777" w:rsidR="00235A4F" w:rsidRPr="00E50A7A" w:rsidRDefault="00235A4F" w:rsidP="00235A4F">
      <w:pPr>
        <w:rPr>
          <w:rStyle w:val="normaltextrun"/>
          <w:noProof/>
          <w:color w:val="000000"/>
          <w:shd w:val="clear" w:color="auto" w:fill="FFFFFF"/>
          <w:lang w:val="en-IE"/>
        </w:rPr>
      </w:pPr>
      <w:r w:rsidRPr="00E50A7A">
        <w:rPr>
          <w:rStyle w:val="normaltextrun"/>
          <w:noProof/>
          <w:color w:val="000000"/>
          <w:shd w:val="clear" w:color="auto" w:fill="FFFFFF"/>
          <w:lang w:val="en-IE"/>
        </w:rPr>
        <w:t xml:space="preserve">- Possible </w:t>
      </w:r>
      <w:r w:rsidR="004E7D20" w:rsidRPr="00E50A7A">
        <w:rPr>
          <w:rStyle w:val="normaltextrun"/>
          <w:noProof/>
          <w:color w:val="000000"/>
          <w:shd w:val="clear" w:color="auto" w:fill="FFFFFF"/>
          <w:lang w:val="en-IE"/>
        </w:rPr>
        <w:t xml:space="preserve">delegated </w:t>
      </w:r>
      <w:r w:rsidRPr="00E50A7A">
        <w:rPr>
          <w:rStyle w:val="normaltextrun"/>
          <w:noProof/>
          <w:color w:val="000000"/>
          <w:shd w:val="clear" w:color="auto" w:fill="FFFFFF"/>
          <w:lang w:val="en-IE"/>
        </w:rPr>
        <w:t xml:space="preserve">acts to amend the </w:t>
      </w:r>
      <w:r w:rsidR="004E7D20" w:rsidRPr="00E50A7A">
        <w:rPr>
          <w:rStyle w:val="normaltextrun"/>
          <w:noProof/>
          <w:color w:val="000000"/>
          <w:shd w:val="clear" w:color="auto" w:fill="FFFFFF"/>
          <w:lang w:val="en-IE"/>
        </w:rPr>
        <w:t>C</w:t>
      </w:r>
      <w:r w:rsidR="000D123F" w:rsidRPr="00E50A7A">
        <w:rPr>
          <w:rStyle w:val="normaltextrun"/>
          <w:noProof/>
          <w:color w:val="000000"/>
          <w:shd w:val="clear" w:color="auto" w:fill="FFFFFF"/>
          <w:lang w:val="en-IE"/>
        </w:rPr>
        <w:t xml:space="preserve">ombined </w:t>
      </w:r>
      <w:r w:rsidR="004E7D20" w:rsidRPr="00E50A7A">
        <w:rPr>
          <w:rStyle w:val="normaltextrun"/>
          <w:noProof/>
          <w:color w:val="000000"/>
          <w:shd w:val="clear" w:color="auto" w:fill="FFFFFF"/>
          <w:lang w:val="en-IE"/>
        </w:rPr>
        <w:t>N</w:t>
      </w:r>
      <w:r w:rsidRPr="00E50A7A">
        <w:rPr>
          <w:rStyle w:val="normaltextrun"/>
          <w:noProof/>
          <w:color w:val="000000"/>
          <w:shd w:val="clear" w:color="auto" w:fill="FFFFFF"/>
          <w:lang w:val="en-IE"/>
        </w:rPr>
        <w:t>omenclature codes listed in Annex IVc to bring them in line with the codes listed in Annex 1 of Council Regulation (EEC) No 2658/87 and to ensure the legal certainty on the products covered by the extended producer responsibility </w:t>
      </w:r>
    </w:p>
    <w:p w14:paraId="6A6548CD" w14:textId="77777777" w:rsidR="00235A4F" w:rsidRPr="00E50A7A" w:rsidRDefault="00235A4F" w:rsidP="00235A4F">
      <w:pPr>
        <w:rPr>
          <w:rStyle w:val="normaltextrun"/>
          <w:noProof/>
          <w:color w:val="000000"/>
          <w:shd w:val="clear" w:color="auto" w:fill="FFFFFF"/>
          <w:lang w:val="en-IE"/>
        </w:rPr>
      </w:pPr>
      <w:r w:rsidRPr="00E50A7A">
        <w:rPr>
          <w:rStyle w:val="normaltextrun"/>
          <w:noProof/>
          <w:color w:val="000000"/>
          <w:shd w:val="clear" w:color="auto" w:fill="FFFFFF"/>
          <w:lang w:val="en-IE"/>
        </w:rPr>
        <w:t>- Possible implementing act laying down criteria for producer responsibility organisations for the financial contributions paid to them by producers </w:t>
      </w:r>
    </w:p>
    <w:p w14:paraId="4AA6D223" w14:textId="77777777" w:rsidR="00235A4F" w:rsidRPr="00E50A7A" w:rsidRDefault="00235A4F" w:rsidP="00235A4F">
      <w:pPr>
        <w:rPr>
          <w:rStyle w:val="normaltextrun"/>
          <w:noProof/>
          <w:color w:val="000000"/>
          <w:shd w:val="clear" w:color="auto" w:fill="FFFFFF"/>
          <w:lang w:val="en-IE"/>
        </w:rPr>
      </w:pPr>
      <w:r w:rsidRPr="00E50A7A">
        <w:rPr>
          <w:rStyle w:val="normaltextrun"/>
          <w:noProof/>
          <w:color w:val="000000"/>
          <w:shd w:val="clear" w:color="auto" w:fill="FFFFFF"/>
          <w:lang w:val="en-IE"/>
        </w:rPr>
        <w:lastRenderedPageBreak/>
        <w:t xml:space="preserve">-  Implementing act laying down the methodology for the calculation and verification of the separate collection </w:t>
      </w:r>
      <w:r w:rsidR="003056CA" w:rsidRPr="00E50A7A">
        <w:rPr>
          <w:rStyle w:val="normaltextrun"/>
          <w:noProof/>
          <w:color w:val="000000"/>
          <w:shd w:val="clear" w:color="auto" w:fill="FFFFFF"/>
          <w:lang w:val="en-IE"/>
        </w:rPr>
        <w:t>rate </w:t>
      </w:r>
    </w:p>
    <w:p w14:paraId="17716EEC" w14:textId="77777777" w:rsidR="00BD152F" w:rsidRPr="00E50A7A" w:rsidRDefault="00235A4F" w:rsidP="00B00391">
      <w:pPr>
        <w:rPr>
          <w:rStyle w:val="normaltextrun"/>
          <w:noProof/>
          <w:lang w:val="en-IE"/>
        </w:rPr>
      </w:pPr>
      <w:r w:rsidRPr="00E50A7A">
        <w:rPr>
          <w:rStyle w:val="normaltextrun"/>
          <w:noProof/>
          <w:color w:val="000000"/>
          <w:shd w:val="clear" w:color="auto" w:fill="FFFFFF"/>
          <w:lang w:val="en-IE"/>
        </w:rPr>
        <w:t>- Implementing acts adopted pursuant to paragraph 37 of this Article laying down the format for reporting the data referred to in paragraph 1 to adapt them to the requirements set out in paragraph 3 of that Article.</w:t>
      </w:r>
      <w:r w:rsidRPr="00E50A7A">
        <w:rPr>
          <w:rStyle w:val="normaltextrun"/>
          <w:noProof/>
          <w:lang w:val="en-IE"/>
        </w:rPr>
        <w:t> </w:t>
      </w:r>
    </w:p>
    <w:p w14:paraId="75B8FFB7" w14:textId="77777777" w:rsidR="005F41FD" w:rsidRPr="00E50A7A" w:rsidRDefault="00682C4D" w:rsidP="005F41FD">
      <w:pPr>
        <w:rPr>
          <w:rStyle w:val="normaltextrun"/>
          <w:noProof/>
          <w:lang w:val="en-IE"/>
        </w:rPr>
      </w:pPr>
      <w:r w:rsidRPr="00B314C8">
        <w:rPr>
          <w:rFonts w:eastAsia="Times New Roman"/>
          <w:noProof/>
          <w:szCs w:val="24"/>
          <w:lang w:val="en-IE" w:eastAsia="en-IE"/>
        </w:rPr>
        <w:t> </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88"/>
        <w:gridCol w:w="986"/>
      </w:tblGrid>
      <w:tr w:rsidR="002A1674" w:rsidRPr="00B314C8" w14:paraId="57D46459" w14:textId="77777777" w:rsidTr="00A10DCB">
        <w:tc>
          <w:tcPr>
            <w:tcW w:w="3960" w:type="dxa"/>
            <w:vAlign w:val="center"/>
          </w:tcPr>
          <w:p w14:paraId="55370138" w14:textId="77777777" w:rsidR="005F41FD" w:rsidRPr="00E50A7A" w:rsidRDefault="005F41FD" w:rsidP="00B00391">
            <w:pPr>
              <w:jc w:val="center"/>
              <w:rPr>
                <w:noProof/>
                <w:lang w:val="en-IE"/>
              </w:rPr>
            </w:pPr>
            <w:r w:rsidRPr="00E50A7A">
              <w:rPr>
                <w:noProof/>
                <w:sz w:val="22"/>
                <w:lang w:val="en-IE"/>
              </w:rPr>
              <w:t>DG SANTE</w:t>
            </w:r>
          </w:p>
        </w:tc>
        <w:tc>
          <w:tcPr>
            <w:tcW w:w="2094" w:type="dxa"/>
          </w:tcPr>
          <w:p w14:paraId="3A36B75B" w14:textId="77777777" w:rsidR="005F41FD" w:rsidRPr="00E50A7A" w:rsidRDefault="005F41FD" w:rsidP="00B00391">
            <w:pPr>
              <w:jc w:val="center"/>
              <w:rPr>
                <w:noProof/>
                <w:sz w:val="20"/>
                <w:lang w:val="en-IE"/>
              </w:rPr>
            </w:pPr>
          </w:p>
        </w:tc>
        <w:tc>
          <w:tcPr>
            <w:tcW w:w="868" w:type="dxa"/>
            <w:vAlign w:val="center"/>
          </w:tcPr>
          <w:p w14:paraId="6024FB1E" w14:textId="77777777" w:rsidR="005F41FD" w:rsidRPr="00E50A7A" w:rsidRDefault="005F41FD" w:rsidP="00B00391">
            <w:pPr>
              <w:jc w:val="center"/>
              <w:rPr>
                <w:noProof/>
                <w:sz w:val="20"/>
                <w:lang w:val="en-IE"/>
              </w:rPr>
            </w:pPr>
            <w:r w:rsidRPr="00E50A7A">
              <w:rPr>
                <w:noProof/>
                <w:sz w:val="20"/>
                <w:lang w:val="en-IE"/>
              </w:rPr>
              <w:t>2023</w:t>
            </w:r>
          </w:p>
        </w:tc>
        <w:tc>
          <w:tcPr>
            <w:tcW w:w="868" w:type="dxa"/>
            <w:vAlign w:val="center"/>
          </w:tcPr>
          <w:p w14:paraId="05C29EAB" w14:textId="77777777" w:rsidR="005F41FD" w:rsidRPr="00E50A7A" w:rsidRDefault="005F41FD" w:rsidP="00B00391">
            <w:pPr>
              <w:jc w:val="center"/>
              <w:rPr>
                <w:noProof/>
                <w:sz w:val="20"/>
                <w:lang w:val="en-IE"/>
              </w:rPr>
            </w:pPr>
            <w:r w:rsidRPr="00E50A7A">
              <w:rPr>
                <w:noProof/>
                <w:sz w:val="20"/>
                <w:lang w:val="en-IE"/>
              </w:rPr>
              <w:t>2024</w:t>
            </w:r>
          </w:p>
        </w:tc>
        <w:tc>
          <w:tcPr>
            <w:tcW w:w="868" w:type="dxa"/>
            <w:vAlign w:val="center"/>
          </w:tcPr>
          <w:p w14:paraId="164DC7C3" w14:textId="77777777" w:rsidR="005F41FD" w:rsidRPr="00E50A7A" w:rsidRDefault="005F41FD" w:rsidP="00B00391">
            <w:pPr>
              <w:jc w:val="center"/>
              <w:rPr>
                <w:noProof/>
                <w:sz w:val="20"/>
                <w:lang w:val="en-IE"/>
              </w:rPr>
            </w:pPr>
            <w:r w:rsidRPr="00E50A7A">
              <w:rPr>
                <w:noProof/>
                <w:sz w:val="20"/>
                <w:lang w:val="en-IE"/>
              </w:rPr>
              <w:t>2025</w:t>
            </w:r>
          </w:p>
        </w:tc>
        <w:tc>
          <w:tcPr>
            <w:tcW w:w="868" w:type="dxa"/>
            <w:vAlign w:val="center"/>
          </w:tcPr>
          <w:p w14:paraId="40F53BD0" w14:textId="77777777" w:rsidR="005F41FD" w:rsidRPr="00E50A7A" w:rsidRDefault="005F41FD" w:rsidP="00B00391">
            <w:pPr>
              <w:jc w:val="center"/>
              <w:rPr>
                <w:noProof/>
                <w:sz w:val="20"/>
                <w:lang w:val="en-IE"/>
              </w:rPr>
            </w:pPr>
            <w:r w:rsidRPr="00E50A7A">
              <w:rPr>
                <w:noProof/>
                <w:sz w:val="20"/>
                <w:lang w:val="en-IE"/>
              </w:rPr>
              <w:t>2026</w:t>
            </w:r>
          </w:p>
        </w:tc>
        <w:tc>
          <w:tcPr>
            <w:tcW w:w="888" w:type="dxa"/>
          </w:tcPr>
          <w:p w14:paraId="1B046857" w14:textId="0971B60E" w:rsidR="005F41FD" w:rsidRPr="00E50A7A" w:rsidRDefault="005F41FD" w:rsidP="00B00391">
            <w:pPr>
              <w:jc w:val="center"/>
              <w:rPr>
                <w:noProof/>
                <w:sz w:val="18"/>
                <w:lang w:val="en-IE"/>
              </w:rPr>
            </w:pPr>
            <w:r w:rsidRPr="00E50A7A">
              <w:rPr>
                <w:noProof/>
                <w:sz w:val="18"/>
                <w:lang w:val="en-IE"/>
              </w:rPr>
              <w:t>2027</w:t>
            </w:r>
          </w:p>
        </w:tc>
        <w:tc>
          <w:tcPr>
            <w:tcW w:w="986" w:type="dxa"/>
          </w:tcPr>
          <w:p w14:paraId="132399EA" w14:textId="77777777" w:rsidR="005F41FD" w:rsidRPr="00E50A7A" w:rsidRDefault="005F41FD" w:rsidP="00B00391">
            <w:pPr>
              <w:jc w:val="center"/>
              <w:rPr>
                <w:noProof/>
                <w:sz w:val="18"/>
                <w:lang w:val="en-IE"/>
              </w:rPr>
            </w:pPr>
            <w:r w:rsidRPr="00E50A7A">
              <w:rPr>
                <w:b/>
                <w:noProof/>
                <w:sz w:val="20"/>
                <w:lang w:val="en-IE"/>
              </w:rPr>
              <w:t>TOTAL</w:t>
            </w:r>
          </w:p>
        </w:tc>
      </w:tr>
      <w:tr w:rsidR="002A1674" w:rsidRPr="00B314C8" w14:paraId="42D793D6" w14:textId="77777777" w:rsidTr="00A10DCB">
        <w:trPr>
          <w:trHeight w:val="213"/>
        </w:trPr>
        <w:tc>
          <w:tcPr>
            <w:tcW w:w="6054" w:type="dxa"/>
            <w:gridSpan w:val="2"/>
            <w:vAlign w:val="center"/>
          </w:tcPr>
          <w:p w14:paraId="0A1A88F8" w14:textId="77777777" w:rsidR="005F41FD" w:rsidRPr="00E50A7A" w:rsidRDefault="005F41FD" w:rsidP="00B00391">
            <w:pPr>
              <w:spacing w:before="20" w:after="20"/>
              <w:rPr>
                <w:noProof/>
                <w:sz w:val="21"/>
                <w:lang w:val="en-IE"/>
              </w:rPr>
            </w:pPr>
            <w:r w:rsidRPr="00E50A7A">
              <w:rPr>
                <w:rFonts w:ascii="Wingdings" w:eastAsia="Wingdings" w:hAnsi="Wingdings" w:cs="Wingdings"/>
                <w:noProof/>
                <w:sz w:val="21"/>
                <w:lang w:val="en-IE"/>
              </w:rPr>
              <w:t>□</w:t>
            </w:r>
            <w:r w:rsidRPr="00E50A7A">
              <w:rPr>
                <w:noProof/>
                <w:sz w:val="21"/>
                <w:lang w:val="en-IE"/>
              </w:rPr>
              <w:t xml:space="preserve"> Human resources</w:t>
            </w:r>
          </w:p>
        </w:tc>
        <w:tc>
          <w:tcPr>
            <w:tcW w:w="868" w:type="dxa"/>
            <w:vAlign w:val="center"/>
          </w:tcPr>
          <w:p w14:paraId="37055561" w14:textId="77777777" w:rsidR="005F41FD" w:rsidRPr="00E50A7A" w:rsidRDefault="005F41FD" w:rsidP="00B00391">
            <w:pPr>
              <w:rPr>
                <w:noProof/>
                <w:sz w:val="20"/>
                <w:lang w:val="en-IE"/>
              </w:rPr>
            </w:pPr>
            <w:r w:rsidRPr="00E50A7A">
              <w:rPr>
                <w:noProof/>
                <w:sz w:val="20"/>
                <w:lang w:val="en-IE"/>
              </w:rPr>
              <w:t>0.086</w:t>
            </w:r>
          </w:p>
        </w:tc>
        <w:tc>
          <w:tcPr>
            <w:tcW w:w="868" w:type="dxa"/>
          </w:tcPr>
          <w:p w14:paraId="62A9486C" w14:textId="77777777" w:rsidR="005F41FD" w:rsidRPr="00E50A7A" w:rsidRDefault="005F41FD" w:rsidP="00B00391">
            <w:pPr>
              <w:rPr>
                <w:noProof/>
                <w:sz w:val="20"/>
                <w:lang w:val="en-IE"/>
              </w:rPr>
            </w:pPr>
            <w:r w:rsidRPr="00E50A7A">
              <w:rPr>
                <w:noProof/>
                <w:sz w:val="20"/>
                <w:lang w:val="en-IE"/>
              </w:rPr>
              <w:t>0.086</w:t>
            </w:r>
          </w:p>
        </w:tc>
        <w:tc>
          <w:tcPr>
            <w:tcW w:w="868" w:type="dxa"/>
          </w:tcPr>
          <w:p w14:paraId="134C3D71" w14:textId="77777777" w:rsidR="005F41FD" w:rsidRPr="00E50A7A" w:rsidRDefault="005F41FD" w:rsidP="00B00391">
            <w:pPr>
              <w:rPr>
                <w:noProof/>
                <w:sz w:val="20"/>
                <w:lang w:val="en-IE"/>
              </w:rPr>
            </w:pPr>
            <w:r w:rsidRPr="00E50A7A">
              <w:rPr>
                <w:noProof/>
                <w:sz w:val="20"/>
                <w:lang w:val="en-IE"/>
              </w:rPr>
              <w:t>0.086</w:t>
            </w:r>
          </w:p>
        </w:tc>
        <w:tc>
          <w:tcPr>
            <w:tcW w:w="868" w:type="dxa"/>
          </w:tcPr>
          <w:p w14:paraId="6EDDC23C" w14:textId="77777777" w:rsidR="005F41FD" w:rsidRPr="00E50A7A" w:rsidRDefault="005F41FD" w:rsidP="00B00391">
            <w:pPr>
              <w:rPr>
                <w:noProof/>
                <w:sz w:val="20"/>
                <w:lang w:val="en-IE"/>
              </w:rPr>
            </w:pPr>
            <w:r w:rsidRPr="00E50A7A">
              <w:rPr>
                <w:noProof/>
                <w:sz w:val="20"/>
                <w:lang w:val="en-IE"/>
              </w:rPr>
              <w:t>0.086</w:t>
            </w:r>
          </w:p>
        </w:tc>
        <w:tc>
          <w:tcPr>
            <w:tcW w:w="888" w:type="dxa"/>
          </w:tcPr>
          <w:p w14:paraId="4C715BC0" w14:textId="77777777" w:rsidR="005F41FD" w:rsidRPr="00E50A7A" w:rsidRDefault="005F41FD" w:rsidP="00B00391">
            <w:pPr>
              <w:rPr>
                <w:rStyle w:val="normaltextrun"/>
                <w:noProof/>
                <w:sz w:val="20"/>
                <w:szCs w:val="20"/>
                <w:lang w:val="en-IE"/>
              </w:rPr>
            </w:pPr>
            <w:r w:rsidRPr="00E50A7A">
              <w:rPr>
                <w:noProof/>
                <w:sz w:val="20"/>
                <w:lang w:val="en-IE"/>
              </w:rPr>
              <w:t>0.086</w:t>
            </w:r>
          </w:p>
        </w:tc>
        <w:tc>
          <w:tcPr>
            <w:tcW w:w="986" w:type="dxa"/>
            <w:vAlign w:val="center"/>
          </w:tcPr>
          <w:p w14:paraId="33D9BA94" w14:textId="4798FD32" w:rsidR="005F41FD" w:rsidRPr="00E50A7A" w:rsidRDefault="005F41FD" w:rsidP="00B00391">
            <w:pPr>
              <w:jc w:val="center"/>
              <w:rPr>
                <w:rStyle w:val="normaltextrun"/>
                <w:noProof/>
                <w:sz w:val="20"/>
                <w:szCs w:val="20"/>
                <w:lang w:val="en-IE"/>
              </w:rPr>
            </w:pPr>
            <w:r w:rsidRPr="00E50A7A">
              <w:rPr>
                <w:rStyle w:val="normaltextrun"/>
                <w:b/>
                <w:bCs/>
                <w:noProof/>
                <w:color w:val="000000"/>
                <w:sz w:val="20"/>
                <w:szCs w:val="20"/>
                <w:lang w:val="en-IE"/>
              </w:rPr>
              <w:t>0</w:t>
            </w:r>
            <w:r w:rsidR="00C85F36">
              <w:rPr>
                <w:rStyle w:val="normaltextrun"/>
                <w:b/>
                <w:bCs/>
                <w:noProof/>
                <w:color w:val="000000"/>
                <w:sz w:val="20"/>
                <w:szCs w:val="20"/>
                <w:lang w:val="en-IE"/>
              </w:rPr>
              <w:t>,</w:t>
            </w:r>
            <w:r w:rsidR="008B5470" w:rsidRPr="00E50A7A">
              <w:rPr>
                <w:rStyle w:val="normaltextrun"/>
                <w:b/>
                <w:bCs/>
                <w:noProof/>
                <w:color w:val="000000"/>
                <w:sz w:val="20"/>
                <w:szCs w:val="20"/>
                <w:lang w:val="en-IE"/>
              </w:rPr>
              <w:t>4</w:t>
            </w:r>
            <w:r w:rsidR="008B5470">
              <w:rPr>
                <w:rStyle w:val="normaltextrun"/>
                <w:b/>
                <w:bCs/>
                <w:noProof/>
                <w:color w:val="000000"/>
                <w:sz w:val="20"/>
                <w:szCs w:val="20"/>
                <w:lang w:val="en-IE"/>
              </w:rPr>
              <w:t>27</w:t>
            </w:r>
          </w:p>
        </w:tc>
      </w:tr>
      <w:tr w:rsidR="009317FA" w:rsidRPr="00B314C8" w14:paraId="316299F0" w14:textId="77777777" w:rsidTr="00A10DCB">
        <w:trPr>
          <w:trHeight w:val="213"/>
        </w:trPr>
        <w:tc>
          <w:tcPr>
            <w:tcW w:w="6054" w:type="dxa"/>
            <w:gridSpan w:val="2"/>
            <w:vAlign w:val="center"/>
          </w:tcPr>
          <w:p w14:paraId="634F4AF0" w14:textId="77777777" w:rsidR="005F41FD" w:rsidRPr="00E50A7A" w:rsidRDefault="005F41FD" w:rsidP="00B00391">
            <w:pPr>
              <w:spacing w:before="20" w:after="20"/>
              <w:rPr>
                <w:noProof/>
                <w:sz w:val="21"/>
                <w:lang w:val="en-IE"/>
              </w:rPr>
            </w:pPr>
            <w:r w:rsidRPr="00E50A7A">
              <w:rPr>
                <w:rFonts w:ascii="Wingdings" w:eastAsia="Wingdings" w:hAnsi="Wingdings" w:cs="Wingdings"/>
                <w:noProof/>
                <w:sz w:val="21"/>
                <w:lang w:val="en-IE"/>
              </w:rPr>
              <w:t>□</w:t>
            </w:r>
            <w:r w:rsidRPr="00E50A7A">
              <w:rPr>
                <w:noProof/>
                <w:sz w:val="21"/>
                <w:lang w:val="en-IE"/>
              </w:rPr>
              <w:t xml:space="preserve"> </w:t>
            </w:r>
            <w:r w:rsidRPr="00E50A7A">
              <w:rPr>
                <w:rStyle w:val="normaltextrun"/>
                <w:noProof/>
                <w:color w:val="000000"/>
                <w:sz w:val="22"/>
                <w:bdr w:val="none" w:sz="0" w:space="0" w:color="auto" w:frame="1"/>
                <w:lang w:val="en-IE"/>
              </w:rPr>
              <w:t>Other administrative expenditure</w:t>
            </w:r>
          </w:p>
        </w:tc>
        <w:tc>
          <w:tcPr>
            <w:tcW w:w="868" w:type="dxa"/>
            <w:vAlign w:val="center"/>
          </w:tcPr>
          <w:p w14:paraId="73FABCFD" w14:textId="77777777" w:rsidR="005F41FD" w:rsidRPr="00E50A7A" w:rsidRDefault="005F41FD" w:rsidP="00B00391">
            <w:pPr>
              <w:rPr>
                <w:noProof/>
                <w:sz w:val="20"/>
                <w:lang w:val="en-IE"/>
              </w:rPr>
            </w:pPr>
          </w:p>
        </w:tc>
        <w:tc>
          <w:tcPr>
            <w:tcW w:w="868" w:type="dxa"/>
            <w:vAlign w:val="bottom"/>
          </w:tcPr>
          <w:p w14:paraId="75313403" w14:textId="77777777" w:rsidR="005F41FD" w:rsidRPr="00E50A7A" w:rsidRDefault="005F41FD" w:rsidP="00B00391">
            <w:pPr>
              <w:rPr>
                <w:rStyle w:val="normaltextrun"/>
                <w:noProof/>
                <w:sz w:val="20"/>
                <w:szCs w:val="20"/>
                <w:lang w:val="en-IE"/>
              </w:rPr>
            </w:pPr>
          </w:p>
        </w:tc>
        <w:tc>
          <w:tcPr>
            <w:tcW w:w="868" w:type="dxa"/>
            <w:vAlign w:val="bottom"/>
          </w:tcPr>
          <w:p w14:paraId="7BA54BE6" w14:textId="77777777" w:rsidR="005F41FD" w:rsidRPr="00E50A7A" w:rsidRDefault="005F41FD" w:rsidP="00B00391">
            <w:pPr>
              <w:rPr>
                <w:rStyle w:val="normaltextrun"/>
                <w:noProof/>
                <w:sz w:val="20"/>
                <w:szCs w:val="20"/>
                <w:lang w:val="en-IE"/>
              </w:rPr>
            </w:pPr>
          </w:p>
        </w:tc>
        <w:tc>
          <w:tcPr>
            <w:tcW w:w="868" w:type="dxa"/>
            <w:vAlign w:val="bottom"/>
          </w:tcPr>
          <w:p w14:paraId="0F5DBDA7" w14:textId="77777777" w:rsidR="005F41FD" w:rsidRPr="00E50A7A" w:rsidRDefault="005F41FD" w:rsidP="00B00391">
            <w:pPr>
              <w:rPr>
                <w:rStyle w:val="normaltextrun"/>
                <w:noProof/>
                <w:sz w:val="20"/>
                <w:szCs w:val="20"/>
                <w:lang w:val="en-IE"/>
              </w:rPr>
            </w:pPr>
          </w:p>
        </w:tc>
        <w:tc>
          <w:tcPr>
            <w:tcW w:w="888" w:type="dxa"/>
          </w:tcPr>
          <w:p w14:paraId="1A417654" w14:textId="77777777" w:rsidR="005F41FD" w:rsidRPr="00E50A7A" w:rsidRDefault="005F41FD" w:rsidP="00B00391">
            <w:pPr>
              <w:rPr>
                <w:rStyle w:val="normaltextrun"/>
                <w:noProof/>
                <w:sz w:val="20"/>
                <w:szCs w:val="20"/>
                <w:lang w:val="en-IE"/>
              </w:rPr>
            </w:pPr>
          </w:p>
        </w:tc>
        <w:tc>
          <w:tcPr>
            <w:tcW w:w="986" w:type="dxa"/>
            <w:vAlign w:val="center"/>
          </w:tcPr>
          <w:p w14:paraId="5C653301" w14:textId="77777777" w:rsidR="005F41FD" w:rsidRPr="00E50A7A" w:rsidRDefault="005F41FD" w:rsidP="00B00391">
            <w:pPr>
              <w:jc w:val="center"/>
              <w:rPr>
                <w:rStyle w:val="normaltextrun"/>
                <w:b/>
                <w:bCs/>
                <w:noProof/>
                <w:color w:val="000000"/>
                <w:sz w:val="20"/>
                <w:szCs w:val="20"/>
                <w:lang w:val="en-IE"/>
              </w:rPr>
            </w:pPr>
          </w:p>
        </w:tc>
      </w:tr>
      <w:tr w:rsidR="00151042" w:rsidRPr="00B314C8" w14:paraId="31C80E23" w14:textId="77777777" w:rsidTr="00A10DCB">
        <w:tc>
          <w:tcPr>
            <w:tcW w:w="3960" w:type="dxa"/>
            <w:vAlign w:val="center"/>
          </w:tcPr>
          <w:p w14:paraId="2EB8473B" w14:textId="77777777" w:rsidR="005F41FD" w:rsidRPr="00E50A7A" w:rsidRDefault="005F41FD" w:rsidP="00B00391">
            <w:pPr>
              <w:jc w:val="center"/>
              <w:rPr>
                <w:b/>
                <w:noProof/>
                <w:lang w:val="en-IE"/>
              </w:rPr>
            </w:pPr>
            <w:r w:rsidRPr="00E50A7A">
              <w:rPr>
                <w:b/>
                <w:noProof/>
                <w:sz w:val="22"/>
                <w:lang w:val="en-IE"/>
              </w:rPr>
              <w:t xml:space="preserve">TOTAL </w:t>
            </w:r>
            <w:r w:rsidRPr="00E50A7A">
              <w:rPr>
                <w:noProof/>
                <w:sz w:val="22"/>
                <w:lang w:val="en-IE"/>
              </w:rPr>
              <w:t xml:space="preserve">DG </w:t>
            </w:r>
            <w:r w:rsidR="00B137D3" w:rsidRPr="00E50A7A">
              <w:rPr>
                <w:noProof/>
                <w:sz w:val="22"/>
                <w:lang w:val="en-IE"/>
              </w:rPr>
              <w:t>SANTE</w:t>
            </w:r>
          </w:p>
        </w:tc>
        <w:tc>
          <w:tcPr>
            <w:tcW w:w="2094" w:type="dxa"/>
            <w:vAlign w:val="center"/>
          </w:tcPr>
          <w:p w14:paraId="6E91815D" w14:textId="77777777" w:rsidR="005F41FD" w:rsidRPr="00E50A7A" w:rsidRDefault="005F41FD" w:rsidP="00B00391">
            <w:pPr>
              <w:jc w:val="center"/>
              <w:rPr>
                <w:noProof/>
                <w:sz w:val="14"/>
                <w:lang w:val="en-IE"/>
              </w:rPr>
            </w:pPr>
            <w:r w:rsidRPr="00E50A7A">
              <w:rPr>
                <w:noProof/>
                <w:sz w:val="18"/>
                <w:lang w:val="en-IE"/>
              </w:rPr>
              <w:t>Appropriations</w:t>
            </w:r>
          </w:p>
        </w:tc>
        <w:tc>
          <w:tcPr>
            <w:tcW w:w="868" w:type="dxa"/>
            <w:vAlign w:val="center"/>
          </w:tcPr>
          <w:p w14:paraId="5F1CD24E" w14:textId="77777777" w:rsidR="005F41FD" w:rsidRPr="00E50A7A" w:rsidRDefault="005F41FD" w:rsidP="00B00391">
            <w:pPr>
              <w:spacing w:before="20" w:after="20"/>
              <w:jc w:val="center"/>
              <w:rPr>
                <w:noProof/>
                <w:sz w:val="20"/>
                <w:lang w:val="en-IE"/>
              </w:rPr>
            </w:pPr>
            <w:r w:rsidRPr="00E50A7A">
              <w:rPr>
                <w:noProof/>
                <w:sz w:val="20"/>
                <w:lang w:val="en-IE"/>
              </w:rPr>
              <w:t>0.086</w:t>
            </w:r>
          </w:p>
        </w:tc>
        <w:tc>
          <w:tcPr>
            <w:tcW w:w="868" w:type="dxa"/>
            <w:vAlign w:val="center"/>
          </w:tcPr>
          <w:p w14:paraId="6FBCEE8C" w14:textId="77777777" w:rsidR="005F41FD" w:rsidRPr="00E50A7A" w:rsidRDefault="005F41FD" w:rsidP="00B00391">
            <w:pPr>
              <w:spacing w:before="20" w:after="20"/>
              <w:jc w:val="center"/>
              <w:rPr>
                <w:noProof/>
                <w:sz w:val="20"/>
                <w:lang w:val="en-IE"/>
              </w:rPr>
            </w:pPr>
            <w:r w:rsidRPr="00E50A7A">
              <w:rPr>
                <w:noProof/>
                <w:sz w:val="20"/>
                <w:lang w:val="en-IE"/>
              </w:rPr>
              <w:t>0.086</w:t>
            </w:r>
          </w:p>
        </w:tc>
        <w:tc>
          <w:tcPr>
            <w:tcW w:w="868" w:type="dxa"/>
            <w:vAlign w:val="center"/>
          </w:tcPr>
          <w:p w14:paraId="3E18667F" w14:textId="77777777" w:rsidR="005F41FD" w:rsidRPr="00E50A7A" w:rsidRDefault="005F41FD" w:rsidP="00B00391">
            <w:pPr>
              <w:spacing w:before="20" w:after="20"/>
              <w:jc w:val="center"/>
              <w:rPr>
                <w:noProof/>
                <w:sz w:val="20"/>
                <w:lang w:val="en-IE"/>
              </w:rPr>
            </w:pPr>
            <w:r w:rsidRPr="00E50A7A">
              <w:rPr>
                <w:noProof/>
                <w:sz w:val="20"/>
                <w:lang w:val="en-IE"/>
              </w:rPr>
              <w:t>0.086</w:t>
            </w:r>
          </w:p>
        </w:tc>
        <w:tc>
          <w:tcPr>
            <w:tcW w:w="868" w:type="dxa"/>
            <w:vAlign w:val="center"/>
          </w:tcPr>
          <w:p w14:paraId="4920F6DE" w14:textId="77777777" w:rsidR="005F41FD" w:rsidRPr="00E50A7A" w:rsidRDefault="005F41FD" w:rsidP="00B00391">
            <w:pPr>
              <w:spacing w:before="20" w:after="20"/>
              <w:jc w:val="center"/>
              <w:rPr>
                <w:noProof/>
                <w:sz w:val="20"/>
                <w:lang w:val="en-IE"/>
              </w:rPr>
            </w:pPr>
            <w:r w:rsidRPr="00E50A7A">
              <w:rPr>
                <w:noProof/>
                <w:sz w:val="20"/>
                <w:lang w:val="en-IE"/>
              </w:rPr>
              <w:t>0.086</w:t>
            </w:r>
          </w:p>
        </w:tc>
        <w:tc>
          <w:tcPr>
            <w:tcW w:w="888" w:type="dxa"/>
            <w:vAlign w:val="center"/>
          </w:tcPr>
          <w:p w14:paraId="10AB8F99" w14:textId="77777777" w:rsidR="005F41FD" w:rsidRPr="00E50A7A" w:rsidRDefault="005F41FD" w:rsidP="00B00391">
            <w:pPr>
              <w:spacing w:before="20" w:after="20"/>
              <w:jc w:val="center"/>
              <w:rPr>
                <w:noProof/>
                <w:sz w:val="20"/>
                <w:lang w:val="en-IE"/>
              </w:rPr>
            </w:pPr>
            <w:r w:rsidRPr="00E50A7A">
              <w:rPr>
                <w:noProof/>
                <w:sz w:val="20"/>
                <w:lang w:val="en-IE"/>
              </w:rPr>
              <w:t>0.086</w:t>
            </w:r>
          </w:p>
        </w:tc>
        <w:tc>
          <w:tcPr>
            <w:tcW w:w="986" w:type="dxa"/>
            <w:vAlign w:val="center"/>
          </w:tcPr>
          <w:p w14:paraId="20B0981B" w14:textId="533631DE" w:rsidR="005F41FD" w:rsidRPr="00E50A7A" w:rsidRDefault="005F41FD" w:rsidP="00B00391">
            <w:pPr>
              <w:spacing w:before="20" w:after="20"/>
              <w:jc w:val="center"/>
              <w:rPr>
                <w:noProof/>
                <w:sz w:val="20"/>
                <w:lang w:val="en-IE"/>
              </w:rPr>
            </w:pPr>
            <w:r w:rsidRPr="00E50A7A">
              <w:rPr>
                <w:rStyle w:val="normaltextrun"/>
                <w:b/>
                <w:bCs/>
                <w:noProof/>
                <w:color w:val="000000"/>
                <w:sz w:val="20"/>
                <w:szCs w:val="20"/>
                <w:lang w:val="en-IE"/>
              </w:rPr>
              <w:t>0</w:t>
            </w:r>
            <w:r w:rsidR="00C85F36">
              <w:rPr>
                <w:rStyle w:val="normaltextrun"/>
                <w:b/>
                <w:bCs/>
                <w:noProof/>
                <w:color w:val="000000"/>
                <w:sz w:val="20"/>
                <w:szCs w:val="20"/>
                <w:lang w:val="en-IE"/>
              </w:rPr>
              <w:t>,</w:t>
            </w:r>
            <w:r w:rsidRPr="00E50A7A">
              <w:rPr>
                <w:rStyle w:val="normaltextrun"/>
                <w:b/>
                <w:bCs/>
                <w:noProof/>
                <w:color w:val="000000"/>
                <w:sz w:val="20"/>
                <w:szCs w:val="20"/>
                <w:lang w:val="en-IE"/>
              </w:rPr>
              <w:t>430</w:t>
            </w:r>
          </w:p>
        </w:tc>
      </w:tr>
    </w:tbl>
    <w:p w14:paraId="62D335BF" w14:textId="77777777" w:rsidR="00682C4D" w:rsidRPr="00E50A7A" w:rsidRDefault="005F41FD" w:rsidP="005F41FD">
      <w:pPr>
        <w:rPr>
          <w:rStyle w:val="normaltextrun"/>
          <w:noProof/>
          <w:color w:val="000000"/>
          <w:shd w:val="clear" w:color="auto" w:fill="FFFFFF"/>
          <w:lang w:val="en-IE"/>
        </w:rPr>
      </w:pPr>
      <w:r w:rsidRPr="00E50A7A">
        <w:rPr>
          <w:rStyle w:val="normaltextrun"/>
          <w:noProof/>
          <w:color w:val="000000"/>
          <w:shd w:val="clear" w:color="auto" w:fill="FFFFFF"/>
          <w:lang w:val="en-IE"/>
        </w:rPr>
        <w:t>DG SANTE costs stem from the co-decision process and the monitoring of performance across Member States. They reflect existing staff (AD).</w:t>
      </w:r>
    </w:p>
    <w:tbl>
      <w:tblPr>
        <w:tblW w:w="12090" w:type="dxa"/>
        <w:tblInd w:w="-2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60"/>
        <w:gridCol w:w="2085"/>
        <w:gridCol w:w="855"/>
        <w:gridCol w:w="855"/>
        <w:gridCol w:w="855"/>
        <w:gridCol w:w="855"/>
        <w:gridCol w:w="855"/>
        <w:gridCol w:w="1770"/>
      </w:tblGrid>
      <w:tr w:rsidR="008B5470" w:rsidRPr="00B314C8" w14:paraId="4DE70DA7" w14:textId="77777777" w:rsidTr="00B137D3">
        <w:trPr>
          <w:trHeight w:val="300"/>
        </w:trPr>
        <w:tc>
          <w:tcPr>
            <w:tcW w:w="39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BC1C2D7" w14:textId="77777777" w:rsidR="008B5470" w:rsidRPr="00B314C8" w:rsidRDefault="008B5470" w:rsidP="008B5470">
            <w:pPr>
              <w:spacing w:before="0" w:after="0"/>
              <w:jc w:val="center"/>
              <w:textAlignment w:val="baseline"/>
              <w:rPr>
                <w:rFonts w:eastAsia="Times New Roman"/>
                <w:noProof/>
                <w:szCs w:val="24"/>
                <w:lang w:val="en-IE" w:eastAsia="en-IE"/>
              </w:rPr>
            </w:pPr>
            <w:r w:rsidRPr="00B314C8">
              <w:rPr>
                <w:rFonts w:eastAsia="Times New Roman"/>
                <w:b/>
                <w:bCs/>
                <w:noProof/>
                <w:sz w:val="22"/>
                <w:lang w:val="en-IE" w:eastAsia="en-IE"/>
              </w:rPr>
              <w:t>TOTAL appropriations</w:t>
            </w:r>
            <w:r w:rsidRPr="00B314C8">
              <w:rPr>
                <w:rFonts w:eastAsia="Times New Roman"/>
                <w:noProof/>
                <w:sz w:val="22"/>
                <w:lang w:val="en-IE" w:eastAsia="en-IE"/>
              </w:rPr>
              <w:t> </w:t>
            </w:r>
            <w:r w:rsidRPr="00B314C8">
              <w:rPr>
                <w:rFonts w:eastAsia="Times New Roman"/>
                <w:noProof/>
                <w:sz w:val="22"/>
                <w:lang w:val="en-IE" w:eastAsia="en-IE"/>
              </w:rPr>
              <w:br/>
            </w:r>
            <w:r w:rsidRPr="00B314C8">
              <w:rPr>
                <w:rFonts w:eastAsia="Times New Roman"/>
                <w:b/>
                <w:bCs/>
                <w:noProof/>
                <w:sz w:val="22"/>
                <w:lang w:val="en-IE" w:eastAsia="en-IE"/>
              </w:rPr>
              <w:t>under HEADING 7</w:t>
            </w:r>
            <w:r w:rsidRPr="00B314C8">
              <w:rPr>
                <w:rFonts w:eastAsia="Times New Roman"/>
                <w:noProof/>
                <w:sz w:val="22"/>
                <w:lang w:val="en-IE" w:eastAsia="en-IE"/>
              </w:rPr>
              <w:t> </w:t>
            </w:r>
            <w:r w:rsidRPr="00B314C8">
              <w:rPr>
                <w:rFonts w:eastAsia="Times New Roman"/>
                <w:noProof/>
                <w:sz w:val="22"/>
                <w:lang w:val="en-IE" w:eastAsia="en-IE"/>
              </w:rPr>
              <w:br/>
              <w:t>of the multiannual financial framework</w:t>
            </w:r>
            <w:r w:rsidRPr="00B314C8">
              <w:rPr>
                <w:rFonts w:eastAsia="Times New Roman"/>
                <w:b/>
                <w:bCs/>
                <w:noProof/>
                <w:sz w:val="22"/>
                <w:lang w:val="en-IE" w:eastAsia="en-IE"/>
              </w:rPr>
              <w:t> </w:t>
            </w:r>
            <w:r w:rsidRPr="00B314C8">
              <w:rPr>
                <w:rFonts w:eastAsia="Times New Roman"/>
                <w:noProof/>
                <w:sz w:val="22"/>
                <w:lang w:val="en-IE" w:eastAsia="en-IE"/>
              </w:rPr>
              <w:t> </w:t>
            </w:r>
          </w:p>
        </w:tc>
        <w:tc>
          <w:tcPr>
            <w:tcW w:w="20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35CA5DF" w14:textId="77777777" w:rsidR="008B5470" w:rsidRPr="00B314C8" w:rsidRDefault="008B5470" w:rsidP="008B5470">
            <w:pPr>
              <w:spacing w:before="0" w:after="0"/>
              <w:textAlignment w:val="baseline"/>
              <w:rPr>
                <w:rFonts w:eastAsia="Times New Roman"/>
                <w:noProof/>
                <w:szCs w:val="24"/>
                <w:lang w:val="en-IE" w:eastAsia="en-IE"/>
              </w:rPr>
            </w:pPr>
            <w:r w:rsidRPr="00B314C8">
              <w:rPr>
                <w:rFonts w:eastAsia="Times New Roman"/>
                <w:noProof/>
                <w:sz w:val="18"/>
                <w:szCs w:val="18"/>
                <w:lang w:val="en-IE" w:eastAsia="en-IE"/>
              </w:rPr>
              <w:t>(Total commitments = Total payments) </w:t>
            </w:r>
          </w:p>
        </w:tc>
        <w:tc>
          <w:tcPr>
            <w:tcW w:w="8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45427D8" w14:textId="6123EF28" w:rsidR="008B5470" w:rsidRPr="00B314C8" w:rsidRDefault="008B5470" w:rsidP="008B5470">
            <w:pPr>
              <w:spacing w:before="0" w:after="0"/>
              <w:jc w:val="center"/>
              <w:textAlignment w:val="baseline"/>
              <w:rPr>
                <w:rFonts w:eastAsia="Times New Roman"/>
                <w:noProof/>
                <w:szCs w:val="24"/>
                <w:lang w:val="en-IE" w:eastAsia="en-IE"/>
              </w:rPr>
            </w:pPr>
            <w:r w:rsidRPr="00E50A7A">
              <w:rPr>
                <w:noProof/>
                <w:sz w:val="20"/>
                <w:lang w:val="en-IE"/>
              </w:rPr>
              <w:t>0.2</w:t>
            </w:r>
            <w:r>
              <w:rPr>
                <w:noProof/>
                <w:sz w:val="20"/>
                <w:lang w:val="en-IE"/>
              </w:rPr>
              <w:t>5</w:t>
            </w:r>
            <w:r>
              <w:rPr>
                <w:noProof/>
              </w:rPr>
              <w:t>7</w:t>
            </w:r>
          </w:p>
        </w:tc>
        <w:tc>
          <w:tcPr>
            <w:tcW w:w="8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B89360D" w14:textId="3A9AC5BF" w:rsidR="008B5470" w:rsidRPr="00E50A7A" w:rsidRDefault="008B5470" w:rsidP="008B5470">
            <w:pPr>
              <w:spacing w:before="0" w:after="0"/>
              <w:jc w:val="center"/>
              <w:textAlignment w:val="baseline"/>
              <w:rPr>
                <w:noProof/>
                <w:sz w:val="20"/>
                <w:lang w:val="en-IE"/>
              </w:rPr>
            </w:pPr>
            <w:r w:rsidRPr="00E50A7A">
              <w:rPr>
                <w:noProof/>
                <w:sz w:val="20"/>
                <w:lang w:val="en-IE"/>
              </w:rPr>
              <w:t>0.</w:t>
            </w:r>
            <w:r>
              <w:rPr>
                <w:noProof/>
                <w:sz w:val="20"/>
                <w:lang w:val="en-IE"/>
              </w:rPr>
              <w:t>444</w:t>
            </w:r>
          </w:p>
        </w:tc>
        <w:tc>
          <w:tcPr>
            <w:tcW w:w="8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9EB6D7C" w14:textId="5EA0FFA9" w:rsidR="008B5470" w:rsidRPr="00E50A7A" w:rsidRDefault="008B5470" w:rsidP="008B5470">
            <w:pPr>
              <w:spacing w:before="0" w:after="0"/>
              <w:jc w:val="center"/>
              <w:textAlignment w:val="baseline"/>
              <w:rPr>
                <w:noProof/>
                <w:sz w:val="20"/>
                <w:lang w:val="en-IE"/>
              </w:rPr>
            </w:pPr>
            <w:r w:rsidRPr="00E50A7A">
              <w:rPr>
                <w:noProof/>
                <w:sz w:val="20"/>
                <w:lang w:val="en-IE"/>
              </w:rPr>
              <w:t>0.</w:t>
            </w:r>
            <w:r>
              <w:rPr>
                <w:noProof/>
                <w:sz w:val="20"/>
                <w:lang w:val="en-IE"/>
              </w:rPr>
              <w:t>444</w:t>
            </w:r>
          </w:p>
        </w:tc>
        <w:tc>
          <w:tcPr>
            <w:tcW w:w="8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7D402F0" w14:textId="617CD6FA" w:rsidR="008B5470" w:rsidRPr="00E50A7A" w:rsidRDefault="008B5470" w:rsidP="008B5470">
            <w:pPr>
              <w:spacing w:before="0" w:after="0"/>
              <w:jc w:val="center"/>
              <w:textAlignment w:val="baseline"/>
              <w:rPr>
                <w:noProof/>
                <w:sz w:val="20"/>
                <w:lang w:val="en-IE"/>
              </w:rPr>
            </w:pPr>
            <w:r w:rsidRPr="00E50A7A">
              <w:rPr>
                <w:noProof/>
                <w:sz w:val="20"/>
                <w:lang w:val="en-IE"/>
              </w:rPr>
              <w:t>0.</w:t>
            </w:r>
            <w:r>
              <w:rPr>
                <w:noProof/>
                <w:sz w:val="20"/>
                <w:lang w:val="en-IE"/>
              </w:rPr>
              <w:t>444</w:t>
            </w:r>
          </w:p>
        </w:tc>
        <w:tc>
          <w:tcPr>
            <w:tcW w:w="8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B81A9AC" w14:textId="0D5013D5" w:rsidR="008B5470" w:rsidRPr="00E50A7A" w:rsidRDefault="008B5470" w:rsidP="008B5470">
            <w:pPr>
              <w:spacing w:before="0" w:after="0"/>
              <w:jc w:val="center"/>
              <w:textAlignment w:val="baseline"/>
              <w:rPr>
                <w:noProof/>
                <w:sz w:val="20"/>
                <w:lang w:val="en-IE"/>
              </w:rPr>
            </w:pPr>
            <w:r w:rsidRPr="00E50A7A">
              <w:rPr>
                <w:noProof/>
                <w:sz w:val="20"/>
                <w:lang w:val="en-IE"/>
              </w:rPr>
              <w:t>0.</w:t>
            </w:r>
            <w:r>
              <w:rPr>
                <w:noProof/>
                <w:sz w:val="20"/>
                <w:lang w:val="en-IE"/>
              </w:rPr>
              <w:t>444</w:t>
            </w:r>
          </w:p>
        </w:tc>
        <w:tc>
          <w:tcPr>
            <w:tcW w:w="17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8570852" w14:textId="54159224" w:rsidR="008B5470" w:rsidRPr="00B314C8" w:rsidRDefault="008B5470" w:rsidP="008B5470">
            <w:pPr>
              <w:spacing w:before="0" w:after="0"/>
              <w:jc w:val="center"/>
              <w:textAlignment w:val="baseline"/>
              <w:rPr>
                <w:rFonts w:eastAsia="Times New Roman"/>
                <w:noProof/>
                <w:szCs w:val="24"/>
                <w:lang w:val="en-IE" w:eastAsia="en-IE"/>
              </w:rPr>
            </w:pPr>
            <w:r>
              <w:rPr>
                <w:rStyle w:val="normaltextrun"/>
                <w:b/>
                <w:bCs/>
                <w:noProof/>
                <w:color w:val="000000"/>
                <w:sz w:val="20"/>
                <w:szCs w:val="20"/>
                <w:lang w:val="en-IE"/>
              </w:rPr>
              <w:t>2,033</w:t>
            </w:r>
          </w:p>
        </w:tc>
      </w:tr>
    </w:tbl>
    <w:p w14:paraId="34038DAB" w14:textId="77777777" w:rsidR="00B137D3" w:rsidRPr="00B314C8" w:rsidRDefault="00B137D3" w:rsidP="00B137D3">
      <w:pPr>
        <w:spacing w:before="0" w:after="0"/>
        <w:jc w:val="right"/>
        <w:textAlignment w:val="baseline"/>
        <w:rPr>
          <w:rFonts w:ascii="Segoe UI" w:eastAsia="Times New Roman" w:hAnsi="Segoe UI" w:cs="Segoe UI"/>
          <w:noProof/>
          <w:sz w:val="18"/>
          <w:szCs w:val="18"/>
          <w:lang w:val="en-IE" w:eastAsia="en-IE"/>
        </w:rPr>
      </w:pPr>
      <w:r w:rsidRPr="00B314C8">
        <w:rPr>
          <w:rFonts w:eastAsia="Times New Roman"/>
          <w:noProof/>
          <w:sz w:val="20"/>
          <w:szCs w:val="20"/>
          <w:lang w:val="en-IE" w:eastAsia="en-IE"/>
        </w:rPr>
        <w:t>EUR million (to three decimal places) </w:t>
      </w:r>
    </w:p>
    <w:tbl>
      <w:tblPr>
        <w:tblW w:w="12165" w:type="dxa"/>
        <w:tblInd w:w="-2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69"/>
        <w:gridCol w:w="1274"/>
        <w:gridCol w:w="401"/>
        <w:gridCol w:w="935"/>
        <w:gridCol w:w="1215"/>
        <w:gridCol w:w="1215"/>
        <w:gridCol w:w="1215"/>
        <w:gridCol w:w="1215"/>
        <w:gridCol w:w="1557"/>
        <w:gridCol w:w="169"/>
      </w:tblGrid>
      <w:tr w:rsidR="00B137D3" w:rsidRPr="00B314C8" w14:paraId="7E55980E" w14:textId="77777777" w:rsidTr="008B5470">
        <w:trPr>
          <w:gridAfter w:val="1"/>
          <w:wAfter w:w="169" w:type="dxa"/>
          <w:trHeight w:val="300"/>
        </w:trPr>
        <w:tc>
          <w:tcPr>
            <w:tcW w:w="2969" w:type="dxa"/>
            <w:tcBorders>
              <w:top w:val="nil"/>
              <w:left w:val="nil"/>
              <w:bottom w:val="single" w:sz="6" w:space="0" w:color="auto"/>
              <w:right w:val="nil"/>
            </w:tcBorders>
            <w:shd w:val="clear" w:color="auto" w:fill="auto"/>
            <w:vAlign w:val="center"/>
            <w:hideMark/>
          </w:tcPr>
          <w:p w14:paraId="075EB656" w14:textId="77777777" w:rsidR="00B137D3" w:rsidRPr="00B314C8" w:rsidRDefault="00B137D3" w:rsidP="00B00391">
            <w:pPr>
              <w:spacing w:before="0" w:after="0"/>
              <w:jc w:val="center"/>
              <w:textAlignment w:val="baseline"/>
              <w:rPr>
                <w:rFonts w:eastAsia="Times New Roman"/>
                <w:noProof/>
                <w:szCs w:val="24"/>
                <w:lang w:val="en-IE" w:eastAsia="en-IE"/>
              </w:rPr>
            </w:pPr>
            <w:r w:rsidRPr="00B314C8">
              <w:rPr>
                <w:rFonts w:eastAsia="Times New Roman"/>
                <w:noProof/>
                <w:szCs w:val="24"/>
                <w:lang w:val="en-IE" w:eastAsia="en-IE"/>
              </w:rPr>
              <w:t> </w:t>
            </w:r>
          </w:p>
        </w:tc>
        <w:tc>
          <w:tcPr>
            <w:tcW w:w="1274" w:type="dxa"/>
            <w:tcBorders>
              <w:top w:val="nil"/>
              <w:left w:val="nil"/>
              <w:bottom w:val="single" w:sz="6" w:space="0" w:color="auto"/>
              <w:right w:val="nil"/>
            </w:tcBorders>
            <w:shd w:val="clear" w:color="auto" w:fill="auto"/>
            <w:hideMark/>
          </w:tcPr>
          <w:p w14:paraId="5785B338" w14:textId="77777777" w:rsidR="00B137D3" w:rsidRPr="00B314C8" w:rsidRDefault="00B137D3" w:rsidP="00B00391">
            <w:pPr>
              <w:spacing w:before="0" w:after="0"/>
              <w:textAlignment w:val="baseline"/>
              <w:rPr>
                <w:rFonts w:eastAsia="Times New Roman"/>
                <w:noProof/>
                <w:szCs w:val="24"/>
                <w:lang w:val="en-IE" w:eastAsia="en-IE"/>
              </w:rPr>
            </w:pPr>
            <w:r w:rsidRPr="00B314C8">
              <w:rPr>
                <w:rFonts w:eastAsia="Times New Roman"/>
                <w:noProof/>
                <w:sz w:val="20"/>
                <w:szCs w:val="20"/>
                <w:lang w:val="en-IE" w:eastAsia="en-IE"/>
              </w:rPr>
              <w:t> </w:t>
            </w:r>
          </w:p>
        </w:tc>
        <w:tc>
          <w:tcPr>
            <w:tcW w:w="401" w:type="dxa"/>
            <w:tcBorders>
              <w:top w:val="nil"/>
              <w:left w:val="nil"/>
              <w:bottom w:val="single" w:sz="6" w:space="0" w:color="auto"/>
              <w:right w:val="single" w:sz="6" w:space="0" w:color="auto"/>
            </w:tcBorders>
            <w:shd w:val="clear" w:color="auto" w:fill="auto"/>
            <w:hideMark/>
          </w:tcPr>
          <w:p w14:paraId="3F394B1A" w14:textId="77777777" w:rsidR="00B137D3" w:rsidRPr="00B314C8" w:rsidRDefault="00B137D3" w:rsidP="00B00391">
            <w:pPr>
              <w:spacing w:before="0" w:after="0"/>
              <w:jc w:val="center"/>
              <w:textAlignment w:val="baseline"/>
              <w:rPr>
                <w:rFonts w:eastAsia="Times New Roman"/>
                <w:noProof/>
                <w:szCs w:val="24"/>
                <w:lang w:val="en-IE" w:eastAsia="en-IE"/>
              </w:rPr>
            </w:pPr>
            <w:r w:rsidRPr="00B314C8">
              <w:rPr>
                <w:rFonts w:eastAsia="Times New Roman"/>
                <w:noProof/>
                <w:sz w:val="20"/>
                <w:szCs w:val="20"/>
                <w:lang w:val="en-IE" w:eastAsia="en-IE"/>
              </w:rPr>
              <w:t> </w:t>
            </w:r>
          </w:p>
        </w:tc>
        <w:tc>
          <w:tcPr>
            <w:tcW w:w="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4030388" w14:textId="77777777" w:rsidR="00B137D3" w:rsidRPr="00B314C8" w:rsidRDefault="00B137D3" w:rsidP="00B00391">
            <w:pPr>
              <w:spacing w:before="0" w:after="0"/>
              <w:jc w:val="center"/>
              <w:textAlignment w:val="baseline"/>
              <w:rPr>
                <w:rFonts w:eastAsia="Times New Roman"/>
                <w:noProof/>
                <w:szCs w:val="24"/>
                <w:lang w:val="en-IE" w:eastAsia="en-IE"/>
              </w:rPr>
            </w:pPr>
            <w:r w:rsidRPr="00B314C8">
              <w:rPr>
                <w:rFonts w:eastAsia="Times New Roman"/>
                <w:b/>
                <w:bCs/>
                <w:noProof/>
                <w:sz w:val="20"/>
                <w:szCs w:val="20"/>
                <w:lang w:val="en-IE" w:eastAsia="en-IE"/>
              </w:rPr>
              <w:t>2023</w:t>
            </w:r>
            <w:r w:rsidRPr="00B314C8">
              <w:rPr>
                <w:rFonts w:eastAsia="Times New Roman"/>
                <w:noProof/>
                <w:sz w:val="20"/>
                <w:szCs w:val="20"/>
                <w:lang w:val="en-IE" w:eastAsia="en-IE"/>
              </w:rPr>
              <w:t> </w:t>
            </w:r>
          </w:p>
        </w:tc>
        <w:tc>
          <w:tcPr>
            <w:tcW w:w="12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2AB3F23" w14:textId="77777777" w:rsidR="00B137D3" w:rsidRPr="00B314C8" w:rsidRDefault="00B137D3" w:rsidP="00B00391">
            <w:pPr>
              <w:spacing w:before="0" w:after="0"/>
              <w:jc w:val="center"/>
              <w:textAlignment w:val="baseline"/>
              <w:rPr>
                <w:rFonts w:eastAsia="Times New Roman"/>
                <w:noProof/>
                <w:szCs w:val="24"/>
                <w:lang w:val="en-IE" w:eastAsia="en-IE"/>
              </w:rPr>
            </w:pPr>
            <w:r w:rsidRPr="00B314C8">
              <w:rPr>
                <w:rFonts w:eastAsia="Times New Roman"/>
                <w:b/>
                <w:bCs/>
                <w:noProof/>
                <w:sz w:val="20"/>
                <w:szCs w:val="20"/>
                <w:lang w:val="en-IE" w:eastAsia="en-IE"/>
              </w:rPr>
              <w:t>2024</w:t>
            </w:r>
            <w:r w:rsidRPr="00B314C8">
              <w:rPr>
                <w:rFonts w:eastAsia="Times New Roman"/>
                <w:noProof/>
                <w:sz w:val="20"/>
                <w:szCs w:val="20"/>
                <w:lang w:val="en-IE" w:eastAsia="en-IE"/>
              </w:rPr>
              <w:t> </w:t>
            </w:r>
          </w:p>
        </w:tc>
        <w:tc>
          <w:tcPr>
            <w:tcW w:w="12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EA20D8A" w14:textId="77777777" w:rsidR="00B137D3" w:rsidRPr="00B314C8" w:rsidRDefault="00B137D3" w:rsidP="00B00391">
            <w:pPr>
              <w:spacing w:before="0" w:after="0"/>
              <w:jc w:val="center"/>
              <w:textAlignment w:val="baseline"/>
              <w:rPr>
                <w:rFonts w:eastAsia="Times New Roman"/>
                <w:noProof/>
                <w:szCs w:val="24"/>
                <w:lang w:val="en-IE" w:eastAsia="en-IE"/>
              </w:rPr>
            </w:pPr>
            <w:r w:rsidRPr="00B314C8">
              <w:rPr>
                <w:rFonts w:eastAsia="Times New Roman"/>
                <w:b/>
                <w:bCs/>
                <w:noProof/>
                <w:sz w:val="20"/>
                <w:szCs w:val="20"/>
                <w:lang w:val="en-IE" w:eastAsia="en-IE"/>
              </w:rPr>
              <w:t>2025</w:t>
            </w:r>
            <w:r w:rsidRPr="00B314C8">
              <w:rPr>
                <w:rFonts w:eastAsia="Times New Roman"/>
                <w:noProof/>
                <w:sz w:val="20"/>
                <w:szCs w:val="20"/>
                <w:lang w:val="en-IE" w:eastAsia="en-IE"/>
              </w:rPr>
              <w:t> </w:t>
            </w:r>
          </w:p>
        </w:tc>
        <w:tc>
          <w:tcPr>
            <w:tcW w:w="12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9EE2937" w14:textId="77777777" w:rsidR="00B137D3" w:rsidRPr="00B314C8" w:rsidRDefault="00B137D3" w:rsidP="00B00391">
            <w:pPr>
              <w:spacing w:before="0" w:after="0"/>
              <w:jc w:val="center"/>
              <w:textAlignment w:val="baseline"/>
              <w:rPr>
                <w:rFonts w:eastAsia="Times New Roman"/>
                <w:noProof/>
                <w:szCs w:val="24"/>
                <w:lang w:val="en-IE" w:eastAsia="en-IE"/>
              </w:rPr>
            </w:pPr>
            <w:r w:rsidRPr="00B314C8">
              <w:rPr>
                <w:rFonts w:eastAsia="Times New Roman"/>
                <w:b/>
                <w:bCs/>
                <w:noProof/>
                <w:sz w:val="20"/>
                <w:szCs w:val="20"/>
                <w:lang w:val="en-IE" w:eastAsia="en-IE"/>
              </w:rPr>
              <w:t>2026</w:t>
            </w:r>
            <w:r w:rsidRPr="00B314C8">
              <w:rPr>
                <w:rFonts w:eastAsia="Times New Roman"/>
                <w:noProof/>
                <w:sz w:val="20"/>
                <w:szCs w:val="20"/>
                <w:lang w:val="en-IE" w:eastAsia="en-IE"/>
              </w:rPr>
              <w:t> </w:t>
            </w:r>
          </w:p>
        </w:tc>
        <w:tc>
          <w:tcPr>
            <w:tcW w:w="12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0B02B20" w14:textId="090E2AE5" w:rsidR="00B137D3" w:rsidRPr="00B314C8" w:rsidRDefault="00B137D3" w:rsidP="00B00391">
            <w:pPr>
              <w:spacing w:before="0" w:after="0"/>
              <w:jc w:val="center"/>
              <w:textAlignment w:val="baseline"/>
              <w:rPr>
                <w:rFonts w:eastAsia="Times New Roman"/>
                <w:noProof/>
                <w:szCs w:val="24"/>
                <w:lang w:val="en-IE" w:eastAsia="en-IE"/>
              </w:rPr>
            </w:pPr>
            <w:r w:rsidRPr="00B314C8">
              <w:rPr>
                <w:rFonts w:eastAsia="Times New Roman"/>
                <w:b/>
                <w:bCs/>
                <w:noProof/>
                <w:sz w:val="20"/>
                <w:szCs w:val="20"/>
                <w:lang w:val="en-IE" w:eastAsia="en-IE"/>
              </w:rPr>
              <w:t xml:space="preserve">2027 </w:t>
            </w:r>
          </w:p>
        </w:tc>
        <w:tc>
          <w:tcPr>
            <w:tcW w:w="155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173461D" w14:textId="77777777" w:rsidR="00B137D3" w:rsidRPr="00B314C8" w:rsidRDefault="00B137D3" w:rsidP="00B00391">
            <w:pPr>
              <w:spacing w:before="0" w:after="0"/>
              <w:jc w:val="center"/>
              <w:textAlignment w:val="baseline"/>
              <w:rPr>
                <w:rFonts w:eastAsia="Times New Roman"/>
                <w:noProof/>
                <w:szCs w:val="24"/>
                <w:lang w:val="en-IE" w:eastAsia="en-IE"/>
              </w:rPr>
            </w:pPr>
            <w:r w:rsidRPr="00B314C8">
              <w:rPr>
                <w:rFonts w:eastAsia="Times New Roman"/>
                <w:b/>
                <w:bCs/>
                <w:noProof/>
                <w:sz w:val="20"/>
                <w:szCs w:val="20"/>
                <w:lang w:val="en-IE" w:eastAsia="en-IE"/>
              </w:rPr>
              <w:t>TOTAL</w:t>
            </w:r>
            <w:r w:rsidRPr="00B314C8">
              <w:rPr>
                <w:rFonts w:eastAsia="Times New Roman"/>
                <w:noProof/>
                <w:sz w:val="20"/>
                <w:szCs w:val="20"/>
                <w:lang w:val="en-IE" w:eastAsia="en-IE"/>
              </w:rPr>
              <w:t> </w:t>
            </w:r>
          </w:p>
        </w:tc>
      </w:tr>
      <w:tr w:rsidR="008B5470" w:rsidRPr="00B314C8" w14:paraId="55E70151" w14:textId="77777777" w:rsidTr="008B5470">
        <w:trPr>
          <w:trHeight w:val="300"/>
        </w:trPr>
        <w:tc>
          <w:tcPr>
            <w:tcW w:w="2969" w:type="dxa"/>
            <w:vMerge w:val="restart"/>
            <w:tcBorders>
              <w:top w:val="single" w:sz="6" w:space="0" w:color="auto"/>
              <w:left w:val="single" w:sz="6" w:space="0" w:color="auto"/>
              <w:bottom w:val="single" w:sz="6" w:space="0" w:color="auto"/>
              <w:right w:val="single" w:sz="6" w:space="0" w:color="auto"/>
            </w:tcBorders>
            <w:shd w:val="clear" w:color="auto" w:fill="C0C0C0"/>
            <w:vAlign w:val="center"/>
            <w:hideMark/>
          </w:tcPr>
          <w:p w14:paraId="34B742E7" w14:textId="77777777" w:rsidR="008B5470" w:rsidRPr="00B314C8" w:rsidRDefault="008B5470" w:rsidP="008B5470">
            <w:pPr>
              <w:spacing w:before="0" w:after="0"/>
              <w:jc w:val="center"/>
              <w:textAlignment w:val="baseline"/>
              <w:rPr>
                <w:rFonts w:eastAsia="Times New Roman"/>
                <w:noProof/>
                <w:szCs w:val="24"/>
                <w:lang w:val="en-IE" w:eastAsia="en-IE"/>
              </w:rPr>
            </w:pPr>
            <w:r w:rsidRPr="00B314C8">
              <w:rPr>
                <w:rFonts w:eastAsia="Times New Roman"/>
                <w:b/>
                <w:bCs/>
                <w:noProof/>
                <w:sz w:val="22"/>
                <w:lang w:val="en-IE" w:eastAsia="en-IE"/>
              </w:rPr>
              <w:t xml:space="preserve">TOTAL appropriations </w:t>
            </w:r>
            <w:r w:rsidRPr="00B314C8">
              <w:rPr>
                <w:rFonts w:eastAsia="Times New Roman"/>
                <w:noProof/>
                <w:sz w:val="22"/>
                <w:lang w:val="en-IE" w:eastAsia="en-IE"/>
              </w:rPr>
              <w:t> </w:t>
            </w:r>
            <w:r w:rsidRPr="00B314C8">
              <w:rPr>
                <w:rFonts w:eastAsia="Times New Roman"/>
                <w:noProof/>
                <w:sz w:val="22"/>
                <w:lang w:val="en-IE" w:eastAsia="en-IE"/>
              </w:rPr>
              <w:br/>
            </w:r>
            <w:r w:rsidRPr="00B314C8">
              <w:rPr>
                <w:rFonts w:eastAsia="Times New Roman"/>
                <w:b/>
                <w:bCs/>
                <w:noProof/>
                <w:sz w:val="22"/>
                <w:lang w:val="en-IE" w:eastAsia="en-IE"/>
              </w:rPr>
              <w:t>under HEADINGS 1 to 7</w:t>
            </w:r>
            <w:r w:rsidRPr="00B314C8">
              <w:rPr>
                <w:rFonts w:eastAsia="Times New Roman"/>
                <w:noProof/>
                <w:sz w:val="22"/>
                <w:lang w:val="en-IE" w:eastAsia="en-IE"/>
              </w:rPr>
              <w:t> </w:t>
            </w:r>
            <w:r w:rsidRPr="00B314C8">
              <w:rPr>
                <w:rFonts w:eastAsia="Times New Roman"/>
                <w:noProof/>
                <w:sz w:val="22"/>
                <w:lang w:val="en-IE" w:eastAsia="en-IE"/>
              </w:rPr>
              <w:br/>
              <w:t>of the multiannual financial framework</w:t>
            </w:r>
            <w:r w:rsidRPr="00B314C8">
              <w:rPr>
                <w:rFonts w:eastAsia="Times New Roman"/>
                <w:b/>
                <w:bCs/>
                <w:noProof/>
                <w:sz w:val="22"/>
                <w:lang w:val="en-IE" w:eastAsia="en-IE"/>
              </w:rPr>
              <w:t> </w:t>
            </w:r>
            <w:r w:rsidRPr="00B314C8">
              <w:rPr>
                <w:rFonts w:eastAsia="Times New Roman"/>
                <w:noProof/>
                <w:sz w:val="22"/>
                <w:lang w:val="en-IE" w:eastAsia="en-IE"/>
              </w:rPr>
              <w:t> </w:t>
            </w:r>
          </w:p>
        </w:tc>
        <w:tc>
          <w:tcPr>
            <w:tcW w:w="167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758E6E75" w14:textId="77777777" w:rsidR="008B5470" w:rsidRPr="00B314C8" w:rsidRDefault="008B5470" w:rsidP="008B5470">
            <w:pPr>
              <w:spacing w:before="0" w:after="0"/>
              <w:textAlignment w:val="baseline"/>
              <w:rPr>
                <w:rFonts w:eastAsia="Times New Roman"/>
                <w:noProof/>
                <w:szCs w:val="24"/>
                <w:lang w:val="en-IE" w:eastAsia="en-IE"/>
              </w:rPr>
            </w:pPr>
            <w:r w:rsidRPr="00B314C8">
              <w:rPr>
                <w:rFonts w:eastAsia="Times New Roman"/>
                <w:noProof/>
                <w:sz w:val="18"/>
                <w:szCs w:val="18"/>
                <w:lang w:val="en-IE" w:eastAsia="en-IE"/>
              </w:rPr>
              <w:t>Commitments </w:t>
            </w:r>
          </w:p>
        </w:tc>
        <w:tc>
          <w:tcPr>
            <w:tcW w:w="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43076D6" w14:textId="7F905221" w:rsidR="008B5470" w:rsidRPr="00B314C8" w:rsidRDefault="008B5470" w:rsidP="008B5470">
            <w:pPr>
              <w:spacing w:before="0" w:after="0"/>
              <w:jc w:val="center"/>
              <w:textAlignment w:val="baseline"/>
              <w:rPr>
                <w:rFonts w:eastAsia="Times New Roman"/>
                <w:noProof/>
                <w:szCs w:val="24"/>
                <w:lang w:val="en-IE" w:eastAsia="en-IE"/>
              </w:rPr>
            </w:pPr>
            <w:r w:rsidRPr="00E50A7A">
              <w:rPr>
                <w:noProof/>
                <w:sz w:val="20"/>
                <w:lang w:val="en-IE"/>
              </w:rPr>
              <w:t>0.2</w:t>
            </w:r>
            <w:r>
              <w:rPr>
                <w:noProof/>
                <w:sz w:val="20"/>
                <w:lang w:val="en-IE"/>
              </w:rPr>
              <w:t>5</w:t>
            </w:r>
            <w:r>
              <w:rPr>
                <w:noProof/>
              </w:rPr>
              <w:t>7</w:t>
            </w:r>
          </w:p>
        </w:tc>
        <w:tc>
          <w:tcPr>
            <w:tcW w:w="12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24BE529" w14:textId="5EABAC01" w:rsidR="008B5470" w:rsidRPr="00B314C8" w:rsidRDefault="008B5470" w:rsidP="008B5470">
            <w:pPr>
              <w:spacing w:before="0" w:after="0"/>
              <w:jc w:val="center"/>
              <w:textAlignment w:val="baseline"/>
              <w:rPr>
                <w:rFonts w:eastAsia="Times New Roman"/>
                <w:noProof/>
                <w:szCs w:val="24"/>
                <w:lang w:val="en-IE" w:eastAsia="en-IE"/>
              </w:rPr>
            </w:pPr>
            <w:r w:rsidRPr="00E50A7A">
              <w:rPr>
                <w:noProof/>
                <w:sz w:val="20"/>
                <w:lang w:val="en-IE"/>
              </w:rPr>
              <w:t>0.</w:t>
            </w:r>
            <w:r>
              <w:rPr>
                <w:noProof/>
                <w:sz w:val="20"/>
                <w:lang w:val="en-IE"/>
              </w:rPr>
              <w:t>444</w:t>
            </w:r>
          </w:p>
        </w:tc>
        <w:tc>
          <w:tcPr>
            <w:tcW w:w="12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4A2FB49" w14:textId="7AF2917B" w:rsidR="008B5470" w:rsidRPr="00B314C8" w:rsidRDefault="008B5470" w:rsidP="008B5470">
            <w:pPr>
              <w:spacing w:before="0" w:after="0"/>
              <w:jc w:val="center"/>
              <w:textAlignment w:val="baseline"/>
              <w:rPr>
                <w:rFonts w:eastAsia="Times New Roman"/>
                <w:noProof/>
                <w:szCs w:val="24"/>
                <w:lang w:val="en-IE" w:eastAsia="en-IE"/>
              </w:rPr>
            </w:pPr>
            <w:r w:rsidRPr="00E50A7A">
              <w:rPr>
                <w:noProof/>
                <w:sz w:val="20"/>
                <w:lang w:val="en-IE"/>
              </w:rPr>
              <w:t>0.</w:t>
            </w:r>
            <w:r>
              <w:rPr>
                <w:noProof/>
                <w:sz w:val="20"/>
                <w:lang w:val="en-IE"/>
              </w:rPr>
              <w:t>444</w:t>
            </w:r>
          </w:p>
        </w:tc>
        <w:tc>
          <w:tcPr>
            <w:tcW w:w="12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B8EEB7F" w14:textId="46C403D5" w:rsidR="008B5470" w:rsidRPr="00B314C8" w:rsidRDefault="008B5470" w:rsidP="008B5470">
            <w:pPr>
              <w:spacing w:before="0" w:after="0"/>
              <w:jc w:val="center"/>
              <w:textAlignment w:val="baseline"/>
              <w:rPr>
                <w:rFonts w:eastAsia="Times New Roman"/>
                <w:noProof/>
                <w:szCs w:val="24"/>
                <w:lang w:val="en-IE" w:eastAsia="en-IE"/>
              </w:rPr>
            </w:pPr>
            <w:r w:rsidRPr="00E50A7A">
              <w:rPr>
                <w:noProof/>
                <w:sz w:val="20"/>
                <w:lang w:val="en-IE"/>
              </w:rPr>
              <w:t>0.</w:t>
            </w:r>
            <w:r>
              <w:rPr>
                <w:noProof/>
                <w:sz w:val="20"/>
                <w:lang w:val="en-IE"/>
              </w:rPr>
              <w:t>444</w:t>
            </w:r>
          </w:p>
        </w:tc>
        <w:tc>
          <w:tcPr>
            <w:tcW w:w="12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4ED5F05" w14:textId="68D3EECC" w:rsidR="008B5470" w:rsidRPr="00B314C8" w:rsidRDefault="008B5470" w:rsidP="008B5470">
            <w:pPr>
              <w:spacing w:before="0" w:after="0"/>
              <w:jc w:val="center"/>
              <w:textAlignment w:val="baseline"/>
              <w:rPr>
                <w:rFonts w:eastAsia="Times New Roman"/>
                <w:noProof/>
                <w:szCs w:val="24"/>
                <w:lang w:val="en-IE" w:eastAsia="en-IE"/>
              </w:rPr>
            </w:pPr>
            <w:r w:rsidRPr="00E50A7A">
              <w:rPr>
                <w:noProof/>
                <w:sz w:val="20"/>
                <w:lang w:val="en-IE"/>
              </w:rPr>
              <w:t>0.</w:t>
            </w:r>
            <w:r>
              <w:rPr>
                <w:noProof/>
                <w:sz w:val="20"/>
                <w:lang w:val="en-IE"/>
              </w:rPr>
              <w:t>444</w:t>
            </w:r>
          </w:p>
        </w:tc>
        <w:tc>
          <w:tcPr>
            <w:tcW w:w="172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016334A3" w14:textId="257D01F2" w:rsidR="008B5470" w:rsidRPr="00B314C8" w:rsidRDefault="008B5470" w:rsidP="008B5470">
            <w:pPr>
              <w:spacing w:before="0" w:after="0"/>
              <w:jc w:val="center"/>
              <w:textAlignment w:val="baseline"/>
              <w:rPr>
                <w:rFonts w:eastAsia="Times New Roman"/>
                <w:noProof/>
                <w:szCs w:val="24"/>
                <w:lang w:val="en-IE" w:eastAsia="en-IE"/>
              </w:rPr>
            </w:pPr>
            <w:r>
              <w:rPr>
                <w:rStyle w:val="normaltextrun"/>
                <w:b/>
                <w:bCs/>
                <w:noProof/>
                <w:color w:val="000000"/>
                <w:sz w:val="20"/>
                <w:szCs w:val="20"/>
                <w:lang w:val="en-IE"/>
              </w:rPr>
              <w:t>2,033</w:t>
            </w:r>
          </w:p>
        </w:tc>
      </w:tr>
      <w:tr w:rsidR="008B5470" w:rsidRPr="00B314C8" w14:paraId="6FAA2963" w14:textId="77777777" w:rsidTr="008B5470">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A2A71CC" w14:textId="77777777" w:rsidR="008B5470" w:rsidRPr="00B314C8" w:rsidRDefault="008B5470" w:rsidP="008B5470">
            <w:pPr>
              <w:spacing w:before="0" w:after="0"/>
              <w:jc w:val="left"/>
              <w:rPr>
                <w:rFonts w:eastAsia="Times New Roman"/>
                <w:noProof/>
                <w:szCs w:val="24"/>
                <w:lang w:val="en-IE" w:eastAsia="en-IE"/>
              </w:rPr>
            </w:pPr>
          </w:p>
        </w:tc>
        <w:tc>
          <w:tcPr>
            <w:tcW w:w="167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695C573A" w14:textId="77777777" w:rsidR="008B5470" w:rsidRPr="00B314C8" w:rsidRDefault="008B5470" w:rsidP="008B5470">
            <w:pPr>
              <w:spacing w:before="0" w:after="0"/>
              <w:textAlignment w:val="baseline"/>
              <w:rPr>
                <w:rFonts w:eastAsia="Times New Roman"/>
                <w:noProof/>
                <w:szCs w:val="24"/>
                <w:lang w:val="en-IE" w:eastAsia="en-IE"/>
              </w:rPr>
            </w:pPr>
            <w:r w:rsidRPr="00B314C8">
              <w:rPr>
                <w:rFonts w:eastAsia="Times New Roman"/>
                <w:noProof/>
                <w:sz w:val="18"/>
                <w:szCs w:val="18"/>
                <w:lang w:val="en-IE" w:eastAsia="en-IE"/>
              </w:rPr>
              <w:t>Payments </w:t>
            </w:r>
          </w:p>
        </w:tc>
        <w:tc>
          <w:tcPr>
            <w:tcW w:w="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68B4E26" w14:textId="47C061BA" w:rsidR="008B5470" w:rsidRPr="00B314C8" w:rsidRDefault="008B5470" w:rsidP="008B5470">
            <w:pPr>
              <w:spacing w:before="0" w:after="0"/>
              <w:jc w:val="center"/>
              <w:textAlignment w:val="baseline"/>
              <w:rPr>
                <w:rFonts w:eastAsia="Times New Roman"/>
                <w:noProof/>
                <w:szCs w:val="24"/>
                <w:lang w:val="en-IE" w:eastAsia="en-IE"/>
              </w:rPr>
            </w:pPr>
            <w:r w:rsidRPr="00E50A7A">
              <w:rPr>
                <w:noProof/>
                <w:sz w:val="20"/>
                <w:lang w:val="en-IE"/>
              </w:rPr>
              <w:t>0.2</w:t>
            </w:r>
            <w:r>
              <w:rPr>
                <w:noProof/>
                <w:sz w:val="20"/>
                <w:lang w:val="en-IE"/>
              </w:rPr>
              <w:t>5</w:t>
            </w:r>
            <w:r>
              <w:rPr>
                <w:noProof/>
              </w:rPr>
              <w:t>7</w:t>
            </w:r>
          </w:p>
        </w:tc>
        <w:tc>
          <w:tcPr>
            <w:tcW w:w="12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941C7DD" w14:textId="3A71FAFB" w:rsidR="008B5470" w:rsidRPr="00B314C8" w:rsidRDefault="008B5470" w:rsidP="008B5470">
            <w:pPr>
              <w:spacing w:before="0" w:after="0"/>
              <w:jc w:val="center"/>
              <w:textAlignment w:val="baseline"/>
              <w:rPr>
                <w:rFonts w:eastAsia="Times New Roman"/>
                <w:noProof/>
                <w:szCs w:val="24"/>
                <w:lang w:val="en-IE" w:eastAsia="en-IE"/>
              </w:rPr>
            </w:pPr>
            <w:r w:rsidRPr="00E50A7A">
              <w:rPr>
                <w:noProof/>
                <w:sz w:val="20"/>
                <w:lang w:val="en-IE"/>
              </w:rPr>
              <w:t>0.</w:t>
            </w:r>
            <w:r>
              <w:rPr>
                <w:noProof/>
                <w:sz w:val="20"/>
                <w:lang w:val="en-IE"/>
              </w:rPr>
              <w:t>444</w:t>
            </w:r>
          </w:p>
        </w:tc>
        <w:tc>
          <w:tcPr>
            <w:tcW w:w="12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B9D7519" w14:textId="41B643ED" w:rsidR="008B5470" w:rsidRPr="00B314C8" w:rsidRDefault="008B5470" w:rsidP="008B5470">
            <w:pPr>
              <w:spacing w:before="0" w:after="0"/>
              <w:jc w:val="center"/>
              <w:textAlignment w:val="baseline"/>
              <w:rPr>
                <w:rFonts w:eastAsia="Times New Roman"/>
                <w:noProof/>
                <w:szCs w:val="24"/>
                <w:lang w:val="en-IE" w:eastAsia="en-IE"/>
              </w:rPr>
            </w:pPr>
            <w:r w:rsidRPr="00E50A7A">
              <w:rPr>
                <w:noProof/>
                <w:sz w:val="20"/>
                <w:lang w:val="en-IE"/>
              </w:rPr>
              <w:t>0.</w:t>
            </w:r>
            <w:r>
              <w:rPr>
                <w:noProof/>
                <w:sz w:val="20"/>
                <w:lang w:val="en-IE"/>
              </w:rPr>
              <w:t>444</w:t>
            </w:r>
          </w:p>
        </w:tc>
        <w:tc>
          <w:tcPr>
            <w:tcW w:w="12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2A23E30" w14:textId="0858C5A6" w:rsidR="008B5470" w:rsidRPr="00B314C8" w:rsidRDefault="008B5470" w:rsidP="008B5470">
            <w:pPr>
              <w:spacing w:before="0" w:after="0"/>
              <w:jc w:val="center"/>
              <w:textAlignment w:val="baseline"/>
              <w:rPr>
                <w:rFonts w:eastAsia="Times New Roman"/>
                <w:noProof/>
                <w:szCs w:val="24"/>
                <w:lang w:val="en-IE" w:eastAsia="en-IE"/>
              </w:rPr>
            </w:pPr>
            <w:r w:rsidRPr="00E50A7A">
              <w:rPr>
                <w:noProof/>
                <w:sz w:val="20"/>
                <w:lang w:val="en-IE"/>
              </w:rPr>
              <w:t>0.</w:t>
            </w:r>
            <w:r>
              <w:rPr>
                <w:noProof/>
                <w:sz w:val="20"/>
                <w:lang w:val="en-IE"/>
              </w:rPr>
              <w:t>444</w:t>
            </w:r>
          </w:p>
        </w:tc>
        <w:tc>
          <w:tcPr>
            <w:tcW w:w="12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53885E2" w14:textId="50A33005" w:rsidR="008B5470" w:rsidRPr="00B314C8" w:rsidRDefault="008B5470" w:rsidP="008B5470">
            <w:pPr>
              <w:spacing w:before="0" w:after="0"/>
              <w:jc w:val="center"/>
              <w:textAlignment w:val="baseline"/>
              <w:rPr>
                <w:rFonts w:eastAsia="Times New Roman"/>
                <w:noProof/>
                <w:szCs w:val="24"/>
                <w:lang w:val="en-IE" w:eastAsia="en-IE"/>
              </w:rPr>
            </w:pPr>
            <w:r w:rsidRPr="00E50A7A">
              <w:rPr>
                <w:noProof/>
                <w:sz w:val="20"/>
                <w:lang w:val="en-IE"/>
              </w:rPr>
              <w:t>0.</w:t>
            </w:r>
            <w:r>
              <w:rPr>
                <w:noProof/>
                <w:sz w:val="20"/>
                <w:lang w:val="en-IE"/>
              </w:rPr>
              <w:t>444</w:t>
            </w:r>
          </w:p>
        </w:tc>
        <w:tc>
          <w:tcPr>
            <w:tcW w:w="172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14753620" w14:textId="1F760AEE" w:rsidR="008B5470" w:rsidRPr="00B314C8" w:rsidRDefault="008B5470" w:rsidP="008B5470">
            <w:pPr>
              <w:spacing w:before="0" w:after="0"/>
              <w:jc w:val="center"/>
              <w:textAlignment w:val="baseline"/>
              <w:rPr>
                <w:rFonts w:eastAsia="Times New Roman"/>
                <w:noProof/>
                <w:szCs w:val="24"/>
                <w:lang w:val="en-IE" w:eastAsia="en-IE"/>
              </w:rPr>
            </w:pPr>
            <w:r>
              <w:rPr>
                <w:rStyle w:val="normaltextrun"/>
                <w:b/>
                <w:bCs/>
                <w:noProof/>
                <w:color w:val="000000"/>
                <w:sz w:val="20"/>
                <w:szCs w:val="20"/>
                <w:lang w:val="en-IE"/>
              </w:rPr>
              <w:t>2,033</w:t>
            </w:r>
          </w:p>
        </w:tc>
      </w:tr>
    </w:tbl>
    <w:p w14:paraId="6E02AAE8" w14:textId="77777777" w:rsidR="00682C4D" w:rsidRPr="00B314C8" w:rsidRDefault="00682C4D" w:rsidP="00682C4D">
      <w:pPr>
        <w:spacing w:before="0" w:after="0"/>
        <w:textAlignment w:val="baseline"/>
        <w:rPr>
          <w:rFonts w:ascii="Segoe UI" w:eastAsia="Times New Roman" w:hAnsi="Segoe UI" w:cs="Segoe UI"/>
          <w:noProof/>
          <w:sz w:val="18"/>
          <w:szCs w:val="18"/>
          <w:lang w:val="en-IE" w:eastAsia="en-IE"/>
        </w:rPr>
      </w:pPr>
      <w:r w:rsidRPr="00B314C8">
        <w:rPr>
          <w:rFonts w:eastAsia="Times New Roman"/>
          <w:noProof/>
          <w:szCs w:val="24"/>
          <w:lang w:val="en-IE" w:eastAsia="en-IE"/>
        </w:rPr>
        <w:t> </w:t>
      </w:r>
    </w:p>
    <w:p w14:paraId="77636E81" w14:textId="77777777" w:rsidR="00BD152F" w:rsidRPr="00E50A7A" w:rsidRDefault="00BD152F" w:rsidP="00B00391">
      <w:pPr>
        <w:rPr>
          <w:noProof/>
          <w:lang w:val="en-IE"/>
        </w:rPr>
      </w:pPr>
    </w:p>
    <w:p w14:paraId="3C933E2E" w14:textId="77777777" w:rsidR="00BD152F" w:rsidRPr="00E50A7A" w:rsidRDefault="00BD152F" w:rsidP="00B00391">
      <w:pPr>
        <w:pStyle w:val="ManualHeading3"/>
        <w:rPr>
          <w:bCs/>
          <w:noProof/>
          <w:szCs w:val="24"/>
          <w:lang w:val="en-IE"/>
        </w:rPr>
      </w:pPr>
      <w:r w:rsidRPr="00E50A7A">
        <w:rPr>
          <w:noProof/>
          <w:lang w:val="en-IE"/>
        </w:rPr>
        <w:t>3.2.2.</w:t>
      </w:r>
      <w:r w:rsidRPr="00E50A7A">
        <w:rPr>
          <w:noProof/>
          <w:lang w:val="en-IE"/>
        </w:rPr>
        <w:tab/>
        <w:t xml:space="preserve">Estimated output funded with operational appropriations </w:t>
      </w:r>
    </w:p>
    <w:p w14:paraId="77C5332A" w14:textId="77777777" w:rsidR="00BD152F" w:rsidRPr="00E50A7A" w:rsidRDefault="00BD152F" w:rsidP="00B00391">
      <w:pPr>
        <w:jc w:val="right"/>
        <w:rPr>
          <w:noProof/>
          <w:sz w:val="20"/>
          <w:lang w:val="en-IE"/>
        </w:rPr>
      </w:pPr>
      <w:r w:rsidRPr="00E50A7A">
        <w:rPr>
          <w:noProof/>
          <w:sz w:val="20"/>
          <w:lang w:val="en-IE"/>
        </w:rPr>
        <w:t>Commitment appropriations in EUR million (to three decimal places)</w:t>
      </w: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720"/>
        <w:gridCol w:w="540"/>
        <w:gridCol w:w="720"/>
        <w:gridCol w:w="720"/>
        <w:gridCol w:w="720"/>
        <w:gridCol w:w="900"/>
        <w:gridCol w:w="51"/>
        <w:gridCol w:w="669"/>
        <w:gridCol w:w="540"/>
        <w:gridCol w:w="648"/>
        <w:gridCol w:w="432"/>
        <w:gridCol w:w="720"/>
        <w:gridCol w:w="540"/>
        <w:gridCol w:w="720"/>
        <w:gridCol w:w="720"/>
        <w:gridCol w:w="900"/>
      </w:tblGrid>
      <w:tr w:rsidR="00BD152F" w:rsidRPr="00B314C8" w14:paraId="3650CA11" w14:textId="77777777" w:rsidTr="1BD3479F">
        <w:trPr>
          <w:jc w:val="center"/>
        </w:trPr>
        <w:tc>
          <w:tcPr>
            <w:tcW w:w="1423" w:type="dxa"/>
            <w:vMerge w:val="restart"/>
            <w:vAlign w:val="center"/>
          </w:tcPr>
          <w:p w14:paraId="6348C4E5" w14:textId="77777777" w:rsidR="00BD152F" w:rsidRPr="00E50A7A" w:rsidRDefault="00BD152F" w:rsidP="00B00391">
            <w:pPr>
              <w:ind w:right="-29"/>
              <w:jc w:val="center"/>
              <w:rPr>
                <w:b/>
                <w:noProof/>
                <w:sz w:val="18"/>
                <w:szCs w:val="18"/>
                <w:lang w:val="en-IE"/>
              </w:rPr>
            </w:pPr>
            <w:r w:rsidRPr="00E50A7A">
              <w:rPr>
                <w:b/>
                <w:noProof/>
                <w:sz w:val="18"/>
                <w:lang w:val="en-IE"/>
              </w:rPr>
              <w:t xml:space="preserve">Indicate objectives and outputs </w:t>
            </w:r>
          </w:p>
          <w:p w14:paraId="79B68218" w14:textId="77777777" w:rsidR="00BD152F" w:rsidRPr="00E50A7A" w:rsidRDefault="00BD152F" w:rsidP="00B00391">
            <w:pPr>
              <w:ind w:right="-29"/>
              <w:jc w:val="center"/>
              <w:rPr>
                <w:b/>
                <w:noProof/>
                <w:sz w:val="18"/>
                <w:szCs w:val="18"/>
                <w:lang w:val="en-IE"/>
              </w:rPr>
            </w:pPr>
          </w:p>
          <w:p w14:paraId="69A9CB0D" w14:textId="77777777" w:rsidR="00BD152F" w:rsidRPr="00E50A7A" w:rsidRDefault="00BD152F" w:rsidP="00B00391">
            <w:pPr>
              <w:ind w:right="-29"/>
              <w:jc w:val="center"/>
              <w:rPr>
                <w:noProof/>
                <w:sz w:val="18"/>
                <w:szCs w:val="18"/>
                <w:lang w:val="en-IE"/>
              </w:rPr>
            </w:pPr>
            <w:r w:rsidRPr="00E50A7A">
              <w:rPr>
                <w:rFonts w:ascii="Wingdings" w:eastAsia="Wingdings" w:hAnsi="Wingdings" w:cs="Wingdings"/>
                <w:noProof/>
                <w:sz w:val="18"/>
                <w:lang w:val="en-IE"/>
              </w:rPr>
              <w:t></w:t>
            </w:r>
          </w:p>
        </w:tc>
        <w:tc>
          <w:tcPr>
            <w:tcW w:w="720" w:type="dxa"/>
            <w:vAlign w:val="center"/>
          </w:tcPr>
          <w:p w14:paraId="31DFA723" w14:textId="77777777" w:rsidR="00BD152F" w:rsidRPr="00E50A7A" w:rsidRDefault="00BD152F" w:rsidP="00B00391">
            <w:pPr>
              <w:ind w:right="-29"/>
              <w:jc w:val="center"/>
              <w:rPr>
                <w:noProof/>
                <w:sz w:val="18"/>
                <w:szCs w:val="18"/>
                <w:lang w:val="en-IE"/>
              </w:rPr>
            </w:pPr>
          </w:p>
        </w:tc>
        <w:tc>
          <w:tcPr>
            <w:tcW w:w="701" w:type="dxa"/>
            <w:vAlign w:val="center"/>
          </w:tcPr>
          <w:p w14:paraId="6C1BB564" w14:textId="77777777" w:rsidR="00BD152F" w:rsidRPr="00E50A7A" w:rsidRDefault="00BD152F" w:rsidP="00B00391">
            <w:pPr>
              <w:ind w:right="-29"/>
              <w:jc w:val="center"/>
              <w:rPr>
                <w:noProof/>
                <w:sz w:val="18"/>
                <w:szCs w:val="18"/>
                <w:lang w:val="en-IE"/>
              </w:rPr>
            </w:pPr>
          </w:p>
        </w:tc>
        <w:tc>
          <w:tcPr>
            <w:tcW w:w="1224" w:type="dxa"/>
            <w:gridSpan w:val="2"/>
            <w:tcBorders>
              <w:left w:val="nil"/>
            </w:tcBorders>
            <w:vAlign w:val="center"/>
          </w:tcPr>
          <w:p w14:paraId="7E0AA8B2" w14:textId="77777777" w:rsidR="00BD152F" w:rsidRPr="00E50A7A" w:rsidRDefault="00BD152F" w:rsidP="00B00391">
            <w:pPr>
              <w:ind w:right="-29"/>
              <w:jc w:val="center"/>
              <w:rPr>
                <w:noProof/>
                <w:sz w:val="18"/>
                <w:szCs w:val="18"/>
                <w:lang w:val="en-IE"/>
              </w:rPr>
            </w:pPr>
            <w:r w:rsidRPr="00E50A7A">
              <w:rPr>
                <w:noProof/>
                <w:sz w:val="18"/>
                <w:lang w:val="en-IE"/>
              </w:rPr>
              <w:t>Year</w:t>
            </w:r>
            <w:r w:rsidRPr="00E50A7A">
              <w:rPr>
                <w:noProof/>
                <w:sz w:val="22"/>
                <w:lang w:val="en-IE"/>
              </w:rPr>
              <w:br/>
            </w:r>
            <w:r w:rsidRPr="00E50A7A">
              <w:rPr>
                <w:b/>
                <w:noProof/>
                <w:sz w:val="18"/>
                <w:lang w:val="en-IE"/>
              </w:rPr>
              <w:t>N</w:t>
            </w:r>
          </w:p>
        </w:tc>
        <w:tc>
          <w:tcPr>
            <w:tcW w:w="1260" w:type="dxa"/>
            <w:gridSpan w:val="2"/>
            <w:vAlign w:val="center"/>
          </w:tcPr>
          <w:p w14:paraId="79F6C01A" w14:textId="77777777" w:rsidR="00BD152F" w:rsidRPr="00E50A7A" w:rsidRDefault="00BD152F" w:rsidP="00B00391">
            <w:pPr>
              <w:ind w:right="-29"/>
              <w:jc w:val="center"/>
              <w:rPr>
                <w:noProof/>
                <w:sz w:val="18"/>
                <w:szCs w:val="18"/>
                <w:lang w:val="en-IE"/>
              </w:rPr>
            </w:pPr>
            <w:r w:rsidRPr="00E50A7A">
              <w:rPr>
                <w:noProof/>
                <w:sz w:val="18"/>
                <w:lang w:val="en-IE"/>
              </w:rPr>
              <w:t>Year</w:t>
            </w:r>
            <w:r w:rsidRPr="00E50A7A">
              <w:rPr>
                <w:noProof/>
                <w:sz w:val="22"/>
                <w:lang w:val="en-IE"/>
              </w:rPr>
              <w:br/>
            </w:r>
            <w:r w:rsidRPr="00E50A7A">
              <w:rPr>
                <w:b/>
                <w:noProof/>
                <w:sz w:val="18"/>
                <w:lang w:val="en-IE"/>
              </w:rPr>
              <w:t>N+1</w:t>
            </w:r>
          </w:p>
        </w:tc>
        <w:tc>
          <w:tcPr>
            <w:tcW w:w="1440" w:type="dxa"/>
            <w:gridSpan w:val="2"/>
            <w:vAlign w:val="center"/>
          </w:tcPr>
          <w:p w14:paraId="0A34A700" w14:textId="77777777" w:rsidR="00BD152F" w:rsidRPr="00E50A7A" w:rsidRDefault="00BD152F" w:rsidP="00B00391">
            <w:pPr>
              <w:ind w:right="-29"/>
              <w:jc w:val="center"/>
              <w:rPr>
                <w:noProof/>
                <w:sz w:val="18"/>
                <w:szCs w:val="18"/>
                <w:lang w:val="en-IE"/>
              </w:rPr>
            </w:pPr>
            <w:r w:rsidRPr="00E50A7A">
              <w:rPr>
                <w:noProof/>
                <w:sz w:val="18"/>
                <w:lang w:val="en-IE"/>
              </w:rPr>
              <w:t>Year</w:t>
            </w:r>
            <w:r w:rsidRPr="00E50A7A">
              <w:rPr>
                <w:noProof/>
                <w:sz w:val="22"/>
                <w:lang w:val="en-IE"/>
              </w:rPr>
              <w:br/>
            </w:r>
            <w:r w:rsidRPr="00E50A7A">
              <w:rPr>
                <w:b/>
                <w:noProof/>
                <w:sz w:val="18"/>
                <w:lang w:val="en-IE"/>
              </w:rPr>
              <w:t>N+2</w:t>
            </w:r>
          </w:p>
        </w:tc>
        <w:tc>
          <w:tcPr>
            <w:tcW w:w="1620" w:type="dxa"/>
            <w:gridSpan w:val="3"/>
            <w:vAlign w:val="center"/>
          </w:tcPr>
          <w:p w14:paraId="20F760BA" w14:textId="77777777" w:rsidR="00BD152F" w:rsidRPr="00E50A7A" w:rsidRDefault="00BD152F" w:rsidP="00B00391">
            <w:pPr>
              <w:ind w:right="-29"/>
              <w:jc w:val="center"/>
              <w:rPr>
                <w:noProof/>
                <w:sz w:val="18"/>
                <w:szCs w:val="18"/>
                <w:lang w:val="en-IE"/>
              </w:rPr>
            </w:pPr>
            <w:r w:rsidRPr="00E50A7A">
              <w:rPr>
                <w:noProof/>
                <w:sz w:val="18"/>
                <w:lang w:val="en-IE"/>
              </w:rPr>
              <w:t>Year</w:t>
            </w:r>
            <w:r w:rsidRPr="00E50A7A">
              <w:rPr>
                <w:noProof/>
                <w:sz w:val="22"/>
                <w:lang w:val="en-IE"/>
              </w:rPr>
              <w:br/>
            </w:r>
            <w:r w:rsidRPr="00E50A7A">
              <w:rPr>
                <w:b/>
                <w:noProof/>
                <w:sz w:val="18"/>
                <w:lang w:val="en-IE"/>
              </w:rPr>
              <w:t>N+3</w:t>
            </w:r>
          </w:p>
        </w:tc>
        <w:tc>
          <w:tcPr>
            <w:tcW w:w="3600" w:type="dxa"/>
            <w:gridSpan w:val="6"/>
            <w:vAlign w:val="center"/>
          </w:tcPr>
          <w:p w14:paraId="4D467C1D" w14:textId="77777777" w:rsidR="00BD152F" w:rsidRPr="00E50A7A" w:rsidRDefault="00BD152F" w:rsidP="00B00391">
            <w:pPr>
              <w:jc w:val="center"/>
              <w:rPr>
                <w:noProof/>
                <w:sz w:val="18"/>
                <w:szCs w:val="18"/>
                <w:lang w:val="en-IE"/>
              </w:rPr>
            </w:pPr>
            <w:r w:rsidRPr="00E50A7A">
              <w:rPr>
                <w:noProof/>
                <w:sz w:val="18"/>
                <w:lang w:val="en-IE"/>
              </w:rPr>
              <w:t>Enter as many years as necessary to show the duration of the impact (see point 1.6)</w:t>
            </w:r>
          </w:p>
        </w:tc>
        <w:tc>
          <w:tcPr>
            <w:tcW w:w="1620" w:type="dxa"/>
            <w:gridSpan w:val="2"/>
            <w:tcBorders>
              <w:left w:val="nil"/>
              <w:bottom w:val="nil"/>
            </w:tcBorders>
            <w:vAlign w:val="center"/>
          </w:tcPr>
          <w:p w14:paraId="24143563" w14:textId="77777777" w:rsidR="00BD152F" w:rsidRPr="00E50A7A" w:rsidRDefault="00BD152F" w:rsidP="00B00391">
            <w:pPr>
              <w:ind w:right="-29"/>
              <w:jc w:val="center"/>
              <w:rPr>
                <w:noProof/>
                <w:sz w:val="18"/>
                <w:szCs w:val="18"/>
                <w:lang w:val="en-IE"/>
              </w:rPr>
            </w:pPr>
            <w:r w:rsidRPr="00E50A7A">
              <w:rPr>
                <w:b/>
                <w:noProof/>
                <w:sz w:val="18"/>
                <w:lang w:val="en-IE"/>
              </w:rPr>
              <w:t>TOTAL</w:t>
            </w:r>
          </w:p>
        </w:tc>
      </w:tr>
      <w:tr w:rsidR="00BD152F" w:rsidRPr="00B314C8" w14:paraId="1A8EE6CC" w14:textId="77777777" w:rsidTr="1BD3479F">
        <w:trPr>
          <w:jc w:val="center"/>
        </w:trPr>
        <w:tc>
          <w:tcPr>
            <w:tcW w:w="1423" w:type="dxa"/>
            <w:vMerge/>
            <w:vAlign w:val="center"/>
          </w:tcPr>
          <w:p w14:paraId="5464C35E" w14:textId="77777777" w:rsidR="00BD152F" w:rsidRPr="00E50A7A" w:rsidRDefault="00BD152F" w:rsidP="00B00391">
            <w:pPr>
              <w:ind w:right="-29"/>
              <w:jc w:val="center"/>
              <w:rPr>
                <w:noProof/>
                <w:sz w:val="18"/>
                <w:szCs w:val="18"/>
                <w:lang w:val="en-IE"/>
              </w:rPr>
            </w:pPr>
          </w:p>
        </w:tc>
        <w:tc>
          <w:tcPr>
            <w:tcW w:w="12185" w:type="dxa"/>
            <w:gridSpan w:val="19"/>
            <w:vAlign w:val="center"/>
          </w:tcPr>
          <w:p w14:paraId="38A7DB25" w14:textId="77777777" w:rsidR="00BD152F" w:rsidRPr="00E50A7A" w:rsidRDefault="00BD152F" w:rsidP="00B00391">
            <w:pPr>
              <w:spacing w:before="60" w:after="60"/>
              <w:ind w:right="-29"/>
              <w:jc w:val="center"/>
              <w:rPr>
                <w:noProof/>
                <w:sz w:val="18"/>
                <w:szCs w:val="18"/>
                <w:lang w:val="en-IE"/>
              </w:rPr>
            </w:pPr>
            <w:r w:rsidRPr="00E50A7A">
              <w:rPr>
                <w:b/>
                <w:noProof/>
                <w:sz w:val="18"/>
                <w:lang w:val="en-IE"/>
              </w:rPr>
              <w:t>OUTPUTS</w:t>
            </w:r>
          </w:p>
        </w:tc>
      </w:tr>
      <w:tr w:rsidR="00BD152F" w:rsidRPr="00B314C8" w14:paraId="5E823154" w14:textId="77777777" w:rsidTr="1BD3479F">
        <w:trPr>
          <w:cantSplit/>
          <w:trHeight w:val="1134"/>
          <w:jc w:val="center"/>
        </w:trPr>
        <w:tc>
          <w:tcPr>
            <w:tcW w:w="1423" w:type="dxa"/>
            <w:vMerge/>
            <w:vAlign w:val="center"/>
          </w:tcPr>
          <w:p w14:paraId="7738D71B" w14:textId="77777777" w:rsidR="00BD152F" w:rsidRPr="00E50A7A" w:rsidRDefault="00BD152F" w:rsidP="00B00391">
            <w:pPr>
              <w:rPr>
                <w:noProof/>
                <w:sz w:val="18"/>
                <w:szCs w:val="18"/>
                <w:lang w:val="en-IE"/>
              </w:rPr>
            </w:pPr>
          </w:p>
        </w:tc>
        <w:tc>
          <w:tcPr>
            <w:tcW w:w="720" w:type="dxa"/>
            <w:vAlign w:val="center"/>
          </w:tcPr>
          <w:p w14:paraId="5AA10D16" w14:textId="77777777" w:rsidR="00BD152F" w:rsidRPr="00E50A7A" w:rsidRDefault="76754597" w:rsidP="00B00391">
            <w:pPr>
              <w:jc w:val="center"/>
              <w:rPr>
                <w:noProof/>
                <w:sz w:val="18"/>
                <w:szCs w:val="18"/>
                <w:lang w:val="en-IE"/>
              </w:rPr>
            </w:pPr>
            <w:r w:rsidRPr="00E50A7A">
              <w:rPr>
                <w:noProof/>
                <w:sz w:val="18"/>
                <w:szCs w:val="18"/>
                <w:lang w:val="en-IE"/>
              </w:rPr>
              <w:t>Type</w:t>
            </w:r>
            <w:r w:rsidR="00BD152F" w:rsidRPr="00E50A7A">
              <w:rPr>
                <w:rStyle w:val="FootnoteReference"/>
                <w:noProof/>
                <w:sz w:val="18"/>
                <w:szCs w:val="18"/>
                <w:lang w:val="en-IE"/>
              </w:rPr>
              <w:footnoteReference w:id="92"/>
            </w:r>
          </w:p>
          <w:p w14:paraId="6F7FDC95" w14:textId="77777777" w:rsidR="00BD152F" w:rsidRPr="00E50A7A" w:rsidRDefault="00BD152F" w:rsidP="00B00391">
            <w:pPr>
              <w:spacing w:before="0" w:after="0"/>
              <w:jc w:val="center"/>
              <w:rPr>
                <w:noProof/>
                <w:sz w:val="18"/>
                <w:szCs w:val="18"/>
                <w:lang w:val="en-IE"/>
              </w:rPr>
            </w:pPr>
          </w:p>
        </w:tc>
        <w:tc>
          <w:tcPr>
            <w:tcW w:w="701" w:type="dxa"/>
            <w:vAlign w:val="center"/>
          </w:tcPr>
          <w:p w14:paraId="173E26EF" w14:textId="77777777" w:rsidR="00BD152F" w:rsidRPr="00E50A7A" w:rsidRDefault="00BD152F" w:rsidP="00B00391">
            <w:pPr>
              <w:jc w:val="center"/>
              <w:rPr>
                <w:noProof/>
                <w:sz w:val="18"/>
                <w:szCs w:val="18"/>
                <w:lang w:val="en-IE"/>
              </w:rPr>
            </w:pPr>
            <w:r w:rsidRPr="00E50A7A">
              <w:rPr>
                <w:noProof/>
                <w:sz w:val="18"/>
                <w:lang w:val="en-IE"/>
              </w:rPr>
              <w:t>Average cost</w:t>
            </w:r>
          </w:p>
        </w:tc>
        <w:tc>
          <w:tcPr>
            <w:tcW w:w="504" w:type="dxa"/>
            <w:tcBorders>
              <w:left w:val="nil"/>
              <w:right w:val="dashSmallGap" w:sz="4" w:space="0" w:color="auto"/>
            </w:tcBorders>
            <w:shd w:val="clear" w:color="auto" w:fill="auto"/>
            <w:textDirection w:val="btLr"/>
            <w:vAlign w:val="center"/>
          </w:tcPr>
          <w:p w14:paraId="46685A64" w14:textId="77777777" w:rsidR="00BD152F" w:rsidRPr="00E50A7A" w:rsidRDefault="00BD152F" w:rsidP="00B00391">
            <w:pPr>
              <w:ind w:left="113" w:right="113"/>
              <w:jc w:val="center"/>
              <w:rPr>
                <w:noProof/>
                <w:sz w:val="18"/>
                <w:szCs w:val="18"/>
                <w:lang w:val="en-IE"/>
              </w:rPr>
            </w:pPr>
            <w:r w:rsidRPr="00E50A7A">
              <w:rPr>
                <w:noProof/>
                <w:sz w:val="18"/>
                <w:lang w:val="en-IE"/>
              </w:rPr>
              <w:t>No</w:t>
            </w:r>
          </w:p>
        </w:tc>
        <w:tc>
          <w:tcPr>
            <w:tcW w:w="720" w:type="dxa"/>
            <w:tcBorders>
              <w:left w:val="dashSmallGap" w:sz="4" w:space="0" w:color="auto"/>
            </w:tcBorders>
            <w:shd w:val="clear" w:color="auto" w:fill="auto"/>
            <w:vAlign w:val="center"/>
          </w:tcPr>
          <w:p w14:paraId="2C6097AE" w14:textId="77777777" w:rsidR="00BD152F" w:rsidRPr="00E50A7A" w:rsidRDefault="00BD152F" w:rsidP="00B00391">
            <w:pPr>
              <w:jc w:val="center"/>
              <w:rPr>
                <w:noProof/>
                <w:sz w:val="18"/>
                <w:szCs w:val="18"/>
                <w:lang w:val="en-IE"/>
              </w:rPr>
            </w:pPr>
            <w:r w:rsidRPr="00E50A7A">
              <w:rPr>
                <w:noProof/>
                <w:sz w:val="18"/>
                <w:lang w:val="en-IE"/>
              </w:rPr>
              <w:t>Cost</w:t>
            </w:r>
          </w:p>
        </w:tc>
        <w:tc>
          <w:tcPr>
            <w:tcW w:w="540" w:type="dxa"/>
            <w:tcBorders>
              <w:right w:val="dashSmallGap" w:sz="4" w:space="0" w:color="auto"/>
            </w:tcBorders>
            <w:shd w:val="clear" w:color="auto" w:fill="auto"/>
            <w:textDirection w:val="btLr"/>
            <w:vAlign w:val="center"/>
          </w:tcPr>
          <w:p w14:paraId="10A7B087" w14:textId="77777777" w:rsidR="00BD152F" w:rsidRPr="00E50A7A" w:rsidRDefault="00BD152F" w:rsidP="00B00391">
            <w:pPr>
              <w:ind w:left="113" w:right="113"/>
              <w:jc w:val="center"/>
              <w:rPr>
                <w:noProof/>
                <w:sz w:val="18"/>
                <w:szCs w:val="18"/>
                <w:lang w:val="en-IE"/>
              </w:rPr>
            </w:pPr>
            <w:r w:rsidRPr="00E50A7A">
              <w:rPr>
                <w:noProof/>
                <w:sz w:val="18"/>
                <w:lang w:val="en-IE"/>
              </w:rPr>
              <w:t>No</w:t>
            </w:r>
          </w:p>
        </w:tc>
        <w:tc>
          <w:tcPr>
            <w:tcW w:w="720" w:type="dxa"/>
            <w:tcBorders>
              <w:left w:val="dashSmallGap" w:sz="4" w:space="0" w:color="auto"/>
            </w:tcBorders>
            <w:shd w:val="clear" w:color="auto" w:fill="auto"/>
            <w:vAlign w:val="center"/>
          </w:tcPr>
          <w:p w14:paraId="0C2BD502" w14:textId="77777777" w:rsidR="00BD152F" w:rsidRPr="00E50A7A" w:rsidRDefault="00BD152F" w:rsidP="00B00391">
            <w:pPr>
              <w:jc w:val="center"/>
              <w:rPr>
                <w:noProof/>
                <w:sz w:val="18"/>
                <w:szCs w:val="18"/>
                <w:lang w:val="en-IE"/>
              </w:rPr>
            </w:pPr>
            <w:r w:rsidRPr="00E50A7A">
              <w:rPr>
                <w:noProof/>
                <w:sz w:val="18"/>
                <w:lang w:val="en-IE"/>
              </w:rPr>
              <w:t>Cost</w:t>
            </w:r>
          </w:p>
        </w:tc>
        <w:tc>
          <w:tcPr>
            <w:tcW w:w="720" w:type="dxa"/>
            <w:tcBorders>
              <w:right w:val="dashSmallGap" w:sz="4" w:space="0" w:color="auto"/>
            </w:tcBorders>
            <w:shd w:val="clear" w:color="auto" w:fill="auto"/>
            <w:textDirection w:val="btLr"/>
            <w:vAlign w:val="center"/>
          </w:tcPr>
          <w:p w14:paraId="0897566B" w14:textId="77777777" w:rsidR="00BD152F" w:rsidRPr="00E50A7A" w:rsidRDefault="00BD152F" w:rsidP="00B00391">
            <w:pPr>
              <w:ind w:left="113" w:right="113"/>
              <w:jc w:val="center"/>
              <w:rPr>
                <w:noProof/>
                <w:sz w:val="18"/>
                <w:szCs w:val="18"/>
                <w:lang w:val="en-IE"/>
              </w:rPr>
            </w:pPr>
            <w:r w:rsidRPr="00E50A7A">
              <w:rPr>
                <w:noProof/>
                <w:sz w:val="18"/>
                <w:lang w:val="en-IE"/>
              </w:rPr>
              <w:t>No</w:t>
            </w:r>
          </w:p>
        </w:tc>
        <w:tc>
          <w:tcPr>
            <w:tcW w:w="720" w:type="dxa"/>
            <w:tcBorders>
              <w:left w:val="dashSmallGap" w:sz="4" w:space="0" w:color="auto"/>
            </w:tcBorders>
            <w:shd w:val="clear" w:color="auto" w:fill="auto"/>
            <w:vAlign w:val="center"/>
          </w:tcPr>
          <w:p w14:paraId="30DAEC30" w14:textId="77777777" w:rsidR="00BD152F" w:rsidRPr="00E50A7A" w:rsidRDefault="00BD152F" w:rsidP="00B00391">
            <w:pPr>
              <w:jc w:val="center"/>
              <w:rPr>
                <w:noProof/>
                <w:sz w:val="18"/>
                <w:szCs w:val="18"/>
                <w:lang w:val="en-IE"/>
              </w:rPr>
            </w:pPr>
            <w:r w:rsidRPr="00E50A7A">
              <w:rPr>
                <w:noProof/>
                <w:sz w:val="18"/>
                <w:lang w:val="en-IE"/>
              </w:rPr>
              <w:t>Cost</w:t>
            </w:r>
          </w:p>
        </w:tc>
        <w:tc>
          <w:tcPr>
            <w:tcW w:w="900" w:type="dxa"/>
            <w:tcBorders>
              <w:right w:val="dashSmallGap" w:sz="4" w:space="0" w:color="auto"/>
            </w:tcBorders>
            <w:shd w:val="clear" w:color="auto" w:fill="auto"/>
            <w:textDirection w:val="btLr"/>
            <w:vAlign w:val="center"/>
          </w:tcPr>
          <w:p w14:paraId="59A3B272" w14:textId="77777777" w:rsidR="00BD152F" w:rsidRPr="00E50A7A" w:rsidRDefault="00BD152F" w:rsidP="00B00391">
            <w:pPr>
              <w:ind w:left="113" w:right="113"/>
              <w:jc w:val="center"/>
              <w:rPr>
                <w:noProof/>
                <w:sz w:val="18"/>
                <w:szCs w:val="18"/>
                <w:lang w:val="en-IE"/>
              </w:rPr>
            </w:pPr>
            <w:r w:rsidRPr="00E50A7A">
              <w:rPr>
                <w:noProof/>
                <w:sz w:val="18"/>
                <w:lang w:val="en-IE"/>
              </w:rPr>
              <w:t>No</w:t>
            </w:r>
          </w:p>
        </w:tc>
        <w:tc>
          <w:tcPr>
            <w:tcW w:w="720" w:type="dxa"/>
            <w:gridSpan w:val="2"/>
            <w:tcBorders>
              <w:left w:val="dashSmallGap" w:sz="4" w:space="0" w:color="auto"/>
            </w:tcBorders>
            <w:shd w:val="clear" w:color="auto" w:fill="auto"/>
            <w:vAlign w:val="center"/>
          </w:tcPr>
          <w:p w14:paraId="7801A46A" w14:textId="77777777" w:rsidR="00BD152F" w:rsidRPr="00E50A7A" w:rsidRDefault="00BD152F" w:rsidP="00B00391">
            <w:pPr>
              <w:jc w:val="center"/>
              <w:rPr>
                <w:noProof/>
                <w:sz w:val="18"/>
                <w:szCs w:val="18"/>
                <w:lang w:val="en-IE"/>
              </w:rPr>
            </w:pPr>
            <w:r w:rsidRPr="00E50A7A">
              <w:rPr>
                <w:noProof/>
                <w:sz w:val="18"/>
                <w:lang w:val="en-IE"/>
              </w:rPr>
              <w:t>Cost</w:t>
            </w:r>
          </w:p>
        </w:tc>
        <w:tc>
          <w:tcPr>
            <w:tcW w:w="540" w:type="dxa"/>
            <w:tcBorders>
              <w:right w:val="dashSmallGap" w:sz="4" w:space="0" w:color="auto"/>
            </w:tcBorders>
            <w:shd w:val="clear" w:color="auto" w:fill="auto"/>
            <w:textDirection w:val="btLr"/>
            <w:vAlign w:val="center"/>
          </w:tcPr>
          <w:p w14:paraId="720D7103" w14:textId="77777777" w:rsidR="00BD152F" w:rsidRPr="00E50A7A" w:rsidRDefault="00BD152F" w:rsidP="00B00391">
            <w:pPr>
              <w:ind w:left="113" w:right="113"/>
              <w:jc w:val="center"/>
              <w:rPr>
                <w:noProof/>
                <w:sz w:val="18"/>
                <w:szCs w:val="18"/>
                <w:lang w:val="en-IE"/>
              </w:rPr>
            </w:pPr>
            <w:r w:rsidRPr="00E50A7A">
              <w:rPr>
                <w:noProof/>
                <w:sz w:val="18"/>
                <w:lang w:val="en-IE"/>
              </w:rPr>
              <w:t>No</w:t>
            </w:r>
          </w:p>
        </w:tc>
        <w:tc>
          <w:tcPr>
            <w:tcW w:w="648" w:type="dxa"/>
            <w:tcBorders>
              <w:left w:val="dashSmallGap" w:sz="4" w:space="0" w:color="auto"/>
            </w:tcBorders>
            <w:shd w:val="clear" w:color="auto" w:fill="auto"/>
            <w:vAlign w:val="center"/>
          </w:tcPr>
          <w:p w14:paraId="08B57FB2" w14:textId="77777777" w:rsidR="00BD152F" w:rsidRPr="00E50A7A" w:rsidRDefault="00BD152F" w:rsidP="00B00391">
            <w:pPr>
              <w:jc w:val="center"/>
              <w:rPr>
                <w:noProof/>
                <w:sz w:val="18"/>
                <w:szCs w:val="18"/>
                <w:lang w:val="en-IE"/>
              </w:rPr>
            </w:pPr>
            <w:r w:rsidRPr="00E50A7A">
              <w:rPr>
                <w:noProof/>
                <w:sz w:val="18"/>
                <w:lang w:val="en-IE"/>
              </w:rPr>
              <w:t>Cost</w:t>
            </w:r>
          </w:p>
        </w:tc>
        <w:tc>
          <w:tcPr>
            <w:tcW w:w="432" w:type="dxa"/>
            <w:tcBorders>
              <w:right w:val="dashSmallGap" w:sz="4" w:space="0" w:color="auto"/>
            </w:tcBorders>
            <w:shd w:val="clear" w:color="auto" w:fill="auto"/>
            <w:textDirection w:val="btLr"/>
            <w:vAlign w:val="center"/>
          </w:tcPr>
          <w:p w14:paraId="35F09007" w14:textId="77777777" w:rsidR="00BD152F" w:rsidRPr="00E50A7A" w:rsidRDefault="00BD152F" w:rsidP="00B00391">
            <w:pPr>
              <w:ind w:left="113" w:right="113"/>
              <w:jc w:val="center"/>
              <w:rPr>
                <w:noProof/>
                <w:sz w:val="18"/>
                <w:szCs w:val="18"/>
                <w:lang w:val="en-IE"/>
              </w:rPr>
            </w:pPr>
            <w:r w:rsidRPr="00E50A7A">
              <w:rPr>
                <w:noProof/>
                <w:sz w:val="18"/>
                <w:lang w:val="en-IE"/>
              </w:rPr>
              <w:t>No</w:t>
            </w:r>
          </w:p>
        </w:tc>
        <w:tc>
          <w:tcPr>
            <w:tcW w:w="720" w:type="dxa"/>
            <w:tcBorders>
              <w:left w:val="dashSmallGap" w:sz="4" w:space="0" w:color="auto"/>
            </w:tcBorders>
            <w:shd w:val="clear" w:color="auto" w:fill="auto"/>
            <w:vAlign w:val="center"/>
          </w:tcPr>
          <w:p w14:paraId="68D23781" w14:textId="77777777" w:rsidR="00BD152F" w:rsidRPr="00E50A7A" w:rsidRDefault="00BD152F" w:rsidP="00B00391">
            <w:pPr>
              <w:jc w:val="center"/>
              <w:rPr>
                <w:noProof/>
                <w:sz w:val="18"/>
                <w:szCs w:val="18"/>
                <w:lang w:val="en-IE"/>
              </w:rPr>
            </w:pPr>
            <w:r w:rsidRPr="00E50A7A">
              <w:rPr>
                <w:noProof/>
                <w:sz w:val="18"/>
                <w:lang w:val="en-IE"/>
              </w:rPr>
              <w:t>Cost</w:t>
            </w:r>
          </w:p>
        </w:tc>
        <w:tc>
          <w:tcPr>
            <w:tcW w:w="540" w:type="dxa"/>
            <w:tcBorders>
              <w:right w:val="dashSmallGap" w:sz="4" w:space="0" w:color="auto"/>
            </w:tcBorders>
            <w:shd w:val="clear" w:color="auto" w:fill="auto"/>
            <w:textDirection w:val="btLr"/>
            <w:vAlign w:val="center"/>
          </w:tcPr>
          <w:p w14:paraId="63A83D55" w14:textId="77777777" w:rsidR="00BD152F" w:rsidRPr="00E50A7A" w:rsidRDefault="00BD152F" w:rsidP="00B00391">
            <w:pPr>
              <w:ind w:left="113" w:right="113"/>
              <w:jc w:val="center"/>
              <w:rPr>
                <w:noProof/>
                <w:sz w:val="18"/>
                <w:szCs w:val="18"/>
                <w:lang w:val="en-IE"/>
              </w:rPr>
            </w:pPr>
            <w:r w:rsidRPr="00E50A7A">
              <w:rPr>
                <w:noProof/>
                <w:sz w:val="18"/>
                <w:lang w:val="en-IE"/>
              </w:rPr>
              <w:t>No</w:t>
            </w:r>
          </w:p>
        </w:tc>
        <w:tc>
          <w:tcPr>
            <w:tcW w:w="720" w:type="dxa"/>
            <w:tcBorders>
              <w:left w:val="dashSmallGap" w:sz="4" w:space="0" w:color="auto"/>
            </w:tcBorders>
            <w:shd w:val="clear" w:color="auto" w:fill="auto"/>
            <w:vAlign w:val="center"/>
          </w:tcPr>
          <w:p w14:paraId="4845CE2E" w14:textId="77777777" w:rsidR="00BD152F" w:rsidRPr="00E50A7A" w:rsidRDefault="00BD152F" w:rsidP="00B00391">
            <w:pPr>
              <w:jc w:val="center"/>
              <w:rPr>
                <w:noProof/>
                <w:sz w:val="18"/>
                <w:szCs w:val="18"/>
                <w:lang w:val="en-IE"/>
              </w:rPr>
            </w:pPr>
            <w:r w:rsidRPr="00E50A7A">
              <w:rPr>
                <w:noProof/>
                <w:sz w:val="18"/>
                <w:lang w:val="en-IE"/>
              </w:rPr>
              <w:t>Cost</w:t>
            </w:r>
          </w:p>
        </w:tc>
        <w:tc>
          <w:tcPr>
            <w:tcW w:w="720" w:type="dxa"/>
            <w:tcBorders>
              <w:right w:val="dashSmallGap" w:sz="4" w:space="0" w:color="auto"/>
            </w:tcBorders>
            <w:shd w:val="clear" w:color="auto" w:fill="auto"/>
            <w:vAlign w:val="center"/>
          </w:tcPr>
          <w:p w14:paraId="39038E8E" w14:textId="77777777" w:rsidR="00BD152F" w:rsidRPr="00E50A7A" w:rsidRDefault="00BD152F" w:rsidP="00B00391">
            <w:pPr>
              <w:jc w:val="center"/>
              <w:rPr>
                <w:noProof/>
                <w:sz w:val="18"/>
                <w:szCs w:val="18"/>
                <w:lang w:val="en-IE"/>
              </w:rPr>
            </w:pPr>
            <w:r w:rsidRPr="00E50A7A">
              <w:rPr>
                <w:noProof/>
                <w:sz w:val="18"/>
                <w:lang w:val="en-IE"/>
              </w:rPr>
              <w:t>Total No</w:t>
            </w:r>
          </w:p>
        </w:tc>
        <w:tc>
          <w:tcPr>
            <w:tcW w:w="900" w:type="dxa"/>
            <w:tcBorders>
              <w:left w:val="dashSmallGap" w:sz="4" w:space="0" w:color="auto"/>
            </w:tcBorders>
            <w:shd w:val="clear" w:color="auto" w:fill="auto"/>
            <w:vAlign w:val="center"/>
          </w:tcPr>
          <w:p w14:paraId="5880C13D" w14:textId="77777777" w:rsidR="00BD152F" w:rsidRPr="00E50A7A" w:rsidRDefault="00BD152F" w:rsidP="00B00391">
            <w:pPr>
              <w:jc w:val="center"/>
              <w:rPr>
                <w:noProof/>
                <w:sz w:val="18"/>
                <w:szCs w:val="18"/>
                <w:lang w:val="en-IE"/>
              </w:rPr>
            </w:pPr>
            <w:r w:rsidRPr="00E50A7A">
              <w:rPr>
                <w:noProof/>
                <w:sz w:val="18"/>
                <w:lang w:val="en-IE"/>
              </w:rPr>
              <w:t>Total cost</w:t>
            </w:r>
          </w:p>
        </w:tc>
      </w:tr>
      <w:tr w:rsidR="00BD152F" w:rsidRPr="00B314C8" w14:paraId="3CADA7F3" w14:textId="77777777" w:rsidTr="1BD3479F">
        <w:trPr>
          <w:jc w:val="center"/>
        </w:trPr>
        <w:tc>
          <w:tcPr>
            <w:tcW w:w="2844" w:type="dxa"/>
            <w:gridSpan w:val="3"/>
            <w:vAlign w:val="center"/>
          </w:tcPr>
          <w:p w14:paraId="43AB3A22" w14:textId="77777777" w:rsidR="00BD152F" w:rsidRPr="00E50A7A" w:rsidRDefault="76754597" w:rsidP="00B00391">
            <w:pPr>
              <w:spacing w:before="60" w:after="60"/>
              <w:ind w:right="-29"/>
              <w:jc w:val="center"/>
              <w:rPr>
                <w:noProof/>
                <w:sz w:val="18"/>
                <w:szCs w:val="18"/>
                <w:lang w:val="en-IE"/>
              </w:rPr>
            </w:pPr>
            <w:r w:rsidRPr="00E50A7A">
              <w:rPr>
                <w:noProof/>
                <w:sz w:val="18"/>
                <w:szCs w:val="18"/>
                <w:lang w:val="en-IE"/>
              </w:rPr>
              <w:t>SPECIFIC OBJECTIVE No 1</w:t>
            </w:r>
            <w:r w:rsidR="00BD152F" w:rsidRPr="00E50A7A">
              <w:rPr>
                <w:rStyle w:val="FootnoteReference"/>
                <w:noProof/>
                <w:sz w:val="18"/>
                <w:szCs w:val="18"/>
                <w:lang w:val="en-IE"/>
              </w:rPr>
              <w:footnoteReference w:id="93"/>
            </w:r>
            <w:r w:rsidRPr="00E50A7A">
              <w:rPr>
                <w:noProof/>
                <w:sz w:val="18"/>
                <w:szCs w:val="18"/>
                <w:lang w:val="en-IE"/>
              </w:rPr>
              <w:t>…</w:t>
            </w:r>
          </w:p>
        </w:tc>
        <w:tc>
          <w:tcPr>
            <w:tcW w:w="504" w:type="dxa"/>
            <w:tcBorders>
              <w:top w:val="nil"/>
              <w:left w:val="nil"/>
              <w:bottom w:val="nil"/>
              <w:right w:val="nil"/>
            </w:tcBorders>
          </w:tcPr>
          <w:p w14:paraId="1AE2034B" w14:textId="77777777" w:rsidR="00BD152F" w:rsidRPr="00E50A7A" w:rsidRDefault="00BD152F" w:rsidP="00B00391">
            <w:pPr>
              <w:spacing w:before="60" w:after="60"/>
              <w:ind w:right="-29"/>
              <w:jc w:val="center"/>
              <w:rPr>
                <w:noProof/>
                <w:sz w:val="18"/>
                <w:szCs w:val="18"/>
                <w:lang w:val="en-IE"/>
              </w:rPr>
            </w:pPr>
          </w:p>
        </w:tc>
        <w:tc>
          <w:tcPr>
            <w:tcW w:w="720" w:type="dxa"/>
            <w:tcBorders>
              <w:top w:val="nil"/>
              <w:left w:val="nil"/>
              <w:bottom w:val="nil"/>
              <w:right w:val="nil"/>
            </w:tcBorders>
          </w:tcPr>
          <w:p w14:paraId="6BA51F06" w14:textId="77777777" w:rsidR="00BD152F" w:rsidRPr="00E50A7A" w:rsidRDefault="00BD152F" w:rsidP="00B00391">
            <w:pPr>
              <w:spacing w:before="60" w:after="60"/>
              <w:ind w:right="-29"/>
              <w:jc w:val="center"/>
              <w:rPr>
                <w:noProof/>
                <w:sz w:val="18"/>
                <w:szCs w:val="18"/>
                <w:lang w:val="en-IE"/>
              </w:rPr>
            </w:pPr>
          </w:p>
        </w:tc>
        <w:tc>
          <w:tcPr>
            <w:tcW w:w="540" w:type="dxa"/>
            <w:tcBorders>
              <w:top w:val="nil"/>
              <w:left w:val="nil"/>
              <w:bottom w:val="nil"/>
              <w:right w:val="nil"/>
            </w:tcBorders>
          </w:tcPr>
          <w:p w14:paraId="38A40DA9" w14:textId="77777777" w:rsidR="00BD152F" w:rsidRPr="00E50A7A" w:rsidRDefault="00BD152F" w:rsidP="00B00391">
            <w:pPr>
              <w:spacing w:before="60" w:after="60"/>
              <w:ind w:right="-29"/>
              <w:jc w:val="center"/>
              <w:rPr>
                <w:noProof/>
                <w:sz w:val="18"/>
                <w:szCs w:val="18"/>
                <w:lang w:val="en-IE"/>
              </w:rPr>
            </w:pPr>
          </w:p>
        </w:tc>
        <w:tc>
          <w:tcPr>
            <w:tcW w:w="720" w:type="dxa"/>
            <w:tcBorders>
              <w:top w:val="nil"/>
              <w:left w:val="nil"/>
              <w:bottom w:val="nil"/>
              <w:right w:val="nil"/>
            </w:tcBorders>
          </w:tcPr>
          <w:p w14:paraId="08ACD634" w14:textId="77777777" w:rsidR="00BD152F" w:rsidRPr="00E50A7A" w:rsidRDefault="00BD152F" w:rsidP="00B00391">
            <w:pPr>
              <w:spacing w:before="60" w:after="60"/>
              <w:ind w:right="-29"/>
              <w:jc w:val="center"/>
              <w:rPr>
                <w:noProof/>
                <w:sz w:val="18"/>
                <w:szCs w:val="18"/>
                <w:lang w:val="en-IE"/>
              </w:rPr>
            </w:pPr>
          </w:p>
        </w:tc>
        <w:tc>
          <w:tcPr>
            <w:tcW w:w="720" w:type="dxa"/>
            <w:tcBorders>
              <w:top w:val="nil"/>
              <w:left w:val="nil"/>
              <w:bottom w:val="nil"/>
              <w:right w:val="nil"/>
            </w:tcBorders>
          </w:tcPr>
          <w:p w14:paraId="69A23924" w14:textId="77777777" w:rsidR="00BD152F" w:rsidRPr="00E50A7A" w:rsidRDefault="00BD152F" w:rsidP="00B00391">
            <w:pPr>
              <w:spacing w:before="60" w:after="60"/>
              <w:ind w:right="-29"/>
              <w:jc w:val="center"/>
              <w:rPr>
                <w:noProof/>
                <w:sz w:val="18"/>
                <w:szCs w:val="18"/>
                <w:lang w:val="en-IE"/>
              </w:rPr>
            </w:pPr>
          </w:p>
        </w:tc>
        <w:tc>
          <w:tcPr>
            <w:tcW w:w="720" w:type="dxa"/>
            <w:tcBorders>
              <w:top w:val="nil"/>
              <w:left w:val="nil"/>
              <w:bottom w:val="nil"/>
              <w:right w:val="nil"/>
            </w:tcBorders>
          </w:tcPr>
          <w:p w14:paraId="0F771962" w14:textId="77777777" w:rsidR="00BD152F" w:rsidRPr="00E50A7A" w:rsidRDefault="00BD152F" w:rsidP="00B00391">
            <w:pPr>
              <w:spacing w:before="60" w:after="60"/>
              <w:ind w:right="-29"/>
              <w:jc w:val="center"/>
              <w:rPr>
                <w:noProof/>
                <w:sz w:val="18"/>
                <w:szCs w:val="18"/>
                <w:lang w:val="en-IE"/>
              </w:rPr>
            </w:pPr>
          </w:p>
        </w:tc>
        <w:tc>
          <w:tcPr>
            <w:tcW w:w="900" w:type="dxa"/>
            <w:tcBorders>
              <w:top w:val="nil"/>
              <w:left w:val="nil"/>
              <w:bottom w:val="nil"/>
              <w:right w:val="nil"/>
            </w:tcBorders>
          </w:tcPr>
          <w:p w14:paraId="67158F61" w14:textId="77777777" w:rsidR="00BD152F" w:rsidRPr="00E50A7A" w:rsidRDefault="00BD152F" w:rsidP="00B00391">
            <w:pPr>
              <w:spacing w:before="60" w:after="60"/>
              <w:ind w:right="-29"/>
              <w:jc w:val="center"/>
              <w:rPr>
                <w:noProof/>
                <w:sz w:val="18"/>
                <w:szCs w:val="18"/>
                <w:lang w:val="en-IE"/>
              </w:rPr>
            </w:pPr>
          </w:p>
        </w:tc>
        <w:tc>
          <w:tcPr>
            <w:tcW w:w="720" w:type="dxa"/>
            <w:gridSpan w:val="2"/>
            <w:tcBorders>
              <w:top w:val="nil"/>
              <w:left w:val="nil"/>
              <w:bottom w:val="nil"/>
              <w:right w:val="nil"/>
            </w:tcBorders>
          </w:tcPr>
          <w:p w14:paraId="412A60B8" w14:textId="77777777" w:rsidR="00BD152F" w:rsidRPr="00E50A7A" w:rsidRDefault="00BD152F" w:rsidP="00B00391">
            <w:pPr>
              <w:spacing w:before="60" w:after="60"/>
              <w:ind w:right="-29"/>
              <w:jc w:val="center"/>
              <w:rPr>
                <w:noProof/>
                <w:sz w:val="18"/>
                <w:szCs w:val="18"/>
                <w:lang w:val="en-IE"/>
              </w:rPr>
            </w:pPr>
          </w:p>
        </w:tc>
        <w:tc>
          <w:tcPr>
            <w:tcW w:w="540" w:type="dxa"/>
            <w:tcBorders>
              <w:top w:val="nil"/>
              <w:left w:val="nil"/>
              <w:bottom w:val="nil"/>
              <w:right w:val="nil"/>
            </w:tcBorders>
          </w:tcPr>
          <w:p w14:paraId="11CD3C94" w14:textId="77777777" w:rsidR="00BD152F" w:rsidRPr="00E50A7A" w:rsidRDefault="00BD152F" w:rsidP="00B00391">
            <w:pPr>
              <w:spacing w:before="60" w:after="60"/>
              <w:ind w:right="-29"/>
              <w:jc w:val="center"/>
              <w:rPr>
                <w:noProof/>
                <w:sz w:val="18"/>
                <w:szCs w:val="18"/>
                <w:lang w:val="en-IE"/>
              </w:rPr>
            </w:pPr>
          </w:p>
        </w:tc>
        <w:tc>
          <w:tcPr>
            <w:tcW w:w="648" w:type="dxa"/>
            <w:tcBorders>
              <w:top w:val="nil"/>
              <w:left w:val="nil"/>
              <w:bottom w:val="nil"/>
              <w:right w:val="nil"/>
            </w:tcBorders>
          </w:tcPr>
          <w:p w14:paraId="0999A30E" w14:textId="77777777" w:rsidR="00BD152F" w:rsidRPr="00E50A7A" w:rsidRDefault="00BD152F" w:rsidP="00B00391">
            <w:pPr>
              <w:spacing w:before="60" w:after="60"/>
              <w:ind w:right="-29"/>
              <w:jc w:val="center"/>
              <w:rPr>
                <w:noProof/>
                <w:sz w:val="18"/>
                <w:szCs w:val="18"/>
                <w:lang w:val="en-IE"/>
              </w:rPr>
            </w:pPr>
          </w:p>
        </w:tc>
        <w:tc>
          <w:tcPr>
            <w:tcW w:w="432" w:type="dxa"/>
            <w:tcBorders>
              <w:top w:val="nil"/>
              <w:left w:val="nil"/>
              <w:bottom w:val="nil"/>
              <w:right w:val="nil"/>
            </w:tcBorders>
          </w:tcPr>
          <w:p w14:paraId="661106C8" w14:textId="77777777" w:rsidR="00BD152F" w:rsidRPr="00E50A7A" w:rsidRDefault="00BD152F" w:rsidP="00B00391">
            <w:pPr>
              <w:spacing w:before="60" w:after="60"/>
              <w:ind w:right="-29"/>
              <w:jc w:val="center"/>
              <w:rPr>
                <w:noProof/>
                <w:sz w:val="18"/>
                <w:szCs w:val="18"/>
                <w:lang w:val="en-IE"/>
              </w:rPr>
            </w:pPr>
          </w:p>
        </w:tc>
        <w:tc>
          <w:tcPr>
            <w:tcW w:w="720" w:type="dxa"/>
            <w:tcBorders>
              <w:top w:val="nil"/>
              <w:left w:val="nil"/>
              <w:bottom w:val="nil"/>
              <w:right w:val="nil"/>
            </w:tcBorders>
          </w:tcPr>
          <w:p w14:paraId="363E176D" w14:textId="77777777" w:rsidR="00BD152F" w:rsidRPr="00E50A7A" w:rsidRDefault="00BD152F" w:rsidP="00B00391">
            <w:pPr>
              <w:spacing w:before="60" w:after="60"/>
              <w:ind w:right="-29"/>
              <w:jc w:val="center"/>
              <w:rPr>
                <w:noProof/>
                <w:sz w:val="18"/>
                <w:szCs w:val="18"/>
                <w:lang w:val="en-IE"/>
              </w:rPr>
            </w:pPr>
          </w:p>
        </w:tc>
        <w:tc>
          <w:tcPr>
            <w:tcW w:w="540" w:type="dxa"/>
            <w:tcBorders>
              <w:top w:val="nil"/>
              <w:left w:val="nil"/>
              <w:bottom w:val="nil"/>
              <w:right w:val="nil"/>
            </w:tcBorders>
          </w:tcPr>
          <w:p w14:paraId="0715723D" w14:textId="77777777" w:rsidR="00BD152F" w:rsidRPr="00E50A7A" w:rsidRDefault="00BD152F" w:rsidP="00B00391">
            <w:pPr>
              <w:spacing w:before="60" w:after="60"/>
              <w:ind w:right="-29"/>
              <w:jc w:val="center"/>
              <w:rPr>
                <w:noProof/>
                <w:sz w:val="18"/>
                <w:szCs w:val="18"/>
                <w:lang w:val="en-IE"/>
              </w:rPr>
            </w:pPr>
          </w:p>
        </w:tc>
        <w:tc>
          <w:tcPr>
            <w:tcW w:w="720" w:type="dxa"/>
            <w:tcBorders>
              <w:top w:val="nil"/>
              <w:left w:val="nil"/>
              <w:bottom w:val="nil"/>
              <w:right w:val="nil"/>
            </w:tcBorders>
          </w:tcPr>
          <w:p w14:paraId="5CCC4621" w14:textId="77777777" w:rsidR="00BD152F" w:rsidRPr="00E50A7A" w:rsidRDefault="00BD152F" w:rsidP="00B00391">
            <w:pPr>
              <w:spacing w:before="60" w:after="60"/>
              <w:ind w:right="-29"/>
              <w:jc w:val="center"/>
              <w:rPr>
                <w:noProof/>
                <w:sz w:val="18"/>
                <w:szCs w:val="18"/>
                <w:lang w:val="en-IE"/>
              </w:rPr>
            </w:pPr>
          </w:p>
        </w:tc>
        <w:tc>
          <w:tcPr>
            <w:tcW w:w="720" w:type="dxa"/>
            <w:tcBorders>
              <w:top w:val="nil"/>
              <w:left w:val="nil"/>
              <w:bottom w:val="nil"/>
              <w:right w:val="nil"/>
            </w:tcBorders>
          </w:tcPr>
          <w:p w14:paraId="23AB5421" w14:textId="77777777" w:rsidR="00BD152F" w:rsidRPr="00E50A7A" w:rsidRDefault="00BD152F" w:rsidP="00B00391">
            <w:pPr>
              <w:spacing w:before="60" w:after="60"/>
              <w:ind w:right="-29"/>
              <w:jc w:val="center"/>
              <w:rPr>
                <w:noProof/>
                <w:sz w:val="18"/>
                <w:szCs w:val="18"/>
                <w:lang w:val="en-IE"/>
              </w:rPr>
            </w:pPr>
          </w:p>
        </w:tc>
        <w:tc>
          <w:tcPr>
            <w:tcW w:w="900" w:type="dxa"/>
            <w:tcBorders>
              <w:top w:val="nil"/>
              <w:left w:val="nil"/>
              <w:bottom w:val="nil"/>
              <w:right w:val="nil"/>
            </w:tcBorders>
          </w:tcPr>
          <w:p w14:paraId="7EC73E4A" w14:textId="77777777" w:rsidR="00BD152F" w:rsidRPr="00E50A7A" w:rsidRDefault="00BD152F" w:rsidP="00B00391">
            <w:pPr>
              <w:spacing w:before="60" w:after="60"/>
              <w:ind w:right="-29"/>
              <w:jc w:val="center"/>
              <w:rPr>
                <w:noProof/>
                <w:sz w:val="18"/>
                <w:szCs w:val="18"/>
                <w:lang w:val="en-IE"/>
              </w:rPr>
            </w:pPr>
          </w:p>
        </w:tc>
      </w:tr>
      <w:tr w:rsidR="00BD152F" w:rsidRPr="00B314C8" w14:paraId="2731C77F" w14:textId="77777777" w:rsidTr="1BD3479F">
        <w:trPr>
          <w:trHeight w:hRule="exact" w:val="369"/>
          <w:jc w:val="center"/>
        </w:trPr>
        <w:tc>
          <w:tcPr>
            <w:tcW w:w="1423" w:type="dxa"/>
          </w:tcPr>
          <w:p w14:paraId="6D10F3E9" w14:textId="77777777" w:rsidR="00BD152F" w:rsidRPr="00E50A7A" w:rsidRDefault="00BD152F" w:rsidP="00B00391">
            <w:pPr>
              <w:ind w:right="-29"/>
              <w:jc w:val="center"/>
              <w:rPr>
                <w:noProof/>
                <w:sz w:val="18"/>
                <w:szCs w:val="18"/>
                <w:lang w:val="en-IE"/>
              </w:rPr>
            </w:pPr>
            <w:r w:rsidRPr="00E50A7A">
              <w:rPr>
                <w:noProof/>
                <w:sz w:val="18"/>
                <w:lang w:val="en-IE"/>
              </w:rPr>
              <w:t>- Output</w:t>
            </w:r>
          </w:p>
        </w:tc>
        <w:tc>
          <w:tcPr>
            <w:tcW w:w="720" w:type="dxa"/>
          </w:tcPr>
          <w:p w14:paraId="3E6A1B4B" w14:textId="77777777" w:rsidR="00BD152F" w:rsidRPr="00E50A7A" w:rsidRDefault="00BD152F" w:rsidP="00B00391">
            <w:pPr>
              <w:ind w:right="-29"/>
              <w:jc w:val="center"/>
              <w:rPr>
                <w:noProof/>
                <w:sz w:val="18"/>
                <w:szCs w:val="18"/>
                <w:lang w:val="en-IE"/>
              </w:rPr>
            </w:pPr>
          </w:p>
        </w:tc>
        <w:tc>
          <w:tcPr>
            <w:tcW w:w="701" w:type="dxa"/>
          </w:tcPr>
          <w:p w14:paraId="07A5EA96" w14:textId="77777777" w:rsidR="00BD152F" w:rsidRPr="00E50A7A" w:rsidRDefault="00BD152F" w:rsidP="00B00391">
            <w:pPr>
              <w:ind w:right="-29"/>
              <w:jc w:val="center"/>
              <w:rPr>
                <w:noProof/>
                <w:sz w:val="18"/>
                <w:szCs w:val="18"/>
                <w:lang w:val="en-IE"/>
              </w:rPr>
            </w:pPr>
          </w:p>
        </w:tc>
        <w:tc>
          <w:tcPr>
            <w:tcW w:w="504" w:type="dxa"/>
            <w:tcBorders>
              <w:right w:val="dashSmallGap" w:sz="4" w:space="0" w:color="auto"/>
            </w:tcBorders>
          </w:tcPr>
          <w:p w14:paraId="032523E9" w14:textId="77777777" w:rsidR="00BD152F" w:rsidRPr="00E50A7A" w:rsidRDefault="00BD152F" w:rsidP="00B00391">
            <w:pPr>
              <w:ind w:right="-29"/>
              <w:jc w:val="center"/>
              <w:rPr>
                <w:noProof/>
                <w:sz w:val="18"/>
                <w:szCs w:val="18"/>
                <w:lang w:val="en-IE"/>
              </w:rPr>
            </w:pPr>
          </w:p>
        </w:tc>
        <w:tc>
          <w:tcPr>
            <w:tcW w:w="720" w:type="dxa"/>
            <w:tcBorders>
              <w:left w:val="dashSmallGap" w:sz="4" w:space="0" w:color="auto"/>
            </w:tcBorders>
          </w:tcPr>
          <w:p w14:paraId="42DF4396" w14:textId="77777777" w:rsidR="00BD152F" w:rsidRPr="00E50A7A" w:rsidRDefault="00BD152F" w:rsidP="00B00391">
            <w:pPr>
              <w:ind w:right="-29"/>
              <w:jc w:val="center"/>
              <w:rPr>
                <w:noProof/>
                <w:sz w:val="18"/>
                <w:szCs w:val="18"/>
                <w:lang w:val="en-IE"/>
              </w:rPr>
            </w:pPr>
          </w:p>
        </w:tc>
        <w:tc>
          <w:tcPr>
            <w:tcW w:w="540" w:type="dxa"/>
            <w:tcBorders>
              <w:right w:val="dashSmallGap" w:sz="4" w:space="0" w:color="auto"/>
            </w:tcBorders>
          </w:tcPr>
          <w:p w14:paraId="0A30B634" w14:textId="77777777" w:rsidR="00BD152F" w:rsidRPr="00E50A7A" w:rsidRDefault="00BD152F" w:rsidP="00B00391">
            <w:pPr>
              <w:ind w:right="-29"/>
              <w:jc w:val="center"/>
              <w:rPr>
                <w:noProof/>
                <w:sz w:val="18"/>
                <w:szCs w:val="18"/>
                <w:lang w:val="en-IE"/>
              </w:rPr>
            </w:pPr>
          </w:p>
        </w:tc>
        <w:tc>
          <w:tcPr>
            <w:tcW w:w="720" w:type="dxa"/>
            <w:tcBorders>
              <w:left w:val="dashSmallGap" w:sz="4" w:space="0" w:color="auto"/>
            </w:tcBorders>
          </w:tcPr>
          <w:p w14:paraId="09CA91CE" w14:textId="77777777" w:rsidR="00BD152F" w:rsidRPr="00E50A7A" w:rsidRDefault="00BD152F" w:rsidP="00B00391">
            <w:pPr>
              <w:ind w:right="-29"/>
              <w:jc w:val="center"/>
              <w:rPr>
                <w:noProof/>
                <w:sz w:val="18"/>
                <w:szCs w:val="18"/>
                <w:lang w:val="en-IE"/>
              </w:rPr>
            </w:pPr>
          </w:p>
        </w:tc>
        <w:tc>
          <w:tcPr>
            <w:tcW w:w="720" w:type="dxa"/>
            <w:tcBorders>
              <w:right w:val="dashSmallGap" w:sz="4" w:space="0" w:color="auto"/>
            </w:tcBorders>
          </w:tcPr>
          <w:p w14:paraId="3B48460E" w14:textId="77777777" w:rsidR="00BD152F" w:rsidRPr="00E50A7A" w:rsidRDefault="00BD152F" w:rsidP="00B00391">
            <w:pPr>
              <w:ind w:right="-29"/>
              <w:jc w:val="center"/>
              <w:rPr>
                <w:noProof/>
                <w:sz w:val="18"/>
                <w:szCs w:val="18"/>
                <w:lang w:val="en-IE"/>
              </w:rPr>
            </w:pPr>
          </w:p>
        </w:tc>
        <w:tc>
          <w:tcPr>
            <w:tcW w:w="720" w:type="dxa"/>
            <w:tcBorders>
              <w:left w:val="dashSmallGap" w:sz="4" w:space="0" w:color="auto"/>
            </w:tcBorders>
          </w:tcPr>
          <w:p w14:paraId="5EB46618" w14:textId="77777777" w:rsidR="00BD152F" w:rsidRPr="00E50A7A" w:rsidRDefault="00BD152F" w:rsidP="00B00391">
            <w:pPr>
              <w:ind w:right="-29"/>
              <w:jc w:val="center"/>
              <w:rPr>
                <w:noProof/>
                <w:sz w:val="18"/>
                <w:szCs w:val="18"/>
                <w:lang w:val="en-IE"/>
              </w:rPr>
            </w:pPr>
          </w:p>
        </w:tc>
        <w:tc>
          <w:tcPr>
            <w:tcW w:w="900" w:type="dxa"/>
            <w:tcBorders>
              <w:right w:val="dashSmallGap" w:sz="4" w:space="0" w:color="auto"/>
            </w:tcBorders>
          </w:tcPr>
          <w:p w14:paraId="49BD8CD9" w14:textId="77777777" w:rsidR="00BD152F" w:rsidRPr="00E50A7A" w:rsidRDefault="00BD152F" w:rsidP="00B00391">
            <w:pPr>
              <w:ind w:right="-29"/>
              <w:jc w:val="center"/>
              <w:rPr>
                <w:noProof/>
                <w:sz w:val="18"/>
                <w:szCs w:val="18"/>
                <w:lang w:val="en-IE"/>
              </w:rPr>
            </w:pPr>
          </w:p>
        </w:tc>
        <w:tc>
          <w:tcPr>
            <w:tcW w:w="720" w:type="dxa"/>
            <w:gridSpan w:val="2"/>
            <w:tcBorders>
              <w:left w:val="dashSmallGap" w:sz="4" w:space="0" w:color="auto"/>
            </w:tcBorders>
          </w:tcPr>
          <w:p w14:paraId="07D12A6A" w14:textId="77777777" w:rsidR="00BD152F" w:rsidRPr="00E50A7A" w:rsidRDefault="00BD152F" w:rsidP="00B00391">
            <w:pPr>
              <w:ind w:right="-29"/>
              <w:jc w:val="center"/>
              <w:rPr>
                <w:noProof/>
                <w:sz w:val="18"/>
                <w:szCs w:val="18"/>
                <w:lang w:val="en-IE"/>
              </w:rPr>
            </w:pPr>
          </w:p>
        </w:tc>
        <w:tc>
          <w:tcPr>
            <w:tcW w:w="540" w:type="dxa"/>
            <w:tcBorders>
              <w:right w:val="dashSmallGap" w:sz="4" w:space="0" w:color="auto"/>
            </w:tcBorders>
          </w:tcPr>
          <w:p w14:paraId="7E54E637" w14:textId="77777777" w:rsidR="00BD152F" w:rsidRPr="00E50A7A" w:rsidRDefault="00BD152F" w:rsidP="00B00391">
            <w:pPr>
              <w:ind w:right="-29"/>
              <w:jc w:val="center"/>
              <w:rPr>
                <w:noProof/>
                <w:sz w:val="18"/>
                <w:szCs w:val="18"/>
                <w:lang w:val="en-IE"/>
              </w:rPr>
            </w:pPr>
          </w:p>
        </w:tc>
        <w:tc>
          <w:tcPr>
            <w:tcW w:w="648" w:type="dxa"/>
            <w:tcBorders>
              <w:left w:val="dashSmallGap" w:sz="4" w:space="0" w:color="auto"/>
            </w:tcBorders>
          </w:tcPr>
          <w:p w14:paraId="1A10D7A6" w14:textId="77777777" w:rsidR="00BD152F" w:rsidRPr="00E50A7A" w:rsidRDefault="00BD152F" w:rsidP="00B00391">
            <w:pPr>
              <w:ind w:right="-29"/>
              <w:jc w:val="center"/>
              <w:rPr>
                <w:noProof/>
                <w:sz w:val="18"/>
                <w:szCs w:val="18"/>
                <w:lang w:val="en-IE"/>
              </w:rPr>
            </w:pPr>
          </w:p>
        </w:tc>
        <w:tc>
          <w:tcPr>
            <w:tcW w:w="432" w:type="dxa"/>
            <w:tcBorders>
              <w:right w:val="dashSmallGap" w:sz="4" w:space="0" w:color="auto"/>
            </w:tcBorders>
          </w:tcPr>
          <w:p w14:paraId="132DC4F6" w14:textId="77777777" w:rsidR="00BD152F" w:rsidRPr="00E50A7A" w:rsidRDefault="00BD152F" w:rsidP="00B00391">
            <w:pPr>
              <w:ind w:right="-29"/>
              <w:jc w:val="center"/>
              <w:rPr>
                <w:noProof/>
                <w:sz w:val="18"/>
                <w:szCs w:val="18"/>
                <w:lang w:val="en-IE"/>
              </w:rPr>
            </w:pPr>
          </w:p>
        </w:tc>
        <w:tc>
          <w:tcPr>
            <w:tcW w:w="720" w:type="dxa"/>
            <w:tcBorders>
              <w:left w:val="dashSmallGap" w:sz="4" w:space="0" w:color="auto"/>
            </w:tcBorders>
          </w:tcPr>
          <w:p w14:paraId="5DE9DA0C" w14:textId="77777777" w:rsidR="00BD152F" w:rsidRPr="00E50A7A" w:rsidRDefault="00BD152F" w:rsidP="00B00391">
            <w:pPr>
              <w:ind w:right="-29"/>
              <w:jc w:val="center"/>
              <w:rPr>
                <w:noProof/>
                <w:sz w:val="18"/>
                <w:szCs w:val="18"/>
                <w:lang w:val="en-IE"/>
              </w:rPr>
            </w:pPr>
          </w:p>
        </w:tc>
        <w:tc>
          <w:tcPr>
            <w:tcW w:w="540" w:type="dxa"/>
            <w:tcBorders>
              <w:right w:val="dashSmallGap" w:sz="4" w:space="0" w:color="auto"/>
            </w:tcBorders>
          </w:tcPr>
          <w:p w14:paraId="6F5EDF8A" w14:textId="77777777" w:rsidR="00BD152F" w:rsidRPr="00E50A7A" w:rsidRDefault="00BD152F" w:rsidP="00B00391">
            <w:pPr>
              <w:ind w:right="-29"/>
              <w:jc w:val="center"/>
              <w:rPr>
                <w:noProof/>
                <w:sz w:val="18"/>
                <w:szCs w:val="18"/>
                <w:lang w:val="en-IE"/>
              </w:rPr>
            </w:pPr>
          </w:p>
        </w:tc>
        <w:tc>
          <w:tcPr>
            <w:tcW w:w="720" w:type="dxa"/>
            <w:tcBorders>
              <w:left w:val="dashSmallGap" w:sz="4" w:space="0" w:color="auto"/>
            </w:tcBorders>
          </w:tcPr>
          <w:p w14:paraId="25B2A187" w14:textId="77777777" w:rsidR="00BD152F" w:rsidRPr="00E50A7A" w:rsidRDefault="00BD152F" w:rsidP="00B00391">
            <w:pPr>
              <w:ind w:right="-29"/>
              <w:jc w:val="center"/>
              <w:rPr>
                <w:noProof/>
                <w:sz w:val="18"/>
                <w:szCs w:val="18"/>
                <w:lang w:val="en-IE"/>
              </w:rPr>
            </w:pPr>
          </w:p>
        </w:tc>
        <w:tc>
          <w:tcPr>
            <w:tcW w:w="720" w:type="dxa"/>
          </w:tcPr>
          <w:p w14:paraId="50EB7D33" w14:textId="77777777" w:rsidR="00BD152F" w:rsidRPr="00E50A7A" w:rsidRDefault="00BD152F" w:rsidP="00B00391">
            <w:pPr>
              <w:ind w:right="-29"/>
              <w:jc w:val="center"/>
              <w:rPr>
                <w:noProof/>
                <w:sz w:val="18"/>
                <w:szCs w:val="18"/>
                <w:lang w:val="en-IE"/>
              </w:rPr>
            </w:pPr>
          </w:p>
        </w:tc>
        <w:tc>
          <w:tcPr>
            <w:tcW w:w="900" w:type="dxa"/>
          </w:tcPr>
          <w:p w14:paraId="752F0077" w14:textId="77777777" w:rsidR="00BD152F" w:rsidRPr="00E50A7A" w:rsidRDefault="00BD152F" w:rsidP="00B00391">
            <w:pPr>
              <w:ind w:right="-29"/>
              <w:jc w:val="center"/>
              <w:rPr>
                <w:noProof/>
                <w:sz w:val="18"/>
                <w:szCs w:val="18"/>
                <w:lang w:val="en-IE"/>
              </w:rPr>
            </w:pPr>
          </w:p>
        </w:tc>
      </w:tr>
      <w:tr w:rsidR="00BD152F" w:rsidRPr="00B314C8" w14:paraId="2FD40E4C" w14:textId="77777777" w:rsidTr="1BD3479F">
        <w:trPr>
          <w:trHeight w:hRule="exact" w:val="369"/>
          <w:jc w:val="center"/>
        </w:trPr>
        <w:tc>
          <w:tcPr>
            <w:tcW w:w="1423" w:type="dxa"/>
          </w:tcPr>
          <w:p w14:paraId="3BBF2D20" w14:textId="77777777" w:rsidR="00BD152F" w:rsidRPr="00E50A7A" w:rsidRDefault="00BD152F" w:rsidP="00B00391">
            <w:pPr>
              <w:ind w:right="-29"/>
              <w:jc w:val="center"/>
              <w:rPr>
                <w:noProof/>
                <w:sz w:val="18"/>
                <w:szCs w:val="18"/>
                <w:lang w:val="en-IE"/>
              </w:rPr>
            </w:pPr>
            <w:r w:rsidRPr="00E50A7A">
              <w:rPr>
                <w:noProof/>
                <w:sz w:val="18"/>
                <w:lang w:val="en-IE"/>
              </w:rPr>
              <w:t>- Output</w:t>
            </w:r>
          </w:p>
        </w:tc>
        <w:tc>
          <w:tcPr>
            <w:tcW w:w="720" w:type="dxa"/>
          </w:tcPr>
          <w:p w14:paraId="3033043C" w14:textId="77777777" w:rsidR="00BD152F" w:rsidRPr="00E50A7A" w:rsidRDefault="00BD152F" w:rsidP="00B00391">
            <w:pPr>
              <w:ind w:right="-29"/>
              <w:jc w:val="center"/>
              <w:rPr>
                <w:noProof/>
                <w:sz w:val="18"/>
                <w:szCs w:val="18"/>
                <w:lang w:val="en-IE"/>
              </w:rPr>
            </w:pPr>
          </w:p>
        </w:tc>
        <w:tc>
          <w:tcPr>
            <w:tcW w:w="701" w:type="dxa"/>
          </w:tcPr>
          <w:p w14:paraId="303642F2" w14:textId="77777777" w:rsidR="00BD152F" w:rsidRPr="00E50A7A" w:rsidRDefault="00BD152F" w:rsidP="00B00391">
            <w:pPr>
              <w:ind w:right="-29"/>
              <w:jc w:val="center"/>
              <w:rPr>
                <w:noProof/>
                <w:sz w:val="18"/>
                <w:szCs w:val="18"/>
                <w:lang w:val="en-IE"/>
              </w:rPr>
            </w:pPr>
          </w:p>
        </w:tc>
        <w:tc>
          <w:tcPr>
            <w:tcW w:w="504" w:type="dxa"/>
            <w:tcBorders>
              <w:right w:val="dashSmallGap" w:sz="4" w:space="0" w:color="auto"/>
            </w:tcBorders>
          </w:tcPr>
          <w:p w14:paraId="2CB30CE4" w14:textId="77777777" w:rsidR="00BD152F" w:rsidRPr="00E50A7A" w:rsidRDefault="00BD152F" w:rsidP="00B00391">
            <w:pPr>
              <w:ind w:right="-29"/>
              <w:jc w:val="center"/>
              <w:rPr>
                <w:noProof/>
                <w:sz w:val="18"/>
                <w:szCs w:val="18"/>
                <w:lang w:val="en-IE"/>
              </w:rPr>
            </w:pPr>
          </w:p>
        </w:tc>
        <w:tc>
          <w:tcPr>
            <w:tcW w:w="720" w:type="dxa"/>
            <w:tcBorders>
              <w:left w:val="dashSmallGap" w:sz="4" w:space="0" w:color="auto"/>
            </w:tcBorders>
          </w:tcPr>
          <w:p w14:paraId="6C024B89" w14:textId="77777777" w:rsidR="00BD152F" w:rsidRPr="00E50A7A" w:rsidRDefault="00BD152F" w:rsidP="00B00391">
            <w:pPr>
              <w:ind w:right="-29"/>
              <w:jc w:val="center"/>
              <w:rPr>
                <w:noProof/>
                <w:sz w:val="18"/>
                <w:szCs w:val="18"/>
                <w:lang w:val="en-IE"/>
              </w:rPr>
            </w:pPr>
          </w:p>
        </w:tc>
        <w:tc>
          <w:tcPr>
            <w:tcW w:w="540" w:type="dxa"/>
            <w:tcBorders>
              <w:right w:val="dashSmallGap" w:sz="4" w:space="0" w:color="auto"/>
            </w:tcBorders>
          </w:tcPr>
          <w:p w14:paraId="2F18B644" w14:textId="77777777" w:rsidR="00BD152F" w:rsidRPr="00E50A7A" w:rsidRDefault="00BD152F" w:rsidP="00B00391">
            <w:pPr>
              <w:ind w:right="-29"/>
              <w:jc w:val="center"/>
              <w:rPr>
                <w:noProof/>
                <w:sz w:val="18"/>
                <w:szCs w:val="18"/>
                <w:lang w:val="en-IE"/>
              </w:rPr>
            </w:pPr>
          </w:p>
        </w:tc>
        <w:tc>
          <w:tcPr>
            <w:tcW w:w="720" w:type="dxa"/>
            <w:tcBorders>
              <w:left w:val="dashSmallGap" w:sz="4" w:space="0" w:color="auto"/>
            </w:tcBorders>
          </w:tcPr>
          <w:p w14:paraId="62150CF7" w14:textId="77777777" w:rsidR="00BD152F" w:rsidRPr="00E50A7A" w:rsidRDefault="00BD152F" w:rsidP="00B00391">
            <w:pPr>
              <w:ind w:right="-29"/>
              <w:jc w:val="center"/>
              <w:rPr>
                <w:noProof/>
                <w:sz w:val="18"/>
                <w:szCs w:val="18"/>
                <w:lang w:val="en-IE"/>
              </w:rPr>
            </w:pPr>
          </w:p>
        </w:tc>
        <w:tc>
          <w:tcPr>
            <w:tcW w:w="720" w:type="dxa"/>
            <w:tcBorders>
              <w:right w:val="dashSmallGap" w:sz="4" w:space="0" w:color="auto"/>
            </w:tcBorders>
          </w:tcPr>
          <w:p w14:paraId="5C9F5DC2" w14:textId="77777777" w:rsidR="00BD152F" w:rsidRPr="00E50A7A" w:rsidRDefault="00BD152F" w:rsidP="00B00391">
            <w:pPr>
              <w:ind w:right="-29"/>
              <w:jc w:val="center"/>
              <w:rPr>
                <w:noProof/>
                <w:sz w:val="18"/>
                <w:szCs w:val="18"/>
                <w:lang w:val="en-IE"/>
              </w:rPr>
            </w:pPr>
          </w:p>
        </w:tc>
        <w:tc>
          <w:tcPr>
            <w:tcW w:w="720" w:type="dxa"/>
            <w:tcBorders>
              <w:left w:val="dashSmallGap" w:sz="4" w:space="0" w:color="auto"/>
            </w:tcBorders>
          </w:tcPr>
          <w:p w14:paraId="68DCC93F" w14:textId="77777777" w:rsidR="00BD152F" w:rsidRPr="00E50A7A" w:rsidRDefault="00BD152F" w:rsidP="00B00391">
            <w:pPr>
              <w:ind w:right="-29"/>
              <w:jc w:val="center"/>
              <w:rPr>
                <w:noProof/>
                <w:sz w:val="18"/>
                <w:szCs w:val="18"/>
                <w:lang w:val="en-IE"/>
              </w:rPr>
            </w:pPr>
          </w:p>
        </w:tc>
        <w:tc>
          <w:tcPr>
            <w:tcW w:w="900" w:type="dxa"/>
            <w:tcBorders>
              <w:right w:val="dashSmallGap" w:sz="4" w:space="0" w:color="auto"/>
            </w:tcBorders>
          </w:tcPr>
          <w:p w14:paraId="792153B2" w14:textId="77777777" w:rsidR="00BD152F" w:rsidRPr="00E50A7A" w:rsidRDefault="00BD152F" w:rsidP="00B00391">
            <w:pPr>
              <w:ind w:right="-29"/>
              <w:jc w:val="center"/>
              <w:rPr>
                <w:noProof/>
                <w:sz w:val="18"/>
                <w:szCs w:val="18"/>
                <w:lang w:val="en-IE"/>
              </w:rPr>
            </w:pPr>
          </w:p>
        </w:tc>
        <w:tc>
          <w:tcPr>
            <w:tcW w:w="720" w:type="dxa"/>
            <w:gridSpan w:val="2"/>
            <w:tcBorders>
              <w:left w:val="dashSmallGap" w:sz="4" w:space="0" w:color="auto"/>
            </w:tcBorders>
          </w:tcPr>
          <w:p w14:paraId="0E94BD64" w14:textId="77777777" w:rsidR="00BD152F" w:rsidRPr="00E50A7A" w:rsidRDefault="00BD152F" w:rsidP="00B00391">
            <w:pPr>
              <w:ind w:right="-29"/>
              <w:jc w:val="center"/>
              <w:rPr>
                <w:noProof/>
                <w:sz w:val="18"/>
                <w:szCs w:val="18"/>
                <w:lang w:val="en-IE"/>
              </w:rPr>
            </w:pPr>
          </w:p>
        </w:tc>
        <w:tc>
          <w:tcPr>
            <w:tcW w:w="540" w:type="dxa"/>
            <w:tcBorders>
              <w:right w:val="dashSmallGap" w:sz="4" w:space="0" w:color="auto"/>
            </w:tcBorders>
          </w:tcPr>
          <w:p w14:paraId="7B326431" w14:textId="77777777" w:rsidR="00BD152F" w:rsidRPr="00E50A7A" w:rsidRDefault="00BD152F" w:rsidP="00B00391">
            <w:pPr>
              <w:ind w:right="-29"/>
              <w:jc w:val="center"/>
              <w:rPr>
                <w:noProof/>
                <w:sz w:val="18"/>
                <w:szCs w:val="18"/>
                <w:lang w:val="en-IE"/>
              </w:rPr>
            </w:pPr>
          </w:p>
        </w:tc>
        <w:tc>
          <w:tcPr>
            <w:tcW w:w="648" w:type="dxa"/>
            <w:tcBorders>
              <w:left w:val="dashSmallGap" w:sz="4" w:space="0" w:color="auto"/>
            </w:tcBorders>
          </w:tcPr>
          <w:p w14:paraId="573A94D9" w14:textId="77777777" w:rsidR="00BD152F" w:rsidRPr="00E50A7A" w:rsidRDefault="00BD152F" w:rsidP="00B00391">
            <w:pPr>
              <w:ind w:right="-29"/>
              <w:jc w:val="center"/>
              <w:rPr>
                <w:noProof/>
                <w:sz w:val="18"/>
                <w:szCs w:val="18"/>
                <w:lang w:val="en-IE"/>
              </w:rPr>
            </w:pPr>
          </w:p>
        </w:tc>
        <w:tc>
          <w:tcPr>
            <w:tcW w:w="432" w:type="dxa"/>
            <w:tcBorders>
              <w:right w:val="dashSmallGap" w:sz="4" w:space="0" w:color="auto"/>
            </w:tcBorders>
          </w:tcPr>
          <w:p w14:paraId="7D6D3C25" w14:textId="77777777" w:rsidR="00BD152F" w:rsidRPr="00E50A7A" w:rsidRDefault="00BD152F" w:rsidP="00B00391">
            <w:pPr>
              <w:ind w:right="-29"/>
              <w:jc w:val="center"/>
              <w:rPr>
                <w:noProof/>
                <w:sz w:val="18"/>
                <w:szCs w:val="18"/>
                <w:lang w:val="en-IE"/>
              </w:rPr>
            </w:pPr>
          </w:p>
        </w:tc>
        <w:tc>
          <w:tcPr>
            <w:tcW w:w="720" w:type="dxa"/>
            <w:tcBorders>
              <w:left w:val="dashSmallGap" w:sz="4" w:space="0" w:color="auto"/>
            </w:tcBorders>
          </w:tcPr>
          <w:p w14:paraId="62A9462F" w14:textId="77777777" w:rsidR="00BD152F" w:rsidRPr="00E50A7A" w:rsidRDefault="00BD152F" w:rsidP="00B00391">
            <w:pPr>
              <w:ind w:right="-29"/>
              <w:jc w:val="center"/>
              <w:rPr>
                <w:noProof/>
                <w:sz w:val="18"/>
                <w:szCs w:val="18"/>
                <w:lang w:val="en-IE"/>
              </w:rPr>
            </w:pPr>
          </w:p>
        </w:tc>
        <w:tc>
          <w:tcPr>
            <w:tcW w:w="540" w:type="dxa"/>
            <w:tcBorders>
              <w:right w:val="dashSmallGap" w:sz="4" w:space="0" w:color="auto"/>
            </w:tcBorders>
          </w:tcPr>
          <w:p w14:paraId="12F664E6" w14:textId="77777777" w:rsidR="00BD152F" w:rsidRPr="00E50A7A" w:rsidRDefault="00BD152F" w:rsidP="00B00391">
            <w:pPr>
              <w:ind w:right="-29"/>
              <w:jc w:val="center"/>
              <w:rPr>
                <w:noProof/>
                <w:sz w:val="18"/>
                <w:szCs w:val="18"/>
                <w:lang w:val="en-IE"/>
              </w:rPr>
            </w:pPr>
          </w:p>
        </w:tc>
        <w:tc>
          <w:tcPr>
            <w:tcW w:w="720" w:type="dxa"/>
            <w:tcBorders>
              <w:left w:val="dashSmallGap" w:sz="4" w:space="0" w:color="auto"/>
            </w:tcBorders>
          </w:tcPr>
          <w:p w14:paraId="11898DA5" w14:textId="77777777" w:rsidR="00BD152F" w:rsidRPr="00E50A7A" w:rsidRDefault="00BD152F" w:rsidP="00B00391">
            <w:pPr>
              <w:ind w:right="-29"/>
              <w:jc w:val="center"/>
              <w:rPr>
                <w:noProof/>
                <w:sz w:val="18"/>
                <w:szCs w:val="18"/>
                <w:lang w:val="en-IE"/>
              </w:rPr>
            </w:pPr>
          </w:p>
        </w:tc>
        <w:tc>
          <w:tcPr>
            <w:tcW w:w="720" w:type="dxa"/>
          </w:tcPr>
          <w:p w14:paraId="650BAE5C" w14:textId="77777777" w:rsidR="00BD152F" w:rsidRPr="00E50A7A" w:rsidRDefault="00BD152F" w:rsidP="00B00391">
            <w:pPr>
              <w:ind w:right="-29"/>
              <w:jc w:val="center"/>
              <w:rPr>
                <w:noProof/>
                <w:sz w:val="18"/>
                <w:szCs w:val="18"/>
                <w:lang w:val="en-IE"/>
              </w:rPr>
            </w:pPr>
          </w:p>
        </w:tc>
        <w:tc>
          <w:tcPr>
            <w:tcW w:w="900" w:type="dxa"/>
          </w:tcPr>
          <w:p w14:paraId="0C2CDAD6" w14:textId="77777777" w:rsidR="00BD152F" w:rsidRPr="00E50A7A" w:rsidRDefault="00BD152F" w:rsidP="00B00391">
            <w:pPr>
              <w:ind w:right="-29"/>
              <w:jc w:val="center"/>
              <w:rPr>
                <w:noProof/>
                <w:sz w:val="18"/>
                <w:szCs w:val="18"/>
                <w:lang w:val="en-IE"/>
              </w:rPr>
            </w:pPr>
          </w:p>
        </w:tc>
      </w:tr>
      <w:tr w:rsidR="00BD152F" w:rsidRPr="00B314C8" w14:paraId="3D26E391" w14:textId="77777777" w:rsidTr="1BD3479F">
        <w:trPr>
          <w:trHeight w:hRule="exact" w:val="369"/>
          <w:jc w:val="center"/>
        </w:trPr>
        <w:tc>
          <w:tcPr>
            <w:tcW w:w="1423" w:type="dxa"/>
          </w:tcPr>
          <w:p w14:paraId="7535492E" w14:textId="77777777" w:rsidR="00BD152F" w:rsidRPr="00E50A7A" w:rsidRDefault="00BD152F" w:rsidP="00B00391">
            <w:pPr>
              <w:ind w:right="-29"/>
              <w:jc w:val="center"/>
              <w:rPr>
                <w:noProof/>
                <w:sz w:val="18"/>
                <w:szCs w:val="18"/>
                <w:lang w:val="en-IE"/>
              </w:rPr>
            </w:pPr>
            <w:r w:rsidRPr="00E50A7A">
              <w:rPr>
                <w:noProof/>
                <w:sz w:val="18"/>
                <w:lang w:val="en-IE"/>
              </w:rPr>
              <w:t>- Output</w:t>
            </w:r>
          </w:p>
        </w:tc>
        <w:tc>
          <w:tcPr>
            <w:tcW w:w="720" w:type="dxa"/>
          </w:tcPr>
          <w:p w14:paraId="1845662B" w14:textId="77777777" w:rsidR="00BD152F" w:rsidRPr="00E50A7A" w:rsidRDefault="00BD152F" w:rsidP="00B00391">
            <w:pPr>
              <w:ind w:right="-29"/>
              <w:jc w:val="center"/>
              <w:rPr>
                <w:noProof/>
                <w:sz w:val="18"/>
                <w:szCs w:val="18"/>
                <w:lang w:val="en-IE"/>
              </w:rPr>
            </w:pPr>
          </w:p>
        </w:tc>
        <w:tc>
          <w:tcPr>
            <w:tcW w:w="701" w:type="dxa"/>
          </w:tcPr>
          <w:p w14:paraId="396D4E39" w14:textId="77777777" w:rsidR="00BD152F" w:rsidRPr="00E50A7A" w:rsidRDefault="00BD152F" w:rsidP="00B00391">
            <w:pPr>
              <w:ind w:right="-29"/>
              <w:jc w:val="center"/>
              <w:rPr>
                <w:noProof/>
                <w:sz w:val="18"/>
                <w:szCs w:val="18"/>
                <w:lang w:val="en-IE"/>
              </w:rPr>
            </w:pPr>
          </w:p>
        </w:tc>
        <w:tc>
          <w:tcPr>
            <w:tcW w:w="504" w:type="dxa"/>
          </w:tcPr>
          <w:p w14:paraId="315EA8F0" w14:textId="77777777" w:rsidR="00BD152F" w:rsidRPr="00E50A7A" w:rsidRDefault="00BD152F" w:rsidP="00B00391">
            <w:pPr>
              <w:ind w:right="-29"/>
              <w:jc w:val="center"/>
              <w:rPr>
                <w:noProof/>
                <w:sz w:val="18"/>
                <w:szCs w:val="18"/>
                <w:lang w:val="en-IE"/>
              </w:rPr>
            </w:pPr>
          </w:p>
        </w:tc>
        <w:tc>
          <w:tcPr>
            <w:tcW w:w="720" w:type="dxa"/>
          </w:tcPr>
          <w:p w14:paraId="1783DCED" w14:textId="77777777" w:rsidR="00BD152F" w:rsidRPr="00E50A7A" w:rsidRDefault="00BD152F" w:rsidP="00B00391">
            <w:pPr>
              <w:ind w:right="-29"/>
              <w:jc w:val="center"/>
              <w:rPr>
                <w:noProof/>
                <w:sz w:val="18"/>
                <w:szCs w:val="18"/>
                <w:lang w:val="en-IE"/>
              </w:rPr>
            </w:pPr>
          </w:p>
        </w:tc>
        <w:tc>
          <w:tcPr>
            <w:tcW w:w="540" w:type="dxa"/>
          </w:tcPr>
          <w:p w14:paraId="38BF2C7E" w14:textId="77777777" w:rsidR="00BD152F" w:rsidRPr="00E50A7A" w:rsidRDefault="00BD152F" w:rsidP="00B00391">
            <w:pPr>
              <w:ind w:right="-29"/>
              <w:jc w:val="center"/>
              <w:rPr>
                <w:noProof/>
                <w:sz w:val="18"/>
                <w:szCs w:val="18"/>
                <w:lang w:val="en-IE"/>
              </w:rPr>
            </w:pPr>
          </w:p>
        </w:tc>
        <w:tc>
          <w:tcPr>
            <w:tcW w:w="720" w:type="dxa"/>
          </w:tcPr>
          <w:p w14:paraId="191AA0B0" w14:textId="77777777" w:rsidR="00BD152F" w:rsidRPr="00E50A7A" w:rsidRDefault="00BD152F" w:rsidP="00B00391">
            <w:pPr>
              <w:ind w:right="-29"/>
              <w:jc w:val="center"/>
              <w:rPr>
                <w:noProof/>
                <w:sz w:val="18"/>
                <w:szCs w:val="18"/>
                <w:lang w:val="en-IE"/>
              </w:rPr>
            </w:pPr>
          </w:p>
        </w:tc>
        <w:tc>
          <w:tcPr>
            <w:tcW w:w="720" w:type="dxa"/>
          </w:tcPr>
          <w:p w14:paraId="2D933B48" w14:textId="77777777" w:rsidR="00BD152F" w:rsidRPr="00E50A7A" w:rsidRDefault="00BD152F" w:rsidP="00B00391">
            <w:pPr>
              <w:ind w:right="-29"/>
              <w:jc w:val="center"/>
              <w:rPr>
                <w:noProof/>
                <w:sz w:val="18"/>
                <w:szCs w:val="18"/>
                <w:lang w:val="en-IE"/>
              </w:rPr>
            </w:pPr>
          </w:p>
        </w:tc>
        <w:tc>
          <w:tcPr>
            <w:tcW w:w="720" w:type="dxa"/>
          </w:tcPr>
          <w:p w14:paraId="04560D9B" w14:textId="77777777" w:rsidR="00BD152F" w:rsidRPr="00E50A7A" w:rsidRDefault="00BD152F" w:rsidP="00B00391">
            <w:pPr>
              <w:ind w:right="-29"/>
              <w:jc w:val="center"/>
              <w:rPr>
                <w:noProof/>
                <w:sz w:val="18"/>
                <w:szCs w:val="18"/>
                <w:lang w:val="en-IE"/>
              </w:rPr>
            </w:pPr>
          </w:p>
        </w:tc>
        <w:tc>
          <w:tcPr>
            <w:tcW w:w="900" w:type="dxa"/>
          </w:tcPr>
          <w:p w14:paraId="74549B9E" w14:textId="77777777" w:rsidR="00BD152F" w:rsidRPr="00E50A7A" w:rsidRDefault="00BD152F" w:rsidP="00B00391">
            <w:pPr>
              <w:ind w:right="-29"/>
              <w:jc w:val="center"/>
              <w:rPr>
                <w:noProof/>
                <w:sz w:val="18"/>
                <w:szCs w:val="18"/>
                <w:lang w:val="en-IE"/>
              </w:rPr>
            </w:pPr>
          </w:p>
        </w:tc>
        <w:tc>
          <w:tcPr>
            <w:tcW w:w="720" w:type="dxa"/>
            <w:gridSpan w:val="2"/>
          </w:tcPr>
          <w:p w14:paraId="6CE2F1F5" w14:textId="77777777" w:rsidR="00BD152F" w:rsidRPr="00E50A7A" w:rsidRDefault="00BD152F" w:rsidP="00B00391">
            <w:pPr>
              <w:ind w:right="-29"/>
              <w:jc w:val="center"/>
              <w:rPr>
                <w:noProof/>
                <w:sz w:val="18"/>
                <w:szCs w:val="18"/>
                <w:lang w:val="en-IE"/>
              </w:rPr>
            </w:pPr>
          </w:p>
        </w:tc>
        <w:tc>
          <w:tcPr>
            <w:tcW w:w="540" w:type="dxa"/>
          </w:tcPr>
          <w:p w14:paraId="5969440E" w14:textId="77777777" w:rsidR="00BD152F" w:rsidRPr="00E50A7A" w:rsidRDefault="00BD152F" w:rsidP="00B00391">
            <w:pPr>
              <w:ind w:right="-29"/>
              <w:jc w:val="center"/>
              <w:rPr>
                <w:noProof/>
                <w:sz w:val="18"/>
                <w:szCs w:val="18"/>
                <w:lang w:val="en-IE"/>
              </w:rPr>
            </w:pPr>
          </w:p>
        </w:tc>
        <w:tc>
          <w:tcPr>
            <w:tcW w:w="648" w:type="dxa"/>
          </w:tcPr>
          <w:p w14:paraId="3664B743" w14:textId="77777777" w:rsidR="00BD152F" w:rsidRPr="00E50A7A" w:rsidRDefault="00BD152F" w:rsidP="00B00391">
            <w:pPr>
              <w:ind w:right="-29"/>
              <w:jc w:val="center"/>
              <w:rPr>
                <w:noProof/>
                <w:sz w:val="18"/>
                <w:szCs w:val="18"/>
                <w:lang w:val="en-IE"/>
              </w:rPr>
            </w:pPr>
          </w:p>
        </w:tc>
        <w:tc>
          <w:tcPr>
            <w:tcW w:w="432" w:type="dxa"/>
          </w:tcPr>
          <w:p w14:paraId="50D74793" w14:textId="77777777" w:rsidR="00BD152F" w:rsidRPr="00E50A7A" w:rsidRDefault="00BD152F" w:rsidP="00B00391">
            <w:pPr>
              <w:ind w:right="-29"/>
              <w:jc w:val="center"/>
              <w:rPr>
                <w:noProof/>
                <w:sz w:val="18"/>
                <w:szCs w:val="18"/>
                <w:lang w:val="en-IE"/>
              </w:rPr>
            </w:pPr>
          </w:p>
        </w:tc>
        <w:tc>
          <w:tcPr>
            <w:tcW w:w="720" w:type="dxa"/>
          </w:tcPr>
          <w:p w14:paraId="6DE1C21E" w14:textId="77777777" w:rsidR="00BD152F" w:rsidRPr="00E50A7A" w:rsidRDefault="00BD152F" w:rsidP="00B00391">
            <w:pPr>
              <w:ind w:right="-29"/>
              <w:jc w:val="center"/>
              <w:rPr>
                <w:noProof/>
                <w:sz w:val="18"/>
                <w:szCs w:val="18"/>
                <w:lang w:val="en-IE"/>
              </w:rPr>
            </w:pPr>
          </w:p>
        </w:tc>
        <w:tc>
          <w:tcPr>
            <w:tcW w:w="540" w:type="dxa"/>
          </w:tcPr>
          <w:p w14:paraId="08E0F270" w14:textId="77777777" w:rsidR="00BD152F" w:rsidRPr="00E50A7A" w:rsidRDefault="00BD152F" w:rsidP="00B00391">
            <w:pPr>
              <w:ind w:right="-29"/>
              <w:jc w:val="center"/>
              <w:rPr>
                <w:noProof/>
                <w:sz w:val="18"/>
                <w:szCs w:val="18"/>
                <w:lang w:val="en-IE"/>
              </w:rPr>
            </w:pPr>
          </w:p>
        </w:tc>
        <w:tc>
          <w:tcPr>
            <w:tcW w:w="720" w:type="dxa"/>
          </w:tcPr>
          <w:p w14:paraId="38C157C7" w14:textId="77777777" w:rsidR="00BD152F" w:rsidRPr="00E50A7A" w:rsidRDefault="00BD152F" w:rsidP="00B00391">
            <w:pPr>
              <w:ind w:right="-29"/>
              <w:jc w:val="center"/>
              <w:rPr>
                <w:noProof/>
                <w:sz w:val="18"/>
                <w:szCs w:val="18"/>
                <w:lang w:val="en-IE"/>
              </w:rPr>
            </w:pPr>
          </w:p>
        </w:tc>
        <w:tc>
          <w:tcPr>
            <w:tcW w:w="720" w:type="dxa"/>
          </w:tcPr>
          <w:p w14:paraId="6C5143C2" w14:textId="77777777" w:rsidR="00BD152F" w:rsidRPr="00E50A7A" w:rsidRDefault="00BD152F" w:rsidP="00B00391">
            <w:pPr>
              <w:ind w:right="-29"/>
              <w:jc w:val="center"/>
              <w:rPr>
                <w:noProof/>
                <w:sz w:val="18"/>
                <w:szCs w:val="18"/>
                <w:lang w:val="en-IE"/>
              </w:rPr>
            </w:pPr>
          </w:p>
        </w:tc>
        <w:tc>
          <w:tcPr>
            <w:tcW w:w="900" w:type="dxa"/>
          </w:tcPr>
          <w:p w14:paraId="04A15AD9" w14:textId="77777777" w:rsidR="00BD152F" w:rsidRPr="00E50A7A" w:rsidRDefault="00BD152F" w:rsidP="00B00391">
            <w:pPr>
              <w:ind w:right="-29"/>
              <w:jc w:val="center"/>
              <w:rPr>
                <w:noProof/>
                <w:sz w:val="18"/>
                <w:szCs w:val="18"/>
                <w:lang w:val="en-IE"/>
              </w:rPr>
            </w:pPr>
          </w:p>
        </w:tc>
      </w:tr>
      <w:tr w:rsidR="00BD152F" w:rsidRPr="00B314C8" w14:paraId="10FE82DD" w14:textId="77777777" w:rsidTr="1BD3479F">
        <w:trPr>
          <w:trHeight w:val="77"/>
          <w:jc w:val="center"/>
        </w:trPr>
        <w:tc>
          <w:tcPr>
            <w:tcW w:w="2844" w:type="dxa"/>
            <w:gridSpan w:val="3"/>
            <w:tcBorders>
              <w:bottom w:val="single" w:sz="12" w:space="0" w:color="auto"/>
            </w:tcBorders>
            <w:vAlign w:val="center"/>
          </w:tcPr>
          <w:p w14:paraId="17F4F603" w14:textId="77777777" w:rsidR="00BD152F" w:rsidRPr="00E50A7A" w:rsidRDefault="00BD152F" w:rsidP="00B00391">
            <w:pPr>
              <w:ind w:right="-29"/>
              <w:jc w:val="center"/>
              <w:rPr>
                <w:noProof/>
                <w:sz w:val="18"/>
                <w:szCs w:val="18"/>
                <w:lang w:val="en-IE"/>
              </w:rPr>
            </w:pPr>
            <w:r w:rsidRPr="00E50A7A">
              <w:rPr>
                <w:noProof/>
                <w:sz w:val="18"/>
                <w:lang w:val="en-IE"/>
              </w:rPr>
              <w:t>Subtotal for specific objective No 1</w:t>
            </w:r>
          </w:p>
        </w:tc>
        <w:tc>
          <w:tcPr>
            <w:tcW w:w="504" w:type="dxa"/>
            <w:tcBorders>
              <w:bottom w:val="single" w:sz="12" w:space="0" w:color="auto"/>
            </w:tcBorders>
          </w:tcPr>
          <w:p w14:paraId="2B8E9DBE" w14:textId="77777777" w:rsidR="00BD152F" w:rsidRPr="00E50A7A" w:rsidRDefault="00BD152F" w:rsidP="00B00391">
            <w:pPr>
              <w:ind w:right="-29"/>
              <w:jc w:val="center"/>
              <w:rPr>
                <w:noProof/>
                <w:sz w:val="18"/>
                <w:szCs w:val="18"/>
                <w:lang w:val="en-IE"/>
              </w:rPr>
            </w:pPr>
          </w:p>
        </w:tc>
        <w:tc>
          <w:tcPr>
            <w:tcW w:w="720" w:type="dxa"/>
            <w:tcBorders>
              <w:bottom w:val="single" w:sz="12" w:space="0" w:color="auto"/>
            </w:tcBorders>
          </w:tcPr>
          <w:p w14:paraId="194654E6" w14:textId="77777777" w:rsidR="00BD152F" w:rsidRPr="00E50A7A" w:rsidRDefault="00BD152F" w:rsidP="00B00391">
            <w:pPr>
              <w:ind w:right="-29"/>
              <w:jc w:val="center"/>
              <w:rPr>
                <w:noProof/>
                <w:sz w:val="18"/>
                <w:szCs w:val="18"/>
                <w:lang w:val="en-IE"/>
              </w:rPr>
            </w:pPr>
          </w:p>
        </w:tc>
        <w:tc>
          <w:tcPr>
            <w:tcW w:w="540" w:type="dxa"/>
            <w:tcBorders>
              <w:bottom w:val="single" w:sz="12" w:space="0" w:color="auto"/>
            </w:tcBorders>
          </w:tcPr>
          <w:p w14:paraId="3A33AAFC" w14:textId="77777777" w:rsidR="00BD152F" w:rsidRPr="00E50A7A" w:rsidRDefault="00BD152F" w:rsidP="00B00391">
            <w:pPr>
              <w:ind w:right="-29"/>
              <w:jc w:val="center"/>
              <w:rPr>
                <w:noProof/>
                <w:sz w:val="18"/>
                <w:szCs w:val="18"/>
                <w:lang w:val="en-IE"/>
              </w:rPr>
            </w:pPr>
          </w:p>
        </w:tc>
        <w:tc>
          <w:tcPr>
            <w:tcW w:w="720" w:type="dxa"/>
            <w:tcBorders>
              <w:bottom w:val="single" w:sz="12" w:space="0" w:color="auto"/>
            </w:tcBorders>
          </w:tcPr>
          <w:p w14:paraId="6B335E8F" w14:textId="77777777" w:rsidR="00BD152F" w:rsidRPr="00E50A7A" w:rsidRDefault="00BD152F" w:rsidP="00B00391">
            <w:pPr>
              <w:ind w:right="-29"/>
              <w:jc w:val="center"/>
              <w:rPr>
                <w:noProof/>
                <w:sz w:val="18"/>
                <w:szCs w:val="18"/>
                <w:lang w:val="en-IE"/>
              </w:rPr>
            </w:pPr>
          </w:p>
        </w:tc>
        <w:tc>
          <w:tcPr>
            <w:tcW w:w="720" w:type="dxa"/>
            <w:tcBorders>
              <w:bottom w:val="single" w:sz="12" w:space="0" w:color="auto"/>
            </w:tcBorders>
          </w:tcPr>
          <w:p w14:paraId="2CBF8C10" w14:textId="77777777" w:rsidR="00BD152F" w:rsidRPr="00E50A7A" w:rsidRDefault="00BD152F" w:rsidP="00B00391">
            <w:pPr>
              <w:ind w:right="-29"/>
              <w:jc w:val="center"/>
              <w:rPr>
                <w:noProof/>
                <w:sz w:val="18"/>
                <w:szCs w:val="18"/>
                <w:lang w:val="en-IE"/>
              </w:rPr>
            </w:pPr>
          </w:p>
        </w:tc>
        <w:tc>
          <w:tcPr>
            <w:tcW w:w="720" w:type="dxa"/>
            <w:tcBorders>
              <w:bottom w:val="single" w:sz="12" w:space="0" w:color="auto"/>
            </w:tcBorders>
          </w:tcPr>
          <w:p w14:paraId="4B6CFBE2" w14:textId="77777777" w:rsidR="00BD152F" w:rsidRPr="00E50A7A" w:rsidRDefault="00BD152F" w:rsidP="00B00391">
            <w:pPr>
              <w:ind w:right="-29"/>
              <w:jc w:val="center"/>
              <w:rPr>
                <w:noProof/>
                <w:sz w:val="18"/>
                <w:szCs w:val="18"/>
                <w:lang w:val="en-IE"/>
              </w:rPr>
            </w:pPr>
          </w:p>
        </w:tc>
        <w:tc>
          <w:tcPr>
            <w:tcW w:w="900" w:type="dxa"/>
            <w:tcBorders>
              <w:bottom w:val="single" w:sz="12" w:space="0" w:color="auto"/>
            </w:tcBorders>
          </w:tcPr>
          <w:p w14:paraId="2F07DE2D" w14:textId="77777777" w:rsidR="00BD152F" w:rsidRPr="00E50A7A" w:rsidRDefault="00BD152F" w:rsidP="00B00391">
            <w:pPr>
              <w:ind w:right="-29"/>
              <w:jc w:val="center"/>
              <w:rPr>
                <w:noProof/>
                <w:sz w:val="18"/>
                <w:szCs w:val="18"/>
                <w:lang w:val="en-IE"/>
              </w:rPr>
            </w:pPr>
          </w:p>
        </w:tc>
        <w:tc>
          <w:tcPr>
            <w:tcW w:w="720" w:type="dxa"/>
            <w:gridSpan w:val="2"/>
            <w:tcBorders>
              <w:bottom w:val="single" w:sz="12" w:space="0" w:color="auto"/>
            </w:tcBorders>
          </w:tcPr>
          <w:p w14:paraId="5BE32C5A" w14:textId="77777777" w:rsidR="00BD152F" w:rsidRPr="00E50A7A" w:rsidRDefault="00BD152F" w:rsidP="00B00391">
            <w:pPr>
              <w:ind w:right="-29"/>
              <w:jc w:val="center"/>
              <w:rPr>
                <w:noProof/>
                <w:sz w:val="18"/>
                <w:szCs w:val="18"/>
                <w:lang w:val="en-IE"/>
              </w:rPr>
            </w:pPr>
          </w:p>
        </w:tc>
        <w:tc>
          <w:tcPr>
            <w:tcW w:w="540" w:type="dxa"/>
            <w:tcBorders>
              <w:bottom w:val="single" w:sz="12" w:space="0" w:color="auto"/>
            </w:tcBorders>
          </w:tcPr>
          <w:p w14:paraId="352967E4" w14:textId="77777777" w:rsidR="00BD152F" w:rsidRPr="00E50A7A" w:rsidRDefault="00BD152F" w:rsidP="00B00391">
            <w:pPr>
              <w:ind w:right="-29"/>
              <w:jc w:val="center"/>
              <w:rPr>
                <w:noProof/>
                <w:sz w:val="18"/>
                <w:szCs w:val="18"/>
                <w:lang w:val="en-IE"/>
              </w:rPr>
            </w:pPr>
          </w:p>
        </w:tc>
        <w:tc>
          <w:tcPr>
            <w:tcW w:w="648" w:type="dxa"/>
            <w:tcBorders>
              <w:bottom w:val="single" w:sz="12" w:space="0" w:color="auto"/>
            </w:tcBorders>
          </w:tcPr>
          <w:p w14:paraId="10835E96" w14:textId="77777777" w:rsidR="00BD152F" w:rsidRPr="00E50A7A" w:rsidRDefault="00BD152F" w:rsidP="00B00391">
            <w:pPr>
              <w:ind w:right="-29"/>
              <w:jc w:val="center"/>
              <w:rPr>
                <w:noProof/>
                <w:sz w:val="18"/>
                <w:szCs w:val="18"/>
                <w:lang w:val="en-IE"/>
              </w:rPr>
            </w:pPr>
          </w:p>
        </w:tc>
        <w:tc>
          <w:tcPr>
            <w:tcW w:w="432" w:type="dxa"/>
            <w:tcBorders>
              <w:bottom w:val="single" w:sz="12" w:space="0" w:color="auto"/>
            </w:tcBorders>
          </w:tcPr>
          <w:p w14:paraId="1AD06248" w14:textId="77777777" w:rsidR="00BD152F" w:rsidRPr="00E50A7A" w:rsidRDefault="00BD152F" w:rsidP="00B00391">
            <w:pPr>
              <w:ind w:right="-29"/>
              <w:jc w:val="center"/>
              <w:rPr>
                <w:noProof/>
                <w:sz w:val="18"/>
                <w:szCs w:val="18"/>
                <w:lang w:val="en-IE"/>
              </w:rPr>
            </w:pPr>
          </w:p>
        </w:tc>
        <w:tc>
          <w:tcPr>
            <w:tcW w:w="720" w:type="dxa"/>
            <w:tcBorders>
              <w:bottom w:val="single" w:sz="12" w:space="0" w:color="auto"/>
            </w:tcBorders>
          </w:tcPr>
          <w:p w14:paraId="47572A10" w14:textId="77777777" w:rsidR="00BD152F" w:rsidRPr="00E50A7A" w:rsidRDefault="00BD152F" w:rsidP="00B00391">
            <w:pPr>
              <w:ind w:right="-29"/>
              <w:jc w:val="center"/>
              <w:rPr>
                <w:noProof/>
                <w:sz w:val="18"/>
                <w:szCs w:val="18"/>
                <w:lang w:val="en-IE"/>
              </w:rPr>
            </w:pPr>
          </w:p>
        </w:tc>
        <w:tc>
          <w:tcPr>
            <w:tcW w:w="540" w:type="dxa"/>
            <w:tcBorders>
              <w:bottom w:val="single" w:sz="12" w:space="0" w:color="auto"/>
            </w:tcBorders>
          </w:tcPr>
          <w:p w14:paraId="75F593B5" w14:textId="77777777" w:rsidR="00BD152F" w:rsidRPr="00E50A7A" w:rsidRDefault="00BD152F" w:rsidP="00B00391">
            <w:pPr>
              <w:ind w:right="-29"/>
              <w:jc w:val="center"/>
              <w:rPr>
                <w:noProof/>
                <w:sz w:val="18"/>
                <w:szCs w:val="18"/>
                <w:lang w:val="en-IE"/>
              </w:rPr>
            </w:pPr>
          </w:p>
        </w:tc>
        <w:tc>
          <w:tcPr>
            <w:tcW w:w="720" w:type="dxa"/>
            <w:tcBorders>
              <w:bottom w:val="single" w:sz="12" w:space="0" w:color="auto"/>
            </w:tcBorders>
          </w:tcPr>
          <w:p w14:paraId="6930762C" w14:textId="77777777" w:rsidR="00BD152F" w:rsidRPr="00E50A7A" w:rsidRDefault="00BD152F" w:rsidP="00B00391">
            <w:pPr>
              <w:ind w:right="-29"/>
              <w:jc w:val="center"/>
              <w:rPr>
                <w:noProof/>
                <w:sz w:val="18"/>
                <w:szCs w:val="18"/>
                <w:lang w:val="en-IE"/>
              </w:rPr>
            </w:pPr>
          </w:p>
        </w:tc>
        <w:tc>
          <w:tcPr>
            <w:tcW w:w="720" w:type="dxa"/>
            <w:tcBorders>
              <w:bottom w:val="single" w:sz="12" w:space="0" w:color="auto"/>
            </w:tcBorders>
          </w:tcPr>
          <w:p w14:paraId="033253B9" w14:textId="77777777" w:rsidR="00BD152F" w:rsidRPr="00E50A7A" w:rsidRDefault="00BD152F" w:rsidP="00B00391">
            <w:pPr>
              <w:ind w:right="-29"/>
              <w:jc w:val="center"/>
              <w:rPr>
                <w:noProof/>
                <w:sz w:val="18"/>
                <w:szCs w:val="18"/>
                <w:lang w:val="en-IE"/>
              </w:rPr>
            </w:pPr>
          </w:p>
        </w:tc>
        <w:tc>
          <w:tcPr>
            <w:tcW w:w="900" w:type="dxa"/>
            <w:tcBorders>
              <w:bottom w:val="single" w:sz="12" w:space="0" w:color="auto"/>
            </w:tcBorders>
          </w:tcPr>
          <w:p w14:paraId="3CC29C9A" w14:textId="77777777" w:rsidR="00BD152F" w:rsidRPr="00E50A7A" w:rsidRDefault="00BD152F" w:rsidP="00B00391">
            <w:pPr>
              <w:ind w:right="-29"/>
              <w:jc w:val="center"/>
              <w:rPr>
                <w:noProof/>
                <w:sz w:val="18"/>
                <w:szCs w:val="18"/>
                <w:lang w:val="en-IE"/>
              </w:rPr>
            </w:pPr>
          </w:p>
        </w:tc>
      </w:tr>
      <w:tr w:rsidR="00BD152F" w:rsidRPr="00B314C8" w14:paraId="35DD4062" w14:textId="77777777" w:rsidTr="1BD3479F">
        <w:trPr>
          <w:jc w:val="center"/>
        </w:trPr>
        <w:tc>
          <w:tcPr>
            <w:tcW w:w="2844" w:type="dxa"/>
            <w:gridSpan w:val="3"/>
            <w:vAlign w:val="center"/>
          </w:tcPr>
          <w:p w14:paraId="0EEF0445" w14:textId="77777777" w:rsidR="00BD152F" w:rsidRPr="00E50A7A" w:rsidRDefault="00BD152F" w:rsidP="00B00391">
            <w:pPr>
              <w:spacing w:before="60" w:after="60"/>
              <w:ind w:right="-29"/>
              <w:jc w:val="center"/>
              <w:rPr>
                <w:noProof/>
                <w:sz w:val="18"/>
                <w:szCs w:val="18"/>
                <w:lang w:val="en-IE"/>
              </w:rPr>
            </w:pPr>
            <w:r w:rsidRPr="00E50A7A">
              <w:rPr>
                <w:noProof/>
                <w:sz w:val="18"/>
                <w:lang w:val="en-IE"/>
              </w:rPr>
              <w:t>SPECIFIC OBJECTIVE No 2 ...</w:t>
            </w:r>
          </w:p>
        </w:tc>
        <w:tc>
          <w:tcPr>
            <w:tcW w:w="504" w:type="dxa"/>
            <w:tcBorders>
              <w:top w:val="nil"/>
              <w:left w:val="nil"/>
              <w:bottom w:val="nil"/>
              <w:right w:val="nil"/>
            </w:tcBorders>
          </w:tcPr>
          <w:p w14:paraId="02839673" w14:textId="77777777" w:rsidR="00BD152F" w:rsidRPr="00E50A7A" w:rsidRDefault="00BD152F" w:rsidP="00B00391">
            <w:pPr>
              <w:spacing w:before="60" w:after="60"/>
              <w:ind w:right="-29"/>
              <w:jc w:val="center"/>
              <w:rPr>
                <w:noProof/>
                <w:sz w:val="18"/>
                <w:szCs w:val="18"/>
                <w:lang w:val="en-IE"/>
              </w:rPr>
            </w:pPr>
          </w:p>
        </w:tc>
        <w:tc>
          <w:tcPr>
            <w:tcW w:w="720" w:type="dxa"/>
            <w:tcBorders>
              <w:top w:val="nil"/>
              <w:left w:val="nil"/>
              <w:bottom w:val="nil"/>
              <w:right w:val="nil"/>
            </w:tcBorders>
          </w:tcPr>
          <w:p w14:paraId="0D2F62EB" w14:textId="77777777" w:rsidR="00BD152F" w:rsidRPr="00E50A7A" w:rsidRDefault="00BD152F" w:rsidP="00B00391">
            <w:pPr>
              <w:spacing w:before="60" w:after="60"/>
              <w:ind w:right="-29"/>
              <w:jc w:val="center"/>
              <w:rPr>
                <w:noProof/>
                <w:sz w:val="18"/>
                <w:szCs w:val="18"/>
                <w:lang w:val="en-IE"/>
              </w:rPr>
            </w:pPr>
          </w:p>
        </w:tc>
        <w:tc>
          <w:tcPr>
            <w:tcW w:w="540" w:type="dxa"/>
            <w:tcBorders>
              <w:top w:val="nil"/>
              <w:left w:val="nil"/>
              <w:bottom w:val="nil"/>
              <w:right w:val="nil"/>
            </w:tcBorders>
          </w:tcPr>
          <w:p w14:paraId="6DF27A22" w14:textId="77777777" w:rsidR="00BD152F" w:rsidRPr="00E50A7A" w:rsidRDefault="00BD152F" w:rsidP="00B00391">
            <w:pPr>
              <w:spacing w:before="60" w:after="60"/>
              <w:ind w:right="-29"/>
              <w:jc w:val="center"/>
              <w:rPr>
                <w:noProof/>
                <w:sz w:val="18"/>
                <w:szCs w:val="18"/>
                <w:lang w:val="en-IE"/>
              </w:rPr>
            </w:pPr>
          </w:p>
        </w:tc>
        <w:tc>
          <w:tcPr>
            <w:tcW w:w="720" w:type="dxa"/>
            <w:tcBorders>
              <w:top w:val="nil"/>
              <w:left w:val="nil"/>
              <w:bottom w:val="nil"/>
              <w:right w:val="nil"/>
            </w:tcBorders>
          </w:tcPr>
          <w:p w14:paraId="0A4453FF" w14:textId="77777777" w:rsidR="00BD152F" w:rsidRPr="00E50A7A" w:rsidRDefault="00BD152F" w:rsidP="00B00391">
            <w:pPr>
              <w:spacing w:before="60" w:after="60"/>
              <w:ind w:right="-29"/>
              <w:jc w:val="center"/>
              <w:rPr>
                <w:noProof/>
                <w:sz w:val="18"/>
                <w:szCs w:val="18"/>
                <w:lang w:val="en-IE"/>
              </w:rPr>
            </w:pPr>
          </w:p>
        </w:tc>
        <w:tc>
          <w:tcPr>
            <w:tcW w:w="720" w:type="dxa"/>
            <w:tcBorders>
              <w:top w:val="nil"/>
              <w:left w:val="nil"/>
              <w:bottom w:val="nil"/>
              <w:right w:val="nil"/>
            </w:tcBorders>
          </w:tcPr>
          <w:p w14:paraId="7A570652" w14:textId="77777777" w:rsidR="00BD152F" w:rsidRPr="00E50A7A" w:rsidRDefault="00BD152F" w:rsidP="00B00391">
            <w:pPr>
              <w:spacing w:before="60" w:after="60"/>
              <w:ind w:right="-29"/>
              <w:jc w:val="center"/>
              <w:rPr>
                <w:noProof/>
                <w:sz w:val="18"/>
                <w:szCs w:val="18"/>
                <w:lang w:val="en-IE"/>
              </w:rPr>
            </w:pPr>
          </w:p>
        </w:tc>
        <w:tc>
          <w:tcPr>
            <w:tcW w:w="720" w:type="dxa"/>
            <w:tcBorders>
              <w:top w:val="nil"/>
              <w:left w:val="nil"/>
              <w:bottom w:val="nil"/>
              <w:right w:val="nil"/>
            </w:tcBorders>
          </w:tcPr>
          <w:p w14:paraId="779A69D4" w14:textId="77777777" w:rsidR="00BD152F" w:rsidRPr="00E50A7A" w:rsidRDefault="00BD152F" w:rsidP="00B00391">
            <w:pPr>
              <w:spacing w:before="60" w:after="60"/>
              <w:ind w:right="-29"/>
              <w:jc w:val="center"/>
              <w:rPr>
                <w:noProof/>
                <w:sz w:val="18"/>
                <w:szCs w:val="18"/>
                <w:lang w:val="en-IE"/>
              </w:rPr>
            </w:pPr>
          </w:p>
        </w:tc>
        <w:tc>
          <w:tcPr>
            <w:tcW w:w="900" w:type="dxa"/>
            <w:tcBorders>
              <w:top w:val="nil"/>
              <w:left w:val="nil"/>
              <w:bottom w:val="nil"/>
              <w:right w:val="nil"/>
            </w:tcBorders>
          </w:tcPr>
          <w:p w14:paraId="79DAD589" w14:textId="77777777" w:rsidR="00BD152F" w:rsidRPr="00E50A7A" w:rsidRDefault="00BD152F" w:rsidP="00B00391">
            <w:pPr>
              <w:spacing w:before="60" w:after="60"/>
              <w:ind w:right="-29"/>
              <w:jc w:val="center"/>
              <w:rPr>
                <w:noProof/>
                <w:sz w:val="18"/>
                <w:szCs w:val="18"/>
                <w:lang w:val="en-IE"/>
              </w:rPr>
            </w:pPr>
          </w:p>
        </w:tc>
        <w:tc>
          <w:tcPr>
            <w:tcW w:w="720" w:type="dxa"/>
            <w:gridSpan w:val="2"/>
            <w:tcBorders>
              <w:top w:val="nil"/>
              <w:left w:val="nil"/>
              <w:bottom w:val="nil"/>
              <w:right w:val="nil"/>
            </w:tcBorders>
          </w:tcPr>
          <w:p w14:paraId="5B3EDBC8" w14:textId="77777777" w:rsidR="00BD152F" w:rsidRPr="00E50A7A" w:rsidRDefault="00BD152F" w:rsidP="00B00391">
            <w:pPr>
              <w:spacing w:before="60" w:after="60"/>
              <w:ind w:right="-29"/>
              <w:jc w:val="center"/>
              <w:rPr>
                <w:noProof/>
                <w:sz w:val="18"/>
                <w:szCs w:val="18"/>
                <w:lang w:val="en-IE"/>
              </w:rPr>
            </w:pPr>
          </w:p>
        </w:tc>
        <w:tc>
          <w:tcPr>
            <w:tcW w:w="540" w:type="dxa"/>
            <w:tcBorders>
              <w:top w:val="nil"/>
              <w:left w:val="nil"/>
              <w:bottom w:val="nil"/>
              <w:right w:val="nil"/>
            </w:tcBorders>
          </w:tcPr>
          <w:p w14:paraId="158280F8" w14:textId="77777777" w:rsidR="00BD152F" w:rsidRPr="00E50A7A" w:rsidRDefault="00BD152F" w:rsidP="00B00391">
            <w:pPr>
              <w:spacing w:before="60" w:after="60"/>
              <w:ind w:right="-29"/>
              <w:jc w:val="center"/>
              <w:rPr>
                <w:noProof/>
                <w:sz w:val="18"/>
                <w:szCs w:val="18"/>
                <w:lang w:val="en-IE"/>
              </w:rPr>
            </w:pPr>
          </w:p>
        </w:tc>
        <w:tc>
          <w:tcPr>
            <w:tcW w:w="648" w:type="dxa"/>
            <w:tcBorders>
              <w:top w:val="nil"/>
              <w:left w:val="nil"/>
              <w:bottom w:val="nil"/>
              <w:right w:val="nil"/>
            </w:tcBorders>
          </w:tcPr>
          <w:p w14:paraId="4A9A607E" w14:textId="77777777" w:rsidR="00BD152F" w:rsidRPr="00E50A7A" w:rsidRDefault="00BD152F" w:rsidP="00B00391">
            <w:pPr>
              <w:spacing w:before="60" w:after="60"/>
              <w:ind w:right="-29"/>
              <w:jc w:val="center"/>
              <w:rPr>
                <w:noProof/>
                <w:sz w:val="18"/>
                <w:szCs w:val="18"/>
                <w:lang w:val="en-IE"/>
              </w:rPr>
            </w:pPr>
          </w:p>
        </w:tc>
        <w:tc>
          <w:tcPr>
            <w:tcW w:w="432" w:type="dxa"/>
            <w:tcBorders>
              <w:top w:val="nil"/>
              <w:left w:val="nil"/>
              <w:bottom w:val="nil"/>
              <w:right w:val="nil"/>
            </w:tcBorders>
          </w:tcPr>
          <w:p w14:paraId="1F7496AB" w14:textId="77777777" w:rsidR="00BD152F" w:rsidRPr="00E50A7A" w:rsidRDefault="00BD152F" w:rsidP="00B00391">
            <w:pPr>
              <w:spacing w:before="60" w:after="60"/>
              <w:ind w:right="-29"/>
              <w:jc w:val="center"/>
              <w:rPr>
                <w:noProof/>
                <w:sz w:val="18"/>
                <w:szCs w:val="18"/>
                <w:lang w:val="en-IE"/>
              </w:rPr>
            </w:pPr>
          </w:p>
        </w:tc>
        <w:tc>
          <w:tcPr>
            <w:tcW w:w="720" w:type="dxa"/>
            <w:tcBorders>
              <w:top w:val="nil"/>
              <w:left w:val="nil"/>
              <w:bottom w:val="nil"/>
              <w:right w:val="nil"/>
            </w:tcBorders>
          </w:tcPr>
          <w:p w14:paraId="56C4F03E" w14:textId="77777777" w:rsidR="00BD152F" w:rsidRPr="00E50A7A" w:rsidRDefault="00BD152F" w:rsidP="00B00391">
            <w:pPr>
              <w:spacing w:before="60" w:after="60"/>
              <w:ind w:right="-29"/>
              <w:jc w:val="center"/>
              <w:rPr>
                <w:noProof/>
                <w:sz w:val="18"/>
                <w:szCs w:val="18"/>
                <w:lang w:val="en-IE"/>
              </w:rPr>
            </w:pPr>
          </w:p>
        </w:tc>
        <w:tc>
          <w:tcPr>
            <w:tcW w:w="540" w:type="dxa"/>
            <w:tcBorders>
              <w:top w:val="nil"/>
              <w:left w:val="nil"/>
              <w:bottom w:val="nil"/>
              <w:right w:val="nil"/>
            </w:tcBorders>
          </w:tcPr>
          <w:p w14:paraId="5C41575C" w14:textId="77777777" w:rsidR="00BD152F" w:rsidRPr="00E50A7A" w:rsidRDefault="00BD152F" w:rsidP="00B00391">
            <w:pPr>
              <w:spacing w:before="60" w:after="60"/>
              <w:ind w:right="-29"/>
              <w:jc w:val="center"/>
              <w:rPr>
                <w:noProof/>
                <w:sz w:val="18"/>
                <w:szCs w:val="18"/>
                <w:lang w:val="en-IE"/>
              </w:rPr>
            </w:pPr>
          </w:p>
        </w:tc>
        <w:tc>
          <w:tcPr>
            <w:tcW w:w="720" w:type="dxa"/>
            <w:tcBorders>
              <w:top w:val="nil"/>
              <w:left w:val="nil"/>
              <w:bottom w:val="nil"/>
              <w:right w:val="nil"/>
            </w:tcBorders>
          </w:tcPr>
          <w:p w14:paraId="51C14048" w14:textId="77777777" w:rsidR="00BD152F" w:rsidRPr="00E50A7A" w:rsidRDefault="00BD152F" w:rsidP="00B00391">
            <w:pPr>
              <w:spacing w:before="60" w:after="60"/>
              <w:ind w:right="-29"/>
              <w:jc w:val="center"/>
              <w:rPr>
                <w:noProof/>
                <w:sz w:val="18"/>
                <w:szCs w:val="18"/>
                <w:lang w:val="en-IE"/>
              </w:rPr>
            </w:pPr>
          </w:p>
        </w:tc>
        <w:tc>
          <w:tcPr>
            <w:tcW w:w="720" w:type="dxa"/>
            <w:tcBorders>
              <w:top w:val="nil"/>
              <w:left w:val="nil"/>
              <w:bottom w:val="nil"/>
              <w:right w:val="nil"/>
            </w:tcBorders>
          </w:tcPr>
          <w:p w14:paraId="7DCBFE84" w14:textId="77777777" w:rsidR="00BD152F" w:rsidRPr="00E50A7A" w:rsidRDefault="00BD152F" w:rsidP="00B00391">
            <w:pPr>
              <w:spacing w:before="60" w:after="60"/>
              <w:ind w:right="-29"/>
              <w:jc w:val="center"/>
              <w:rPr>
                <w:noProof/>
                <w:sz w:val="18"/>
                <w:szCs w:val="18"/>
                <w:lang w:val="en-IE"/>
              </w:rPr>
            </w:pPr>
          </w:p>
        </w:tc>
        <w:tc>
          <w:tcPr>
            <w:tcW w:w="900" w:type="dxa"/>
            <w:tcBorders>
              <w:top w:val="nil"/>
              <w:left w:val="nil"/>
              <w:bottom w:val="nil"/>
              <w:right w:val="nil"/>
            </w:tcBorders>
          </w:tcPr>
          <w:p w14:paraId="15F01188" w14:textId="77777777" w:rsidR="00BD152F" w:rsidRPr="00E50A7A" w:rsidRDefault="00BD152F" w:rsidP="00B00391">
            <w:pPr>
              <w:spacing w:before="60" w:after="60"/>
              <w:ind w:right="-29"/>
              <w:jc w:val="center"/>
              <w:rPr>
                <w:noProof/>
                <w:sz w:val="18"/>
                <w:szCs w:val="18"/>
                <w:lang w:val="en-IE"/>
              </w:rPr>
            </w:pPr>
          </w:p>
        </w:tc>
      </w:tr>
      <w:tr w:rsidR="00BD152F" w:rsidRPr="00B314C8" w14:paraId="6BD8FF63" w14:textId="77777777" w:rsidTr="1BD3479F">
        <w:trPr>
          <w:trHeight w:hRule="exact" w:val="369"/>
          <w:jc w:val="center"/>
        </w:trPr>
        <w:tc>
          <w:tcPr>
            <w:tcW w:w="1423" w:type="dxa"/>
          </w:tcPr>
          <w:p w14:paraId="03FBCF5D" w14:textId="77777777" w:rsidR="00BD152F" w:rsidRPr="00E50A7A" w:rsidRDefault="00BD152F" w:rsidP="00B00391">
            <w:pPr>
              <w:ind w:right="-29"/>
              <w:jc w:val="center"/>
              <w:rPr>
                <w:noProof/>
                <w:sz w:val="18"/>
                <w:szCs w:val="18"/>
                <w:lang w:val="en-IE"/>
              </w:rPr>
            </w:pPr>
            <w:r w:rsidRPr="00E50A7A">
              <w:rPr>
                <w:noProof/>
                <w:sz w:val="18"/>
                <w:lang w:val="en-IE"/>
              </w:rPr>
              <w:t>- Output</w:t>
            </w:r>
          </w:p>
        </w:tc>
        <w:tc>
          <w:tcPr>
            <w:tcW w:w="720" w:type="dxa"/>
          </w:tcPr>
          <w:p w14:paraId="6E4EDB81" w14:textId="77777777" w:rsidR="00BD152F" w:rsidRPr="00E50A7A" w:rsidRDefault="00BD152F" w:rsidP="00B00391">
            <w:pPr>
              <w:ind w:right="-29"/>
              <w:jc w:val="center"/>
              <w:rPr>
                <w:noProof/>
                <w:sz w:val="18"/>
                <w:szCs w:val="18"/>
                <w:lang w:val="en-IE"/>
              </w:rPr>
            </w:pPr>
          </w:p>
        </w:tc>
        <w:tc>
          <w:tcPr>
            <w:tcW w:w="701" w:type="dxa"/>
          </w:tcPr>
          <w:p w14:paraId="6247D0F5" w14:textId="77777777" w:rsidR="00BD152F" w:rsidRPr="00E50A7A" w:rsidRDefault="00BD152F" w:rsidP="00B00391">
            <w:pPr>
              <w:ind w:right="-29"/>
              <w:jc w:val="center"/>
              <w:rPr>
                <w:noProof/>
                <w:sz w:val="18"/>
                <w:szCs w:val="18"/>
                <w:lang w:val="en-IE"/>
              </w:rPr>
            </w:pPr>
          </w:p>
        </w:tc>
        <w:tc>
          <w:tcPr>
            <w:tcW w:w="504" w:type="dxa"/>
          </w:tcPr>
          <w:p w14:paraId="782832D3" w14:textId="77777777" w:rsidR="00BD152F" w:rsidRPr="00E50A7A" w:rsidRDefault="00BD152F" w:rsidP="00B00391">
            <w:pPr>
              <w:ind w:right="-29"/>
              <w:jc w:val="center"/>
              <w:rPr>
                <w:noProof/>
                <w:sz w:val="18"/>
                <w:szCs w:val="18"/>
                <w:lang w:val="en-IE"/>
              </w:rPr>
            </w:pPr>
          </w:p>
        </w:tc>
        <w:tc>
          <w:tcPr>
            <w:tcW w:w="720" w:type="dxa"/>
          </w:tcPr>
          <w:p w14:paraId="3932B11A" w14:textId="77777777" w:rsidR="00BD152F" w:rsidRPr="00E50A7A" w:rsidRDefault="00BD152F" w:rsidP="00B00391">
            <w:pPr>
              <w:ind w:right="-29"/>
              <w:jc w:val="center"/>
              <w:rPr>
                <w:noProof/>
                <w:sz w:val="18"/>
                <w:szCs w:val="18"/>
                <w:lang w:val="en-IE"/>
              </w:rPr>
            </w:pPr>
          </w:p>
        </w:tc>
        <w:tc>
          <w:tcPr>
            <w:tcW w:w="540" w:type="dxa"/>
          </w:tcPr>
          <w:p w14:paraId="68C11460" w14:textId="77777777" w:rsidR="00BD152F" w:rsidRPr="00E50A7A" w:rsidRDefault="00BD152F" w:rsidP="00B00391">
            <w:pPr>
              <w:ind w:right="-29"/>
              <w:jc w:val="center"/>
              <w:rPr>
                <w:noProof/>
                <w:sz w:val="18"/>
                <w:szCs w:val="18"/>
                <w:lang w:val="en-IE"/>
              </w:rPr>
            </w:pPr>
          </w:p>
        </w:tc>
        <w:tc>
          <w:tcPr>
            <w:tcW w:w="720" w:type="dxa"/>
          </w:tcPr>
          <w:p w14:paraId="52379039" w14:textId="77777777" w:rsidR="00BD152F" w:rsidRPr="00E50A7A" w:rsidRDefault="00BD152F" w:rsidP="00B00391">
            <w:pPr>
              <w:ind w:right="-29"/>
              <w:jc w:val="center"/>
              <w:rPr>
                <w:noProof/>
                <w:sz w:val="18"/>
                <w:szCs w:val="18"/>
                <w:lang w:val="en-IE"/>
              </w:rPr>
            </w:pPr>
          </w:p>
        </w:tc>
        <w:tc>
          <w:tcPr>
            <w:tcW w:w="720" w:type="dxa"/>
          </w:tcPr>
          <w:p w14:paraId="38A4C362" w14:textId="77777777" w:rsidR="00BD152F" w:rsidRPr="00E50A7A" w:rsidRDefault="00BD152F" w:rsidP="00B00391">
            <w:pPr>
              <w:ind w:right="-29"/>
              <w:jc w:val="center"/>
              <w:rPr>
                <w:noProof/>
                <w:sz w:val="18"/>
                <w:szCs w:val="18"/>
                <w:lang w:val="en-IE"/>
              </w:rPr>
            </w:pPr>
          </w:p>
        </w:tc>
        <w:tc>
          <w:tcPr>
            <w:tcW w:w="720" w:type="dxa"/>
          </w:tcPr>
          <w:p w14:paraId="23E856ED" w14:textId="77777777" w:rsidR="00BD152F" w:rsidRPr="00E50A7A" w:rsidRDefault="00BD152F" w:rsidP="00B00391">
            <w:pPr>
              <w:ind w:right="-29"/>
              <w:jc w:val="center"/>
              <w:rPr>
                <w:noProof/>
                <w:sz w:val="18"/>
                <w:szCs w:val="18"/>
                <w:lang w:val="en-IE"/>
              </w:rPr>
            </w:pPr>
          </w:p>
        </w:tc>
        <w:tc>
          <w:tcPr>
            <w:tcW w:w="900" w:type="dxa"/>
          </w:tcPr>
          <w:p w14:paraId="235B9126" w14:textId="77777777" w:rsidR="00BD152F" w:rsidRPr="00E50A7A" w:rsidRDefault="00BD152F" w:rsidP="00B00391">
            <w:pPr>
              <w:ind w:right="-29"/>
              <w:jc w:val="center"/>
              <w:rPr>
                <w:noProof/>
                <w:sz w:val="18"/>
                <w:szCs w:val="18"/>
                <w:lang w:val="en-IE"/>
              </w:rPr>
            </w:pPr>
          </w:p>
        </w:tc>
        <w:tc>
          <w:tcPr>
            <w:tcW w:w="720" w:type="dxa"/>
            <w:gridSpan w:val="2"/>
          </w:tcPr>
          <w:p w14:paraId="0ADC2A7C" w14:textId="77777777" w:rsidR="00BD152F" w:rsidRPr="00E50A7A" w:rsidRDefault="00BD152F" w:rsidP="00B00391">
            <w:pPr>
              <w:ind w:right="-29"/>
              <w:jc w:val="center"/>
              <w:rPr>
                <w:noProof/>
                <w:sz w:val="18"/>
                <w:szCs w:val="18"/>
                <w:lang w:val="en-IE"/>
              </w:rPr>
            </w:pPr>
          </w:p>
        </w:tc>
        <w:tc>
          <w:tcPr>
            <w:tcW w:w="540" w:type="dxa"/>
          </w:tcPr>
          <w:p w14:paraId="3B569C0E" w14:textId="77777777" w:rsidR="00BD152F" w:rsidRPr="00E50A7A" w:rsidRDefault="00BD152F" w:rsidP="00B00391">
            <w:pPr>
              <w:ind w:right="-29"/>
              <w:jc w:val="center"/>
              <w:rPr>
                <w:noProof/>
                <w:sz w:val="18"/>
                <w:szCs w:val="18"/>
                <w:lang w:val="en-IE"/>
              </w:rPr>
            </w:pPr>
          </w:p>
        </w:tc>
        <w:tc>
          <w:tcPr>
            <w:tcW w:w="648" w:type="dxa"/>
          </w:tcPr>
          <w:p w14:paraId="04ADAA18" w14:textId="77777777" w:rsidR="00BD152F" w:rsidRPr="00E50A7A" w:rsidRDefault="00BD152F" w:rsidP="00B00391">
            <w:pPr>
              <w:ind w:right="-29"/>
              <w:jc w:val="center"/>
              <w:rPr>
                <w:noProof/>
                <w:sz w:val="18"/>
                <w:szCs w:val="18"/>
                <w:lang w:val="en-IE"/>
              </w:rPr>
            </w:pPr>
          </w:p>
        </w:tc>
        <w:tc>
          <w:tcPr>
            <w:tcW w:w="432" w:type="dxa"/>
          </w:tcPr>
          <w:p w14:paraId="15630881" w14:textId="77777777" w:rsidR="00BD152F" w:rsidRPr="00E50A7A" w:rsidRDefault="00BD152F" w:rsidP="00B00391">
            <w:pPr>
              <w:ind w:right="-29"/>
              <w:jc w:val="center"/>
              <w:rPr>
                <w:noProof/>
                <w:sz w:val="18"/>
                <w:szCs w:val="18"/>
                <w:lang w:val="en-IE"/>
              </w:rPr>
            </w:pPr>
          </w:p>
        </w:tc>
        <w:tc>
          <w:tcPr>
            <w:tcW w:w="720" w:type="dxa"/>
          </w:tcPr>
          <w:p w14:paraId="1349EFAB" w14:textId="77777777" w:rsidR="00BD152F" w:rsidRPr="00E50A7A" w:rsidRDefault="00BD152F" w:rsidP="00B00391">
            <w:pPr>
              <w:ind w:right="-29"/>
              <w:jc w:val="center"/>
              <w:rPr>
                <w:noProof/>
                <w:sz w:val="18"/>
                <w:szCs w:val="18"/>
                <w:lang w:val="en-IE"/>
              </w:rPr>
            </w:pPr>
          </w:p>
        </w:tc>
        <w:tc>
          <w:tcPr>
            <w:tcW w:w="540" w:type="dxa"/>
          </w:tcPr>
          <w:p w14:paraId="167C2C72" w14:textId="77777777" w:rsidR="00BD152F" w:rsidRPr="00E50A7A" w:rsidRDefault="00BD152F" w:rsidP="00B00391">
            <w:pPr>
              <w:ind w:right="-29"/>
              <w:jc w:val="center"/>
              <w:rPr>
                <w:noProof/>
                <w:sz w:val="18"/>
                <w:szCs w:val="18"/>
                <w:lang w:val="en-IE"/>
              </w:rPr>
            </w:pPr>
          </w:p>
        </w:tc>
        <w:tc>
          <w:tcPr>
            <w:tcW w:w="720" w:type="dxa"/>
          </w:tcPr>
          <w:p w14:paraId="34C1C32B" w14:textId="77777777" w:rsidR="00BD152F" w:rsidRPr="00E50A7A" w:rsidRDefault="00BD152F" w:rsidP="00B00391">
            <w:pPr>
              <w:ind w:right="-29"/>
              <w:jc w:val="center"/>
              <w:rPr>
                <w:noProof/>
                <w:sz w:val="18"/>
                <w:szCs w:val="18"/>
                <w:lang w:val="en-IE"/>
              </w:rPr>
            </w:pPr>
          </w:p>
        </w:tc>
        <w:tc>
          <w:tcPr>
            <w:tcW w:w="720" w:type="dxa"/>
          </w:tcPr>
          <w:p w14:paraId="0869137A" w14:textId="77777777" w:rsidR="00BD152F" w:rsidRPr="00E50A7A" w:rsidRDefault="00BD152F" w:rsidP="00B00391">
            <w:pPr>
              <w:ind w:right="-29"/>
              <w:jc w:val="center"/>
              <w:rPr>
                <w:noProof/>
                <w:sz w:val="18"/>
                <w:szCs w:val="18"/>
                <w:lang w:val="en-IE"/>
              </w:rPr>
            </w:pPr>
          </w:p>
        </w:tc>
        <w:tc>
          <w:tcPr>
            <w:tcW w:w="900" w:type="dxa"/>
          </w:tcPr>
          <w:p w14:paraId="421CF468" w14:textId="77777777" w:rsidR="00BD152F" w:rsidRPr="00E50A7A" w:rsidRDefault="00BD152F" w:rsidP="00B00391">
            <w:pPr>
              <w:ind w:right="-29"/>
              <w:jc w:val="center"/>
              <w:rPr>
                <w:noProof/>
                <w:sz w:val="18"/>
                <w:szCs w:val="18"/>
                <w:lang w:val="en-IE"/>
              </w:rPr>
            </w:pPr>
          </w:p>
        </w:tc>
      </w:tr>
      <w:tr w:rsidR="00BD152F" w:rsidRPr="00B314C8" w14:paraId="272B6AD5" w14:textId="77777777" w:rsidTr="1BD3479F">
        <w:trPr>
          <w:jc w:val="center"/>
        </w:trPr>
        <w:tc>
          <w:tcPr>
            <w:tcW w:w="2844" w:type="dxa"/>
            <w:gridSpan w:val="3"/>
            <w:tcBorders>
              <w:bottom w:val="single" w:sz="12" w:space="0" w:color="auto"/>
            </w:tcBorders>
            <w:vAlign w:val="center"/>
          </w:tcPr>
          <w:p w14:paraId="7ECA6F59" w14:textId="77777777" w:rsidR="00BD152F" w:rsidRPr="00E50A7A" w:rsidRDefault="00BD152F" w:rsidP="00B00391">
            <w:pPr>
              <w:jc w:val="center"/>
              <w:rPr>
                <w:noProof/>
                <w:sz w:val="18"/>
                <w:szCs w:val="18"/>
                <w:lang w:val="en-IE"/>
              </w:rPr>
            </w:pPr>
            <w:r w:rsidRPr="00E50A7A">
              <w:rPr>
                <w:noProof/>
                <w:sz w:val="18"/>
                <w:lang w:val="en-IE"/>
              </w:rPr>
              <w:t>Subtotal for specific objective No 2</w:t>
            </w:r>
          </w:p>
        </w:tc>
        <w:tc>
          <w:tcPr>
            <w:tcW w:w="504" w:type="dxa"/>
            <w:tcBorders>
              <w:bottom w:val="single" w:sz="12" w:space="0" w:color="auto"/>
            </w:tcBorders>
          </w:tcPr>
          <w:p w14:paraId="371EA93C" w14:textId="77777777" w:rsidR="00BD152F" w:rsidRPr="00E50A7A" w:rsidRDefault="00BD152F" w:rsidP="00B00391">
            <w:pPr>
              <w:ind w:right="-29"/>
              <w:jc w:val="center"/>
              <w:rPr>
                <w:noProof/>
                <w:sz w:val="18"/>
                <w:szCs w:val="18"/>
                <w:lang w:val="en-IE"/>
              </w:rPr>
            </w:pPr>
          </w:p>
        </w:tc>
        <w:tc>
          <w:tcPr>
            <w:tcW w:w="720" w:type="dxa"/>
            <w:tcBorders>
              <w:bottom w:val="single" w:sz="12" w:space="0" w:color="auto"/>
            </w:tcBorders>
          </w:tcPr>
          <w:p w14:paraId="2E4F3F09" w14:textId="77777777" w:rsidR="00BD152F" w:rsidRPr="00E50A7A" w:rsidRDefault="00BD152F" w:rsidP="00B00391">
            <w:pPr>
              <w:ind w:right="-29"/>
              <w:jc w:val="center"/>
              <w:rPr>
                <w:noProof/>
                <w:sz w:val="18"/>
                <w:szCs w:val="18"/>
                <w:lang w:val="en-IE"/>
              </w:rPr>
            </w:pPr>
          </w:p>
        </w:tc>
        <w:tc>
          <w:tcPr>
            <w:tcW w:w="540" w:type="dxa"/>
            <w:tcBorders>
              <w:bottom w:val="single" w:sz="12" w:space="0" w:color="auto"/>
            </w:tcBorders>
          </w:tcPr>
          <w:p w14:paraId="313206C0" w14:textId="77777777" w:rsidR="00BD152F" w:rsidRPr="00E50A7A" w:rsidRDefault="00BD152F" w:rsidP="00B00391">
            <w:pPr>
              <w:ind w:right="-29"/>
              <w:jc w:val="center"/>
              <w:rPr>
                <w:noProof/>
                <w:sz w:val="18"/>
                <w:szCs w:val="18"/>
                <w:lang w:val="en-IE"/>
              </w:rPr>
            </w:pPr>
          </w:p>
        </w:tc>
        <w:tc>
          <w:tcPr>
            <w:tcW w:w="720" w:type="dxa"/>
            <w:tcBorders>
              <w:bottom w:val="single" w:sz="12" w:space="0" w:color="auto"/>
            </w:tcBorders>
          </w:tcPr>
          <w:p w14:paraId="6739BC5A" w14:textId="77777777" w:rsidR="00BD152F" w:rsidRPr="00E50A7A" w:rsidRDefault="00BD152F" w:rsidP="00B00391">
            <w:pPr>
              <w:ind w:right="-29"/>
              <w:jc w:val="center"/>
              <w:rPr>
                <w:noProof/>
                <w:sz w:val="18"/>
                <w:szCs w:val="18"/>
                <w:lang w:val="en-IE"/>
              </w:rPr>
            </w:pPr>
          </w:p>
        </w:tc>
        <w:tc>
          <w:tcPr>
            <w:tcW w:w="720" w:type="dxa"/>
            <w:tcBorders>
              <w:bottom w:val="single" w:sz="12" w:space="0" w:color="auto"/>
            </w:tcBorders>
          </w:tcPr>
          <w:p w14:paraId="2CFBC946" w14:textId="77777777" w:rsidR="00BD152F" w:rsidRPr="00E50A7A" w:rsidRDefault="00BD152F" w:rsidP="00B00391">
            <w:pPr>
              <w:ind w:right="-29"/>
              <w:jc w:val="center"/>
              <w:rPr>
                <w:noProof/>
                <w:sz w:val="18"/>
                <w:szCs w:val="18"/>
                <w:lang w:val="en-IE"/>
              </w:rPr>
            </w:pPr>
          </w:p>
        </w:tc>
        <w:tc>
          <w:tcPr>
            <w:tcW w:w="720" w:type="dxa"/>
            <w:tcBorders>
              <w:bottom w:val="single" w:sz="12" w:space="0" w:color="auto"/>
            </w:tcBorders>
          </w:tcPr>
          <w:p w14:paraId="52655094" w14:textId="77777777" w:rsidR="00BD152F" w:rsidRPr="00E50A7A" w:rsidRDefault="00BD152F" w:rsidP="00B00391">
            <w:pPr>
              <w:ind w:right="-29"/>
              <w:jc w:val="center"/>
              <w:rPr>
                <w:noProof/>
                <w:sz w:val="18"/>
                <w:szCs w:val="18"/>
                <w:lang w:val="en-IE"/>
              </w:rPr>
            </w:pPr>
          </w:p>
        </w:tc>
        <w:tc>
          <w:tcPr>
            <w:tcW w:w="951" w:type="dxa"/>
            <w:gridSpan w:val="2"/>
            <w:tcBorders>
              <w:bottom w:val="single" w:sz="12" w:space="0" w:color="auto"/>
            </w:tcBorders>
          </w:tcPr>
          <w:p w14:paraId="13D128EB" w14:textId="77777777" w:rsidR="00BD152F" w:rsidRPr="00E50A7A" w:rsidRDefault="00BD152F" w:rsidP="00B00391">
            <w:pPr>
              <w:ind w:right="-29"/>
              <w:jc w:val="center"/>
              <w:rPr>
                <w:noProof/>
                <w:sz w:val="18"/>
                <w:szCs w:val="18"/>
                <w:lang w:val="en-IE"/>
              </w:rPr>
            </w:pPr>
          </w:p>
        </w:tc>
        <w:tc>
          <w:tcPr>
            <w:tcW w:w="669" w:type="dxa"/>
            <w:tcBorders>
              <w:bottom w:val="single" w:sz="12" w:space="0" w:color="auto"/>
            </w:tcBorders>
          </w:tcPr>
          <w:p w14:paraId="5A1B691B" w14:textId="77777777" w:rsidR="00BD152F" w:rsidRPr="00E50A7A" w:rsidRDefault="00BD152F" w:rsidP="00B00391">
            <w:pPr>
              <w:ind w:right="-29"/>
              <w:jc w:val="center"/>
              <w:rPr>
                <w:noProof/>
                <w:sz w:val="18"/>
                <w:szCs w:val="18"/>
                <w:lang w:val="en-IE"/>
              </w:rPr>
            </w:pPr>
          </w:p>
        </w:tc>
        <w:tc>
          <w:tcPr>
            <w:tcW w:w="540" w:type="dxa"/>
            <w:tcBorders>
              <w:bottom w:val="single" w:sz="12" w:space="0" w:color="auto"/>
            </w:tcBorders>
          </w:tcPr>
          <w:p w14:paraId="689C1150" w14:textId="77777777" w:rsidR="00BD152F" w:rsidRPr="00E50A7A" w:rsidRDefault="00BD152F" w:rsidP="00B00391">
            <w:pPr>
              <w:ind w:right="-29"/>
              <w:jc w:val="center"/>
              <w:rPr>
                <w:noProof/>
                <w:sz w:val="18"/>
                <w:szCs w:val="18"/>
                <w:lang w:val="en-IE"/>
              </w:rPr>
            </w:pPr>
          </w:p>
        </w:tc>
        <w:tc>
          <w:tcPr>
            <w:tcW w:w="648" w:type="dxa"/>
            <w:tcBorders>
              <w:bottom w:val="single" w:sz="12" w:space="0" w:color="auto"/>
            </w:tcBorders>
          </w:tcPr>
          <w:p w14:paraId="46512877" w14:textId="77777777" w:rsidR="00BD152F" w:rsidRPr="00E50A7A" w:rsidRDefault="00BD152F" w:rsidP="00B00391">
            <w:pPr>
              <w:ind w:right="-29"/>
              <w:jc w:val="center"/>
              <w:rPr>
                <w:noProof/>
                <w:sz w:val="18"/>
                <w:szCs w:val="18"/>
                <w:lang w:val="en-IE"/>
              </w:rPr>
            </w:pPr>
          </w:p>
        </w:tc>
        <w:tc>
          <w:tcPr>
            <w:tcW w:w="432" w:type="dxa"/>
            <w:tcBorders>
              <w:bottom w:val="single" w:sz="12" w:space="0" w:color="auto"/>
            </w:tcBorders>
          </w:tcPr>
          <w:p w14:paraId="328A477B" w14:textId="77777777" w:rsidR="00BD152F" w:rsidRPr="00E50A7A" w:rsidRDefault="00BD152F" w:rsidP="00B00391">
            <w:pPr>
              <w:ind w:right="-29"/>
              <w:jc w:val="center"/>
              <w:rPr>
                <w:noProof/>
                <w:sz w:val="18"/>
                <w:szCs w:val="18"/>
                <w:lang w:val="en-IE"/>
              </w:rPr>
            </w:pPr>
          </w:p>
        </w:tc>
        <w:tc>
          <w:tcPr>
            <w:tcW w:w="720" w:type="dxa"/>
            <w:tcBorders>
              <w:bottom w:val="single" w:sz="12" w:space="0" w:color="auto"/>
            </w:tcBorders>
          </w:tcPr>
          <w:p w14:paraId="7DE502E3" w14:textId="77777777" w:rsidR="00BD152F" w:rsidRPr="00E50A7A" w:rsidRDefault="00BD152F" w:rsidP="00B00391">
            <w:pPr>
              <w:ind w:right="-29"/>
              <w:jc w:val="center"/>
              <w:rPr>
                <w:noProof/>
                <w:sz w:val="18"/>
                <w:szCs w:val="18"/>
                <w:lang w:val="en-IE"/>
              </w:rPr>
            </w:pPr>
          </w:p>
        </w:tc>
        <w:tc>
          <w:tcPr>
            <w:tcW w:w="540" w:type="dxa"/>
            <w:tcBorders>
              <w:bottom w:val="single" w:sz="12" w:space="0" w:color="auto"/>
            </w:tcBorders>
          </w:tcPr>
          <w:p w14:paraId="55ACAA10" w14:textId="77777777" w:rsidR="00BD152F" w:rsidRPr="00E50A7A" w:rsidRDefault="00BD152F" w:rsidP="00B00391">
            <w:pPr>
              <w:ind w:right="-29"/>
              <w:jc w:val="center"/>
              <w:rPr>
                <w:noProof/>
                <w:sz w:val="18"/>
                <w:szCs w:val="18"/>
                <w:lang w:val="en-IE"/>
              </w:rPr>
            </w:pPr>
          </w:p>
        </w:tc>
        <w:tc>
          <w:tcPr>
            <w:tcW w:w="720" w:type="dxa"/>
            <w:tcBorders>
              <w:bottom w:val="single" w:sz="12" w:space="0" w:color="auto"/>
            </w:tcBorders>
          </w:tcPr>
          <w:p w14:paraId="5C04FB5B" w14:textId="77777777" w:rsidR="00BD152F" w:rsidRPr="00E50A7A" w:rsidRDefault="00BD152F" w:rsidP="00B00391">
            <w:pPr>
              <w:ind w:right="-29"/>
              <w:jc w:val="center"/>
              <w:rPr>
                <w:noProof/>
                <w:sz w:val="18"/>
                <w:szCs w:val="18"/>
                <w:lang w:val="en-IE"/>
              </w:rPr>
            </w:pPr>
          </w:p>
        </w:tc>
        <w:tc>
          <w:tcPr>
            <w:tcW w:w="720" w:type="dxa"/>
            <w:tcBorders>
              <w:bottom w:val="single" w:sz="12" w:space="0" w:color="auto"/>
            </w:tcBorders>
          </w:tcPr>
          <w:p w14:paraId="462BC034" w14:textId="77777777" w:rsidR="00BD152F" w:rsidRPr="00E50A7A" w:rsidRDefault="00BD152F" w:rsidP="00B00391">
            <w:pPr>
              <w:ind w:right="-29"/>
              <w:jc w:val="center"/>
              <w:rPr>
                <w:noProof/>
                <w:sz w:val="18"/>
                <w:szCs w:val="18"/>
                <w:lang w:val="en-IE"/>
              </w:rPr>
            </w:pPr>
          </w:p>
        </w:tc>
        <w:tc>
          <w:tcPr>
            <w:tcW w:w="900" w:type="dxa"/>
            <w:tcBorders>
              <w:bottom w:val="single" w:sz="12" w:space="0" w:color="auto"/>
            </w:tcBorders>
          </w:tcPr>
          <w:p w14:paraId="1779652F" w14:textId="77777777" w:rsidR="00BD152F" w:rsidRPr="00E50A7A" w:rsidRDefault="00BD152F" w:rsidP="00B00391">
            <w:pPr>
              <w:ind w:right="-29"/>
              <w:jc w:val="center"/>
              <w:rPr>
                <w:noProof/>
                <w:sz w:val="18"/>
                <w:szCs w:val="18"/>
                <w:lang w:val="en-IE"/>
              </w:rPr>
            </w:pPr>
          </w:p>
        </w:tc>
      </w:tr>
      <w:tr w:rsidR="00BD152F" w:rsidRPr="00B314C8" w14:paraId="23FB888B" w14:textId="77777777" w:rsidTr="1BD3479F">
        <w:trPr>
          <w:jc w:val="center"/>
        </w:trPr>
        <w:tc>
          <w:tcPr>
            <w:tcW w:w="2844" w:type="dxa"/>
            <w:gridSpan w:val="3"/>
            <w:tcBorders>
              <w:top w:val="single" w:sz="12" w:space="0" w:color="auto"/>
              <w:left w:val="single" w:sz="12" w:space="0" w:color="auto"/>
              <w:bottom w:val="single" w:sz="12" w:space="0" w:color="auto"/>
            </w:tcBorders>
            <w:vAlign w:val="center"/>
          </w:tcPr>
          <w:p w14:paraId="47AE2E0B" w14:textId="77777777" w:rsidR="00BD152F" w:rsidRPr="00E50A7A" w:rsidRDefault="00BD152F" w:rsidP="00B00391">
            <w:pPr>
              <w:ind w:right="-29"/>
              <w:jc w:val="center"/>
              <w:rPr>
                <w:noProof/>
                <w:sz w:val="18"/>
                <w:szCs w:val="18"/>
                <w:lang w:val="en-IE"/>
              </w:rPr>
            </w:pPr>
            <w:r w:rsidRPr="00E50A7A">
              <w:rPr>
                <w:b/>
                <w:noProof/>
                <w:sz w:val="18"/>
                <w:lang w:val="en-IE"/>
              </w:rPr>
              <w:t>TOTALS</w:t>
            </w:r>
          </w:p>
        </w:tc>
        <w:tc>
          <w:tcPr>
            <w:tcW w:w="504" w:type="dxa"/>
            <w:tcBorders>
              <w:top w:val="single" w:sz="12" w:space="0" w:color="auto"/>
              <w:bottom w:val="single" w:sz="12" w:space="0" w:color="auto"/>
            </w:tcBorders>
          </w:tcPr>
          <w:p w14:paraId="00292C79" w14:textId="77777777" w:rsidR="00BD152F" w:rsidRPr="00E50A7A" w:rsidRDefault="00BD152F" w:rsidP="00B00391">
            <w:pPr>
              <w:spacing w:before="180" w:after="180"/>
              <w:ind w:right="-29"/>
              <w:jc w:val="center"/>
              <w:rPr>
                <w:noProof/>
                <w:sz w:val="18"/>
                <w:szCs w:val="18"/>
                <w:lang w:val="en-IE"/>
              </w:rPr>
            </w:pPr>
          </w:p>
        </w:tc>
        <w:tc>
          <w:tcPr>
            <w:tcW w:w="720" w:type="dxa"/>
            <w:tcBorders>
              <w:top w:val="single" w:sz="12" w:space="0" w:color="auto"/>
              <w:bottom w:val="single" w:sz="12" w:space="0" w:color="auto"/>
            </w:tcBorders>
          </w:tcPr>
          <w:p w14:paraId="469BD494" w14:textId="77777777" w:rsidR="00BD152F" w:rsidRPr="00E50A7A" w:rsidRDefault="00BD152F" w:rsidP="00B00391">
            <w:pPr>
              <w:spacing w:before="180" w:after="180"/>
              <w:ind w:right="-29"/>
              <w:jc w:val="center"/>
              <w:rPr>
                <w:noProof/>
                <w:sz w:val="18"/>
                <w:szCs w:val="18"/>
                <w:lang w:val="en-IE"/>
              </w:rPr>
            </w:pPr>
          </w:p>
        </w:tc>
        <w:tc>
          <w:tcPr>
            <w:tcW w:w="540" w:type="dxa"/>
            <w:tcBorders>
              <w:top w:val="single" w:sz="12" w:space="0" w:color="auto"/>
              <w:bottom w:val="single" w:sz="12" w:space="0" w:color="auto"/>
            </w:tcBorders>
          </w:tcPr>
          <w:p w14:paraId="63371B90" w14:textId="77777777" w:rsidR="00BD152F" w:rsidRPr="00E50A7A" w:rsidRDefault="00BD152F" w:rsidP="00B00391">
            <w:pPr>
              <w:spacing w:before="180" w:after="180"/>
              <w:ind w:right="-29"/>
              <w:jc w:val="center"/>
              <w:rPr>
                <w:noProof/>
                <w:sz w:val="18"/>
                <w:szCs w:val="18"/>
                <w:lang w:val="en-IE"/>
              </w:rPr>
            </w:pPr>
          </w:p>
        </w:tc>
        <w:tc>
          <w:tcPr>
            <w:tcW w:w="720" w:type="dxa"/>
            <w:tcBorders>
              <w:top w:val="single" w:sz="12" w:space="0" w:color="auto"/>
              <w:bottom w:val="single" w:sz="12" w:space="0" w:color="auto"/>
            </w:tcBorders>
          </w:tcPr>
          <w:p w14:paraId="54295DD2" w14:textId="77777777" w:rsidR="00BD152F" w:rsidRPr="00E50A7A" w:rsidRDefault="00BD152F" w:rsidP="00B00391">
            <w:pPr>
              <w:spacing w:before="180" w:after="180"/>
              <w:ind w:right="-29"/>
              <w:jc w:val="center"/>
              <w:rPr>
                <w:noProof/>
                <w:sz w:val="18"/>
                <w:szCs w:val="18"/>
                <w:lang w:val="en-IE"/>
              </w:rPr>
            </w:pPr>
          </w:p>
        </w:tc>
        <w:tc>
          <w:tcPr>
            <w:tcW w:w="720" w:type="dxa"/>
            <w:tcBorders>
              <w:top w:val="single" w:sz="12" w:space="0" w:color="auto"/>
              <w:bottom w:val="single" w:sz="12" w:space="0" w:color="auto"/>
            </w:tcBorders>
          </w:tcPr>
          <w:p w14:paraId="52011A74" w14:textId="77777777" w:rsidR="00BD152F" w:rsidRPr="00E50A7A" w:rsidRDefault="00BD152F" w:rsidP="00B00391">
            <w:pPr>
              <w:spacing w:before="180" w:after="180"/>
              <w:ind w:right="-29"/>
              <w:jc w:val="center"/>
              <w:rPr>
                <w:noProof/>
                <w:sz w:val="18"/>
                <w:szCs w:val="18"/>
                <w:lang w:val="en-IE"/>
              </w:rPr>
            </w:pPr>
          </w:p>
        </w:tc>
        <w:tc>
          <w:tcPr>
            <w:tcW w:w="720" w:type="dxa"/>
            <w:tcBorders>
              <w:top w:val="single" w:sz="12" w:space="0" w:color="auto"/>
              <w:bottom w:val="single" w:sz="12" w:space="0" w:color="auto"/>
            </w:tcBorders>
          </w:tcPr>
          <w:p w14:paraId="0F60B3D4" w14:textId="77777777" w:rsidR="00BD152F" w:rsidRPr="00E50A7A" w:rsidRDefault="00BD152F" w:rsidP="00B00391">
            <w:pPr>
              <w:spacing w:before="180" w:after="180"/>
              <w:ind w:right="-29"/>
              <w:jc w:val="center"/>
              <w:rPr>
                <w:noProof/>
                <w:sz w:val="18"/>
                <w:szCs w:val="18"/>
                <w:lang w:val="en-IE"/>
              </w:rPr>
            </w:pPr>
          </w:p>
        </w:tc>
        <w:tc>
          <w:tcPr>
            <w:tcW w:w="900" w:type="dxa"/>
            <w:tcBorders>
              <w:top w:val="single" w:sz="12" w:space="0" w:color="auto"/>
              <w:bottom w:val="single" w:sz="12" w:space="0" w:color="auto"/>
            </w:tcBorders>
          </w:tcPr>
          <w:p w14:paraId="0BDF7DC6" w14:textId="77777777" w:rsidR="00BD152F" w:rsidRPr="00E50A7A" w:rsidRDefault="00BD152F" w:rsidP="00B00391">
            <w:pPr>
              <w:spacing w:before="180" w:after="180"/>
              <w:ind w:right="-29"/>
              <w:jc w:val="center"/>
              <w:rPr>
                <w:noProof/>
                <w:sz w:val="18"/>
                <w:szCs w:val="18"/>
                <w:lang w:val="en-IE"/>
              </w:rPr>
            </w:pPr>
          </w:p>
        </w:tc>
        <w:tc>
          <w:tcPr>
            <w:tcW w:w="720" w:type="dxa"/>
            <w:gridSpan w:val="2"/>
            <w:tcBorders>
              <w:top w:val="single" w:sz="12" w:space="0" w:color="auto"/>
              <w:bottom w:val="single" w:sz="12" w:space="0" w:color="auto"/>
            </w:tcBorders>
          </w:tcPr>
          <w:p w14:paraId="17E8B96C" w14:textId="77777777" w:rsidR="00BD152F" w:rsidRPr="00E50A7A" w:rsidRDefault="00BD152F" w:rsidP="00B00391">
            <w:pPr>
              <w:spacing w:before="180" w:after="180"/>
              <w:ind w:right="-29"/>
              <w:jc w:val="center"/>
              <w:rPr>
                <w:noProof/>
                <w:sz w:val="18"/>
                <w:szCs w:val="18"/>
                <w:lang w:val="en-IE"/>
              </w:rPr>
            </w:pPr>
          </w:p>
        </w:tc>
        <w:tc>
          <w:tcPr>
            <w:tcW w:w="540" w:type="dxa"/>
            <w:tcBorders>
              <w:top w:val="single" w:sz="12" w:space="0" w:color="auto"/>
              <w:bottom w:val="single" w:sz="12" w:space="0" w:color="auto"/>
            </w:tcBorders>
          </w:tcPr>
          <w:p w14:paraId="561E2951" w14:textId="77777777" w:rsidR="00BD152F" w:rsidRPr="00E50A7A" w:rsidRDefault="00BD152F" w:rsidP="00B00391">
            <w:pPr>
              <w:spacing w:before="180" w:after="180"/>
              <w:ind w:right="-29"/>
              <w:jc w:val="center"/>
              <w:rPr>
                <w:noProof/>
                <w:sz w:val="18"/>
                <w:szCs w:val="18"/>
                <w:lang w:val="en-IE"/>
              </w:rPr>
            </w:pPr>
          </w:p>
        </w:tc>
        <w:tc>
          <w:tcPr>
            <w:tcW w:w="648" w:type="dxa"/>
            <w:tcBorders>
              <w:top w:val="single" w:sz="12" w:space="0" w:color="auto"/>
              <w:bottom w:val="single" w:sz="12" w:space="0" w:color="auto"/>
            </w:tcBorders>
          </w:tcPr>
          <w:p w14:paraId="5E23F465" w14:textId="77777777" w:rsidR="00BD152F" w:rsidRPr="00E50A7A" w:rsidRDefault="00BD152F" w:rsidP="00B00391">
            <w:pPr>
              <w:spacing w:before="180" w:after="180"/>
              <w:ind w:right="-29"/>
              <w:jc w:val="center"/>
              <w:rPr>
                <w:noProof/>
                <w:sz w:val="18"/>
                <w:szCs w:val="18"/>
                <w:lang w:val="en-IE"/>
              </w:rPr>
            </w:pPr>
          </w:p>
        </w:tc>
        <w:tc>
          <w:tcPr>
            <w:tcW w:w="432" w:type="dxa"/>
            <w:tcBorders>
              <w:top w:val="single" w:sz="12" w:space="0" w:color="auto"/>
              <w:bottom w:val="single" w:sz="12" w:space="0" w:color="auto"/>
            </w:tcBorders>
          </w:tcPr>
          <w:p w14:paraId="2463BD15" w14:textId="77777777" w:rsidR="00BD152F" w:rsidRPr="00E50A7A" w:rsidRDefault="00BD152F" w:rsidP="00B00391">
            <w:pPr>
              <w:spacing w:before="180" w:after="180"/>
              <w:ind w:right="-29"/>
              <w:jc w:val="center"/>
              <w:rPr>
                <w:noProof/>
                <w:sz w:val="18"/>
                <w:szCs w:val="18"/>
                <w:lang w:val="en-IE"/>
              </w:rPr>
            </w:pPr>
          </w:p>
        </w:tc>
        <w:tc>
          <w:tcPr>
            <w:tcW w:w="720" w:type="dxa"/>
            <w:tcBorders>
              <w:top w:val="single" w:sz="12" w:space="0" w:color="auto"/>
              <w:bottom w:val="single" w:sz="12" w:space="0" w:color="auto"/>
            </w:tcBorders>
          </w:tcPr>
          <w:p w14:paraId="215981CF" w14:textId="77777777" w:rsidR="00BD152F" w:rsidRPr="00E50A7A" w:rsidRDefault="00BD152F" w:rsidP="00B00391">
            <w:pPr>
              <w:spacing w:before="180" w:after="180"/>
              <w:ind w:right="-29"/>
              <w:jc w:val="center"/>
              <w:rPr>
                <w:noProof/>
                <w:sz w:val="18"/>
                <w:szCs w:val="18"/>
                <w:lang w:val="en-IE"/>
              </w:rPr>
            </w:pPr>
          </w:p>
        </w:tc>
        <w:tc>
          <w:tcPr>
            <w:tcW w:w="540" w:type="dxa"/>
            <w:tcBorders>
              <w:top w:val="single" w:sz="12" w:space="0" w:color="auto"/>
              <w:bottom w:val="single" w:sz="12" w:space="0" w:color="auto"/>
            </w:tcBorders>
          </w:tcPr>
          <w:p w14:paraId="01D59800" w14:textId="77777777" w:rsidR="00BD152F" w:rsidRPr="00E50A7A" w:rsidRDefault="00BD152F" w:rsidP="00B00391">
            <w:pPr>
              <w:spacing w:before="180" w:after="180"/>
              <w:ind w:right="-29"/>
              <w:jc w:val="center"/>
              <w:rPr>
                <w:noProof/>
                <w:sz w:val="18"/>
                <w:szCs w:val="18"/>
                <w:lang w:val="en-IE"/>
              </w:rPr>
            </w:pPr>
          </w:p>
        </w:tc>
        <w:tc>
          <w:tcPr>
            <w:tcW w:w="720" w:type="dxa"/>
            <w:tcBorders>
              <w:top w:val="single" w:sz="12" w:space="0" w:color="auto"/>
              <w:bottom w:val="single" w:sz="12" w:space="0" w:color="auto"/>
            </w:tcBorders>
          </w:tcPr>
          <w:p w14:paraId="7A34FB82" w14:textId="77777777" w:rsidR="00BD152F" w:rsidRPr="00E50A7A" w:rsidRDefault="00BD152F" w:rsidP="00B00391">
            <w:pPr>
              <w:spacing w:before="180" w:after="180"/>
              <w:ind w:right="-29"/>
              <w:jc w:val="center"/>
              <w:rPr>
                <w:noProof/>
                <w:sz w:val="18"/>
                <w:szCs w:val="18"/>
                <w:lang w:val="en-IE"/>
              </w:rPr>
            </w:pPr>
          </w:p>
        </w:tc>
        <w:tc>
          <w:tcPr>
            <w:tcW w:w="720" w:type="dxa"/>
            <w:tcBorders>
              <w:top w:val="single" w:sz="12" w:space="0" w:color="auto"/>
              <w:bottom w:val="single" w:sz="12" w:space="0" w:color="auto"/>
            </w:tcBorders>
          </w:tcPr>
          <w:p w14:paraId="5DA19D51" w14:textId="77777777" w:rsidR="00BD152F" w:rsidRPr="00E50A7A" w:rsidRDefault="00BD152F" w:rsidP="00B00391">
            <w:pPr>
              <w:spacing w:before="180" w:after="180"/>
              <w:ind w:right="-29"/>
              <w:jc w:val="center"/>
              <w:rPr>
                <w:noProof/>
                <w:sz w:val="18"/>
                <w:szCs w:val="18"/>
                <w:lang w:val="en-IE"/>
              </w:rPr>
            </w:pPr>
          </w:p>
        </w:tc>
        <w:tc>
          <w:tcPr>
            <w:tcW w:w="900" w:type="dxa"/>
            <w:tcBorders>
              <w:top w:val="single" w:sz="12" w:space="0" w:color="auto"/>
              <w:bottom w:val="single" w:sz="12" w:space="0" w:color="auto"/>
              <w:right w:val="single" w:sz="12" w:space="0" w:color="auto"/>
            </w:tcBorders>
          </w:tcPr>
          <w:p w14:paraId="1C1D1D58" w14:textId="77777777" w:rsidR="00BD152F" w:rsidRPr="00E50A7A" w:rsidRDefault="00BD152F" w:rsidP="00B00391">
            <w:pPr>
              <w:spacing w:before="180" w:after="180"/>
              <w:ind w:right="-29"/>
              <w:jc w:val="center"/>
              <w:rPr>
                <w:noProof/>
                <w:sz w:val="18"/>
                <w:szCs w:val="18"/>
                <w:lang w:val="en-IE"/>
              </w:rPr>
            </w:pPr>
          </w:p>
        </w:tc>
      </w:tr>
    </w:tbl>
    <w:p w14:paraId="03B21298" w14:textId="77777777" w:rsidR="00BD152F" w:rsidRPr="00E50A7A" w:rsidRDefault="00BD152F" w:rsidP="00B00391">
      <w:pPr>
        <w:rPr>
          <w:noProof/>
          <w:lang w:val="en-IE"/>
        </w:rPr>
        <w:sectPr w:rsidR="00BD152F" w:rsidRPr="00E50A7A" w:rsidSect="001F75A6">
          <w:headerReference w:type="default" r:id="rId38"/>
          <w:footerReference w:type="default" r:id="rId39"/>
          <w:headerReference w:type="first" r:id="rId40"/>
          <w:footerReference w:type="first" r:id="rId41"/>
          <w:pgSz w:w="16840" w:h="11907" w:orient="landscape" w:code="9"/>
          <w:pgMar w:top="1134" w:right="1418" w:bottom="567" w:left="1418" w:header="709" w:footer="709" w:gutter="0"/>
          <w:cols w:space="708"/>
          <w:docGrid w:linePitch="360"/>
        </w:sectPr>
      </w:pPr>
    </w:p>
    <w:p w14:paraId="617FF961" w14:textId="0E8E2182" w:rsidR="00BD152F" w:rsidRPr="00E50A7A" w:rsidRDefault="00BD152F" w:rsidP="00B00391">
      <w:pPr>
        <w:pStyle w:val="ManualHeading3"/>
        <w:rPr>
          <w:bCs/>
          <w:noProof/>
          <w:szCs w:val="24"/>
          <w:lang w:val="en-IE"/>
        </w:rPr>
      </w:pPr>
      <w:r w:rsidRPr="00E50A7A">
        <w:rPr>
          <w:noProof/>
          <w:lang w:val="en-IE"/>
        </w:rPr>
        <w:lastRenderedPageBreak/>
        <w:t>3.2.3.</w:t>
      </w:r>
      <w:r w:rsidRPr="00E50A7A">
        <w:rPr>
          <w:noProof/>
          <w:lang w:val="en-IE"/>
        </w:rPr>
        <w:tab/>
        <w:t xml:space="preserve">Summary of estimated impact on </w:t>
      </w:r>
      <w:r w:rsidR="00EC18A5" w:rsidRPr="00E50A7A">
        <w:rPr>
          <w:noProof/>
          <w:lang w:val="en-IE"/>
        </w:rPr>
        <w:t xml:space="preserve">human resources and </w:t>
      </w:r>
      <w:r w:rsidRPr="00E50A7A">
        <w:rPr>
          <w:noProof/>
          <w:lang w:val="en-IE"/>
        </w:rPr>
        <w:t xml:space="preserve">administrative appropriations </w:t>
      </w:r>
    </w:p>
    <w:p w14:paraId="058EE5DE" w14:textId="77777777" w:rsidR="00BD152F" w:rsidRPr="00E50A7A" w:rsidRDefault="00BD152F" w:rsidP="00B00391">
      <w:pPr>
        <w:pStyle w:val="ManualHeading4"/>
        <w:rPr>
          <w:noProof/>
          <w:lang w:val="en-IE"/>
        </w:rPr>
      </w:pPr>
      <w:r w:rsidRPr="00E50A7A">
        <w:rPr>
          <w:noProof/>
          <w:lang w:val="en-IE"/>
        </w:rPr>
        <w:t xml:space="preserve">Estimated requirements </w:t>
      </w:r>
      <w:r w:rsidR="002B6EB1" w:rsidRPr="00E50A7A">
        <w:rPr>
          <w:noProof/>
          <w:lang w:val="en-IE"/>
        </w:rPr>
        <w:t>on administrative appropriations in the Commission</w:t>
      </w:r>
      <w:r w:rsidRPr="00E50A7A">
        <w:rPr>
          <w:noProof/>
          <w:lang w:val="en-IE"/>
        </w:rPr>
        <w:t xml:space="preserve"> </w:t>
      </w:r>
    </w:p>
    <w:p w14:paraId="56153124" w14:textId="77777777" w:rsidR="00BD152F" w:rsidRPr="00E50A7A" w:rsidRDefault="00BD152F" w:rsidP="0020411B">
      <w:pPr>
        <w:pStyle w:val="ListDash1"/>
        <w:rPr>
          <w:noProof/>
          <w:lang w:val="en-IE"/>
        </w:rPr>
      </w:pPr>
      <w:r w:rsidRPr="00E50A7A">
        <w:rPr>
          <w:rFonts w:ascii="Wingdings" w:eastAsia="Wingdings" w:hAnsi="Wingdings" w:cs="Wingdings"/>
          <w:noProof/>
          <w:lang w:val="en-IE"/>
        </w:rPr>
        <w:t></w:t>
      </w:r>
      <w:r w:rsidRPr="00E50A7A">
        <w:rPr>
          <w:noProof/>
          <w:lang w:val="en-IE"/>
        </w:rPr>
        <w:tab/>
        <w:t xml:space="preserve">The proposal/initiative does not require the use of </w:t>
      </w:r>
      <w:r w:rsidR="002B6EB1" w:rsidRPr="00E50A7A">
        <w:rPr>
          <w:rStyle w:val="normaltextrun"/>
          <w:noProof/>
          <w:color w:val="000000"/>
          <w:bdr w:val="none" w:sz="0" w:space="0" w:color="auto" w:frame="1"/>
          <w:lang w:val="en-IE"/>
        </w:rPr>
        <w:t>appropriations of an administrative nature</w:t>
      </w:r>
      <w:r w:rsidRPr="00E50A7A">
        <w:rPr>
          <w:noProof/>
          <w:lang w:val="en-IE"/>
        </w:rPr>
        <w:t xml:space="preserve">. </w:t>
      </w:r>
    </w:p>
    <w:p w14:paraId="060B1476" w14:textId="77777777" w:rsidR="002B6EB1" w:rsidRPr="00E50A7A" w:rsidRDefault="00CB1A27" w:rsidP="0020411B">
      <w:pPr>
        <w:pStyle w:val="ListDash1"/>
        <w:rPr>
          <w:noProof/>
          <w:lang w:val="en-IE"/>
        </w:rPr>
      </w:pPr>
      <w:r w:rsidRPr="00E50A7A">
        <w:rPr>
          <w:rStyle w:val="normaltextrun"/>
          <w:rFonts w:ascii="Wingdings" w:eastAsia="Wingdings" w:hAnsi="Wingdings" w:cs="Wingdings"/>
          <w:b/>
          <w:bCs/>
          <w:noProof/>
          <w:color w:val="000000"/>
          <w:bdr w:val="none" w:sz="0" w:space="0" w:color="auto" w:frame="1"/>
          <w:lang w:val="en-IE"/>
        </w:rPr>
        <w:t></w:t>
      </w:r>
      <w:r w:rsidR="00BD152F" w:rsidRPr="00E50A7A">
        <w:rPr>
          <w:noProof/>
          <w:lang w:val="en-IE"/>
        </w:rPr>
        <w:tab/>
        <w:t xml:space="preserve">The proposal/initiative requires the use of </w:t>
      </w:r>
      <w:r w:rsidR="002B6EB1" w:rsidRPr="00E50A7A">
        <w:rPr>
          <w:rStyle w:val="normaltextrun"/>
          <w:noProof/>
          <w:color w:val="000000"/>
          <w:bdr w:val="none" w:sz="0" w:space="0" w:color="auto" w:frame="1"/>
          <w:lang w:val="en-IE"/>
        </w:rPr>
        <w:t>appropriations of an administrative nature</w:t>
      </w:r>
      <w:r w:rsidR="00BD152F" w:rsidRPr="00E50A7A">
        <w:rPr>
          <w:noProof/>
          <w:lang w:val="en-IE"/>
        </w:rPr>
        <w:t>, as explained below:</w:t>
      </w:r>
    </w:p>
    <w:p w14:paraId="721CB94C" w14:textId="77777777" w:rsidR="002B6EB1" w:rsidRPr="00B314C8" w:rsidRDefault="00B10A70" w:rsidP="00E50A7A">
      <w:pPr>
        <w:spacing w:before="0" w:after="0"/>
        <w:jc w:val="right"/>
        <w:textAlignment w:val="baseline"/>
        <w:rPr>
          <w:rFonts w:ascii="Segoe UI" w:eastAsia="Times New Roman" w:hAnsi="Segoe UI" w:cs="Segoe UI"/>
          <w:noProof/>
          <w:sz w:val="18"/>
          <w:szCs w:val="18"/>
          <w:lang w:val="en-IE" w:eastAsia="en-IE"/>
        </w:rPr>
      </w:pPr>
      <w:r w:rsidRPr="00E50A7A">
        <w:rPr>
          <w:i/>
          <w:noProof/>
          <w:sz w:val="20"/>
          <w:lang w:val="en-IE"/>
        </w:rPr>
        <w:t>EUR million (to three decimal places) </w:t>
      </w:r>
      <w:r w:rsidR="002B6EB1" w:rsidRPr="00B314C8">
        <w:rPr>
          <w:rFonts w:eastAsia="Times New Roman"/>
          <w:noProof/>
          <w:szCs w:val="24"/>
          <w:lang w:val="en-IE" w:eastAsia="en-IE"/>
        </w:rPr>
        <w:t> </w:t>
      </w:r>
    </w:p>
    <w:tbl>
      <w:tblPr>
        <w:tblW w:w="846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tblGrid>
      <w:tr w:rsidR="00151042" w:rsidRPr="00B314C8" w14:paraId="70A3E942" w14:textId="77777777" w:rsidTr="00A10DCB">
        <w:trPr>
          <w:trHeight w:val="585"/>
        </w:trPr>
        <w:tc>
          <w:tcPr>
            <w:tcW w:w="1980" w:type="dxa"/>
          </w:tcPr>
          <w:p w14:paraId="52FD8EEC" w14:textId="77777777" w:rsidR="002B6EB1" w:rsidRPr="00E50A7A" w:rsidRDefault="002B6EB1" w:rsidP="00B00391">
            <w:pPr>
              <w:spacing w:before="60" w:after="60" w:line="200" w:lineRule="exact"/>
              <w:rPr>
                <w:noProof/>
                <w:sz w:val="16"/>
                <w:szCs w:val="16"/>
                <w:lang w:val="en-IE"/>
              </w:rPr>
            </w:pPr>
          </w:p>
        </w:tc>
        <w:tc>
          <w:tcPr>
            <w:tcW w:w="1080" w:type="dxa"/>
            <w:vAlign w:val="center"/>
          </w:tcPr>
          <w:p w14:paraId="6460C661" w14:textId="77777777" w:rsidR="002B6EB1" w:rsidRPr="00E50A7A" w:rsidRDefault="002B6EB1" w:rsidP="00B00391">
            <w:pPr>
              <w:spacing w:before="60" w:after="60" w:line="200" w:lineRule="exact"/>
              <w:jc w:val="center"/>
              <w:rPr>
                <w:noProof/>
                <w:sz w:val="16"/>
                <w:szCs w:val="16"/>
                <w:lang w:val="en-IE"/>
              </w:rPr>
            </w:pPr>
            <w:r w:rsidRPr="00E50A7A">
              <w:rPr>
                <w:rStyle w:val="normaltextrun"/>
                <w:b/>
                <w:bCs/>
                <w:noProof/>
                <w:sz w:val="16"/>
                <w:szCs w:val="16"/>
                <w:lang w:val="en-IE"/>
              </w:rPr>
              <w:t>2023</w:t>
            </w:r>
            <w:r w:rsidRPr="00E50A7A">
              <w:rPr>
                <w:rStyle w:val="eop"/>
                <w:noProof/>
                <w:sz w:val="16"/>
                <w:szCs w:val="16"/>
                <w:lang w:val="en-IE"/>
              </w:rPr>
              <w:t> </w:t>
            </w:r>
          </w:p>
        </w:tc>
        <w:tc>
          <w:tcPr>
            <w:tcW w:w="1080" w:type="dxa"/>
            <w:vAlign w:val="center"/>
          </w:tcPr>
          <w:p w14:paraId="6FA75E7D" w14:textId="77777777" w:rsidR="002B6EB1" w:rsidRPr="00E50A7A" w:rsidRDefault="002B6EB1" w:rsidP="00B00391">
            <w:pPr>
              <w:spacing w:before="60" w:after="60" w:line="200" w:lineRule="exact"/>
              <w:jc w:val="center"/>
              <w:rPr>
                <w:noProof/>
                <w:sz w:val="16"/>
                <w:szCs w:val="16"/>
                <w:lang w:val="en-IE"/>
              </w:rPr>
            </w:pPr>
            <w:r w:rsidRPr="00E50A7A">
              <w:rPr>
                <w:rStyle w:val="normaltextrun"/>
                <w:b/>
                <w:bCs/>
                <w:noProof/>
                <w:sz w:val="16"/>
                <w:szCs w:val="16"/>
                <w:lang w:val="en-IE"/>
              </w:rPr>
              <w:t>2024</w:t>
            </w:r>
            <w:r w:rsidRPr="00E50A7A">
              <w:rPr>
                <w:rStyle w:val="eop"/>
                <w:noProof/>
                <w:sz w:val="16"/>
                <w:szCs w:val="16"/>
                <w:lang w:val="en-IE"/>
              </w:rPr>
              <w:t> </w:t>
            </w:r>
          </w:p>
        </w:tc>
        <w:tc>
          <w:tcPr>
            <w:tcW w:w="1080" w:type="dxa"/>
            <w:vAlign w:val="center"/>
          </w:tcPr>
          <w:p w14:paraId="02E0C6CB" w14:textId="77777777" w:rsidR="002B6EB1" w:rsidRPr="00E50A7A" w:rsidRDefault="002B6EB1" w:rsidP="00B00391">
            <w:pPr>
              <w:spacing w:before="60" w:after="60" w:line="200" w:lineRule="exact"/>
              <w:jc w:val="center"/>
              <w:rPr>
                <w:noProof/>
                <w:sz w:val="16"/>
                <w:szCs w:val="16"/>
                <w:lang w:val="en-IE"/>
              </w:rPr>
            </w:pPr>
            <w:r w:rsidRPr="00E50A7A">
              <w:rPr>
                <w:rStyle w:val="normaltextrun"/>
                <w:b/>
                <w:bCs/>
                <w:noProof/>
                <w:sz w:val="16"/>
                <w:szCs w:val="16"/>
                <w:lang w:val="en-IE"/>
              </w:rPr>
              <w:t>2025</w:t>
            </w:r>
            <w:r w:rsidRPr="00E50A7A">
              <w:rPr>
                <w:rStyle w:val="eop"/>
                <w:noProof/>
                <w:sz w:val="16"/>
                <w:szCs w:val="16"/>
                <w:lang w:val="en-IE"/>
              </w:rPr>
              <w:t> </w:t>
            </w:r>
          </w:p>
        </w:tc>
        <w:tc>
          <w:tcPr>
            <w:tcW w:w="1080" w:type="dxa"/>
            <w:vAlign w:val="center"/>
          </w:tcPr>
          <w:p w14:paraId="04370416" w14:textId="77777777" w:rsidR="002B6EB1" w:rsidRPr="00E50A7A" w:rsidRDefault="002B6EB1" w:rsidP="00B00391">
            <w:pPr>
              <w:spacing w:before="60" w:after="60" w:line="200" w:lineRule="exact"/>
              <w:jc w:val="center"/>
              <w:rPr>
                <w:noProof/>
                <w:sz w:val="16"/>
                <w:szCs w:val="16"/>
                <w:lang w:val="en-IE"/>
              </w:rPr>
            </w:pPr>
            <w:r w:rsidRPr="00E50A7A">
              <w:rPr>
                <w:rStyle w:val="normaltextrun"/>
                <w:b/>
                <w:bCs/>
                <w:noProof/>
                <w:sz w:val="16"/>
                <w:szCs w:val="16"/>
                <w:lang w:val="en-IE"/>
              </w:rPr>
              <w:t>2026</w:t>
            </w:r>
            <w:r w:rsidRPr="00E50A7A">
              <w:rPr>
                <w:rStyle w:val="eop"/>
                <w:noProof/>
                <w:sz w:val="16"/>
                <w:szCs w:val="16"/>
                <w:lang w:val="en-IE"/>
              </w:rPr>
              <w:t> </w:t>
            </w:r>
          </w:p>
        </w:tc>
        <w:tc>
          <w:tcPr>
            <w:tcW w:w="1080" w:type="dxa"/>
            <w:vAlign w:val="center"/>
          </w:tcPr>
          <w:p w14:paraId="4DA46529" w14:textId="6A341874" w:rsidR="002B6EB1" w:rsidRPr="00E50A7A" w:rsidRDefault="002B6EB1" w:rsidP="00B00391">
            <w:pPr>
              <w:spacing w:before="60" w:after="60" w:line="200" w:lineRule="exact"/>
              <w:jc w:val="center"/>
              <w:rPr>
                <w:b/>
                <w:noProof/>
                <w:sz w:val="16"/>
                <w:lang w:val="en-IE"/>
              </w:rPr>
            </w:pPr>
            <w:r w:rsidRPr="00E50A7A">
              <w:rPr>
                <w:rStyle w:val="normaltextrun"/>
                <w:b/>
                <w:bCs/>
                <w:noProof/>
                <w:sz w:val="16"/>
                <w:szCs w:val="16"/>
                <w:lang w:val="en-IE"/>
              </w:rPr>
              <w:t xml:space="preserve">2027 </w:t>
            </w:r>
          </w:p>
        </w:tc>
        <w:tc>
          <w:tcPr>
            <w:tcW w:w="1080" w:type="dxa"/>
            <w:vAlign w:val="center"/>
          </w:tcPr>
          <w:p w14:paraId="36C9A3F6" w14:textId="77777777" w:rsidR="002B6EB1" w:rsidRPr="00E50A7A" w:rsidRDefault="002B6EB1" w:rsidP="00B00391">
            <w:pPr>
              <w:spacing w:before="60" w:after="60" w:line="200" w:lineRule="exact"/>
              <w:jc w:val="center"/>
              <w:rPr>
                <w:b/>
                <w:noProof/>
                <w:sz w:val="16"/>
                <w:szCs w:val="16"/>
                <w:lang w:val="en-IE"/>
              </w:rPr>
            </w:pPr>
            <w:r w:rsidRPr="00E50A7A">
              <w:rPr>
                <w:rStyle w:val="normaltextrun"/>
                <w:b/>
                <w:bCs/>
                <w:noProof/>
                <w:sz w:val="16"/>
                <w:szCs w:val="16"/>
                <w:lang w:val="en-IE"/>
              </w:rPr>
              <w:t>TOTAL</w:t>
            </w:r>
            <w:r w:rsidRPr="00E50A7A">
              <w:rPr>
                <w:rStyle w:val="eop"/>
                <w:noProof/>
                <w:sz w:val="16"/>
                <w:szCs w:val="16"/>
                <w:lang w:val="en-IE"/>
              </w:rPr>
              <w:t> </w:t>
            </w:r>
          </w:p>
        </w:tc>
      </w:tr>
    </w:tbl>
    <w:p w14:paraId="5B388176" w14:textId="77777777" w:rsidR="002B6EB1" w:rsidRPr="00E50A7A" w:rsidRDefault="002B6EB1" w:rsidP="002B6EB1">
      <w:pPr>
        <w:spacing w:line="200" w:lineRule="exact"/>
        <w:rPr>
          <w:noProof/>
          <w:sz w:val="16"/>
          <w:szCs w:val="16"/>
          <w:lang w:val="en-IE"/>
        </w:rPr>
      </w:pPr>
    </w:p>
    <w:tbl>
      <w:tblPr>
        <w:tblW w:w="846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tblGrid>
      <w:tr w:rsidR="008A3CEF" w:rsidRPr="00B314C8" w14:paraId="75F56540" w14:textId="77777777" w:rsidTr="00A10DCB">
        <w:trPr>
          <w:trHeight w:val="585"/>
        </w:trPr>
        <w:tc>
          <w:tcPr>
            <w:tcW w:w="1980" w:type="dxa"/>
            <w:shd w:val="clear" w:color="auto" w:fill="CCCCCC"/>
            <w:vAlign w:val="center"/>
          </w:tcPr>
          <w:p w14:paraId="21CB68B5" w14:textId="77777777" w:rsidR="002B6EB1" w:rsidRPr="00E50A7A" w:rsidRDefault="002B6EB1" w:rsidP="00B00391">
            <w:pPr>
              <w:spacing w:before="60" w:after="60" w:line="200" w:lineRule="exact"/>
              <w:jc w:val="center"/>
              <w:rPr>
                <w:b/>
                <w:noProof/>
                <w:sz w:val="16"/>
                <w:szCs w:val="16"/>
                <w:lang w:val="en-IE"/>
              </w:rPr>
            </w:pPr>
            <w:r w:rsidRPr="00E50A7A">
              <w:rPr>
                <w:b/>
                <w:noProof/>
                <w:sz w:val="16"/>
                <w:lang w:val="en-IE"/>
              </w:rPr>
              <w:t>HEADING 7</w:t>
            </w:r>
            <w:r w:rsidRPr="00E50A7A">
              <w:rPr>
                <w:noProof/>
                <w:sz w:val="22"/>
                <w:lang w:val="en-IE"/>
              </w:rPr>
              <w:br/>
            </w:r>
            <w:r w:rsidRPr="00E50A7A">
              <w:rPr>
                <w:b/>
                <w:noProof/>
                <w:sz w:val="16"/>
                <w:lang w:val="en-IE"/>
              </w:rPr>
              <w:t>of the multiannual financial framework</w:t>
            </w:r>
          </w:p>
        </w:tc>
        <w:tc>
          <w:tcPr>
            <w:tcW w:w="1080" w:type="dxa"/>
            <w:vAlign w:val="center"/>
          </w:tcPr>
          <w:p w14:paraId="137C9D41" w14:textId="77777777" w:rsidR="002B6EB1" w:rsidRPr="00E50A7A" w:rsidRDefault="002B6EB1" w:rsidP="00B00391">
            <w:pPr>
              <w:spacing w:before="60" w:after="60" w:line="200" w:lineRule="exact"/>
              <w:jc w:val="right"/>
              <w:rPr>
                <w:noProof/>
                <w:sz w:val="16"/>
                <w:szCs w:val="16"/>
                <w:lang w:val="en-IE"/>
              </w:rPr>
            </w:pPr>
          </w:p>
        </w:tc>
        <w:tc>
          <w:tcPr>
            <w:tcW w:w="1080" w:type="dxa"/>
            <w:vAlign w:val="center"/>
          </w:tcPr>
          <w:p w14:paraId="2EA9949D" w14:textId="77777777" w:rsidR="002B6EB1" w:rsidRPr="00E50A7A" w:rsidRDefault="002B6EB1" w:rsidP="00B00391">
            <w:pPr>
              <w:spacing w:before="60" w:after="60" w:line="200" w:lineRule="exact"/>
              <w:jc w:val="right"/>
              <w:rPr>
                <w:noProof/>
                <w:sz w:val="16"/>
                <w:szCs w:val="16"/>
                <w:lang w:val="en-IE"/>
              </w:rPr>
            </w:pPr>
          </w:p>
        </w:tc>
        <w:tc>
          <w:tcPr>
            <w:tcW w:w="1080" w:type="dxa"/>
            <w:vAlign w:val="center"/>
          </w:tcPr>
          <w:p w14:paraId="3AB7283F" w14:textId="77777777" w:rsidR="002B6EB1" w:rsidRPr="00E50A7A" w:rsidRDefault="002B6EB1" w:rsidP="00B00391">
            <w:pPr>
              <w:spacing w:before="60" w:after="60" w:line="200" w:lineRule="exact"/>
              <w:jc w:val="right"/>
              <w:rPr>
                <w:noProof/>
                <w:sz w:val="16"/>
                <w:szCs w:val="16"/>
                <w:lang w:val="en-IE"/>
              </w:rPr>
            </w:pPr>
          </w:p>
        </w:tc>
        <w:tc>
          <w:tcPr>
            <w:tcW w:w="1080" w:type="dxa"/>
            <w:vAlign w:val="center"/>
          </w:tcPr>
          <w:p w14:paraId="1F8FD13B" w14:textId="77777777" w:rsidR="002B6EB1" w:rsidRPr="00E50A7A" w:rsidRDefault="002B6EB1" w:rsidP="00B00391">
            <w:pPr>
              <w:spacing w:before="60" w:after="60" w:line="200" w:lineRule="exact"/>
              <w:jc w:val="right"/>
              <w:rPr>
                <w:noProof/>
                <w:sz w:val="16"/>
                <w:szCs w:val="16"/>
                <w:lang w:val="en-IE"/>
              </w:rPr>
            </w:pPr>
          </w:p>
        </w:tc>
        <w:tc>
          <w:tcPr>
            <w:tcW w:w="1080" w:type="dxa"/>
            <w:vAlign w:val="center"/>
          </w:tcPr>
          <w:p w14:paraId="6B5A7DD4" w14:textId="77777777" w:rsidR="002B6EB1" w:rsidRPr="00E50A7A" w:rsidRDefault="002B6EB1" w:rsidP="00B00391">
            <w:pPr>
              <w:spacing w:before="60" w:after="60" w:line="200" w:lineRule="exact"/>
              <w:jc w:val="right"/>
              <w:rPr>
                <w:noProof/>
                <w:sz w:val="16"/>
                <w:szCs w:val="16"/>
                <w:lang w:val="en-IE"/>
              </w:rPr>
            </w:pPr>
          </w:p>
        </w:tc>
        <w:tc>
          <w:tcPr>
            <w:tcW w:w="1080" w:type="dxa"/>
            <w:vAlign w:val="center"/>
          </w:tcPr>
          <w:p w14:paraId="099A0D1A" w14:textId="77777777" w:rsidR="002B6EB1" w:rsidRPr="00E50A7A" w:rsidRDefault="002B6EB1" w:rsidP="00B00391">
            <w:pPr>
              <w:spacing w:before="60" w:after="60" w:line="200" w:lineRule="exact"/>
              <w:jc w:val="right"/>
              <w:rPr>
                <w:noProof/>
                <w:sz w:val="16"/>
                <w:szCs w:val="16"/>
                <w:lang w:val="en-IE"/>
              </w:rPr>
            </w:pPr>
          </w:p>
        </w:tc>
      </w:tr>
      <w:tr w:rsidR="008B5470" w:rsidRPr="00B314C8" w14:paraId="445FB06D" w14:textId="77777777" w:rsidTr="00A10DCB">
        <w:trPr>
          <w:trHeight w:val="585"/>
        </w:trPr>
        <w:tc>
          <w:tcPr>
            <w:tcW w:w="1980" w:type="dxa"/>
            <w:vAlign w:val="center"/>
          </w:tcPr>
          <w:p w14:paraId="623A3B0A" w14:textId="77777777" w:rsidR="008B5470" w:rsidRPr="00E50A7A" w:rsidRDefault="008B5470" w:rsidP="008B5470">
            <w:pPr>
              <w:spacing w:before="60" w:after="60" w:line="200" w:lineRule="exact"/>
              <w:ind w:left="72"/>
              <w:jc w:val="left"/>
              <w:rPr>
                <w:noProof/>
                <w:sz w:val="16"/>
                <w:szCs w:val="16"/>
                <w:lang w:val="en-IE"/>
              </w:rPr>
            </w:pPr>
            <w:r w:rsidRPr="00E50A7A">
              <w:rPr>
                <w:noProof/>
                <w:sz w:val="16"/>
                <w:lang w:val="en-IE"/>
              </w:rPr>
              <w:t xml:space="preserve">Human resources </w:t>
            </w:r>
          </w:p>
        </w:tc>
        <w:tc>
          <w:tcPr>
            <w:tcW w:w="1080" w:type="dxa"/>
            <w:vAlign w:val="center"/>
          </w:tcPr>
          <w:p w14:paraId="6EF7D2F6" w14:textId="6B9B0343" w:rsidR="008B5470" w:rsidRPr="00E50A7A" w:rsidRDefault="008B5470" w:rsidP="008B5470">
            <w:pPr>
              <w:spacing w:before="60" w:after="60" w:line="200" w:lineRule="exact"/>
              <w:jc w:val="right"/>
              <w:rPr>
                <w:noProof/>
                <w:sz w:val="16"/>
                <w:szCs w:val="16"/>
                <w:lang w:val="en-IE"/>
              </w:rPr>
            </w:pPr>
            <w:r w:rsidRPr="00E50A7A">
              <w:rPr>
                <w:noProof/>
                <w:sz w:val="20"/>
                <w:lang w:val="en-IE"/>
              </w:rPr>
              <w:t>0.2</w:t>
            </w:r>
            <w:r>
              <w:rPr>
                <w:noProof/>
                <w:sz w:val="20"/>
                <w:lang w:val="en-IE"/>
              </w:rPr>
              <w:t>57</w:t>
            </w:r>
          </w:p>
        </w:tc>
        <w:tc>
          <w:tcPr>
            <w:tcW w:w="1080" w:type="dxa"/>
            <w:vAlign w:val="center"/>
          </w:tcPr>
          <w:p w14:paraId="34650986" w14:textId="34D91B79" w:rsidR="008B5470" w:rsidRPr="00E50A7A" w:rsidRDefault="008B5470" w:rsidP="008B5470">
            <w:pPr>
              <w:spacing w:before="60" w:after="60" w:line="200" w:lineRule="exact"/>
              <w:jc w:val="right"/>
              <w:rPr>
                <w:noProof/>
                <w:sz w:val="16"/>
                <w:szCs w:val="16"/>
                <w:lang w:val="en-IE"/>
              </w:rPr>
            </w:pPr>
            <w:r w:rsidRPr="00E50A7A">
              <w:rPr>
                <w:noProof/>
                <w:sz w:val="20"/>
                <w:lang w:val="en-IE"/>
              </w:rPr>
              <w:t>0.</w:t>
            </w:r>
            <w:r>
              <w:rPr>
                <w:noProof/>
                <w:sz w:val="20"/>
                <w:lang w:val="en-IE"/>
              </w:rPr>
              <w:t>444</w:t>
            </w:r>
          </w:p>
        </w:tc>
        <w:tc>
          <w:tcPr>
            <w:tcW w:w="1080" w:type="dxa"/>
            <w:vAlign w:val="center"/>
          </w:tcPr>
          <w:p w14:paraId="232B31B9" w14:textId="07FFCDCC" w:rsidR="008B5470" w:rsidRPr="00E50A7A" w:rsidRDefault="008B5470" w:rsidP="008B5470">
            <w:pPr>
              <w:spacing w:before="60" w:after="60" w:line="200" w:lineRule="exact"/>
              <w:jc w:val="right"/>
              <w:rPr>
                <w:noProof/>
                <w:sz w:val="16"/>
                <w:szCs w:val="16"/>
                <w:lang w:val="en-IE"/>
              </w:rPr>
            </w:pPr>
            <w:r w:rsidRPr="00E50A7A">
              <w:rPr>
                <w:noProof/>
                <w:sz w:val="20"/>
                <w:lang w:val="en-IE"/>
              </w:rPr>
              <w:t>0.</w:t>
            </w:r>
            <w:r>
              <w:rPr>
                <w:noProof/>
                <w:sz w:val="20"/>
                <w:lang w:val="en-IE"/>
              </w:rPr>
              <w:t>444</w:t>
            </w:r>
          </w:p>
        </w:tc>
        <w:tc>
          <w:tcPr>
            <w:tcW w:w="1080" w:type="dxa"/>
            <w:vAlign w:val="center"/>
          </w:tcPr>
          <w:p w14:paraId="4B1F4A17" w14:textId="7B86C09B" w:rsidR="008B5470" w:rsidRPr="00E50A7A" w:rsidRDefault="008B5470" w:rsidP="008B5470">
            <w:pPr>
              <w:spacing w:before="60" w:after="60" w:line="200" w:lineRule="exact"/>
              <w:jc w:val="right"/>
              <w:rPr>
                <w:noProof/>
                <w:sz w:val="16"/>
                <w:szCs w:val="16"/>
                <w:lang w:val="en-IE"/>
              </w:rPr>
            </w:pPr>
            <w:r w:rsidRPr="00E50A7A">
              <w:rPr>
                <w:noProof/>
                <w:sz w:val="20"/>
                <w:lang w:val="en-IE"/>
              </w:rPr>
              <w:t>0.</w:t>
            </w:r>
            <w:r>
              <w:rPr>
                <w:noProof/>
                <w:sz w:val="20"/>
                <w:lang w:val="en-IE"/>
              </w:rPr>
              <w:t>444</w:t>
            </w:r>
          </w:p>
        </w:tc>
        <w:tc>
          <w:tcPr>
            <w:tcW w:w="1080" w:type="dxa"/>
            <w:vAlign w:val="center"/>
          </w:tcPr>
          <w:p w14:paraId="0A6A43ED" w14:textId="7B97EEAB" w:rsidR="008B5470" w:rsidRPr="00E50A7A" w:rsidRDefault="008B5470" w:rsidP="008B5470">
            <w:pPr>
              <w:spacing w:before="60" w:after="60" w:line="200" w:lineRule="exact"/>
              <w:jc w:val="right"/>
              <w:rPr>
                <w:noProof/>
                <w:sz w:val="16"/>
                <w:szCs w:val="16"/>
                <w:lang w:val="en-IE"/>
              </w:rPr>
            </w:pPr>
            <w:r w:rsidRPr="00E50A7A">
              <w:rPr>
                <w:noProof/>
                <w:sz w:val="20"/>
                <w:lang w:val="en-IE"/>
              </w:rPr>
              <w:t>0.</w:t>
            </w:r>
            <w:r>
              <w:rPr>
                <w:noProof/>
                <w:sz w:val="20"/>
                <w:lang w:val="en-IE"/>
              </w:rPr>
              <w:t>444</w:t>
            </w:r>
          </w:p>
        </w:tc>
        <w:tc>
          <w:tcPr>
            <w:tcW w:w="1080" w:type="dxa"/>
            <w:vAlign w:val="center"/>
          </w:tcPr>
          <w:p w14:paraId="29BCA055" w14:textId="0EAC19C6" w:rsidR="008B5470" w:rsidRPr="00E50A7A" w:rsidRDefault="008B5470" w:rsidP="008B5470">
            <w:pPr>
              <w:spacing w:before="60" w:after="60" w:line="200" w:lineRule="exact"/>
              <w:jc w:val="right"/>
              <w:rPr>
                <w:noProof/>
                <w:sz w:val="16"/>
                <w:szCs w:val="16"/>
                <w:lang w:val="en-IE"/>
              </w:rPr>
            </w:pPr>
            <w:r>
              <w:rPr>
                <w:rStyle w:val="normaltextrun"/>
                <w:b/>
                <w:bCs/>
                <w:noProof/>
                <w:color w:val="000000"/>
                <w:sz w:val="20"/>
                <w:szCs w:val="20"/>
                <w:lang w:val="en-IE"/>
              </w:rPr>
              <w:t>2.033</w:t>
            </w:r>
          </w:p>
        </w:tc>
      </w:tr>
      <w:tr w:rsidR="002A1674" w:rsidRPr="00B314C8" w14:paraId="7FE4871F" w14:textId="77777777" w:rsidTr="00A10DCB">
        <w:trPr>
          <w:trHeight w:val="585"/>
        </w:trPr>
        <w:tc>
          <w:tcPr>
            <w:tcW w:w="1980" w:type="dxa"/>
            <w:vAlign w:val="center"/>
          </w:tcPr>
          <w:p w14:paraId="26000D62" w14:textId="77777777" w:rsidR="002B6EB1" w:rsidRPr="00E50A7A" w:rsidRDefault="002B6EB1" w:rsidP="00B00391">
            <w:pPr>
              <w:spacing w:before="60" w:after="60" w:line="200" w:lineRule="exact"/>
              <w:ind w:left="72"/>
              <w:jc w:val="left"/>
              <w:rPr>
                <w:noProof/>
                <w:sz w:val="16"/>
                <w:szCs w:val="16"/>
                <w:lang w:val="en-IE"/>
              </w:rPr>
            </w:pPr>
            <w:r w:rsidRPr="00E50A7A">
              <w:rPr>
                <w:noProof/>
                <w:sz w:val="16"/>
                <w:lang w:val="en-IE"/>
              </w:rPr>
              <w:t xml:space="preserve">Other administrative expenditure </w:t>
            </w:r>
          </w:p>
        </w:tc>
        <w:tc>
          <w:tcPr>
            <w:tcW w:w="1080" w:type="dxa"/>
            <w:vAlign w:val="center"/>
          </w:tcPr>
          <w:p w14:paraId="6B0E1C86" w14:textId="77777777" w:rsidR="002B6EB1" w:rsidRPr="00E50A7A" w:rsidRDefault="002B6EB1" w:rsidP="00B00391">
            <w:pPr>
              <w:spacing w:before="60" w:after="60" w:line="200" w:lineRule="exact"/>
              <w:jc w:val="right"/>
              <w:rPr>
                <w:noProof/>
                <w:sz w:val="16"/>
                <w:szCs w:val="16"/>
                <w:lang w:val="en-IE"/>
              </w:rPr>
            </w:pPr>
          </w:p>
        </w:tc>
        <w:tc>
          <w:tcPr>
            <w:tcW w:w="1080" w:type="dxa"/>
            <w:vAlign w:val="bottom"/>
          </w:tcPr>
          <w:p w14:paraId="17693C2A" w14:textId="77777777" w:rsidR="002B6EB1" w:rsidRPr="00E50A7A" w:rsidRDefault="002B6EB1" w:rsidP="00B00391">
            <w:pPr>
              <w:spacing w:before="60" w:after="60" w:line="200" w:lineRule="exact"/>
              <w:jc w:val="right"/>
              <w:rPr>
                <w:noProof/>
                <w:sz w:val="16"/>
                <w:szCs w:val="16"/>
                <w:lang w:val="en-IE"/>
              </w:rPr>
            </w:pPr>
            <w:r w:rsidRPr="00E50A7A">
              <w:rPr>
                <w:rStyle w:val="eop"/>
                <w:noProof/>
                <w:sz w:val="20"/>
                <w:szCs w:val="20"/>
                <w:lang w:val="en-IE"/>
              </w:rPr>
              <w:t> </w:t>
            </w:r>
          </w:p>
        </w:tc>
        <w:tc>
          <w:tcPr>
            <w:tcW w:w="1080" w:type="dxa"/>
            <w:vAlign w:val="bottom"/>
          </w:tcPr>
          <w:p w14:paraId="3B35D7EC" w14:textId="77777777" w:rsidR="002B6EB1" w:rsidRPr="00E50A7A" w:rsidRDefault="002B6EB1" w:rsidP="00B00391">
            <w:pPr>
              <w:spacing w:before="60" w:after="60" w:line="200" w:lineRule="exact"/>
              <w:jc w:val="right"/>
              <w:rPr>
                <w:noProof/>
                <w:sz w:val="16"/>
                <w:szCs w:val="16"/>
                <w:lang w:val="en-IE"/>
              </w:rPr>
            </w:pPr>
            <w:r w:rsidRPr="00E50A7A">
              <w:rPr>
                <w:rStyle w:val="eop"/>
                <w:noProof/>
                <w:sz w:val="20"/>
                <w:szCs w:val="20"/>
                <w:lang w:val="en-IE"/>
              </w:rPr>
              <w:t> </w:t>
            </w:r>
          </w:p>
        </w:tc>
        <w:tc>
          <w:tcPr>
            <w:tcW w:w="1080" w:type="dxa"/>
            <w:vAlign w:val="bottom"/>
          </w:tcPr>
          <w:p w14:paraId="1BA94936" w14:textId="77777777" w:rsidR="002B6EB1" w:rsidRPr="00E50A7A" w:rsidRDefault="002B6EB1" w:rsidP="00B00391">
            <w:pPr>
              <w:spacing w:before="60" w:after="60" w:line="200" w:lineRule="exact"/>
              <w:jc w:val="right"/>
              <w:rPr>
                <w:noProof/>
                <w:sz w:val="16"/>
                <w:szCs w:val="16"/>
                <w:lang w:val="en-IE"/>
              </w:rPr>
            </w:pPr>
            <w:r w:rsidRPr="00E50A7A">
              <w:rPr>
                <w:rStyle w:val="eop"/>
                <w:noProof/>
                <w:sz w:val="20"/>
                <w:szCs w:val="20"/>
                <w:lang w:val="en-IE"/>
              </w:rPr>
              <w:t> </w:t>
            </w:r>
          </w:p>
        </w:tc>
        <w:tc>
          <w:tcPr>
            <w:tcW w:w="1080" w:type="dxa"/>
            <w:vAlign w:val="bottom"/>
          </w:tcPr>
          <w:p w14:paraId="486A533D" w14:textId="77777777" w:rsidR="002B6EB1" w:rsidRPr="00E50A7A" w:rsidRDefault="002B6EB1" w:rsidP="00B00391">
            <w:pPr>
              <w:spacing w:before="60" w:after="60" w:line="200" w:lineRule="exact"/>
              <w:jc w:val="right"/>
              <w:rPr>
                <w:noProof/>
                <w:sz w:val="16"/>
                <w:szCs w:val="16"/>
                <w:lang w:val="en-IE"/>
              </w:rPr>
            </w:pPr>
            <w:r w:rsidRPr="00E50A7A">
              <w:rPr>
                <w:rStyle w:val="eop"/>
                <w:noProof/>
                <w:sz w:val="20"/>
                <w:szCs w:val="20"/>
                <w:lang w:val="en-IE"/>
              </w:rPr>
              <w:t> </w:t>
            </w:r>
          </w:p>
        </w:tc>
        <w:tc>
          <w:tcPr>
            <w:tcW w:w="1080" w:type="dxa"/>
            <w:vAlign w:val="bottom"/>
          </w:tcPr>
          <w:p w14:paraId="320834F6" w14:textId="77777777" w:rsidR="002B6EB1" w:rsidRPr="00E50A7A" w:rsidRDefault="002B6EB1" w:rsidP="00B00391">
            <w:pPr>
              <w:spacing w:before="60" w:after="60" w:line="200" w:lineRule="exact"/>
              <w:jc w:val="right"/>
              <w:rPr>
                <w:noProof/>
                <w:sz w:val="16"/>
                <w:szCs w:val="16"/>
                <w:lang w:val="en-IE"/>
              </w:rPr>
            </w:pPr>
            <w:r w:rsidRPr="00E50A7A">
              <w:rPr>
                <w:rStyle w:val="eop"/>
                <w:noProof/>
                <w:sz w:val="20"/>
                <w:szCs w:val="20"/>
                <w:lang w:val="en-IE"/>
              </w:rPr>
              <w:t> </w:t>
            </w:r>
          </w:p>
        </w:tc>
      </w:tr>
      <w:tr w:rsidR="008B5470" w:rsidRPr="00B314C8" w14:paraId="5D814A3A" w14:textId="77777777" w:rsidTr="00A10DCB">
        <w:trPr>
          <w:trHeight w:val="585"/>
        </w:trPr>
        <w:tc>
          <w:tcPr>
            <w:tcW w:w="1980" w:type="dxa"/>
            <w:shd w:val="clear" w:color="auto" w:fill="CCCCCC"/>
            <w:vAlign w:val="center"/>
          </w:tcPr>
          <w:p w14:paraId="7D20B495" w14:textId="77777777" w:rsidR="008B5470" w:rsidRPr="00E50A7A" w:rsidRDefault="008B5470" w:rsidP="008B5470">
            <w:pPr>
              <w:spacing w:before="60" w:after="60" w:line="200" w:lineRule="exact"/>
              <w:jc w:val="center"/>
              <w:rPr>
                <w:b/>
                <w:noProof/>
                <w:sz w:val="16"/>
                <w:szCs w:val="16"/>
                <w:lang w:val="en-IE"/>
              </w:rPr>
            </w:pPr>
            <w:r w:rsidRPr="00E50A7A">
              <w:rPr>
                <w:b/>
                <w:noProof/>
                <w:sz w:val="16"/>
                <w:lang w:val="en-IE"/>
              </w:rPr>
              <w:t>Subtotal HEADING 7</w:t>
            </w:r>
            <w:r w:rsidRPr="00E50A7A">
              <w:rPr>
                <w:noProof/>
                <w:sz w:val="22"/>
                <w:lang w:val="en-IE"/>
              </w:rPr>
              <w:br/>
            </w:r>
            <w:r w:rsidRPr="00E50A7A">
              <w:rPr>
                <w:b/>
                <w:noProof/>
                <w:sz w:val="16"/>
                <w:lang w:val="en-IE"/>
              </w:rPr>
              <w:t xml:space="preserve">of the multiannual financial framework </w:t>
            </w:r>
          </w:p>
        </w:tc>
        <w:tc>
          <w:tcPr>
            <w:tcW w:w="1080" w:type="dxa"/>
            <w:vAlign w:val="center"/>
          </w:tcPr>
          <w:p w14:paraId="6ABCAFF0" w14:textId="7B6579F2" w:rsidR="008B5470" w:rsidRPr="00E50A7A" w:rsidRDefault="008B5470" w:rsidP="008B5470">
            <w:pPr>
              <w:spacing w:before="60" w:after="60" w:line="200" w:lineRule="exact"/>
              <w:jc w:val="right"/>
              <w:rPr>
                <w:noProof/>
                <w:sz w:val="16"/>
                <w:szCs w:val="16"/>
                <w:lang w:val="en-IE"/>
              </w:rPr>
            </w:pPr>
            <w:r w:rsidRPr="00E50A7A">
              <w:rPr>
                <w:noProof/>
                <w:sz w:val="20"/>
                <w:lang w:val="en-IE"/>
              </w:rPr>
              <w:t>0.2</w:t>
            </w:r>
            <w:r>
              <w:rPr>
                <w:noProof/>
                <w:sz w:val="20"/>
                <w:lang w:val="en-IE"/>
              </w:rPr>
              <w:t>57</w:t>
            </w:r>
          </w:p>
        </w:tc>
        <w:tc>
          <w:tcPr>
            <w:tcW w:w="1080" w:type="dxa"/>
            <w:vAlign w:val="center"/>
          </w:tcPr>
          <w:p w14:paraId="63B6751C" w14:textId="7F0441E1" w:rsidR="008B5470" w:rsidRPr="00E50A7A" w:rsidRDefault="008B5470" w:rsidP="008B5470">
            <w:pPr>
              <w:spacing w:before="60" w:after="60" w:line="200" w:lineRule="exact"/>
              <w:jc w:val="right"/>
              <w:rPr>
                <w:noProof/>
                <w:sz w:val="16"/>
                <w:szCs w:val="16"/>
                <w:lang w:val="en-IE"/>
              </w:rPr>
            </w:pPr>
            <w:r w:rsidRPr="008B6CF9">
              <w:rPr>
                <w:noProof/>
                <w:sz w:val="20"/>
                <w:lang w:val="en-IE"/>
              </w:rPr>
              <w:t>0.444</w:t>
            </w:r>
          </w:p>
        </w:tc>
        <w:tc>
          <w:tcPr>
            <w:tcW w:w="1080" w:type="dxa"/>
            <w:vAlign w:val="center"/>
          </w:tcPr>
          <w:p w14:paraId="69B794BA" w14:textId="61605670" w:rsidR="008B5470" w:rsidRPr="00E50A7A" w:rsidRDefault="008B5470" w:rsidP="008B5470">
            <w:pPr>
              <w:spacing w:before="60" w:after="60" w:line="200" w:lineRule="exact"/>
              <w:jc w:val="right"/>
              <w:rPr>
                <w:noProof/>
                <w:sz w:val="16"/>
                <w:szCs w:val="16"/>
                <w:lang w:val="en-IE"/>
              </w:rPr>
            </w:pPr>
            <w:r w:rsidRPr="008B6CF9">
              <w:rPr>
                <w:noProof/>
                <w:sz w:val="20"/>
                <w:lang w:val="en-IE"/>
              </w:rPr>
              <w:t>0.444</w:t>
            </w:r>
          </w:p>
        </w:tc>
        <w:tc>
          <w:tcPr>
            <w:tcW w:w="1080" w:type="dxa"/>
            <w:vAlign w:val="center"/>
          </w:tcPr>
          <w:p w14:paraId="42D19071" w14:textId="47E0F0B6" w:rsidR="008B5470" w:rsidRPr="00E50A7A" w:rsidRDefault="008B5470" w:rsidP="008B5470">
            <w:pPr>
              <w:spacing w:before="60" w:after="60" w:line="200" w:lineRule="exact"/>
              <w:jc w:val="right"/>
              <w:rPr>
                <w:noProof/>
                <w:sz w:val="16"/>
                <w:szCs w:val="16"/>
                <w:lang w:val="en-IE"/>
              </w:rPr>
            </w:pPr>
            <w:r w:rsidRPr="008B6CF9">
              <w:rPr>
                <w:noProof/>
                <w:sz w:val="20"/>
                <w:lang w:val="en-IE"/>
              </w:rPr>
              <w:t>0.444</w:t>
            </w:r>
          </w:p>
        </w:tc>
        <w:tc>
          <w:tcPr>
            <w:tcW w:w="1080" w:type="dxa"/>
            <w:vAlign w:val="center"/>
          </w:tcPr>
          <w:p w14:paraId="7C9F15F7" w14:textId="1B7F50C8" w:rsidR="008B5470" w:rsidRPr="00E50A7A" w:rsidRDefault="008B5470" w:rsidP="008B5470">
            <w:pPr>
              <w:spacing w:before="60" w:after="60" w:line="200" w:lineRule="exact"/>
              <w:jc w:val="right"/>
              <w:rPr>
                <w:noProof/>
                <w:sz w:val="16"/>
                <w:szCs w:val="16"/>
                <w:lang w:val="en-IE"/>
              </w:rPr>
            </w:pPr>
            <w:r w:rsidRPr="00E50A7A">
              <w:rPr>
                <w:noProof/>
                <w:sz w:val="20"/>
                <w:lang w:val="en-IE"/>
              </w:rPr>
              <w:t>0</w:t>
            </w:r>
            <w:r w:rsidRPr="008B6CF9">
              <w:rPr>
                <w:noProof/>
                <w:sz w:val="20"/>
                <w:lang w:val="en-IE"/>
              </w:rPr>
              <w:t>0.444</w:t>
            </w:r>
          </w:p>
        </w:tc>
        <w:tc>
          <w:tcPr>
            <w:tcW w:w="1080" w:type="dxa"/>
            <w:vAlign w:val="center"/>
          </w:tcPr>
          <w:p w14:paraId="7E1A998A" w14:textId="7E4ADA40" w:rsidR="008B5470" w:rsidRPr="00E50A7A" w:rsidRDefault="008B5470" w:rsidP="008B5470">
            <w:pPr>
              <w:spacing w:before="60" w:after="60" w:line="200" w:lineRule="exact"/>
              <w:jc w:val="right"/>
              <w:rPr>
                <w:noProof/>
                <w:sz w:val="16"/>
                <w:szCs w:val="16"/>
                <w:lang w:val="en-IE"/>
              </w:rPr>
            </w:pPr>
            <w:r>
              <w:rPr>
                <w:rStyle w:val="normaltextrun"/>
                <w:b/>
                <w:bCs/>
                <w:noProof/>
                <w:color w:val="000000"/>
                <w:sz w:val="20"/>
                <w:szCs w:val="20"/>
                <w:lang w:val="en-IE"/>
              </w:rPr>
              <w:t>2.033</w:t>
            </w:r>
          </w:p>
        </w:tc>
      </w:tr>
    </w:tbl>
    <w:p w14:paraId="44098017" w14:textId="77777777" w:rsidR="002B6EB1" w:rsidRPr="00E50A7A" w:rsidRDefault="002B6EB1" w:rsidP="002B6EB1">
      <w:pPr>
        <w:spacing w:line="200" w:lineRule="exact"/>
        <w:rPr>
          <w:noProof/>
          <w:sz w:val="16"/>
          <w:szCs w:val="16"/>
          <w:lang w:val="en-IE"/>
        </w:rPr>
      </w:pPr>
    </w:p>
    <w:tbl>
      <w:tblPr>
        <w:tblW w:w="846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tblGrid>
      <w:tr w:rsidR="008A3CEF" w:rsidRPr="00B314C8" w14:paraId="01079D6D" w14:textId="77777777" w:rsidTr="1BD3479F">
        <w:trPr>
          <w:trHeight w:val="585"/>
        </w:trPr>
        <w:tc>
          <w:tcPr>
            <w:tcW w:w="1980" w:type="dxa"/>
            <w:shd w:val="clear" w:color="auto" w:fill="CCCCCC"/>
            <w:vAlign w:val="center"/>
          </w:tcPr>
          <w:p w14:paraId="3B83D736" w14:textId="77777777" w:rsidR="002B6EB1" w:rsidRPr="00E50A7A" w:rsidRDefault="2BDE843F" w:rsidP="00B00391">
            <w:pPr>
              <w:spacing w:before="60" w:after="60" w:line="200" w:lineRule="exact"/>
              <w:jc w:val="center"/>
              <w:rPr>
                <w:noProof/>
                <w:sz w:val="16"/>
                <w:szCs w:val="16"/>
                <w:lang w:val="en-IE"/>
              </w:rPr>
            </w:pPr>
            <w:r w:rsidRPr="00E50A7A">
              <w:rPr>
                <w:b/>
                <w:bCs/>
                <w:noProof/>
                <w:sz w:val="16"/>
                <w:szCs w:val="16"/>
                <w:lang w:val="en-IE"/>
              </w:rPr>
              <w:t>Outside HEADING 7</w:t>
            </w:r>
            <w:r w:rsidR="002B6EB1" w:rsidRPr="00E50A7A">
              <w:rPr>
                <w:rStyle w:val="FootnoteReference"/>
                <w:b/>
                <w:bCs/>
                <w:noProof/>
                <w:sz w:val="16"/>
                <w:szCs w:val="16"/>
                <w:lang w:val="en-IE"/>
              </w:rPr>
              <w:footnoteReference w:id="94"/>
            </w:r>
            <w:r w:rsidR="002B6EB1" w:rsidRPr="00E50A7A">
              <w:rPr>
                <w:noProof/>
                <w:sz w:val="22"/>
                <w:lang w:val="en-IE"/>
              </w:rPr>
              <w:br/>
            </w:r>
            <w:r w:rsidRPr="00E50A7A">
              <w:rPr>
                <w:b/>
                <w:bCs/>
                <w:noProof/>
                <w:sz w:val="16"/>
                <w:szCs w:val="16"/>
                <w:lang w:val="en-IE"/>
              </w:rPr>
              <w:t xml:space="preserve">of the multiannual financial framework </w:t>
            </w:r>
          </w:p>
          <w:p w14:paraId="4BE3F8D3" w14:textId="77777777" w:rsidR="002B6EB1" w:rsidRPr="00E50A7A" w:rsidRDefault="002B6EB1" w:rsidP="00B00391">
            <w:pPr>
              <w:spacing w:before="0" w:after="0" w:line="200" w:lineRule="exact"/>
              <w:jc w:val="center"/>
              <w:rPr>
                <w:b/>
                <w:noProof/>
                <w:sz w:val="16"/>
                <w:szCs w:val="16"/>
                <w:lang w:val="en-IE"/>
              </w:rPr>
            </w:pPr>
          </w:p>
        </w:tc>
        <w:tc>
          <w:tcPr>
            <w:tcW w:w="1080" w:type="dxa"/>
            <w:vAlign w:val="center"/>
          </w:tcPr>
          <w:p w14:paraId="03CD9810" w14:textId="77777777" w:rsidR="002B6EB1" w:rsidRPr="00E50A7A" w:rsidRDefault="002B6EB1" w:rsidP="00B00391">
            <w:pPr>
              <w:spacing w:before="60" w:after="60" w:line="200" w:lineRule="exact"/>
              <w:jc w:val="right"/>
              <w:rPr>
                <w:noProof/>
                <w:sz w:val="16"/>
                <w:szCs w:val="16"/>
                <w:lang w:val="en-IE"/>
              </w:rPr>
            </w:pPr>
            <w:r w:rsidRPr="00E50A7A">
              <w:rPr>
                <w:rStyle w:val="normaltextrun"/>
                <w:noProof/>
                <w:sz w:val="16"/>
                <w:szCs w:val="16"/>
                <w:lang w:val="en-IE"/>
              </w:rPr>
              <w:t>N/A</w:t>
            </w:r>
            <w:r w:rsidRPr="00E50A7A">
              <w:rPr>
                <w:rStyle w:val="eop"/>
                <w:noProof/>
                <w:sz w:val="16"/>
                <w:szCs w:val="16"/>
                <w:lang w:val="en-IE"/>
              </w:rPr>
              <w:t> </w:t>
            </w:r>
          </w:p>
        </w:tc>
        <w:tc>
          <w:tcPr>
            <w:tcW w:w="1080" w:type="dxa"/>
            <w:vAlign w:val="center"/>
          </w:tcPr>
          <w:p w14:paraId="014F5663" w14:textId="77777777" w:rsidR="002B6EB1" w:rsidRPr="00E50A7A" w:rsidRDefault="002B6EB1" w:rsidP="00B00391">
            <w:pPr>
              <w:spacing w:before="60" w:after="60" w:line="200" w:lineRule="exact"/>
              <w:jc w:val="right"/>
              <w:rPr>
                <w:noProof/>
                <w:sz w:val="16"/>
                <w:szCs w:val="16"/>
                <w:lang w:val="en-IE"/>
              </w:rPr>
            </w:pPr>
            <w:r w:rsidRPr="00E50A7A">
              <w:rPr>
                <w:rStyle w:val="normaltextrun"/>
                <w:noProof/>
                <w:sz w:val="16"/>
                <w:szCs w:val="16"/>
                <w:lang w:val="en-IE"/>
              </w:rPr>
              <w:t>N/A</w:t>
            </w:r>
            <w:r w:rsidRPr="00E50A7A">
              <w:rPr>
                <w:rStyle w:val="eop"/>
                <w:noProof/>
                <w:sz w:val="16"/>
                <w:szCs w:val="16"/>
                <w:lang w:val="en-IE"/>
              </w:rPr>
              <w:t> </w:t>
            </w:r>
          </w:p>
        </w:tc>
        <w:tc>
          <w:tcPr>
            <w:tcW w:w="1080" w:type="dxa"/>
            <w:vAlign w:val="center"/>
          </w:tcPr>
          <w:p w14:paraId="5BB1CCC2" w14:textId="77777777" w:rsidR="002B6EB1" w:rsidRPr="00E50A7A" w:rsidRDefault="002B6EB1" w:rsidP="00B00391">
            <w:pPr>
              <w:spacing w:before="60" w:after="60" w:line="200" w:lineRule="exact"/>
              <w:jc w:val="right"/>
              <w:rPr>
                <w:noProof/>
                <w:sz w:val="16"/>
                <w:szCs w:val="16"/>
                <w:lang w:val="en-IE"/>
              </w:rPr>
            </w:pPr>
            <w:r w:rsidRPr="00E50A7A">
              <w:rPr>
                <w:rStyle w:val="normaltextrun"/>
                <w:noProof/>
                <w:sz w:val="16"/>
                <w:szCs w:val="16"/>
                <w:lang w:val="en-IE"/>
              </w:rPr>
              <w:t>N/A</w:t>
            </w:r>
            <w:r w:rsidRPr="00E50A7A">
              <w:rPr>
                <w:rStyle w:val="eop"/>
                <w:noProof/>
                <w:sz w:val="16"/>
                <w:szCs w:val="16"/>
                <w:lang w:val="en-IE"/>
              </w:rPr>
              <w:t> </w:t>
            </w:r>
          </w:p>
        </w:tc>
        <w:tc>
          <w:tcPr>
            <w:tcW w:w="1080" w:type="dxa"/>
            <w:vAlign w:val="center"/>
          </w:tcPr>
          <w:p w14:paraId="4F09228B" w14:textId="77777777" w:rsidR="002B6EB1" w:rsidRPr="00E50A7A" w:rsidRDefault="002B6EB1" w:rsidP="00B00391">
            <w:pPr>
              <w:spacing w:before="60" w:after="60" w:line="200" w:lineRule="exact"/>
              <w:jc w:val="right"/>
              <w:rPr>
                <w:noProof/>
                <w:sz w:val="16"/>
                <w:szCs w:val="16"/>
                <w:lang w:val="en-IE"/>
              </w:rPr>
            </w:pPr>
            <w:r w:rsidRPr="00E50A7A">
              <w:rPr>
                <w:rStyle w:val="normaltextrun"/>
                <w:noProof/>
                <w:sz w:val="16"/>
                <w:szCs w:val="16"/>
                <w:lang w:val="en-IE"/>
              </w:rPr>
              <w:t>N/A</w:t>
            </w:r>
            <w:r w:rsidRPr="00E50A7A">
              <w:rPr>
                <w:rStyle w:val="eop"/>
                <w:noProof/>
                <w:sz w:val="16"/>
                <w:szCs w:val="16"/>
                <w:lang w:val="en-IE"/>
              </w:rPr>
              <w:t> </w:t>
            </w:r>
          </w:p>
        </w:tc>
        <w:tc>
          <w:tcPr>
            <w:tcW w:w="1080" w:type="dxa"/>
            <w:vAlign w:val="center"/>
          </w:tcPr>
          <w:p w14:paraId="2C7EFB4D" w14:textId="77777777" w:rsidR="002B6EB1" w:rsidRPr="00E50A7A" w:rsidRDefault="002B6EB1" w:rsidP="00B00391">
            <w:pPr>
              <w:spacing w:before="60" w:after="60" w:line="200" w:lineRule="exact"/>
              <w:jc w:val="right"/>
              <w:rPr>
                <w:noProof/>
                <w:sz w:val="16"/>
                <w:szCs w:val="16"/>
                <w:lang w:val="en-IE"/>
              </w:rPr>
            </w:pPr>
            <w:r w:rsidRPr="00E50A7A">
              <w:rPr>
                <w:rStyle w:val="normaltextrun"/>
                <w:noProof/>
                <w:sz w:val="16"/>
                <w:szCs w:val="16"/>
                <w:lang w:val="en-IE"/>
              </w:rPr>
              <w:t>N/A</w:t>
            </w:r>
            <w:r w:rsidRPr="00E50A7A">
              <w:rPr>
                <w:rStyle w:val="eop"/>
                <w:noProof/>
                <w:sz w:val="16"/>
                <w:szCs w:val="16"/>
                <w:lang w:val="en-IE"/>
              </w:rPr>
              <w:t> </w:t>
            </w:r>
          </w:p>
        </w:tc>
        <w:tc>
          <w:tcPr>
            <w:tcW w:w="1080" w:type="dxa"/>
            <w:vAlign w:val="center"/>
          </w:tcPr>
          <w:p w14:paraId="1E7B736B" w14:textId="77777777" w:rsidR="002B6EB1" w:rsidRPr="00E50A7A" w:rsidRDefault="002B6EB1" w:rsidP="00B00391">
            <w:pPr>
              <w:spacing w:before="60" w:after="60" w:line="200" w:lineRule="exact"/>
              <w:jc w:val="right"/>
              <w:rPr>
                <w:noProof/>
                <w:sz w:val="16"/>
                <w:szCs w:val="16"/>
                <w:lang w:val="en-IE"/>
              </w:rPr>
            </w:pPr>
            <w:r w:rsidRPr="00E50A7A">
              <w:rPr>
                <w:rStyle w:val="normaltextrun"/>
                <w:noProof/>
                <w:sz w:val="16"/>
                <w:szCs w:val="16"/>
                <w:lang w:val="en-IE"/>
              </w:rPr>
              <w:t>N/A</w:t>
            </w:r>
            <w:r w:rsidRPr="00E50A7A">
              <w:rPr>
                <w:rStyle w:val="eop"/>
                <w:noProof/>
                <w:sz w:val="16"/>
                <w:szCs w:val="16"/>
                <w:lang w:val="en-IE"/>
              </w:rPr>
              <w:t> </w:t>
            </w:r>
          </w:p>
        </w:tc>
      </w:tr>
      <w:tr w:rsidR="00151042" w:rsidRPr="00B314C8" w14:paraId="4E17F563" w14:textId="77777777" w:rsidTr="1BD3479F">
        <w:trPr>
          <w:trHeight w:val="585"/>
        </w:trPr>
        <w:tc>
          <w:tcPr>
            <w:tcW w:w="1980" w:type="dxa"/>
            <w:vAlign w:val="center"/>
          </w:tcPr>
          <w:p w14:paraId="1C2F1200" w14:textId="77777777" w:rsidR="002B6EB1" w:rsidRPr="00E50A7A" w:rsidRDefault="002B6EB1" w:rsidP="00B00391">
            <w:pPr>
              <w:spacing w:before="60" w:after="60" w:line="200" w:lineRule="exact"/>
              <w:ind w:left="72"/>
              <w:jc w:val="left"/>
              <w:rPr>
                <w:noProof/>
                <w:sz w:val="16"/>
                <w:szCs w:val="16"/>
                <w:lang w:val="en-IE"/>
              </w:rPr>
            </w:pPr>
            <w:r w:rsidRPr="00E50A7A">
              <w:rPr>
                <w:noProof/>
                <w:sz w:val="16"/>
                <w:lang w:val="en-IE"/>
              </w:rPr>
              <w:t xml:space="preserve">Human resources </w:t>
            </w:r>
          </w:p>
        </w:tc>
        <w:tc>
          <w:tcPr>
            <w:tcW w:w="1080" w:type="dxa"/>
            <w:vAlign w:val="center"/>
          </w:tcPr>
          <w:p w14:paraId="54D254B4" w14:textId="77777777" w:rsidR="002B6EB1" w:rsidRPr="00E50A7A" w:rsidRDefault="002B6EB1" w:rsidP="00B00391">
            <w:pPr>
              <w:spacing w:before="60" w:after="60" w:line="200" w:lineRule="exact"/>
              <w:jc w:val="right"/>
              <w:rPr>
                <w:noProof/>
                <w:sz w:val="16"/>
                <w:szCs w:val="16"/>
                <w:lang w:val="en-IE"/>
              </w:rPr>
            </w:pPr>
          </w:p>
        </w:tc>
        <w:tc>
          <w:tcPr>
            <w:tcW w:w="1080" w:type="dxa"/>
            <w:vAlign w:val="center"/>
          </w:tcPr>
          <w:p w14:paraId="24086668" w14:textId="77777777" w:rsidR="002B6EB1" w:rsidRPr="00E50A7A" w:rsidRDefault="002B6EB1" w:rsidP="00B00391">
            <w:pPr>
              <w:spacing w:before="60" w:after="60" w:line="200" w:lineRule="exact"/>
              <w:jc w:val="right"/>
              <w:rPr>
                <w:noProof/>
                <w:sz w:val="16"/>
                <w:szCs w:val="16"/>
                <w:lang w:val="en-IE"/>
              </w:rPr>
            </w:pPr>
          </w:p>
        </w:tc>
        <w:tc>
          <w:tcPr>
            <w:tcW w:w="1080" w:type="dxa"/>
            <w:vAlign w:val="center"/>
          </w:tcPr>
          <w:p w14:paraId="714D59E0" w14:textId="77777777" w:rsidR="002B6EB1" w:rsidRPr="00E50A7A" w:rsidRDefault="002B6EB1" w:rsidP="00B00391">
            <w:pPr>
              <w:spacing w:before="60" w:after="60" w:line="200" w:lineRule="exact"/>
              <w:jc w:val="right"/>
              <w:rPr>
                <w:noProof/>
                <w:sz w:val="16"/>
                <w:szCs w:val="16"/>
                <w:lang w:val="en-IE"/>
              </w:rPr>
            </w:pPr>
          </w:p>
        </w:tc>
        <w:tc>
          <w:tcPr>
            <w:tcW w:w="1080" w:type="dxa"/>
            <w:vAlign w:val="center"/>
          </w:tcPr>
          <w:p w14:paraId="3F7DEC1F" w14:textId="77777777" w:rsidR="002B6EB1" w:rsidRPr="00E50A7A" w:rsidRDefault="002B6EB1" w:rsidP="00B00391">
            <w:pPr>
              <w:spacing w:before="60" w:after="60" w:line="200" w:lineRule="exact"/>
              <w:jc w:val="right"/>
              <w:rPr>
                <w:noProof/>
                <w:sz w:val="16"/>
                <w:szCs w:val="16"/>
                <w:lang w:val="en-IE"/>
              </w:rPr>
            </w:pPr>
          </w:p>
        </w:tc>
        <w:tc>
          <w:tcPr>
            <w:tcW w:w="1080" w:type="dxa"/>
            <w:vAlign w:val="center"/>
          </w:tcPr>
          <w:p w14:paraId="5CD843F1" w14:textId="77777777" w:rsidR="002B6EB1" w:rsidRPr="00E50A7A" w:rsidRDefault="002B6EB1" w:rsidP="00B00391">
            <w:pPr>
              <w:spacing w:before="60" w:after="60" w:line="200" w:lineRule="exact"/>
              <w:jc w:val="right"/>
              <w:rPr>
                <w:noProof/>
                <w:sz w:val="16"/>
                <w:szCs w:val="16"/>
                <w:lang w:val="en-IE"/>
              </w:rPr>
            </w:pPr>
          </w:p>
        </w:tc>
        <w:tc>
          <w:tcPr>
            <w:tcW w:w="1080" w:type="dxa"/>
            <w:vAlign w:val="center"/>
          </w:tcPr>
          <w:p w14:paraId="6FB356DB" w14:textId="77777777" w:rsidR="002B6EB1" w:rsidRPr="00E50A7A" w:rsidRDefault="002B6EB1" w:rsidP="00B00391">
            <w:pPr>
              <w:spacing w:before="60" w:after="60" w:line="200" w:lineRule="exact"/>
              <w:jc w:val="right"/>
              <w:rPr>
                <w:noProof/>
                <w:sz w:val="16"/>
                <w:szCs w:val="16"/>
                <w:lang w:val="en-IE"/>
              </w:rPr>
            </w:pPr>
          </w:p>
        </w:tc>
      </w:tr>
      <w:tr w:rsidR="00151042" w:rsidRPr="00B314C8" w14:paraId="3B97EA39" w14:textId="77777777" w:rsidTr="1BD3479F">
        <w:trPr>
          <w:trHeight w:val="585"/>
        </w:trPr>
        <w:tc>
          <w:tcPr>
            <w:tcW w:w="1980" w:type="dxa"/>
            <w:vAlign w:val="center"/>
          </w:tcPr>
          <w:p w14:paraId="082DAB1D" w14:textId="77777777" w:rsidR="002B6EB1" w:rsidRPr="00E50A7A" w:rsidRDefault="002B6EB1" w:rsidP="00B00391">
            <w:pPr>
              <w:spacing w:before="60" w:after="60" w:line="200" w:lineRule="exact"/>
              <w:ind w:left="72"/>
              <w:jc w:val="left"/>
              <w:rPr>
                <w:noProof/>
                <w:sz w:val="16"/>
                <w:szCs w:val="16"/>
                <w:lang w:val="en-IE"/>
              </w:rPr>
            </w:pPr>
            <w:r w:rsidRPr="00E50A7A">
              <w:rPr>
                <w:noProof/>
                <w:sz w:val="16"/>
                <w:lang w:val="en-IE"/>
              </w:rPr>
              <w:t xml:space="preserve">Other expenditure </w:t>
            </w:r>
            <w:r w:rsidRPr="00E50A7A">
              <w:rPr>
                <w:noProof/>
                <w:sz w:val="22"/>
                <w:lang w:val="en-IE"/>
              </w:rPr>
              <w:br/>
            </w:r>
            <w:r w:rsidRPr="00E50A7A">
              <w:rPr>
                <w:noProof/>
                <w:sz w:val="16"/>
                <w:lang w:val="en-IE"/>
              </w:rPr>
              <w:t>of an administrative nature</w:t>
            </w:r>
          </w:p>
        </w:tc>
        <w:tc>
          <w:tcPr>
            <w:tcW w:w="1080" w:type="dxa"/>
            <w:vAlign w:val="center"/>
          </w:tcPr>
          <w:p w14:paraId="5B0A2A56" w14:textId="77777777" w:rsidR="002B6EB1" w:rsidRPr="00E50A7A" w:rsidRDefault="002B6EB1" w:rsidP="00B00391">
            <w:pPr>
              <w:spacing w:before="60" w:after="60" w:line="200" w:lineRule="exact"/>
              <w:jc w:val="right"/>
              <w:rPr>
                <w:noProof/>
                <w:sz w:val="16"/>
                <w:szCs w:val="16"/>
                <w:lang w:val="en-IE"/>
              </w:rPr>
            </w:pPr>
          </w:p>
        </w:tc>
        <w:tc>
          <w:tcPr>
            <w:tcW w:w="1080" w:type="dxa"/>
            <w:vAlign w:val="center"/>
          </w:tcPr>
          <w:p w14:paraId="300704ED" w14:textId="77777777" w:rsidR="002B6EB1" w:rsidRPr="00E50A7A" w:rsidRDefault="002B6EB1" w:rsidP="00B00391">
            <w:pPr>
              <w:spacing w:before="60" w:after="60" w:line="200" w:lineRule="exact"/>
              <w:jc w:val="right"/>
              <w:rPr>
                <w:noProof/>
                <w:sz w:val="16"/>
                <w:szCs w:val="16"/>
                <w:lang w:val="en-IE"/>
              </w:rPr>
            </w:pPr>
          </w:p>
        </w:tc>
        <w:tc>
          <w:tcPr>
            <w:tcW w:w="1080" w:type="dxa"/>
            <w:vAlign w:val="center"/>
          </w:tcPr>
          <w:p w14:paraId="1854D037" w14:textId="77777777" w:rsidR="002B6EB1" w:rsidRPr="00E50A7A" w:rsidRDefault="002B6EB1" w:rsidP="00B00391">
            <w:pPr>
              <w:spacing w:before="60" w:after="60" w:line="200" w:lineRule="exact"/>
              <w:jc w:val="right"/>
              <w:rPr>
                <w:noProof/>
                <w:sz w:val="16"/>
                <w:szCs w:val="16"/>
                <w:lang w:val="en-IE"/>
              </w:rPr>
            </w:pPr>
          </w:p>
        </w:tc>
        <w:tc>
          <w:tcPr>
            <w:tcW w:w="1080" w:type="dxa"/>
            <w:vAlign w:val="center"/>
          </w:tcPr>
          <w:p w14:paraId="08C498D6" w14:textId="77777777" w:rsidR="002B6EB1" w:rsidRPr="00E50A7A" w:rsidRDefault="002B6EB1" w:rsidP="00B00391">
            <w:pPr>
              <w:spacing w:before="60" w:after="60" w:line="200" w:lineRule="exact"/>
              <w:jc w:val="right"/>
              <w:rPr>
                <w:noProof/>
                <w:sz w:val="16"/>
                <w:szCs w:val="16"/>
                <w:lang w:val="en-IE"/>
              </w:rPr>
            </w:pPr>
          </w:p>
        </w:tc>
        <w:tc>
          <w:tcPr>
            <w:tcW w:w="1080" w:type="dxa"/>
            <w:vAlign w:val="center"/>
          </w:tcPr>
          <w:p w14:paraId="79280ED3" w14:textId="77777777" w:rsidR="002B6EB1" w:rsidRPr="00E50A7A" w:rsidRDefault="002B6EB1" w:rsidP="00B00391">
            <w:pPr>
              <w:spacing w:before="60" w:after="60" w:line="200" w:lineRule="exact"/>
              <w:jc w:val="right"/>
              <w:rPr>
                <w:noProof/>
                <w:sz w:val="16"/>
                <w:szCs w:val="16"/>
                <w:lang w:val="en-IE"/>
              </w:rPr>
            </w:pPr>
          </w:p>
        </w:tc>
        <w:tc>
          <w:tcPr>
            <w:tcW w:w="1080" w:type="dxa"/>
            <w:vAlign w:val="center"/>
          </w:tcPr>
          <w:p w14:paraId="10CDA0A1" w14:textId="77777777" w:rsidR="002B6EB1" w:rsidRPr="00E50A7A" w:rsidRDefault="002B6EB1" w:rsidP="00B00391">
            <w:pPr>
              <w:spacing w:before="60" w:after="60" w:line="200" w:lineRule="exact"/>
              <w:jc w:val="right"/>
              <w:rPr>
                <w:noProof/>
                <w:sz w:val="16"/>
                <w:szCs w:val="16"/>
                <w:lang w:val="en-IE"/>
              </w:rPr>
            </w:pPr>
          </w:p>
        </w:tc>
      </w:tr>
      <w:tr w:rsidR="008A3CEF" w:rsidRPr="00B314C8" w14:paraId="7925E90B" w14:textId="77777777" w:rsidTr="1BD3479F">
        <w:trPr>
          <w:trHeight w:val="585"/>
        </w:trPr>
        <w:tc>
          <w:tcPr>
            <w:tcW w:w="1980" w:type="dxa"/>
            <w:shd w:val="clear" w:color="auto" w:fill="CCCCCC"/>
            <w:vAlign w:val="center"/>
          </w:tcPr>
          <w:p w14:paraId="4E016D37" w14:textId="77777777" w:rsidR="002B6EB1" w:rsidRPr="00E50A7A" w:rsidRDefault="002B6EB1" w:rsidP="00B00391">
            <w:pPr>
              <w:spacing w:before="60" w:after="60" w:line="200" w:lineRule="exact"/>
              <w:jc w:val="center"/>
              <w:rPr>
                <w:b/>
                <w:noProof/>
                <w:sz w:val="16"/>
                <w:szCs w:val="16"/>
                <w:lang w:val="en-IE"/>
              </w:rPr>
            </w:pPr>
            <w:r w:rsidRPr="00E50A7A">
              <w:rPr>
                <w:b/>
                <w:noProof/>
                <w:sz w:val="16"/>
                <w:lang w:val="en-IE"/>
              </w:rPr>
              <w:t xml:space="preserve">Subtotal </w:t>
            </w:r>
            <w:r w:rsidRPr="00E50A7A">
              <w:rPr>
                <w:noProof/>
                <w:sz w:val="22"/>
                <w:lang w:val="en-IE"/>
              </w:rPr>
              <w:br/>
            </w:r>
            <w:r w:rsidRPr="00E50A7A">
              <w:rPr>
                <w:b/>
                <w:noProof/>
                <w:sz w:val="16"/>
                <w:lang w:val="en-IE"/>
              </w:rPr>
              <w:t>outside HEADING 7</w:t>
            </w:r>
            <w:r w:rsidRPr="00E50A7A">
              <w:rPr>
                <w:noProof/>
                <w:sz w:val="22"/>
                <w:lang w:val="en-IE"/>
              </w:rPr>
              <w:br/>
            </w:r>
            <w:r w:rsidRPr="00E50A7A">
              <w:rPr>
                <w:b/>
                <w:noProof/>
                <w:sz w:val="16"/>
                <w:lang w:val="en-IE"/>
              </w:rPr>
              <w:t xml:space="preserve">of the multiannual financial framework </w:t>
            </w:r>
          </w:p>
        </w:tc>
        <w:tc>
          <w:tcPr>
            <w:tcW w:w="1080" w:type="dxa"/>
            <w:vAlign w:val="center"/>
          </w:tcPr>
          <w:p w14:paraId="27C7AF06" w14:textId="77777777" w:rsidR="002B6EB1" w:rsidRPr="00E50A7A" w:rsidRDefault="002B6EB1" w:rsidP="00B00391">
            <w:pPr>
              <w:spacing w:before="60" w:after="60" w:line="200" w:lineRule="exact"/>
              <w:jc w:val="right"/>
              <w:rPr>
                <w:noProof/>
                <w:sz w:val="16"/>
                <w:szCs w:val="16"/>
                <w:lang w:val="en-IE"/>
              </w:rPr>
            </w:pPr>
            <w:r w:rsidRPr="00E50A7A">
              <w:rPr>
                <w:rStyle w:val="normaltextrun"/>
                <w:noProof/>
                <w:sz w:val="16"/>
                <w:szCs w:val="16"/>
                <w:lang w:val="en-IE"/>
              </w:rPr>
              <w:t>N/A</w:t>
            </w:r>
            <w:r w:rsidRPr="00E50A7A">
              <w:rPr>
                <w:rStyle w:val="eop"/>
                <w:noProof/>
                <w:sz w:val="16"/>
                <w:szCs w:val="16"/>
                <w:lang w:val="en-IE"/>
              </w:rPr>
              <w:t> </w:t>
            </w:r>
          </w:p>
        </w:tc>
        <w:tc>
          <w:tcPr>
            <w:tcW w:w="1080" w:type="dxa"/>
            <w:vAlign w:val="center"/>
          </w:tcPr>
          <w:p w14:paraId="32923D11" w14:textId="77777777" w:rsidR="002B6EB1" w:rsidRPr="00E50A7A" w:rsidRDefault="002B6EB1" w:rsidP="00B00391">
            <w:pPr>
              <w:spacing w:before="60" w:after="60" w:line="200" w:lineRule="exact"/>
              <w:jc w:val="right"/>
              <w:rPr>
                <w:noProof/>
                <w:sz w:val="16"/>
                <w:szCs w:val="16"/>
                <w:lang w:val="en-IE"/>
              </w:rPr>
            </w:pPr>
            <w:r w:rsidRPr="00E50A7A">
              <w:rPr>
                <w:rStyle w:val="normaltextrun"/>
                <w:noProof/>
                <w:sz w:val="16"/>
                <w:szCs w:val="16"/>
                <w:lang w:val="en-IE"/>
              </w:rPr>
              <w:t>N/A</w:t>
            </w:r>
            <w:r w:rsidRPr="00E50A7A">
              <w:rPr>
                <w:rStyle w:val="eop"/>
                <w:noProof/>
                <w:sz w:val="16"/>
                <w:szCs w:val="16"/>
                <w:lang w:val="en-IE"/>
              </w:rPr>
              <w:t> </w:t>
            </w:r>
          </w:p>
        </w:tc>
        <w:tc>
          <w:tcPr>
            <w:tcW w:w="1080" w:type="dxa"/>
            <w:vAlign w:val="center"/>
          </w:tcPr>
          <w:p w14:paraId="2F3D7E62" w14:textId="77777777" w:rsidR="002B6EB1" w:rsidRPr="00E50A7A" w:rsidRDefault="002B6EB1" w:rsidP="00B00391">
            <w:pPr>
              <w:spacing w:before="60" w:after="60" w:line="200" w:lineRule="exact"/>
              <w:jc w:val="right"/>
              <w:rPr>
                <w:noProof/>
                <w:sz w:val="16"/>
                <w:szCs w:val="16"/>
                <w:lang w:val="en-IE"/>
              </w:rPr>
            </w:pPr>
            <w:r w:rsidRPr="00E50A7A">
              <w:rPr>
                <w:rStyle w:val="normaltextrun"/>
                <w:noProof/>
                <w:sz w:val="16"/>
                <w:szCs w:val="16"/>
                <w:lang w:val="en-IE"/>
              </w:rPr>
              <w:t>N/A</w:t>
            </w:r>
            <w:r w:rsidRPr="00E50A7A">
              <w:rPr>
                <w:rStyle w:val="eop"/>
                <w:noProof/>
                <w:sz w:val="16"/>
                <w:szCs w:val="16"/>
                <w:lang w:val="en-IE"/>
              </w:rPr>
              <w:t> </w:t>
            </w:r>
          </w:p>
        </w:tc>
        <w:tc>
          <w:tcPr>
            <w:tcW w:w="1080" w:type="dxa"/>
            <w:vAlign w:val="center"/>
          </w:tcPr>
          <w:p w14:paraId="65263AD5" w14:textId="77777777" w:rsidR="002B6EB1" w:rsidRPr="00E50A7A" w:rsidRDefault="002B6EB1" w:rsidP="00B00391">
            <w:pPr>
              <w:spacing w:before="60" w:after="60" w:line="200" w:lineRule="exact"/>
              <w:jc w:val="right"/>
              <w:rPr>
                <w:noProof/>
                <w:sz w:val="16"/>
                <w:szCs w:val="16"/>
                <w:lang w:val="en-IE"/>
              </w:rPr>
            </w:pPr>
            <w:r w:rsidRPr="00E50A7A">
              <w:rPr>
                <w:rStyle w:val="normaltextrun"/>
                <w:noProof/>
                <w:sz w:val="16"/>
                <w:szCs w:val="16"/>
                <w:lang w:val="en-IE"/>
              </w:rPr>
              <w:t>N/A</w:t>
            </w:r>
            <w:r w:rsidRPr="00E50A7A">
              <w:rPr>
                <w:rStyle w:val="eop"/>
                <w:noProof/>
                <w:sz w:val="16"/>
                <w:szCs w:val="16"/>
                <w:lang w:val="en-IE"/>
              </w:rPr>
              <w:t> </w:t>
            </w:r>
          </w:p>
        </w:tc>
        <w:tc>
          <w:tcPr>
            <w:tcW w:w="1080" w:type="dxa"/>
            <w:vAlign w:val="center"/>
          </w:tcPr>
          <w:p w14:paraId="06ABF74B" w14:textId="77777777" w:rsidR="002B6EB1" w:rsidRPr="00E50A7A" w:rsidRDefault="002B6EB1" w:rsidP="00B00391">
            <w:pPr>
              <w:spacing w:before="60" w:after="60" w:line="200" w:lineRule="exact"/>
              <w:jc w:val="right"/>
              <w:rPr>
                <w:noProof/>
                <w:sz w:val="16"/>
                <w:szCs w:val="16"/>
                <w:lang w:val="en-IE"/>
              </w:rPr>
            </w:pPr>
            <w:r w:rsidRPr="00E50A7A">
              <w:rPr>
                <w:rStyle w:val="normaltextrun"/>
                <w:noProof/>
                <w:sz w:val="16"/>
                <w:szCs w:val="16"/>
                <w:lang w:val="en-IE"/>
              </w:rPr>
              <w:t>N/A</w:t>
            </w:r>
            <w:r w:rsidRPr="00E50A7A">
              <w:rPr>
                <w:rStyle w:val="eop"/>
                <w:noProof/>
                <w:sz w:val="16"/>
                <w:szCs w:val="16"/>
                <w:lang w:val="en-IE"/>
              </w:rPr>
              <w:t> </w:t>
            </w:r>
          </w:p>
        </w:tc>
        <w:tc>
          <w:tcPr>
            <w:tcW w:w="1080" w:type="dxa"/>
            <w:vAlign w:val="center"/>
          </w:tcPr>
          <w:p w14:paraId="0E3A99AB" w14:textId="77777777" w:rsidR="002B6EB1" w:rsidRPr="00E50A7A" w:rsidRDefault="002B6EB1" w:rsidP="00B00391">
            <w:pPr>
              <w:spacing w:before="60" w:after="60" w:line="200" w:lineRule="exact"/>
              <w:jc w:val="right"/>
              <w:rPr>
                <w:noProof/>
                <w:sz w:val="16"/>
                <w:szCs w:val="16"/>
                <w:lang w:val="en-IE"/>
              </w:rPr>
            </w:pPr>
            <w:r w:rsidRPr="00E50A7A">
              <w:rPr>
                <w:rStyle w:val="normaltextrun"/>
                <w:noProof/>
                <w:sz w:val="16"/>
                <w:szCs w:val="16"/>
                <w:lang w:val="en-IE"/>
              </w:rPr>
              <w:t>N/A</w:t>
            </w:r>
            <w:r w:rsidRPr="00E50A7A">
              <w:rPr>
                <w:rStyle w:val="eop"/>
                <w:noProof/>
                <w:sz w:val="16"/>
                <w:szCs w:val="16"/>
                <w:lang w:val="en-IE"/>
              </w:rPr>
              <w:t> </w:t>
            </w:r>
          </w:p>
        </w:tc>
      </w:tr>
    </w:tbl>
    <w:p w14:paraId="3E6A467A" w14:textId="77777777" w:rsidR="002B6EB1" w:rsidRPr="00E50A7A" w:rsidRDefault="002B6EB1" w:rsidP="002B6EB1">
      <w:pPr>
        <w:spacing w:line="200" w:lineRule="exact"/>
        <w:rPr>
          <w:noProof/>
          <w:sz w:val="16"/>
          <w:szCs w:val="16"/>
          <w:lang w:val="en-IE"/>
        </w:rPr>
      </w:pPr>
    </w:p>
    <w:tbl>
      <w:tblPr>
        <w:tblW w:w="8460" w:type="dxa"/>
        <w:tblInd w:w="-612" w:type="dxa"/>
        <w:tblLayout w:type="fixed"/>
        <w:tblLook w:val="01E0" w:firstRow="1" w:lastRow="1" w:firstColumn="1" w:lastColumn="1" w:noHBand="0" w:noVBand="0"/>
      </w:tblPr>
      <w:tblGrid>
        <w:gridCol w:w="1980"/>
        <w:gridCol w:w="1080"/>
        <w:gridCol w:w="1080"/>
        <w:gridCol w:w="1080"/>
        <w:gridCol w:w="1080"/>
        <w:gridCol w:w="1080"/>
        <w:gridCol w:w="1080"/>
      </w:tblGrid>
      <w:tr w:rsidR="008B5470" w:rsidRPr="00B314C8" w14:paraId="1F7ED400" w14:textId="77777777" w:rsidTr="00A10DCB">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14:paraId="0E1E9D5A" w14:textId="77777777" w:rsidR="008B5470" w:rsidRPr="00E50A7A" w:rsidRDefault="008B5470" w:rsidP="008B5470">
            <w:pPr>
              <w:spacing w:before="60" w:after="60" w:line="200" w:lineRule="exact"/>
              <w:jc w:val="center"/>
              <w:rPr>
                <w:noProof/>
                <w:sz w:val="16"/>
                <w:szCs w:val="16"/>
                <w:lang w:val="en-IE"/>
              </w:rPr>
            </w:pPr>
            <w:r w:rsidRPr="00E50A7A">
              <w:rPr>
                <w:b/>
                <w:noProof/>
                <w:sz w:val="16"/>
                <w:lang w:val="en-IE"/>
              </w:rPr>
              <w:t>TOTAL</w:t>
            </w:r>
          </w:p>
        </w:tc>
        <w:tc>
          <w:tcPr>
            <w:tcW w:w="1080" w:type="dxa"/>
            <w:tcBorders>
              <w:top w:val="single" w:sz="12" w:space="0" w:color="auto"/>
              <w:left w:val="single" w:sz="2" w:space="0" w:color="auto"/>
              <w:bottom w:val="single" w:sz="12" w:space="0" w:color="auto"/>
              <w:right w:val="single" w:sz="2" w:space="0" w:color="auto"/>
            </w:tcBorders>
            <w:vAlign w:val="center"/>
          </w:tcPr>
          <w:p w14:paraId="47872FCE" w14:textId="18A3C20A" w:rsidR="008B5470" w:rsidRPr="00E50A7A" w:rsidRDefault="008B5470" w:rsidP="008B5470">
            <w:pPr>
              <w:spacing w:before="60" w:after="60" w:line="200" w:lineRule="exact"/>
              <w:jc w:val="right"/>
              <w:rPr>
                <w:b/>
                <w:noProof/>
                <w:sz w:val="16"/>
                <w:szCs w:val="16"/>
                <w:lang w:val="en-IE"/>
              </w:rPr>
            </w:pPr>
            <w:r w:rsidRPr="00E50A7A">
              <w:rPr>
                <w:noProof/>
                <w:sz w:val="20"/>
                <w:lang w:val="en-IE"/>
              </w:rPr>
              <w:t>0.2</w:t>
            </w:r>
            <w:r>
              <w:rPr>
                <w:noProof/>
                <w:sz w:val="20"/>
                <w:lang w:val="en-IE"/>
              </w:rPr>
              <w:t>57</w:t>
            </w:r>
          </w:p>
        </w:tc>
        <w:tc>
          <w:tcPr>
            <w:tcW w:w="1080" w:type="dxa"/>
            <w:tcBorders>
              <w:top w:val="single" w:sz="12" w:space="0" w:color="auto"/>
              <w:left w:val="single" w:sz="2" w:space="0" w:color="auto"/>
              <w:bottom w:val="single" w:sz="12" w:space="0" w:color="auto"/>
              <w:right w:val="single" w:sz="2" w:space="0" w:color="auto"/>
            </w:tcBorders>
            <w:vAlign w:val="center"/>
          </w:tcPr>
          <w:p w14:paraId="2841CED3" w14:textId="5D57A59D" w:rsidR="008B5470" w:rsidRPr="00E50A7A" w:rsidRDefault="008B5470" w:rsidP="008B5470">
            <w:pPr>
              <w:spacing w:before="60" w:after="60" w:line="200" w:lineRule="exact"/>
              <w:jc w:val="right"/>
              <w:rPr>
                <w:b/>
                <w:noProof/>
                <w:sz w:val="16"/>
                <w:szCs w:val="16"/>
                <w:lang w:val="en-IE"/>
              </w:rPr>
            </w:pPr>
            <w:r w:rsidRPr="008B6CF9">
              <w:rPr>
                <w:noProof/>
                <w:sz w:val="20"/>
                <w:lang w:val="en-IE"/>
              </w:rPr>
              <w:t>0.444</w:t>
            </w:r>
          </w:p>
        </w:tc>
        <w:tc>
          <w:tcPr>
            <w:tcW w:w="1080" w:type="dxa"/>
            <w:tcBorders>
              <w:top w:val="single" w:sz="12" w:space="0" w:color="auto"/>
              <w:left w:val="single" w:sz="2" w:space="0" w:color="auto"/>
              <w:bottom w:val="single" w:sz="12" w:space="0" w:color="auto"/>
              <w:right w:val="single" w:sz="2" w:space="0" w:color="auto"/>
            </w:tcBorders>
            <w:vAlign w:val="center"/>
          </w:tcPr>
          <w:p w14:paraId="7FA83816" w14:textId="067969C8" w:rsidR="008B5470" w:rsidRPr="00E50A7A" w:rsidRDefault="008B5470" w:rsidP="008B5470">
            <w:pPr>
              <w:spacing w:before="60" w:after="60" w:line="200" w:lineRule="exact"/>
              <w:jc w:val="right"/>
              <w:rPr>
                <w:b/>
                <w:noProof/>
                <w:sz w:val="16"/>
                <w:szCs w:val="16"/>
                <w:lang w:val="en-IE"/>
              </w:rPr>
            </w:pPr>
            <w:r w:rsidRPr="008B6CF9">
              <w:rPr>
                <w:noProof/>
                <w:sz w:val="20"/>
                <w:lang w:val="en-IE"/>
              </w:rPr>
              <w:t>0.444</w:t>
            </w:r>
          </w:p>
        </w:tc>
        <w:tc>
          <w:tcPr>
            <w:tcW w:w="1080" w:type="dxa"/>
            <w:tcBorders>
              <w:top w:val="single" w:sz="12" w:space="0" w:color="auto"/>
              <w:left w:val="single" w:sz="2" w:space="0" w:color="auto"/>
              <w:bottom w:val="single" w:sz="12" w:space="0" w:color="auto"/>
              <w:right w:val="single" w:sz="2" w:space="0" w:color="auto"/>
            </w:tcBorders>
            <w:vAlign w:val="center"/>
          </w:tcPr>
          <w:p w14:paraId="737C901C" w14:textId="7ADBC6CA" w:rsidR="008B5470" w:rsidRPr="00E50A7A" w:rsidRDefault="008B5470" w:rsidP="008B5470">
            <w:pPr>
              <w:spacing w:before="60" w:after="60" w:line="200" w:lineRule="exact"/>
              <w:jc w:val="right"/>
              <w:rPr>
                <w:b/>
                <w:noProof/>
                <w:sz w:val="16"/>
                <w:szCs w:val="16"/>
                <w:lang w:val="en-IE"/>
              </w:rPr>
            </w:pPr>
            <w:r w:rsidRPr="008B6CF9">
              <w:rPr>
                <w:noProof/>
                <w:sz w:val="20"/>
                <w:lang w:val="en-IE"/>
              </w:rPr>
              <w:t>0.444</w:t>
            </w:r>
          </w:p>
        </w:tc>
        <w:tc>
          <w:tcPr>
            <w:tcW w:w="1080" w:type="dxa"/>
            <w:tcBorders>
              <w:top w:val="single" w:sz="12" w:space="0" w:color="auto"/>
              <w:left w:val="single" w:sz="2" w:space="0" w:color="auto"/>
              <w:bottom w:val="single" w:sz="12" w:space="0" w:color="auto"/>
              <w:right w:val="single" w:sz="2" w:space="0" w:color="auto"/>
            </w:tcBorders>
            <w:vAlign w:val="center"/>
          </w:tcPr>
          <w:p w14:paraId="0CB18693" w14:textId="5C6628DE" w:rsidR="008B5470" w:rsidRPr="00E50A7A" w:rsidRDefault="008B5470" w:rsidP="008B5470">
            <w:pPr>
              <w:spacing w:before="60" w:after="60" w:line="200" w:lineRule="exact"/>
              <w:jc w:val="right"/>
              <w:rPr>
                <w:b/>
                <w:noProof/>
                <w:sz w:val="16"/>
                <w:szCs w:val="16"/>
                <w:lang w:val="en-IE"/>
              </w:rPr>
            </w:pPr>
            <w:r w:rsidRPr="008B6CF9">
              <w:rPr>
                <w:noProof/>
                <w:sz w:val="20"/>
                <w:lang w:val="en-IE"/>
              </w:rPr>
              <w:t>0.444</w:t>
            </w:r>
          </w:p>
        </w:tc>
        <w:tc>
          <w:tcPr>
            <w:tcW w:w="1080" w:type="dxa"/>
            <w:tcBorders>
              <w:top w:val="single" w:sz="12" w:space="0" w:color="auto"/>
              <w:left w:val="single" w:sz="2" w:space="0" w:color="auto"/>
              <w:bottom w:val="single" w:sz="12" w:space="0" w:color="auto"/>
              <w:right w:val="single" w:sz="2" w:space="0" w:color="auto"/>
            </w:tcBorders>
            <w:vAlign w:val="center"/>
          </w:tcPr>
          <w:p w14:paraId="11846762" w14:textId="563AC5A8" w:rsidR="008B5470" w:rsidRPr="00E50A7A" w:rsidRDefault="008B5470" w:rsidP="008B5470">
            <w:pPr>
              <w:spacing w:before="60" w:after="60" w:line="200" w:lineRule="exact"/>
              <w:jc w:val="right"/>
              <w:rPr>
                <w:b/>
                <w:noProof/>
                <w:sz w:val="16"/>
                <w:szCs w:val="16"/>
                <w:lang w:val="en-IE"/>
              </w:rPr>
            </w:pPr>
            <w:r>
              <w:rPr>
                <w:rStyle w:val="normaltextrun"/>
                <w:b/>
                <w:bCs/>
                <w:noProof/>
                <w:color w:val="000000"/>
                <w:sz w:val="20"/>
                <w:szCs w:val="20"/>
                <w:lang w:val="en-IE"/>
              </w:rPr>
              <w:t>2.033</w:t>
            </w:r>
          </w:p>
        </w:tc>
      </w:tr>
    </w:tbl>
    <w:p w14:paraId="5F97BCB8" w14:textId="77777777" w:rsidR="002B6EB1" w:rsidRPr="00E50A7A" w:rsidRDefault="002B6EB1" w:rsidP="002B6EB1">
      <w:pPr>
        <w:rPr>
          <w:noProof/>
          <w:sz w:val="18"/>
          <w:lang w:val="en-IE"/>
        </w:rPr>
      </w:pPr>
      <w:r w:rsidRPr="00E50A7A">
        <w:rPr>
          <w:noProof/>
          <w:sz w:val="18"/>
          <w:lang w:val="en-IE"/>
        </w:rPr>
        <w:t>The appropriations required for human resources and other expenditure of an administrative nature will be met by appropriations from the DG that are already assigned to management of the action and/or have been redeployed within the DG, together if necessary with any additional allocation which may be granted to the managing DG under the annual allocation procedure and in the light of budgetary constraints.</w:t>
      </w:r>
    </w:p>
    <w:p w14:paraId="5B2FCBF0" w14:textId="77777777" w:rsidR="002B6EB1" w:rsidRPr="00E50A7A" w:rsidRDefault="002B6EB1" w:rsidP="002B6EB1">
      <w:pPr>
        <w:pStyle w:val="ManualHeading4"/>
        <w:rPr>
          <w:noProof/>
          <w:lang w:val="en-IE"/>
        </w:rPr>
      </w:pPr>
      <w:r w:rsidRPr="00E50A7A">
        <w:rPr>
          <w:noProof/>
          <w:lang w:val="en-IE"/>
        </w:rPr>
        <w:t>3.2.3.3.</w:t>
      </w:r>
      <w:r w:rsidRPr="00E50A7A">
        <w:rPr>
          <w:noProof/>
          <w:lang w:val="en-IE"/>
        </w:rPr>
        <w:tab/>
        <w:t>Estimated requirements of human resources in the Commission </w:t>
      </w:r>
    </w:p>
    <w:p w14:paraId="53AFA202" w14:textId="77777777" w:rsidR="002B6EB1" w:rsidRPr="00E50A7A" w:rsidRDefault="002B6EB1" w:rsidP="0020411B">
      <w:pPr>
        <w:pStyle w:val="ListDash1"/>
        <w:rPr>
          <w:noProof/>
          <w:lang w:val="en-IE"/>
        </w:rPr>
      </w:pPr>
      <w:r w:rsidRPr="00E50A7A">
        <w:rPr>
          <w:rFonts w:ascii="Wingdings" w:eastAsia="Wingdings" w:hAnsi="Wingdings" w:cs="Wingdings"/>
          <w:noProof/>
          <w:lang w:val="en-IE"/>
        </w:rPr>
        <w:t></w:t>
      </w:r>
      <w:r w:rsidRPr="00E50A7A">
        <w:rPr>
          <w:noProof/>
          <w:lang w:val="en-IE"/>
        </w:rPr>
        <w:tab/>
        <w:t>The proposal/initiative does not require the use of human resources.  </w:t>
      </w:r>
    </w:p>
    <w:p w14:paraId="13E70F2E" w14:textId="77777777" w:rsidR="002B6EB1" w:rsidRPr="00E50A7A" w:rsidRDefault="002B6EB1" w:rsidP="0020411B">
      <w:pPr>
        <w:pStyle w:val="ListDash1"/>
        <w:rPr>
          <w:noProof/>
          <w:lang w:val="en-IE"/>
        </w:rPr>
      </w:pPr>
      <w:r w:rsidRPr="00E50A7A">
        <w:rPr>
          <w:rFonts w:ascii="Wingdings" w:eastAsia="Wingdings" w:hAnsi="Wingdings" w:cs="Wingdings"/>
          <w:noProof/>
          <w:lang w:val="en-IE"/>
        </w:rPr>
        <w:t></w:t>
      </w:r>
      <w:r w:rsidRPr="00E50A7A">
        <w:rPr>
          <w:noProof/>
          <w:lang w:val="en-IE"/>
        </w:rPr>
        <w:tab/>
        <w:t>The proposal/initiative requires the use of human resources, as explained below: </w:t>
      </w:r>
    </w:p>
    <w:p w14:paraId="223E1322" w14:textId="77777777" w:rsidR="002B6EB1" w:rsidRPr="00E50A7A" w:rsidRDefault="002B6EB1" w:rsidP="00B00391">
      <w:pPr>
        <w:spacing w:after="60"/>
        <w:jc w:val="right"/>
        <w:rPr>
          <w:i/>
          <w:noProof/>
          <w:sz w:val="20"/>
          <w:lang w:val="en-IE"/>
        </w:rPr>
      </w:pPr>
    </w:p>
    <w:tbl>
      <w:tblPr>
        <w:tblW w:w="988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
        <w:gridCol w:w="2178"/>
        <w:gridCol w:w="15"/>
        <w:gridCol w:w="183"/>
        <w:gridCol w:w="2378"/>
        <w:gridCol w:w="731"/>
        <w:gridCol w:w="731"/>
        <w:gridCol w:w="731"/>
        <w:gridCol w:w="731"/>
        <w:gridCol w:w="2193"/>
      </w:tblGrid>
      <w:tr w:rsidR="00CB1A27" w:rsidRPr="00B314C8" w14:paraId="31912299" w14:textId="77777777" w:rsidTr="1BD3479F">
        <w:trPr>
          <w:gridBefore w:val="1"/>
          <w:wBefore w:w="15" w:type="dxa"/>
          <w:trHeight w:val="289"/>
          <w:jc w:val="center"/>
        </w:trPr>
        <w:tc>
          <w:tcPr>
            <w:tcW w:w="4754" w:type="dxa"/>
            <w:gridSpan w:val="4"/>
            <w:shd w:val="clear" w:color="auto" w:fill="auto"/>
          </w:tcPr>
          <w:p w14:paraId="4270B467" w14:textId="77777777" w:rsidR="00CB1A27" w:rsidRPr="00E50A7A" w:rsidRDefault="00CB1A27" w:rsidP="00CB1A27">
            <w:pPr>
              <w:pStyle w:val="Text1"/>
              <w:spacing w:before="40" w:after="40"/>
              <w:ind w:left="0"/>
              <w:jc w:val="center"/>
              <w:rPr>
                <w:i/>
                <w:noProof/>
                <w:sz w:val="16"/>
                <w:szCs w:val="16"/>
                <w:lang w:val="en-IE"/>
              </w:rPr>
            </w:pPr>
          </w:p>
        </w:tc>
        <w:tc>
          <w:tcPr>
            <w:tcW w:w="731" w:type="dxa"/>
            <w:shd w:val="clear" w:color="auto" w:fill="auto"/>
            <w:vAlign w:val="center"/>
          </w:tcPr>
          <w:p w14:paraId="78C59DF8" w14:textId="77777777" w:rsidR="00CB1A27" w:rsidRPr="00E50A7A" w:rsidRDefault="00CB1A27" w:rsidP="00CB1A27">
            <w:pPr>
              <w:spacing w:before="20" w:after="20"/>
              <w:jc w:val="center"/>
              <w:rPr>
                <w:noProof/>
                <w:sz w:val="16"/>
                <w:szCs w:val="16"/>
                <w:lang w:val="en-IE"/>
              </w:rPr>
            </w:pPr>
            <w:r w:rsidRPr="00E50A7A">
              <w:rPr>
                <w:rStyle w:val="normaltextrun"/>
                <w:b/>
                <w:bCs/>
                <w:noProof/>
                <w:sz w:val="16"/>
                <w:szCs w:val="16"/>
                <w:lang w:val="en-IE"/>
              </w:rPr>
              <w:t>2023</w:t>
            </w:r>
            <w:r w:rsidRPr="00E50A7A">
              <w:rPr>
                <w:rStyle w:val="eop"/>
                <w:noProof/>
                <w:sz w:val="16"/>
                <w:szCs w:val="16"/>
                <w:lang w:val="en-IE"/>
              </w:rPr>
              <w:t> </w:t>
            </w:r>
          </w:p>
        </w:tc>
        <w:tc>
          <w:tcPr>
            <w:tcW w:w="731" w:type="dxa"/>
            <w:shd w:val="clear" w:color="auto" w:fill="auto"/>
            <w:vAlign w:val="center"/>
          </w:tcPr>
          <w:p w14:paraId="504A2908" w14:textId="77777777" w:rsidR="00CB1A27" w:rsidRPr="00E50A7A" w:rsidRDefault="00CB1A27" w:rsidP="00CB1A27">
            <w:pPr>
              <w:spacing w:before="20" w:after="20"/>
              <w:jc w:val="center"/>
              <w:rPr>
                <w:noProof/>
                <w:sz w:val="16"/>
                <w:szCs w:val="16"/>
                <w:lang w:val="en-IE"/>
              </w:rPr>
            </w:pPr>
            <w:r w:rsidRPr="00E50A7A">
              <w:rPr>
                <w:rStyle w:val="normaltextrun"/>
                <w:b/>
                <w:bCs/>
                <w:noProof/>
                <w:sz w:val="16"/>
                <w:szCs w:val="16"/>
                <w:lang w:val="en-IE"/>
              </w:rPr>
              <w:t>2024</w:t>
            </w:r>
            <w:r w:rsidRPr="00E50A7A">
              <w:rPr>
                <w:rStyle w:val="eop"/>
                <w:noProof/>
                <w:sz w:val="16"/>
                <w:szCs w:val="16"/>
                <w:lang w:val="en-IE"/>
              </w:rPr>
              <w:t> </w:t>
            </w:r>
          </w:p>
        </w:tc>
        <w:tc>
          <w:tcPr>
            <w:tcW w:w="731" w:type="dxa"/>
            <w:shd w:val="clear" w:color="auto" w:fill="auto"/>
            <w:vAlign w:val="center"/>
          </w:tcPr>
          <w:p w14:paraId="4814EE26" w14:textId="77777777" w:rsidR="00CB1A27" w:rsidRPr="00E50A7A" w:rsidRDefault="00CB1A27" w:rsidP="00CB1A27">
            <w:pPr>
              <w:spacing w:before="20" w:after="20"/>
              <w:jc w:val="center"/>
              <w:rPr>
                <w:noProof/>
                <w:sz w:val="16"/>
                <w:szCs w:val="16"/>
                <w:lang w:val="en-IE"/>
              </w:rPr>
            </w:pPr>
            <w:r w:rsidRPr="00E50A7A">
              <w:rPr>
                <w:rStyle w:val="normaltextrun"/>
                <w:b/>
                <w:bCs/>
                <w:noProof/>
                <w:sz w:val="16"/>
                <w:szCs w:val="16"/>
                <w:lang w:val="en-IE"/>
              </w:rPr>
              <w:t>2025</w:t>
            </w:r>
            <w:r w:rsidRPr="00E50A7A">
              <w:rPr>
                <w:rStyle w:val="eop"/>
                <w:noProof/>
                <w:sz w:val="16"/>
                <w:szCs w:val="16"/>
                <w:lang w:val="en-IE"/>
              </w:rPr>
              <w:t> </w:t>
            </w:r>
          </w:p>
        </w:tc>
        <w:tc>
          <w:tcPr>
            <w:tcW w:w="731" w:type="dxa"/>
            <w:shd w:val="clear" w:color="auto" w:fill="auto"/>
            <w:vAlign w:val="center"/>
          </w:tcPr>
          <w:p w14:paraId="66010444" w14:textId="77777777" w:rsidR="00CB1A27" w:rsidRPr="00E50A7A" w:rsidRDefault="00CB1A27" w:rsidP="00CB1A27">
            <w:pPr>
              <w:spacing w:before="20" w:after="20"/>
              <w:jc w:val="center"/>
              <w:rPr>
                <w:noProof/>
                <w:sz w:val="16"/>
                <w:szCs w:val="16"/>
                <w:lang w:val="en-IE"/>
              </w:rPr>
            </w:pPr>
            <w:r w:rsidRPr="00E50A7A">
              <w:rPr>
                <w:rStyle w:val="normaltextrun"/>
                <w:b/>
                <w:bCs/>
                <w:noProof/>
                <w:sz w:val="16"/>
                <w:szCs w:val="16"/>
                <w:lang w:val="en-IE"/>
              </w:rPr>
              <w:t>2026</w:t>
            </w:r>
            <w:r w:rsidRPr="00E50A7A">
              <w:rPr>
                <w:rStyle w:val="eop"/>
                <w:noProof/>
                <w:sz w:val="16"/>
                <w:szCs w:val="16"/>
                <w:lang w:val="en-IE"/>
              </w:rPr>
              <w:t> </w:t>
            </w:r>
          </w:p>
        </w:tc>
        <w:tc>
          <w:tcPr>
            <w:tcW w:w="2193" w:type="dxa"/>
            <w:vAlign w:val="center"/>
          </w:tcPr>
          <w:p w14:paraId="500D8416" w14:textId="317AA089" w:rsidR="00CB1A27" w:rsidRPr="00E50A7A" w:rsidRDefault="00CB1A27" w:rsidP="00CB1A27">
            <w:pPr>
              <w:jc w:val="center"/>
              <w:rPr>
                <w:noProof/>
                <w:sz w:val="16"/>
                <w:lang w:val="en-IE"/>
              </w:rPr>
            </w:pPr>
            <w:r w:rsidRPr="00E50A7A">
              <w:rPr>
                <w:rStyle w:val="normaltextrun"/>
                <w:b/>
                <w:bCs/>
                <w:noProof/>
                <w:sz w:val="16"/>
                <w:szCs w:val="16"/>
                <w:lang w:val="en-IE"/>
              </w:rPr>
              <w:t xml:space="preserve">2027 </w:t>
            </w:r>
          </w:p>
        </w:tc>
      </w:tr>
      <w:tr w:rsidR="00CB1A27" w:rsidRPr="00B314C8" w14:paraId="35ED7B52" w14:textId="77777777" w:rsidTr="1BD3479F">
        <w:trPr>
          <w:gridBefore w:val="1"/>
          <w:gridAfter w:val="7"/>
          <w:wBefore w:w="15" w:type="dxa"/>
          <w:wAfter w:w="7678" w:type="dxa"/>
          <w:trHeight w:val="289"/>
          <w:jc w:val="center"/>
        </w:trPr>
        <w:tc>
          <w:tcPr>
            <w:tcW w:w="2193" w:type="dxa"/>
            <w:gridSpan w:val="2"/>
          </w:tcPr>
          <w:p w14:paraId="27E922EC" w14:textId="77777777" w:rsidR="00CB1A27" w:rsidRPr="00E50A7A" w:rsidRDefault="00CB1A27" w:rsidP="00B00391">
            <w:pPr>
              <w:jc w:val="left"/>
              <w:rPr>
                <w:b/>
                <w:noProof/>
                <w:sz w:val="16"/>
                <w:lang w:val="en-IE"/>
              </w:rPr>
            </w:pPr>
          </w:p>
        </w:tc>
      </w:tr>
      <w:tr w:rsidR="00CB1A27" w:rsidRPr="00B314C8" w14:paraId="55A9DD4D" w14:textId="77777777" w:rsidTr="1BD3479F">
        <w:trPr>
          <w:gridBefore w:val="1"/>
          <w:wBefore w:w="15" w:type="dxa"/>
          <w:trHeight w:val="289"/>
          <w:jc w:val="center"/>
        </w:trPr>
        <w:tc>
          <w:tcPr>
            <w:tcW w:w="4754" w:type="dxa"/>
            <w:gridSpan w:val="4"/>
            <w:shd w:val="clear" w:color="auto" w:fill="auto"/>
            <w:vAlign w:val="center"/>
          </w:tcPr>
          <w:p w14:paraId="72A0CC7B" w14:textId="77777777" w:rsidR="00CB1A27" w:rsidRPr="00E50A7A" w:rsidRDefault="00CB1A27" w:rsidP="00B00391">
            <w:pPr>
              <w:pStyle w:val="Text1"/>
              <w:spacing w:beforeLines="20" w:before="48" w:afterLines="20" w:after="48"/>
              <w:ind w:left="134"/>
              <w:jc w:val="left"/>
              <w:rPr>
                <w:b/>
                <w:noProof/>
                <w:sz w:val="16"/>
                <w:szCs w:val="16"/>
                <w:lang w:val="en-IE"/>
              </w:rPr>
            </w:pPr>
            <w:r w:rsidRPr="00E50A7A">
              <w:rPr>
                <w:noProof/>
                <w:sz w:val="16"/>
                <w:lang w:val="en-IE"/>
              </w:rPr>
              <w:t>20 01 02 01</w:t>
            </w:r>
            <w:r w:rsidRPr="00E50A7A">
              <w:rPr>
                <w:rFonts w:ascii="Arial Narrow" w:hAnsi="Arial Narrow"/>
                <w:noProof/>
                <w:color w:val="000000"/>
                <w:sz w:val="20"/>
                <w:szCs w:val="20"/>
                <w:lang w:val="en-IE"/>
              </w:rPr>
              <w:t xml:space="preserve"> </w:t>
            </w:r>
            <w:r w:rsidRPr="00E50A7A">
              <w:rPr>
                <w:noProof/>
                <w:sz w:val="16"/>
                <w:lang w:val="en-IE"/>
              </w:rPr>
              <w:t>(Headquarters and Commission’s Representation Offices)</w:t>
            </w:r>
          </w:p>
        </w:tc>
        <w:tc>
          <w:tcPr>
            <w:tcW w:w="731" w:type="dxa"/>
            <w:shd w:val="clear" w:color="auto" w:fill="auto"/>
            <w:vAlign w:val="center"/>
          </w:tcPr>
          <w:p w14:paraId="1DD186C4" w14:textId="77777777" w:rsidR="00CB1A27" w:rsidRPr="00E50A7A" w:rsidRDefault="005F41FD" w:rsidP="00B00391">
            <w:pPr>
              <w:spacing w:beforeLines="20" w:before="48" w:afterLines="20" w:after="48"/>
              <w:jc w:val="center"/>
              <w:rPr>
                <w:noProof/>
                <w:sz w:val="16"/>
                <w:szCs w:val="16"/>
                <w:lang w:val="en-IE"/>
              </w:rPr>
            </w:pPr>
            <w:r w:rsidRPr="00E50A7A">
              <w:rPr>
                <w:noProof/>
                <w:sz w:val="16"/>
                <w:szCs w:val="16"/>
                <w:lang w:val="en-IE"/>
              </w:rPr>
              <w:t>1.5</w:t>
            </w:r>
          </w:p>
        </w:tc>
        <w:tc>
          <w:tcPr>
            <w:tcW w:w="731" w:type="dxa"/>
            <w:shd w:val="clear" w:color="auto" w:fill="auto"/>
            <w:vAlign w:val="center"/>
          </w:tcPr>
          <w:p w14:paraId="0A2BDF41" w14:textId="77777777" w:rsidR="00CB1A27" w:rsidRPr="00E50A7A" w:rsidRDefault="005F41FD" w:rsidP="00B00391">
            <w:pPr>
              <w:spacing w:beforeLines="20" w:before="48" w:afterLines="20" w:after="48"/>
              <w:jc w:val="center"/>
              <w:rPr>
                <w:noProof/>
                <w:sz w:val="16"/>
                <w:szCs w:val="16"/>
                <w:lang w:val="en-IE"/>
              </w:rPr>
            </w:pPr>
            <w:r w:rsidRPr="00E50A7A">
              <w:rPr>
                <w:noProof/>
                <w:sz w:val="16"/>
                <w:szCs w:val="16"/>
                <w:lang w:val="en-IE"/>
              </w:rPr>
              <w:t>1</w:t>
            </w:r>
          </w:p>
        </w:tc>
        <w:tc>
          <w:tcPr>
            <w:tcW w:w="731" w:type="dxa"/>
            <w:shd w:val="clear" w:color="auto" w:fill="auto"/>
            <w:vAlign w:val="center"/>
          </w:tcPr>
          <w:p w14:paraId="5020701E" w14:textId="77777777" w:rsidR="00CB1A27" w:rsidRPr="00E50A7A" w:rsidRDefault="005F41FD" w:rsidP="00B00391">
            <w:pPr>
              <w:spacing w:beforeLines="20" w:before="48" w:afterLines="20" w:after="48"/>
              <w:jc w:val="center"/>
              <w:rPr>
                <w:noProof/>
                <w:sz w:val="16"/>
                <w:szCs w:val="16"/>
                <w:lang w:val="en-IE"/>
              </w:rPr>
            </w:pPr>
            <w:r w:rsidRPr="00E50A7A">
              <w:rPr>
                <w:noProof/>
                <w:sz w:val="16"/>
                <w:szCs w:val="16"/>
                <w:lang w:val="en-IE"/>
              </w:rPr>
              <w:t>1</w:t>
            </w:r>
          </w:p>
        </w:tc>
        <w:tc>
          <w:tcPr>
            <w:tcW w:w="731" w:type="dxa"/>
            <w:shd w:val="clear" w:color="auto" w:fill="auto"/>
            <w:vAlign w:val="center"/>
          </w:tcPr>
          <w:p w14:paraId="077A0EE3" w14:textId="77777777" w:rsidR="00CB1A27" w:rsidRPr="00E50A7A" w:rsidRDefault="005F41FD" w:rsidP="00B00391">
            <w:pPr>
              <w:spacing w:beforeLines="20" w:before="48" w:afterLines="20" w:after="48"/>
              <w:jc w:val="center"/>
              <w:rPr>
                <w:noProof/>
                <w:sz w:val="16"/>
                <w:szCs w:val="16"/>
                <w:lang w:val="en-IE"/>
              </w:rPr>
            </w:pPr>
            <w:r w:rsidRPr="00E50A7A">
              <w:rPr>
                <w:noProof/>
                <w:sz w:val="16"/>
                <w:szCs w:val="16"/>
                <w:lang w:val="en-IE"/>
              </w:rPr>
              <w:t>1</w:t>
            </w:r>
          </w:p>
        </w:tc>
        <w:tc>
          <w:tcPr>
            <w:tcW w:w="2193" w:type="dxa"/>
          </w:tcPr>
          <w:p w14:paraId="7099C1BA" w14:textId="77777777" w:rsidR="00CB1A27" w:rsidRPr="00E50A7A" w:rsidRDefault="005F41FD" w:rsidP="00B00391">
            <w:pPr>
              <w:spacing w:beforeLines="20" w:before="48" w:afterLines="20" w:after="48"/>
              <w:jc w:val="center"/>
              <w:rPr>
                <w:noProof/>
                <w:sz w:val="16"/>
                <w:szCs w:val="16"/>
                <w:lang w:val="en-IE"/>
              </w:rPr>
            </w:pPr>
            <w:r w:rsidRPr="00E50A7A">
              <w:rPr>
                <w:noProof/>
                <w:sz w:val="16"/>
                <w:szCs w:val="16"/>
                <w:lang w:val="en-IE"/>
              </w:rPr>
              <w:t>1</w:t>
            </w:r>
          </w:p>
        </w:tc>
      </w:tr>
      <w:tr w:rsidR="00CB1A27" w:rsidRPr="00B314C8" w14:paraId="2E0E929F" w14:textId="77777777" w:rsidTr="1BD3479F">
        <w:trPr>
          <w:gridBefore w:val="1"/>
          <w:wBefore w:w="15" w:type="dxa"/>
          <w:trHeight w:val="289"/>
          <w:jc w:val="center"/>
        </w:trPr>
        <w:tc>
          <w:tcPr>
            <w:tcW w:w="4754" w:type="dxa"/>
            <w:gridSpan w:val="4"/>
            <w:shd w:val="clear" w:color="auto" w:fill="auto"/>
            <w:vAlign w:val="center"/>
          </w:tcPr>
          <w:p w14:paraId="709BBFFE" w14:textId="77777777" w:rsidR="00CB1A27" w:rsidRPr="00E50A7A" w:rsidRDefault="00CB1A27" w:rsidP="00B00391">
            <w:pPr>
              <w:pStyle w:val="Text1"/>
              <w:spacing w:beforeLines="20" w:before="48" w:afterLines="20" w:after="48"/>
              <w:ind w:left="134"/>
              <w:jc w:val="left"/>
              <w:rPr>
                <w:noProof/>
                <w:sz w:val="16"/>
                <w:lang w:val="en-IE"/>
              </w:rPr>
            </w:pPr>
            <w:r w:rsidRPr="00E50A7A">
              <w:rPr>
                <w:noProof/>
                <w:sz w:val="16"/>
                <w:lang w:val="en-IE"/>
              </w:rPr>
              <w:t>20 01 02 03 (Delegations)</w:t>
            </w:r>
          </w:p>
        </w:tc>
        <w:tc>
          <w:tcPr>
            <w:tcW w:w="731" w:type="dxa"/>
            <w:shd w:val="clear" w:color="auto" w:fill="auto"/>
            <w:vAlign w:val="center"/>
          </w:tcPr>
          <w:p w14:paraId="22215821" w14:textId="77777777" w:rsidR="00CB1A27" w:rsidRPr="00E50A7A" w:rsidRDefault="00CB1A27" w:rsidP="00B00391">
            <w:pPr>
              <w:spacing w:beforeLines="20" w:before="48" w:afterLines="20" w:after="48"/>
              <w:jc w:val="center"/>
              <w:rPr>
                <w:noProof/>
                <w:sz w:val="16"/>
                <w:szCs w:val="16"/>
                <w:lang w:val="en-IE"/>
              </w:rPr>
            </w:pPr>
          </w:p>
        </w:tc>
        <w:tc>
          <w:tcPr>
            <w:tcW w:w="731" w:type="dxa"/>
            <w:shd w:val="clear" w:color="auto" w:fill="auto"/>
            <w:vAlign w:val="center"/>
          </w:tcPr>
          <w:p w14:paraId="743EB058" w14:textId="77777777" w:rsidR="00CB1A27" w:rsidRPr="00E50A7A" w:rsidRDefault="00CB1A27" w:rsidP="00B00391">
            <w:pPr>
              <w:spacing w:beforeLines="20" w:before="48" w:afterLines="20" w:after="48"/>
              <w:jc w:val="center"/>
              <w:rPr>
                <w:noProof/>
                <w:sz w:val="16"/>
                <w:szCs w:val="16"/>
                <w:lang w:val="en-IE"/>
              </w:rPr>
            </w:pPr>
          </w:p>
        </w:tc>
        <w:tc>
          <w:tcPr>
            <w:tcW w:w="731" w:type="dxa"/>
            <w:shd w:val="clear" w:color="auto" w:fill="auto"/>
            <w:vAlign w:val="center"/>
          </w:tcPr>
          <w:p w14:paraId="24000F50" w14:textId="77777777" w:rsidR="00CB1A27" w:rsidRPr="00E50A7A" w:rsidRDefault="00CB1A27" w:rsidP="00B00391">
            <w:pPr>
              <w:spacing w:beforeLines="20" w:before="48" w:afterLines="20" w:after="48"/>
              <w:jc w:val="center"/>
              <w:rPr>
                <w:noProof/>
                <w:sz w:val="16"/>
                <w:szCs w:val="16"/>
                <w:lang w:val="en-IE"/>
              </w:rPr>
            </w:pPr>
          </w:p>
        </w:tc>
        <w:tc>
          <w:tcPr>
            <w:tcW w:w="731" w:type="dxa"/>
            <w:shd w:val="clear" w:color="auto" w:fill="auto"/>
            <w:vAlign w:val="center"/>
          </w:tcPr>
          <w:p w14:paraId="315846E8" w14:textId="77777777" w:rsidR="00CB1A27" w:rsidRPr="00E50A7A" w:rsidRDefault="00CB1A27" w:rsidP="00B00391">
            <w:pPr>
              <w:spacing w:beforeLines="20" w:before="48" w:afterLines="20" w:after="48"/>
              <w:jc w:val="center"/>
              <w:rPr>
                <w:noProof/>
                <w:sz w:val="16"/>
                <w:szCs w:val="16"/>
                <w:lang w:val="en-IE"/>
              </w:rPr>
            </w:pPr>
          </w:p>
        </w:tc>
        <w:tc>
          <w:tcPr>
            <w:tcW w:w="2193" w:type="dxa"/>
          </w:tcPr>
          <w:p w14:paraId="22A4F9C4" w14:textId="77777777" w:rsidR="00CB1A27" w:rsidRPr="00E50A7A" w:rsidRDefault="00CB1A27" w:rsidP="00B00391">
            <w:pPr>
              <w:spacing w:beforeLines="20" w:before="48" w:afterLines="20" w:after="48"/>
              <w:jc w:val="center"/>
              <w:rPr>
                <w:noProof/>
                <w:sz w:val="16"/>
                <w:szCs w:val="16"/>
                <w:lang w:val="en-IE"/>
              </w:rPr>
            </w:pPr>
          </w:p>
        </w:tc>
      </w:tr>
      <w:tr w:rsidR="00CB1A27" w:rsidRPr="00B314C8" w14:paraId="08761026" w14:textId="77777777" w:rsidTr="1BD3479F">
        <w:trPr>
          <w:gridBefore w:val="1"/>
          <w:wBefore w:w="15" w:type="dxa"/>
          <w:trHeight w:val="289"/>
          <w:jc w:val="center"/>
        </w:trPr>
        <w:tc>
          <w:tcPr>
            <w:tcW w:w="4754" w:type="dxa"/>
            <w:gridSpan w:val="4"/>
            <w:shd w:val="clear" w:color="auto" w:fill="auto"/>
            <w:vAlign w:val="center"/>
          </w:tcPr>
          <w:p w14:paraId="001B9D01" w14:textId="77777777" w:rsidR="00CB1A27" w:rsidRPr="00E50A7A" w:rsidRDefault="00CB1A27" w:rsidP="00B00391">
            <w:pPr>
              <w:pStyle w:val="Text1"/>
              <w:spacing w:beforeLines="20" w:before="48" w:afterLines="20" w:after="48"/>
              <w:ind w:left="134"/>
              <w:jc w:val="left"/>
              <w:rPr>
                <w:noProof/>
                <w:sz w:val="16"/>
                <w:szCs w:val="16"/>
                <w:lang w:val="en-IE"/>
              </w:rPr>
            </w:pPr>
            <w:r w:rsidRPr="00E50A7A">
              <w:rPr>
                <w:noProof/>
                <w:sz w:val="16"/>
                <w:lang w:val="en-IE"/>
              </w:rPr>
              <w:t>01 01 01 01</w:t>
            </w:r>
            <w:r w:rsidRPr="00E50A7A">
              <w:rPr>
                <w:rFonts w:ascii="Arial Narrow" w:hAnsi="Arial Narrow"/>
                <w:noProof/>
                <w:color w:val="000000"/>
                <w:sz w:val="20"/>
                <w:szCs w:val="20"/>
                <w:lang w:val="en-IE"/>
              </w:rPr>
              <w:t xml:space="preserve"> </w:t>
            </w:r>
            <w:r w:rsidRPr="00E50A7A">
              <w:rPr>
                <w:noProof/>
                <w:sz w:val="16"/>
                <w:lang w:val="en-IE"/>
              </w:rPr>
              <w:t xml:space="preserve"> (Indirect research)</w:t>
            </w:r>
          </w:p>
        </w:tc>
        <w:tc>
          <w:tcPr>
            <w:tcW w:w="731" w:type="dxa"/>
            <w:shd w:val="clear" w:color="auto" w:fill="auto"/>
            <w:vAlign w:val="center"/>
          </w:tcPr>
          <w:p w14:paraId="3E62EE87" w14:textId="77777777" w:rsidR="00CB1A27" w:rsidRPr="00E50A7A" w:rsidRDefault="00CB1A27" w:rsidP="00B00391">
            <w:pPr>
              <w:spacing w:beforeLines="20" w:before="48" w:afterLines="20" w:after="48"/>
              <w:jc w:val="center"/>
              <w:rPr>
                <w:noProof/>
                <w:sz w:val="16"/>
                <w:szCs w:val="16"/>
                <w:lang w:val="en-IE"/>
              </w:rPr>
            </w:pPr>
          </w:p>
        </w:tc>
        <w:tc>
          <w:tcPr>
            <w:tcW w:w="731" w:type="dxa"/>
            <w:shd w:val="clear" w:color="auto" w:fill="auto"/>
            <w:vAlign w:val="center"/>
          </w:tcPr>
          <w:p w14:paraId="74658F9A" w14:textId="77777777" w:rsidR="00CB1A27" w:rsidRPr="00E50A7A" w:rsidRDefault="00CB1A27" w:rsidP="00B00391">
            <w:pPr>
              <w:spacing w:beforeLines="20" w:before="48" w:afterLines="20" w:after="48"/>
              <w:jc w:val="center"/>
              <w:rPr>
                <w:noProof/>
                <w:sz w:val="16"/>
                <w:szCs w:val="16"/>
                <w:lang w:val="en-IE"/>
              </w:rPr>
            </w:pPr>
          </w:p>
        </w:tc>
        <w:tc>
          <w:tcPr>
            <w:tcW w:w="731" w:type="dxa"/>
            <w:shd w:val="clear" w:color="auto" w:fill="auto"/>
            <w:vAlign w:val="center"/>
          </w:tcPr>
          <w:p w14:paraId="7742F802" w14:textId="77777777" w:rsidR="00CB1A27" w:rsidRPr="00E50A7A" w:rsidRDefault="00CB1A27" w:rsidP="00B00391">
            <w:pPr>
              <w:spacing w:beforeLines="20" w:before="48" w:afterLines="20" w:after="48"/>
              <w:jc w:val="center"/>
              <w:rPr>
                <w:noProof/>
                <w:sz w:val="16"/>
                <w:szCs w:val="16"/>
                <w:lang w:val="en-IE"/>
              </w:rPr>
            </w:pPr>
          </w:p>
        </w:tc>
        <w:tc>
          <w:tcPr>
            <w:tcW w:w="731" w:type="dxa"/>
            <w:shd w:val="clear" w:color="auto" w:fill="auto"/>
            <w:vAlign w:val="center"/>
          </w:tcPr>
          <w:p w14:paraId="5F3168AC" w14:textId="77777777" w:rsidR="00CB1A27" w:rsidRPr="00E50A7A" w:rsidRDefault="00CB1A27" w:rsidP="00B00391">
            <w:pPr>
              <w:spacing w:beforeLines="20" w:before="48" w:afterLines="20" w:after="48"/>
              <w:jc w:val="center"/>
              <w:rPr>
                <w:noProof/>
                <w:sz w:val="16"/>
                <w:szCs w:val="16"/>
                <w:lang w:val="en-IE"/>
              </w:rPr>
            </w:pPr>
          </w:p>
        </w:tc>
        <w:tc>
          <w:tcPr>
            <w:tcW w:w="2193" w:type="dxa"/>
          </w:tcPr>
          <w:p w14:paraId="058989BF" w14:textId="77777777" w:rsidR="00CB1A27" w:rsidRPr="00E50A7A" w:rsidRDefault="00CB1A27" w:rsidP="00B00391">
            <w:pPr>
              <w:spacing w:beforeLines="20" w:before="48" w:afterLines="20" w:after="48"/>
              <w:jc w:val="center"/>
              <w:rPr>
                <w:noProof/>
                <w:sz w:val="16"/>
                <w:szCs w:val="16"/>
                <w:lang w:val="en-IE"/>
              </w:rPr>
            </w:pPr>
          </w:p>
        </w:tc>
      </w:tr>
      <w:tr w:rsidR="00CB1A27" w:rsidRPr="00B314C8" w14:paraId="1D2EC275" w14:textId="77777777" w:rsidTr="1BD3479F">
        <w:trPr>
          <w:gridBefore w:val="1"/>
          <w:wBefore w:w="15" w:type="dxa"/>
          <w:trHeight w:val="289"/>
          <w:jc w:val="center"/>
        </w:trPr>
        <w:tc>
          <w:tcPr>
            <w:tcW w:w="4754" w:type="dxa"/>
            <w:gridSpan w:val="4"/>
            <w:shd w:val="clear" w:color="auto" w:fill="auto"/>
            <w:vAlign w:val="center"/>
          </w:tcPr>
          <w:p w14:paraId="34563847" w14:textId="77777777" w:rsidR="00CB1A27" w:rsidRPr="00E50A7A" w:rsidRDefault="00CB1A27" w:rsidP="00B00391">
            <w:pPr>
              <w:pStyle w:val="Text1"/>
              <w:spacing w:beforeLines="20" w:before="48" w:afterLines="20" w:after="48"/>
              <w:ind w:left="134"/>
              <w:jc w:val="left"/>
              <w:rPr>
                <w:noProof/>
                <w:sz w:val="16"/>
                <w:szCs w:val="16"/>
                <w:lang w:val="en-IE"/>
              </w:rPr>
            </w:pPr>
            <w:r w:rsidRPr="00E50A7A">
              <w:rPr>
                <w:noProof/>
                <w:sz w:val="16"/>
                <w:lang w:val="en-IE"/>
              </w:rPr>
              <w:t xml:space="preserve"> 01 01 01 11 (Direct research)</w:t>
            </w:r>
          </w:p>
        </w:tc>
        <w:tc>
          <w:tcPr>
            <w:tcW w:w="731" w:type="dxa"/>
            <w:shd w:val="clear" w:color="auto" w:fill="auto"/>
            <w:vAlign w:val="center"/>
          </w:tcPr>
          <w:p w14:paraId="6AB9D7A7" w14:textId="77777777" w:rsidR="00CB1A27" w:rsidRPr="00E50A7A" w:rsidRDefault="00CB1A27" w:rsidP="00B00391">
            <w:pPr>
              <w:spacing w:beforeLines="20" w:before="48" w:afterLines="20" w:after="48"/>
              <w:jc w:val="center"/>
              <w:rPr>
                <w:noProof/>
                <w:sz w:val="16"/>
                <w:szCs w:val="16"/>
                <w:lang w:val="en-IE"/>
              </w:rPr>
            </w:pPr>
          </w:p>
        </w:tc>
        <w:tc>
          <w:tcPr>
            <w:tcW w:w="731" w:type="dxa"/>
            <w:shd w:val="clear" w:color="auto" w:fill="auto"/>
            <w:vAlign w:val="center"/>
          </w:tcPr>
          <w:p w14:paraId="76931607" w14:textId="77777777" w:rsidR="00CB1A27" w:rsidRPr="00E50A7A" w:rsidRDefault="00CB1A27" w:rsidP="00B00391">
            <w:pPr>
              <w:spacing w:beforeLines="20" w:before="48" w:afterLines="20" w:after="48"/>
              <w:jc w:val="center"/>
              <w:rPr>
                <w:noProof/>
                <w:sz w:val="16"/>
                <w:szCs w:val="16"/>
                <w:lang w:val="en-IE"/>
              </w:rPr>
            </w:pPr>
          </w:p>
        </w:tc>
        <w:tc>
          <w:tcPr>
            <w:tcW w:w="731" w:type="dxa"/>
            <w:shd w:val="clear" w:color="auto" w:fill="auto"/>
            <w:vAlign w:val="center"/>
          </w:tcPr>
          <w:p w14:paraId="03C10E1F" w14:textId="77777777" w:rsidR="00CB1A27" w:rsidRPr="00E50A7A" w:rsidRDefault="00CB1A27" w:rsidP="00B00391">
            <w:pPr>
              <w:spacing w:beforeLines="20" w:before="48" w:afterLines="20" w:after="48"/>
              <w:jc w:val="center"/>
              <w:rPr>
                <w:noProof/>
                <w:sz w:val="16"/>
                <w:szCs w:val="16"/>
                <w:lang w:val="en-IE"/>
              </w:rPr>
            </w:pPr>
          </w:p>
        </w:tc>
        <w:tc>
          <w:tcPr>
            <w:tcW w:w="731" w:type="dxa"/>
            <w:shd w:val="clear" w:color="auto" w:fill="auto"/>
            <w:vAlign w:val="center"/>
          </w:tcPr>
          <w:p w14:paraId="20476D3E" w14:textId="77777777" w:rsidR="00CB1A27" w:rsidRPr="00E50A7A" w:rsidRDefault="00CB1A27" w:rsidP="00B00391">
            <w:pPr>
              <w:spacing w:beforeLines="20" w:before="48" w:afterLines="20" w:after="48"/>
              <w:jc w:val="center"/>
              <w:rPr>
                <w:noProof/>
                <w:sz w:val="16"/>
                <w:szCs w:val="16"/>
                <w:lang w:val="en-IE"/>
              </w:rPr>
            </w:pPr>
          </w:p>
        </w:tc>
        <w:tc>
          <w:tcPr>
            <w:tcW w:w="2193" w:type="dxa"/>
          </w:tcPr>
          <w:p w14:paraId="6F369CEA" w14:textId="77777777" w:rsidR="00CB1A27" w:rsidRPr="00E50A7A" w:rsidRDefault="00CB1A27" w:rsidP="00B00391">
            <w:pPr>
              <w:spacing w:beforeLines="20" w:before="48" w:afterLines="20" w:after="48"/>
              <w:jc w:val="center"/>
              <w:rPr>
                <w:noProof/>
                <w:sz w:val="16"/>
                <w:szCs w:val="16"/>
                <w:lang w:val="en-IE"/>
              </w:rPr>
            </w:pPr>
          </w:p>
        </w:tc>
      </w:tr>
      <w:tr w:rsidR="00CB1A27" w:rsidRPr="00B314C8" w14:paraId="6D87659B" w14:textId="77777777" w:rsidTr="1BD3479F">
        <w:trPr>
          <w:gridBefore w:val="1"/>
          <w:wBefore w:w="15" w:type="dxa"/>
          <w:trHeight w:val="289"/>
          <w:jc w:val="center"/>
        </w:trPr>
        <w:tc>
          <w:tcPr>
            <w:tcW w:w="4754" w:type="dxa"/>
            <w:gridSpan w:val="4"/>
            <w:shd w:val="clear" w:color="auto" w:fill="auto"/>
            <w:vAlign w:val="center"/>
          </w:tcPr>
          <w:p w14:paraId="25E6C950" w14:textId="77777777" w:rsidR="00CB1A27" w:rsidRPr="00E50A7A" w:rsidRDefault="00CB1A27" w:rsidP="00B00391">
            <w:pPr>
              <w:pStyle w:val="Text1"/>
              <w:spacing w:beforeLines="20" w:before="48" w:afterLines="20" w:after="48"/>
              <w:ind w:left="134"/>
              <w:jc w:val="left"/>
              <w:rPr>
                <w:noProof/>
                <w:sz w:val="16"/>
                <w:lang w:val="en-IE"/>
              </w:rPr>
            </w:pPr>
            <w:r w:rsidRPr="00E50A7A">
              <w:rPr>
                <w:noProof/>
                <w:sz w:val="16"/>
                <w:lang w:val="en-IE"/>
              </w:rPr>
              <w:t>Other budget lines (specify)</w:t>
            </w:r>
          </w:p>
        </w:tc>
        <w:tc>
          <w:tcPr>
            <w:tcW w:w="731" w:type="dxa"/>
            <w:shd w:val="clear" w:color="auto" w:fill="auto"/>
            <w:vAlign w:val="center"/>
          </w:tcPr>
          <w:p w14:paraId="21C5CE7E" w14:textId="77777777" w:rsidR="00CB1A27" w:rsidRPr="00E50A7A" w:rsidRDefault="00CB1A27" w:rsidP="00B00391">
            <w:pPr>
              <w:spacing w:beforeLines="20" w:before="48" w:afterLines="20" w:after="48"/>
              <w:jc w:val="center"/>
              <w:rPr>
                <w:noProof/>
                <w:sz w:val="16"/>
                <w:szCs w:val="16"/>
                <w:lang w:val="en-IE"/>
              </w:rPr>
            </w:pPr>
          </w:p>
        </w:tc>
        <w:tc>
          <w:tcPr>
            <w:tcW w:w="731" w:type="dxa"/>
            <w:shd w:val="clear" w:color="auto" w:fill="auto"/>
            <w:vAlign w:val="center"/>
          </w:tcPr>
          <w:p w14:paraId="3C8F75BD" w14:textId="77777777" w:rsidR="00CB1A27" w:rsidRPr="00E50A7A" w:rsidRDefault="00CB1A27" w:rsidP="00B00391">
            <w:pPr>
              <w:spacing w:beforeLines="20" w:before="48" w:afterLines="20" w:after="48"/>
              <w:jc w:val="center"/>
              <w:rPr>
                <w:noProof/>
                <w:sz w:val="16"/>
                <w:szCs w:val="16"/>
                <w:lang w:val="en-IE"/>
              </w:rPr>
            </w:pPr>
          </w:p>
        </w:tc>
        <w:tc>
          <w:tcPr>
            <w:tcW w:w="731" w:type="dxa"/>
            <w:shd w:val="clear" w:color="auto" w:fill="auto"/>
            <w:vAlign w:val="center"/>
          </w:tcPr>
          <w:p w14:paraId="66A4B5D0" w14:textId="77777777" w:rsidR="00CB1A27" w:rsidRPr="00E50A7A" w:rsidRDefault="00CB1A27" w:rsidP="00B00391">
            <w:pPr>
              <w:spacing w:beforeLines="20" w:before="48" w:afterLines="20" w:after="48"/>
              <w:jc w:val="center"/>
              <w:rPr>
                <w:noProof/>
                <w:sz w:val="16"/>
                <w:szCs w:val="16"/>
                <w:lang w:val="en-IE"/>
              </w:rPr>
            </w:pPr>
          </w:p>
        </w:tc>
        <w:tc>
          <w:tcPr>
            <w:tcW w:w="731" w:type="dxa"/>
            <w:shd w:val="clear" w:color="auto" w:fill="auto"/>
            <w:vAlign w:val="center"/>
          </w:tcPr>
          <w:p w14:paraId="57DFEAD1" w14:textId="77777777" w:rsidR="00CB1A27" w:rsidRPr="00E50A7A" w:rsidRDefault="00CB1A27" w:rsidP="00B00391">
            <w:pPr>
              <w:spacing w:beforeLines="20" w:before="48" w:afterLines="20" w:after="48"/>
              <w:jc w:val="center"/>
              <w:rPr>
                <w:noProof/>
                <w:sz w:val="16"/>
                <w:szCs w:val="16"/>
                <w:lang w:val="en-IE"/>
              </w:rPr>
            </w:pPr>
          </w:p>
        </w:tc>
        <w:tc>
          <w:tcPr>
            <w:tcW w:w="2193" w:type="dxa"/>
          </w:tcPr>
          <w:p w14:paraId="4440303D" w14:textId="77777777" w:rsidR="00CB1A27" w:rsidRPr="00E50A7A" w:rsidRDefault="00CB1A27" w:rsidP="00B00391">
            <w:pPr>
              <w:spacing w:beforeLines="20" w:before="48" w:afterLines="20" w:after="48"/>
              <w:jc w:val="center"/>
              <w:rPr>
                <w:noProof/>
                <w:sz w:val="16"/>
                <w:szCs w:val="16"/>
                <w:lang w:val="en-IE"/>
              </w:rPr>
            </w:pPr>
          </w:p>
        </w:tc>
      </w:tr>
      <w:tr w:rsidR="00CB1A27" w:rsidRPr="00B314C8" w14:paraId="24919745" w14:textId="77777777" w:rsidTr="1BD3479F">
        <w:trPr>
          <w:gridAfter w:val="8"/>
          <w:wAfter w:w="7693" w:type="dxa"/>
          <w:trHeight w:val="248"/>
          <w:jc w:val="center"/>
        </w:trPr>
        <w:tc>
          <w:tcPr>
            <w:tcW w:w="2193" w:type="dxa"/>
            <w:gridSpan w:val="2"/>
          </w:tcPr>
          <w:p w14:paraId="7E51D627" w14:textId="77777777" w:rsidR="00CB1A27" w:rsidRPr="00E50A7A" w:rsidRDefault="00CB1A27" w:rsidP="00B00391">
            <w:pPr>
              <w:pStyle w:val="Text1"/>
              <w:spacing w:before="60" w:after="60"/>
              <w:ind w:left="0"/>
              <w:jc w:val="left"/>
              <w:rPr>
                <w:b/>
                <w:noProof/>
                <w:sz w:val="16"/>
                <w:lang w:val="en-IE"/>
              </w:rPr>
            </w:pPr>
          </w:p>
        </w:tc>
      </w:tr>
      <w:tr w:rsidR="00CB1A27" w:rsidRPr="00B314C8" w14:paraId="26D5D65D" w14:textId="77777777" w:rsidTr="1BD3479F">
        <w:trPr>
          <w:gridBefore w:val="1"/>
          <w:wBefore w:w="15" w:type="dxa"/>
          <w:trHeight w:val="289"/>
          <w:jc w:val="center"/>
        </w:trPr>
        <w:tc>
          <w:tcPr>
            <w:tcW w:w="4754" w:type="dxa"/>
            <w:gridSpan w:val="4"/>
            <w:shd w:val="clear" w:color="auto" w:fill="auto"/>
            <w:vAlign w:val="center"/>
          </w:tcPr>
          <w:p w14:paraId="00650AB6" w14:textId="77777777" w:rsidR="00CB1A27" w:rsidRPr="00E50A7A" w:rsidRDefault="00CB1A27" w:rsidP="00CB1A27">
            <w:pPr>
              <w:pStyle w:val="Text1"/>
              <w:spacing w:beforeLines="20" w:before="48" w:afterLines="20" w:after="48"/>
              <w:ind w:left="136"/>
              <w:jc w:val="left"/>
              <w:rPr>
                <w:b/>
                <w:noProof/>
                <w:sz w:val="16"/>
                <w:szCs w:val="16"/>
                <w:lang w:val="en-IE"/>
              </w:rPr>
            </w:pPr>
            <w:r w:rsidRPr="00E50A7A">
              <w:rPr>
                <w:noProof/>
                <w:sz w:val="16"/>
                <w:lang w:val="en-IE"/>
              </w:rPr>
              <w:t>20 02 01</w:t>
            </w:r>
            <w:r w:rsidRPr="00E50A7A">
              <w:rPr>
                <w:rFonts w:ascii="Arial Narrow" w:hAnsi="Arial Narrow"/>
                <w:noProof/>
                <w:color w:val="000000"/>
                <w:sz w:val="20"/>
                <w:szCs w:val="20"/>
                <w:lang w:val="en-IE"/>
              </w:rPr>
              <w:t xml:space="preserve"> </w:t>
            </w:r>
            <w:r w:rsidRPr="00E50A7A">
              <w:rPr>
                <w:noProof/>
                <w:sz w:val="16"/>
                <w:lang w:val="en-IE"/>
              </w:rPr>
              <w:t>(AC, END, INT from the ‘global envelope’)</w:t>
            </w:r>
          </w:p>
        </w:tc>
        <w:tc>
          <w:tcPr>
            <w:tcW w:w="731" w:type="dxa"/>
            <w:shd w:val="clear" w:color="auto" w:fill="auto"/>
            <w:vAlign w:val="center"/>
          </w:tcPr>
          <w:p w14:paraId="3F589706" w14:textId="77777777" w:rsidR="00CB1A27" w:rsidRPr="00E50A7A" w:rsidRDefault="00CB1A27" w:rsidP="00CB1A27">
            <w:pPr>
              <w:spacing w:beforeLines="20" w:before="48" w:afterLines="20" w:after="48"/>
              <w:jc w:val="center"/>
              <w:rPr>
                <w:noProof/>
                <w:sz w:val="16"/>
                <w:szCs w:val="16"/>
                <w:lang w:val="en-IE"/>
              </w:rPr>
            </w:pPr>
          </w:p>
        </w:tc>
        <w:tc>
          <w:tcPr>
            <w:tcW w:w="731" w:type="dxa"/>
            <w:shd w:val="clear" w:color="auto" w:fill="auto"/>
            <w:vAlign w:val="center"/>
          </w:tcPr>
          <w:p w14:paraId="44A68FC8" w14:textId="2AB07F41" w:rsidR="00CB1A27" w:rsidRPr="00E50A7A" w:rsidRDefault="00C85F36" w:rsidP="00CB1A27">
            <w:pPr>
              <w:spacing w:beforeLines="20" w:before="48" w:afterLines="20" w:after="48"/>
              <w:jc w:val="center"/>
              <w:rPr>
                <w:noProof/>
                <w:sz w:val="16"/>
                <w:szCs w:val="16"/>
                <w:lang w:val="en-IE"/>
              </w:rPr>
            </w:pPr>
            <w:r>
              <w:rPr>
                <w:rStyle w:val="eop"/>
                <w:noProof/>
                <w:sz w:val="16"/>
                <w:szCs w:val="16"/>
                <w:lang w:val="en-IE"/>
              </w:rPr>
              <w:t>3</w:t>
            </w:r>
          </w:p>
        </w:tc>
        <w:tc>
          <w:tcPr>
            <w:tcW w:w="731" w:type="dxa"/>
            <w:shd w:val="clear" w:color="auto" w:fill="auto"/>
            <w:vAlign w:val="center"/>
          </w:tcPr>
          <w:p w14:paraId="44E6C246" w14:textId="5B7C1AB5" w:rsidR="00CB1A27" w:rsidRPr="00E50A7A" w:rsidRDefault="00C85F36" w:rsidP="00CB1A27">
            <w:pPr>
              <w:spacing w:beforeLines="20" w:before="48" w:afterLines="20" w:after="48"/>
              <w:jc w:val="center"/>
              <w:rPr>
                <w:noProof/>
                <w:sz w:val="16"/>
                <w:szCs w:val="16"/>
                <w:lang w:val="en-IE"/>
              </w:rPr>
            </w:pPr>
            <w:r>
              <w:rPr>
                <w:rStyle w:val="normaltextrun"/>
                <w:noProof/>
                <w:sz w:val="16"/>
                <w:szCs w:val="16"/>
                <w:lang w:val="en-IE"/>
              </w:rPr>
              <w:t>3</w:t>
            </w:r>
          </w:p>
        </w:tc>
        <w:tc>
          <w:tcPr>
            <w:tcW w:w="731" w:type="dxa"/>
            <w:shd w:val="clear" w:color="auto" w:fill="auto"/>
            <w:vAlign w:val="center"/>
          </w:tcPr>
          <w:p w14:paraId="63B7D05E" w14:textId="40D15CEF" w:rsidR="00CB1A27" w:rsidRPr="00E50A7A" w:rsidRDefault="00C85F36" w:rsidP="00CB1A27">
            <w:pPr>
              <w:spacing w:beforeLines="20" w:before="48" w:afterLines="20" w:after="48"/>
              <w:jc w:val="center"/>
              <w:rPr>
                <w:noProof/>
                <w:sz w:val="16"/>
                <w:szCs w:val="16"/>
                <w:lang w:val="en-IE"/>
              </w:rPr>
            </w:pPr>
            <w:r>
              <w:rPr>
                <w:rStyle w:val="normaltextrun"/>
                <w:noProof/>
                <w:sz w:val="16"/>
                <w:szCs w:val="16"/>
                <w:lang w:val="en-IE"/>
              </w:rPr>
              <w:t>3</w:t>
            </w:r>
          </w:p>
        </w:tc>
        <w:tc>
          <w:tcPr>
            <w:tcW w:w="2193" w:type="dxa"/>
            <w:vAlign w:val="center"/>
          </w:tcPr>
          <w:p w14:paraId="1DC1974B" w14:textId="4F62DDA9" w:rsidR="00CB1A27" w:rsidRPr="00E50A7A" w:rsidRDefault="00C85F36" w:rsidP="00CB1A27">
            <w:pPr>
              <w:spacing w:beforeLines="20" w:before="48" w:afterLines="20" w:after="48"/>
              <w:jc w:val="center"/>
              <w:rPr>
                <w:noProof/>
                <w:sz w:val="16"/>
                <w:szCs w:val="16"/>
                <w:lang w:val="en-IE"/>
              </w:rPr>
            </w:pPr>
            <w:r>
              <w:rPr>
                <w:rStyle w:val="normaltextrun"/>
                <w:noProof/>
                <w:sz w:val="16"/>
                <w:szCs w:val="16"/>
                <w:lang w:val="en-IE"/>
              </w:rPr>
              <w:t>3</w:t>
            </w:r>
          </w:p>
        </w:tc>
      </w:tr>
      <w:tr w:rsidR="00CB1A27" w:rsidRPr="00B314C8" w14:paraId="2D770D3C" w14:textId="77777777" w:rsidTr="1BD3479F">
        <w:trPr>
          <w:gridBefore w:val="1"/>
          <w:wBefore w:w="15" w:type="dxa"/>
          <w:trHeight w:val="289"/>
          <w:jc w:val="center"/>
        </w:trPr>
        <w:tc>
          <w:tcPr>
            <w:tcW w:w="4754" w:type="dxa"/>
            <w:gridSpan w:val="4"/>
            <w:shd w:val="clear" w:color="auto" w:fill="auto"/>
            <w:vAlign w:val="center"/>
          </w:tcPr>
          <w:p w14:paraId="748D7783" w14:textId="77777777" w:rsidR="00CB1A27" w:rsidRPr="00E50A7A" w:rsidRDefault="00CB1A27" w:rsidP="00B00391">
            <w:pPr>
              <w:pStyle w:val="Text1"/>
              <w:spacing w:beforeLines="20" w:before="48" w:afterLines="20" w:after="48"/>
              <w:ind w:left="136"/>
              <w:jc w:val="left"/>
              <w:rPr>
                <w:noProof/>
                <w:sz w:val="16"/>
                <w:lang w:val="en-IE"/>
              </w:rPr>
            </w:pPr>
            <w:r w:rsidRPr="00E50A7A">
              <w:rPr>
                <w:noProof/>
                <w:sz w:val="16"/>
                <w:lang w:val="en-IE"/>
              </w:rPr>
              <w:t>20 02 03 (AC, AL, END, INT and JPD in the delegations)</w:t>
            </w:r>
          </w:p>
        </w:tc>
        <w:tc>
          <w:tcPr>
            <w:tcW w:w="731" w:type="dxa"/>
            <w:shd w:val="clear" w:color="auto" w:fill="auto"/>
            <w:vAlign w:val="center"/>
          </w:tcPr>
          <w:p w14:paraId="722ED299" w14:textId="77777777" w:rsidR="00CB1A27" w:rsidRPr="00E50A7A" w:rsidRDefault="00CB1A27" w:rsidP="00B00391">
            <w:pPr>
              <w:spacing w:beforeLines="20" w:before="48" w:afterLines="20" w:after="48"/>
              <w:jc w:val="center"/>
              <w:rPr>
                <w:noProof/>
                <w:sz w:val="16"/>
                <w:szCs w:val="16"/>
                <w:lang w:val="en-IE"/>
              </w:rPr>
            </w:pPr>
          </w:p>
        </w:tc>
        <w:tc>
          <w:tcPr>
            <w:tcW w:w="731" w:type="dxa"/>
            <w:shd w:val="clear" w:color="auto" w:fill="auto"/>
            <w:vAlign w:val="center"/>
          </w:tcPr>
          <w:p w14:paraId="09523B16" w14:textId="77777777" w:rsidR="00CB1A27" w:rsidRPr="00E50A7A" w:rsidRDefault="00CB1A27" w:rsidP="00B00391">
            <w:pPr>
              <w:spacing w:beforeLines="20" w:before="48" w:afterLines="20" w:after="48"/>
              <w:jc w:val="center"/>
              <w:rPr>
                <w:noProof/>
                <w:sz w:val="16"/>
                <w:szCs w:val="16"/>
                <w:lang w:val="en-IE"/>
              </w:rPr>
            </w:pPr>
          </w:p>
        </w:tc>
        <w:tc>
          <w:tcPr>
            <w:tcW w:w="731" w:type="dxa"/>
            <w:shd w:val="clear" w:color="auto" w:fill="auto"/>
            <w:vAlign w:val="center"/>
          </w:tcPr>
          <w:p w14:paraId="32B16614" w14:textId="77777777" w:rsidR="00CB1A27" w:rsidRPr="00E50A7A" w:rsidRDefault="00CB1A27" w:rsidP="00B00391">
            <w:pPr>
              <w:spacing w:beforeLines="20" w:before="48" w:afterLines="20" w:after="48"/>
              <w:jc w:val="center"/>
              <w:rPr>
                <w:noProof/>
                <w:sz w:val="16"/>
                <w:szCs w:val="16"/>
                <w:lang w:val="en-IE"/>
              </w:rPr>
            </w:pPr>
          </w:p>
        </w:tc>
        <w:tc>
          <w:tcPr>
            <w:tcW w:w="731" w:type="dxa"/>
            <w:shd w:val="clear" w:color="auto" w:fill="auto"/>
            <w:vAlign w:val="center"/>
          </w:tcPr>
          <w:p w14:paraId="5AA5D1C0" w14:textId="77777777" w:rsidR="00CB1A27" w:rsidRPr="00E50A7A" w:rsidRDefault="00CB1A27" w:rsidP="00B00391">
            <w:pPr>
              <w:spacing w:beforeLines="20" w:before="48" w:afterLines="20" w:after="48"/>
              <w:jc w:val="center"/>
              <w:rPr>
                <w:noProof/>
                <w:sz w:val="16"/>
                <w:szCs w:val="16"/>
                <w:lang w:val="en-IE"/>
              </w:rPr>
            </w:pPr>
          </w:p>
        </w:tc>
        <w:tc>
          <w:tcPr>
            <w:tcW w:w="2193" w:type="dxa"/>
          </w:tcPr>
          <w:p w14:paraId="266C8D57" w14:textId="77777777" w:rsidR="00CB1A27" w:rsidRPr="00E50A7A" w:rsidRDefault="00CB1A27" w:rsidP="00B00391">
            <w:pPr>
              <w:spacing w:beforeLines="20" w:before="48" w:afterLines="20" w:after="48"/>
              <w:jc w:val="center"/>
              <w:rPr>
                <w:noProof/>
                <w:sz w:val="16"/>
                <w:szCs w:val="16"/>
                <w:lang w:val="en-IE"/>
              </w:rPr>
            </w:pPr>
          </w:p>
        </w:tc>
      </w:tr>
      <w:tr w:rsidR="00CB1A27" w:rsidRPr="00B314C8" w14:paraId="21F19A7C" w14:textId="77777777" w:rsidTr="1BD3479F">
        <w:trPr>
          <w:gridBefore w:val="1"/>
          <w:wBefore w:w="15" w:type="dxa"/>
          <w:trHeight w:val="289"/>
          <w:jc w:val="center"/>
        </w:trPr>
        <w:tc>
          <w:tcPr>
            <w:tcW w:w="2376" w:type="dxa"/>
            <w:gridSpan w:val="3"/>
            <w:vMerge w:val="restart"/>
            <w:shd w:val="clear" w:color="auto" w:fill="auto"/>
            <w:vAlign w:val="center"/>
          </w:tcPr>
          <w:p w14:paraId="4B438D57" w14:textId="77777777" w:rsidR="00CB1A27" w:rsidRPr="00E50A7A" w:rsidRDefault="1B03D677" w:rsidP="00B00391">
            <w:pPr>
              <w:pStyle w:val="Text1"/>
              <w:spacing w:beforeLines="20" w:before="48" w:afterLines="20" w:after="48"/>
              <w:ind w:left="136"/>
              <w:jc w:val="left"/>
              <w:rPr>
                <w:b/>
                <w:noProof/>
                <w:sz w:val="16"/>
                <w:szCs w:val="16"/>
                <w:lang w:val="en-IE"/>
              </w:rPr>
            </w:pPr>
            <w:r w:rsidRPr="00E50A7A">
              <w:rPr>
                <w:b/>
                <w:bCs/>
                <w:noProof/>
                <w:sz w:val="16"/>
                <w:szCs w:val="16"/>
                <w:lang w:val="en-IE"/>
              </w:rPr>
              <w:t>XX</w:t>
            </w:r>
            <w:r w:rsidRPr="00E50A7A">
              <w:rPr>
                <w:noProof/>
                <w:sz w:val="16"/>
                <w:szCs w:val="16"/>
                <w:lang w:val="en-IE"/>
              </w:rPr>
              <w:t xml:space="preserve"> 01  xx </w:t>
            </w:r>
            <w:r w:rsidRPr="00E50A7A">
              <w:rPr>
                <w:b/>
                <w:bCs/>
                <w:noProof/>
                <w:sz w:val="16"/>
                <w:szCs w:val="16"/>
                <w:lang w:val="en-IE"/>
              </w:rPr>
              <w:t xml:space="preserve">yy zz </w:t>
            </w:r>
            <w:r w:rsidRPr="00E50A7A">
              <w:rPr>
                <w:b/>
                <w:bCs/>
                <w:i/>
                <w:iCs/>
                <w:noProof/>
                <w:sz w:val="16"/>
                <w:szCs w:val="16"/>
                <w:lang w:val="en-IE"/>
              </w:rPr>
              <w:t xml:space="preserve"> </w:t>
            </w:r>
            <w:r w:rsidR="00CB1A27" w:rsidRPr="00E50A7A">
              <w:rPr>
                <w:rStyle w:val="FootnoteReference"/>
                <w:b/>
                <w:bCs/>
                <w:i/>
                <w:iCs/>
                <w:noProof/>
                <w:sz w:val="16"/>
                <w:szCs w:val="16"/>
                <w:lang w:val="en-IE"/>
              </w:rPr>
              <w:footnoteReference w:id="95"/>
            </w:r>
          </w:p>
          <w:p w14:paraId="79921493" w14:textId="77777777" w:rsidR="00CB1A27" w:rsidRPr="00E50A7A" w:rsidRDefault="00CB1A27" w:rsidP="00B00391">
            <w:pPr>
              <w:pStyle w:val="Text1"/>
              <w:spacing w:beforeLines="20" w:before="48" w:afterLines="20" w:after="48"/>
              <w:ind w:left="136"/>
              <w:jc w:val="left"/>
              <w:rPr>
                <w:b/>
                <w:noProof/>
                <w:sz w:val="16"/>
                <w:szCs w:val="16"/>
                <w:lang w:val="en-IE"/>
              </w:rPr>
            </w:pPr>
          </w:p>
        </w:tc>
        <w:tc>
          <w:tcPr>
            <w:tcW w:w="2378" w:type="dxa"/>
            <w:shd w:val="clear" w:color="auto" w:fill="auto"/>
            <w:vAlign w:val="center"/>
          </w:tcPr>
          <w:p w14:paraId="742C40AA" w14:textId="77777777" w:rsidR="00CB1A27" w:rsidRPr="00E50A7A" w:rsidRDefault="00CB1A27" w:rsidP="00B00391">
            <w:pPr>
              <w:pStyle w:val="Text1"/>
              <w:spacing w:beforeLines="20" w:before="48" w:afterLines="20" w:after="48"/>
              <w:ind w:left="136"/>
              <w:jc w:val="left"/>
              <w:rPr>
                <w:b/>
                <w:noProof/>
                <w:sz w:val="16"/>
                <w:szCs w:val="16"/>
                <w:lang w:val="en-IE"/>
              </w:rPr>
            </w:pPr>
            <w:r w:rsidRPr="00E50A7A">
              <w:rPr>
                <w:noProof/>
                <w:sz w:val="16"/>
                <w:lang w:val="en-IE"/>
              </w:rPr>
              <w:t>- at Headquarters</w:t>
            </w:r>
          </w:p>
          <w:p w14:paraId="60B99DEF" w14:textId="77777777" w:rsidR="00CB1A27" w:rsidRPr="00E50A7A" w:rsidRDefault="00CB1A27" w:rsidP="00B00391">
            <w:pPr>
              <w:pStyle w:val="Text1"/>
              <w:spacing w:beforeLines="20" w:before="48" w:afterLines="20" w:after="48"/>
              <w:ind w:left="136"/>
              <w:jc w:val="left"/>
              <w:rPr>
                <w:b/>
                <w:noProof/>
                <w:sz w:val="16"/>
                <w:szCs w:val="16"/>
                <w:lang w:val="en-IE"/>
              </w:rPr>
            </w:pPr>
          </w:p>
        </w:tc>
        <w:tc>
          <w:tcPr>
            <w:tcW w:w="731" w:type="dxa"/>
            <w:shd w:val="clear" w:color="auto" w:fill="auto"/>
            <w:vAlign w:val="center"/>
          </w:tcPr>
          <w:p w14:paraId="4BECD47B" w14:textId="77777777" w:rsidR="00CB1A27" w:rsidRPr="00E50A7A" w:rsidRDefault="00CB1A27" w:rsidP="00B00391">
            <w:pPr>
              <w:pStyle w:val="Text1"/>
              <w:spacing w:beforeLines="20" w:before="48" w:afterLines="20" w:after="48"/>
              <w:ind w:left="0"/>
              <w:rPr>
                <w:noProof/>
                <w:sz w:val="16"/>
                <w:szCs w:val="16"/>
                <w:lang w:val="en-IE"/>
              </w:rPr>
            </w:pPr>
          </w:p>
        </w:tc>
        <w:tc>
          <w:tcPr>
            <w:tcW w:w="731" w:type="dxa"/>
            <w:shd w:val="clear" w:color="auto" w:fill="auto"/>
            <w:vAlign w:val="center"/>
          </w:tcPr>
          <w:p w14:paraId="57A059C9" w14:textId="77777777" w:rsidR="00CB1A27" w:rsidRPr="00E50A7A" w:rsidRDefault="00CB1A27" w:rsidP="00B00391">
            <w:pPr>
              <w:spacing w:beforeLines="20" w:before="48" w:afterLines="20" w:after="48"/>
              <w:jc w:val="center"/>
              <w:rPr>
                <w:noProof/>
                <w:sz w:val="16"/>
                <w:szCs w:val="16"/>
                <w:lang w:val="en-IE"/>
              </w:rPr>
            </w:pPr>
          </w:p>
        </w:tc>
        <w:tc>
          <w:tcPr>
            <w:tcW w:w="731" w:type="dxa"/>
            <w:shd w:val="clear" w:color="auto" w:fill="auto"/>
            <w:vAlign w:val="center"/>
          </w:tcPr>
          <w:p w14:paraId="3DA14B76" w14:textId="77777777" w:rsidR="00CB1A27" w:rsidRPr="00E50A7A" w:rsidRDefault="00CB1A27" w:rsidP="00B00391">
            <w:pPr>
              <w:spacing w:beforeLines="20" w:before="48" w:afterLines="20" w:after="48"/>
              <w:jc w:val="center"/>
              <w:rPr>
                <w:noProof/>
                <w:sz w:val="16"/>
                <w:szCs w:val="16"/>
                <w:lang w:val="en-IE"/>
              </w:rPr>
            </w:pPr>
          </w:p>
        </w:tc>
        <w:tc>
          <w:tcPr>
            <w:tcW w:w="731" w:type="dxa"/>
            <w:shd w:val="clear" w:color="auto" w:fill="auto"/>
            <w:vAlign w:val="center"/>
          </w:tcPr>
          <w:p w14:paraId="6FD8C6BB" w14:textId="77777777" w:rsidR="00CB1A27" w:rsidRPr="00E50A7A" w:rsidRDefault="00CB1A27" w:rsidP="00B00391">
            <w:pPr>
              <w:spacing w:beforeLines="20" w:before="48" w:afterLines="20" w:after="48"/>
              <w:jc w:val="center"/>
              <w:rPr>
                <w:noProof/>
                <w:sz w:val="16"/>
                <w:szCs w:val="16"/>
                <w:lang w:val="en-IE"/>
              </w:rPr>
            </w:pPr>
          </w:p>
        </w:tc>
        <w:tc>
          <w:tcPr>
            <w:tcW w:w="2193" w:type="dxa"/>
          </w:tcPr>
          <w:p w14:paraId="6A4CDE1B" w14:textId="77777777" w:rsidR="00CB1A27" w:rsidRPr="00E50A7A" w:rsidRDefault="00CB1A27" w:rsidP="00B00391">
            <w:pPr>
              <w:spacing w:beforeLines="20" w:before="48" w:afterLines="20" w:after="48"/>
              <w:jc w:val="center"/>
              <w:rPr>
                <w:noProof/>
                <w:sz w:val="16"/>
                <w:szCs w:val="16"/>
                <w:lang w:val="en-IE"/>
              </w:rPr>
            </w:pPr>
          </w:p>
        </w:tc>
      </w:tr>
      <w:tr w:rsidR="00CB1A27" w:rsidRPr="00B314C8" w14:paraId="135763CC" w14:textId="77777777" w:rsidTr="1BD3479F">
        <w:trPr>
          <w:gridBefore w:val="1"/>
          <w:wBefore w:w="15" w:type="dxa"/>
          <w:trHeight w:val="289"/>
          <w:jc w:val="center"/>
        </w:trPr>
        <w:tc>
          <w:tcPr>
            <w:tcW w:w="2376" w:type="dxa"/>
            <w:gridSpan w:val="3"/>
            <w:vMerge/>
            <w:vAlign w:val="center"/>
          </w:tcPr>
          <w:p w14:paraId="4CC0575F" w14:textId="77777777" w:rsidR="00CB1A27" w:rsidRPr="00E50A7A" w:rsidRDefault="00CB1A27" w:rsidP="00B00391">
            <w:pPr>
              <w:pStyle w:val="Text1"/>
              <w:spacing w:beforeLines="20" w:before="48" w:afterLines="20" w:after="48"/>
              <w:ind w:left="136"/>
              <w:jc w:val="left"/>
              <w:rPr>
                <w:b/>
                <w:noProof/>
                <w:sz w:val="16"/>
                <w:szCs w:val="16"/>
                <w:lang w:val="en-IE"/>
              </w:rPr>
            </w:pPr>
          </w:p>
        </w:tc>
        <w:tc>
          <w:tcPr>
            <w:tcW w:w="2378" w:type="dxa"/>
            <w:shd w:val="clear" w:color="auto" w:fill="auto"/>
            <w:vAlign w:val="center"/>
          </w:tcPr>
          <w:p w14:paraId="09E4A691" w14:textId="77777777" w:rsidR="00CB1A27" w:rsidRPr="00E50A7A" w:rsidRDefault="00CB1A27" w:rsidP="00B00391">
            <w:pPr>
              <w:pStyle w:val="Text1"/>
              <w:spacing w:beforeLines="20" w:before="48" w:afterLines="20" w:after="48"/>
              <w:ind w:left="136"/>
              <w:jc w:val="left"/>
              <w:rPr>
                <w:b/>
                <w:noProof/>
                <w:sz w:val="16"/>
                <w:szCs w:val="16"/>
                <w:lang w:val="en-IE"/>
              </w:rPr>
            </w:pPr>
            <w:r w:rsidRPr="00E50A7A">
              <w:rPr>
                <w:noProof/>
                <w:sz w:val="16"/>
                <w:lang w:val="en-IE"/>
              </w:rPr>
              <w:t xml:space="preserve">- in Delegations </w:t>
            </w:r>
          </w:p>
        </w:tc>
        <w:tc>
          <w:tcPr>
            <w:tcW w:w="731" w:type="dxa"/>
            <w:shd w:val="clear" w:color="auto" w:fill="auto"/>
            <w:vAlign w:val="center"/>
          </w:tcPr>
          <w:p w14:paraId="23D6ADFE" w14:textId="77777777" w:rsidR="00CB1A27" w:rsidRPr="00E50A7A" w:rsidRDefault="00CB1A27" w:rsidP="00B00391">
            <w:pPr>
              <w:pStyle w:val="Text1"/>
              <w:spacing w:beforeLines="20" w:before="48" w:afterLines="20" w:after="48"/>
              <w:ind w:left="0"/>
              <w:rPr>
                <w:noProof/>
                <w:sz w:val="16"/>
                <w:szCs w:val="16"/>
                <w:lang w:val="en-IE"/>
              </w:rPr>
            </w:pPr>
          </w:p>
        </w:tc>
        <w:tc>
          <w:tcPr>
            <w:tcW w:w="731" w:type="dxa"/>
            <w:shd w:val="clear" w:color="auto" w:fill="auto"/>
            <w:vAlign w:val="center"/>
          </w:tcPr>
          <w:p w14:paraId="7DDDAE47" w14:textId="77777777" w:rsidR="00CB1A27" w:rsidRPr="00E50A7A" w:rsidRDefault="00CB1A27" w:rsidP="00B00391">
            <w:pPr>
              <w:spacing w:beforeLines="20" w:before="48" w:afterLines="20" w:after="48"/>
              <w:jc w:val="center"/>
              <w:rPr>
                <w:noProof/>
                <w:sz w:val="16"/>
                <w:szCs w:val="16"/>
                <w:lang w:val="en-IE"/>
              </w:rPr>
            </w:pPr>
          </w:p>
        </w:tc>
        <w:tc>
          <w:tcPr>
            <w:tcW w:w="731" w:type="dxa"/>
            <w:shd w:val="clear" w:color="auto" w:fill="auto"/>
            <w:vAlign w:val="center"/>
          </w:tcPr>
          <w:p w14:paraId="3C73E529" w14:textId="77777777" w:rsidR="00CB1A27" w:rsidRPr="00E50A7A" w:rsidRDefault="00CB1A27" w:rsidP="00B00391">
            <w:pPr>
              <w:spacing w:beforeLines="20" w:before="48" w:afterLines="20" w:after="48"/>
              <w:jc w:val="center"/>
              <w:rPr>
                <w:noProof/>
                <w:sz w:val="16"/>
                <w:szCs w:val="16"/>
                <w:lang w:val="en-IE"/>
              </w:rPr>
            </w:pPr>
          </w:p>
        </w:tc>
        <w:tc>
          <w:tcPr>
            <w:tcW w:w="731" w:type="dxa"/>
            <w:shd w:val="clear" w:color="auto" w:fill="auto"/>
            <w:vAlign w:val="center"/>
          </w:tcPr>
          <w:p w14:paraId="452B2A0A" w14:textId="77777777" w:rsidR="00CB1A27" w:rsidRPr="00E50A7A" w:rsidRDefault="00CB1A27" w:rsidP="00B00391">
            <w:pPr>
              <w:spacing w:beforeLines="20" w:before="48" w:afterLines="20" w:after="48"/>
              <w:jc w:val="center"/>
              <w:rPr>
                <w:noProof/>
                <w:sz w:val="16"/>
                <w:szCs w:val="16"/>
                <w:lang w:val="en-IE"/>
              </w:rPr>
            </w:pPr>
          </w:p>
        </w:tc>
        <w:tc>
          <w:tcPr>
            <w:tcW w:w="2193" w:type="dxa"/>
          </w:tcPr>
          <w:p w14:paraId="23F89ACD" w14:textId="77777777" w:rsidR="00CB1A27" w:rsidRPr="00E50A7A" w:rsidRDefault="00CB1A27" w:rsidP="00B00391">
            <w:pPr>
              <w:spacing w:beforeLines="20" w:before="48" w:afterLines="20" w:after="48"/>
              <w:jc w:val="center"/>
              <w:rPr>
                <w:noProof/>
                <w:sz w:val="16"/>
                <w:szCs w:val="16"/>
                <w:lang w:val="en-IE"/>
              </w:rPr>
            </w:pPr>
          </w:p>
        </w:tc>
      </w:tr>
      <w:tr w:rsidR="00CB1A27" w:rsidRPr="00B314C8" w14:paraId="2FF82FC0" w14:textId="77777777" w:rsidTr="1BD3479F">
        <w:trPr>
          <w:gridBefore w:val="1"/>
          <w:wBefore w:w="15" w:type="dxa"/>
          <w:trHeight w:val="289"/>
          <w:jc w:val="center"/>
        </w:trPr>
        <w:tc>
          <w:tcPr>
            <w:tcW w:w="4754" w:type="dxa"/>
            <w:gridSpan w:val="4"/>
            <w:shd w:val="clear" w:color="auto" w:fill="auto"/>
            <w:vAlign w:val="center"/>
          </w:tcPr>
          <w:p w14:paraId="1A9C3ADD" w14:textId="77777777" w:rsidR="00CB1A27" w:rsidRPr="00E50A7A" w:rsidRDefault="00CB1A27" w:rsidP="00B00391">
            <w:pPr>
              <w:pStyle w:val="Text1"/>
              <w:spacing w:beforeLines="20" w:before="48" w:afterLines="20" w:after="48"/>
              <w:ind w:left="136"/>
              <w:jc w:val="left"/>
              <w:rPr>
                <w:noProof/>
                <w:sz w:val="16"/>
                <w:szCs w:val="16"/>
                <w:lang w:val="en-IE"/>
              </w:rPr>
            </w:pPr>
            <w:r w:rsidRPr="00E50A7A">
              <w:rPr>
                <w:noProof/>
                <w:sz w:val="16"/>
                <w:lang w:val="en-IE"/>
              </w:rPr>
              <w:t>01 01 01 02</w:t>
            </w:r>
            <w:r w:rsidRPr="00E50A7A">
              <w:rPr>
                <w:rFonts w:ascii="Arial Narrow" w:hAnsi="Arial Narrow"/>
                <w:noProof/>
                <w:color w:val="000000"/>
                <w:sz w:val="20"/>
                <w:szCs w:val="20"/>
                <w:lang w:val="en-IE"/>
              </w:rPr>
              <w:t xml:space="preserve"> </w:t>
            </w:r>
            <w:r w:rsidRPr="00E50A7A">
              <w:rPr>
                <w:noProof/>
                <w:sz w:val="16"/>
                <w:szCs w:val="16"/>
                <w:lang w:val="en-IE"/>
              </w:rPr>
              <w:t>(AC, END, INT - Indirect research)</w:t>
            </w:r>
          </w:p>
        </w:tc>
        <w:tc>
          <w:tcPr>
            <w:tcW w:w="731" w:type="dxa"/>
            <w:shd w:val="clear" w:color="auto" w:fill="auto"/>
            <w:vAlign w:val="center"/>
          </w:tcPr>
          <w:p w14:paraId="768AFB23" w14:textId="77777777" w:rsidR="00CB1A27" w:rsidRPr="00E50A7A" w:rsidRDefault="00CB1A27" w:rsidP="00B00391">
            <w:pPr>
              <w:spacing w:beforeLines="20" w:before="48" w:afterLines="20" w:after="48"/>
              <w:jc w:val="center"/>
              <w:rPr>
                <w:noProof/>
                <w:sz w:val="16"/>
                <w:szCs w:val="16"/>
                <w:lang w:val="en-IE"/>
              </w:rPr>
            </w:pPr>
          </w:p>
        </w:tc>
        <w:tc>
          <w:tcPr>
            <w:tcW w:w="731" w:type="dxa"/>
            <w:shd w:val="clear" w:color="auto" w:fill="auto"/>
            <w:vAlign w:val="center"/>
          </w:tcPr>
          <w:p w14:paraId="4CD15929" w14:textId="77777777" w:rsidR="00CB1A27" w:rsidRPr="00E50A7A" w:rsidRDefault="00CB1A27" w:rsidP="00B00391">
            <w:pPr>
              <w:spacing w:beforeLines="20" w:before="48" w:afterLines="20" w:after="48"/>
              <w:jc w:val="center"/>
              <w:rPr>
                <w:noProof/>
                <w:sz w:val="16"/>
                <w:szCs w:val="16"/>
                <w:lang w:val="en-IE"/>
              </w:rPr>
            </w:pPr>
          </w:p>
        </w:tc>
        <w:tc>
          <w:tcPr>
            <w:tcW w:w="731" w:type="dxa"/>
            <w:shd w:val="clear" w:color="auto" w:fill="auto"/>
            <w:vAlign w:val="center"/>
          </w:tcPr>
          <w:p w14:paraId="16566605" w14:textId="77777777" w:rsidR="00CB1A27" w:rsidRPr="00E50A7A" w:rsidRDefault="00CB1A27" w:rsidP="00B00391">
            <w:pPr>
              <w:spacing w:beforeLines="20" w:before="48" w:afterLines="20" w:after="48"/>
              <w:jc w:val="center"/>
              <w:rPr>
                <w:noProof/>
                <w:sz w:val="16"/>
                <w:szCs w:val="16"/>
                <w:lang w:val="en-IE"/>
              </w:rPr>
            </w:pPr>
          </w:p>
        </w:tc>
        <w:tc>
          <w:tcPr>
            <w:tcW w:w="731" w:type="dxa"/>
            <w:shd w:val="clear" w:color="auto" w:fill="auto"/>
            <w:vAlign w:val="center"/>
          </w:tcPr>
          <w:p w14:paraId="0B94856B" w14:textId="77777777" w:rsidR="00CB1A27" w:rsidRPr="00E50A7A" w:rsidRDefault="00CB1A27" w:rsidP="00B00391">
            <w:pPr>
              <w:spacing w:beforeLines="20" w:before="48" w:afterLines="20" w:after="48"/>
              <w:jc w:val="center"/>
              <w:rPr>
                <w:noProof/>
                <w:sz w:val="16"/>
                <w:szCs w:val="16"/>
                <w:lang w:val="en-IE"/>
              </w:rPr>
            </w:pPr>
          </w:p>
        </w:tc>
        <w:tc>
          <w:tcPr>
            <w:tcW w:w="2193" w:type="dxa"/>
          </w:tcPr>
          <w:p w14:paraId="5BCF04CE" w14:textId="77777777" w:rsidR="00CB1A27" w:rsidRPr="00E50A7A" w:rsidRDefault="00CB1A27" w:rsidP="00B00391">
            <w:pPr>
              <w:spacing w:beforeLines="20" w:before="48" w:afterLines="20" w:after="48"/>
              <w:jc w:val="center"/>
              <w:rPr>
                <w:noProof/>
                <w:sz w:val="16"/>
                <w:szCs w:val="16"/>
                <w:lang w:val="en-IE"/>
              </w:rPr>
            </w:pPr>
          </w:p>
        </w:tc>
      </w:tr>
      <w:tr w:rsidR="00CB1A27" w:rsidRPr="00B314C8" w14:paraId="7017EC71" w14:textId="77777777" w:rsidTr="1BD3479F">
        <w:trPr>
          <w:gridBefore w:val="1"/>
          <w:wBefore w:w="15" w:type="dxa"/>
          <w:trHeight w:val="289"/>
          <w:jc w:val="center"/>
        </w:trPr>
        <w:tc>
          <w:tcPr>
            <w:tcW w:w="4754" w:type="dxa"/>
            <w:gridSpan w:val="4"/>
            <w:shd w:val="clear" w:color="auto" w:fill="auto"/>
            <w:vAlign w:val="center"/>
          </w:tcPr>
          <w:p w14:paraId="5F4C9537" w14:textId="77777777" w:rsidR="00CB1A27" w:rsidRPr="00E50A7A" w:rsidRDefault="00CB1A27" w:rsidP="00B00391">
            <w:pPr>
              <w:pStyle w:val="Text1"/>
              <w:spacing w:beforeLines="20" w:before="48" w:afterLines="20" w:after="48"/>
              <w:ind w:left="136"/>
              <w:jc w:val="left"/>
              <w:rPr>
                <w:noProof/>
                <w:color w:val="FF0000"/>
                <w:sz w:val="16"/>
                <w:szCs w:val="16"/>
                <w:lang w:val="en-IE"/>
              </w:rPr>
            </w:pPr>
            <w:r w:rsidRPr="00E50A7A">
              <w:rPr>
                <w:noProof/>
                <w:sz w:val="16"/>
                <w:lang w:val="en-IE"/>
              </w:rPr>
              <w:t xml:space="preserve"> 01 01 01 12 (AC, END, INT - Direct research)</w:t>
            </w:r>
          </w:p>
        </w:tc>
        <w:tc>
          <w:tcPr>
            <w:tcW w:w="731" w:type="dxa"/>
            <w:shd w:val="clear" w:color="auto" w:fill="auto"/>
            <w:vAlign w:val="center"/>
          </w:tcPr>
          <w:p w14:paraId="18054F3A" w14:textId="77777777" w:rsidR="00CB1A27" w:rsidRPr="00E50A7A" w:rsidRDefault="00CB1A27" w:rsidP="00B00391">
            <w:pPr>
              <w:spacing w:beforeLines="20" w:before="48" w:afterLines="20" w:after="48"/>
              <w:jc w:val="center"/>
              <w:rPr>
                <w:noProof/>
                <w:sz w:val="16"/>
                <w:szCs w:val="16"/>
                <w:lang w:val="en-IE"/>
              </w:rPr>
            </w:pPr>
          </w:p>
        </w:tc>
        <w:tc>
          <w:tcPr>
            <w:tcW w:w="731" w:type="dxa"/>
            <w:shd w:val="clear" w:color="auto" w:fill="auto"/>
            <w:vAlign w:val="center"/>
          </w:tcPr>
          <w:p w14:paraId="1EBD1B4B" w14:textId="77777777" w:rsidR="00CB1A27" w:rsidRPr="00E50A7A" w:rsidRDefault="00CB1A27" w:rsidP="00B00391">
            <w:pPr>
              <w:spacing w:beforeLines="20" w:before="48" w:afterLines="20" w:after="48"/>
              <w:jc w:val="center"/>
              <w:rPr>
                <w:noProof/>
                <w:sz w:val="16"/>
                <w:szCs w:val="16"/>
                <w:lang w:val="en-IE"/>
              </w:rPr>
            </w:pPr>
          </w:p>
        </w:tc>
        <w:tc>
          <w:tcPr>
            <w:tcW w:w="731" w:type="dxa"/>
            <w:shd w:val="clear" w:color="auto" w:fill="auto"/>
            <w:vAlign w:val="center"/>
          </w:tcPr>
          <w:p w14:paraId="57CCE110" w14:textId="77777777" w:rsidR="00CB1A27" w:rsidRPr="00E50A7A" w:rsidRDefault="00CB1A27" w:rsidP="00B00391">
            <w:pPr>
              <w:spacing w:beforeLines="20" w:before="48" w:afterLines="20" w:after="48"/>
              <w:jc w:val="center"/>
              <w:rPr>
                <w:noProof/>
                <w:sz w:val="16"/>
                <w:szCs w:val="16"/>
                <w:lang w:val="en-IE"/>
              </w:rPr>
            </w:pPr>
          </w:p>
        </w:tc>
        <w:tc>
          <w:tcPr>
            <w:tcW w:w="731" w:type="dxa"/>
            <w:shd w:val="clear" w:color="auto" w:fill="auto"/>
            <w:vAlign w:val="center"/>
          </w:tcPr>
          <w:p w14:paraId="69E31454" w14:textId="77777777" w:rsidR="00CB1A27" w:rsidRPr="00E50A7A" w:rsidRDefault="00CB1A27" w:rsidP="00B00391">
            <w:pPr>
              <w:spacing w:beforeLines="20" w:before="48" w:afterLines="20" w:after="48"/>
              <w:jc w:val="center"/>
              <w:rPr>
                <w:noProof/>
                <w:sz w:val="16"/>
                <w:szCs w:val="16"/>
                <w:lang w:val="en-IE"/>
              </w:rPr>
            </w:pPr>
          </w:p>
        </w:tc>
        <w:tc>
          <w:tcPr>
            <w:tcW w:w="2193" w:type="dxa"/>
          </w:tcPr>
          <w:p w14:paraId="478FBB79" w14:textId="77777777" w:rsidR="00CB1A27" w:rsidRPr="00E50A7A" w:rsidRDefault="00CB1A27" w:rsidP="00B00391">
            <w:pPr>
              <w:spacing w:beforeLines="20" w:before="48" w:afterLines="20" w:after="48"/>
              <w:jc w:val="center"/>
              <w:rPr>
                <w:noProof/>
                <w:sz w:val="16"/>
                <w:szCs w:val="16"/>
                <w:lang w:val="en-IE"/>
              </w:rPr>
            </w:pPr>
          </w:p>
        </w:tc>
      </w:tr>
      <w:tr w:rsidR="00CB1A27" w:rsidRPr="00B314C8" w14:paraId="72B44072" w14:textId="77777777" w:rsidTr="1BD3479F">
        <w:trPr>
          <w:gridBefore w:val="1"/>
          <w:wBefore w:w="15" w:type="dxa"/>
          <w:trHeight w:val="289"/>
          <w:jc w:val="center"/>
        </w:trPr>
        <w:tc>
          <w:tcPr>
            <w:tcW w:w="4754" w:type="dxa"/>
            <w:gridSpan w:val="4"/>
            <w:shd w:val="clear" w:color="auto" w:fill="auto"/>
            <w:vAlign w:val="center"/>
          </w:tcPr>
          <w:p w14:paraId="60D6A2EF" w14:textId="77777777" w:rsidR="00CB1A27" w:rsidRPr="00E50A7A" w:rsidRDefault="00CB1A27" w:rsidP="00B00391">
            <w:pPr>
              <w:pStyle w:val="Text1"/>
              <w:spacing w:beforeLines="20" w:before="48" w:afterLines="20" w:after="48"/>
              <w:ind w:left="136"/>
              <w:jc w:val="left"/>
              <w:rPr>
                <w:noProof/>
                <w:sz w:val="16"/>
                <w:lang w:val="en-IE"/>
              </w:rPr>
            </w:pPr>
            <w:r w:rsidRPr="00E50A7A">
              <w:rPr>
                <w:noProof/>
                <w:sz w:val="16"/>
                <w:lang w:val="en-IE"/>
              </w:rPr>
              <w:t>Other budget lines (specify)</w:t>
            </w:r>
          </w:p>
        </w:tc>
        <w:tc>
          <w:tcPr>
            <w:tcW w:w="731" w:type="dxa"/>
            <w:shd w:val="clear" w:color="auto" w:fill="auto"/>
            <w:vAlign w:val="center"/>
          </w:tcPr>
          <w:p w14:paraId="25359CA4" w14:textId="77777777" w:rsidR="00CB1A27" w:rsidRPr="00E50A7A" w:rsidRDefault="00CB1A27" w:rsidP="00B00391">
            <w:pPr>
              <w:spacing w:beforeLines="20" w:before="48" w:afterLines="20" w:after="48"/>
              <w:jc w:val="center"/>
              <w:rPr>
                <w:noProof/>
                <w:sz w:val="16"/>
                <w:szCs w:val="16"/>
                <w:lang w:val="en-IE"/>
              </w:rPr>
            </w:pPr>
          </w:p>
        </w:tc>
        <w:tc>
          <w:tcPr>
            <w:tcW w:w="731" w:type="dxa"/>
            <w:shd w:val="clear" w:color="auto" w:fill="auto"/>
            <w:vAlign w:val="center"/>
          </w:tcPr>
          <w:p w14:paraId="14C7160C" w14:textId="77777777" w:rsidR="00CB1A27" w:rsidRPr="00E50A7A" w:rsidRDefault="00CB1A27" w:rsidP="00B00391">
            <w:pPr>
              <w:spacing w:beforeLines="20" w:before="48" w:afterLines="20" w:after="48"/>
              <w:jc w:val="center"/>
              <w:rPr>
                <w:noProof/>
                <w:sz w:val="16"/>
                <w:szCs w:val="16"/>
                <w:lang w:val="en-IE"/>
              </w:rPr>
            </w:pPr>
          </w:p>
        </w:tc>
        <w:tc>
          <w:tcPr>
            <w:tcW w:w="731" w:type="dxa"/>
            <w:shd w:val="clear" w:color="auto" w:fill="auto"/>
            <w:vAlign w:val="center"/>
          </w:tcPr>
          <w:p w14:paraId="34A5955D" w14:textId="77777777" w:rsidR="00CB1A27" w:rsidRPr="00E50A7A" w:rsidRDefault="00CB1A27" w:rsidP="00B00391">
            <w:pPr>
              <w:spacing w:beforeLines="20" w:before="48" w:afterLines="20" w:after="48"/>
              <w:jc w:val="center"/>
              <w:rPr>
                <w:noProof/>
                <w:sz w:val="16"/>
                <w:szCs w:val="16"/>
                <w:lang w:val="en-IE"/>
              </w:rPr>
            </w:pPr>
          </w:p>
        </w:tc>
        <w:tc>
          <w:tcPr>
            <w:tcW w:w="731" w:type="dxa"/>
            <w:shd w:val="clear" w:color="auto" w:fill="auto"/>
            <w:vAlign w:val="center"/>
          </w:tcPr>
          <w:p w14:paraId="4F5FE3CE" w14:textId="77777777" w:rsidR="00CB1A27" w:rsidRPr="00E50A7A" w:rsidRDefault="00CB1A27" w:rsidP="00B00391">
            <w:pPr>
              <w:spacing w:beforeLines="20" w:before="48" w:afterLines="20" w:after="48"/>
              <w:jc w:val="center"/>
              <w:rPr>
                <w:noProof/>
                <w:sz w:val="16"/>
                <w:szCs w:val="16"/>
                <w:lang w:val="en-IE"/>
              </w:rPr>
            </w:pPr>
          </w:p>
        </w:tc>
        <w:tc>
          <w:tcPr>
            <w:tcW w:w="2193" w:type="dxa"/>
          </w:tcPr>
          <w:p w14:paraId="2CB33991" w14:textId="77777777" w:rsidR="00CB1A27" w:rsidRPr="00E50A7A" w:rsidRDefault="00CB1A27" w:rsidP="00B00391">
            <w:pPr>
              <w:spacing w:beforeLines="20" w:before="48" w:afterLines="20" w:after="48"/>
              <w:jc w:val="center"/>
              <w:rPr>
                <w:noProof/>
                <w:sz w:val="16"/>
                <w:szCs w:val="16"/>
                <w:lang w:val="en-IE"/>
              </w:rPr>
            </w:pPr>
          </w:p>
        </w:tc>
      </w:tr>
      <w:tr w:rsidR="00CB1A27" w:rsidRPr="00B314C8" w14:paraId="196D3830" w14:textId="77777777" w:rsidTr="1BD3479F">
        <w:trPr>
          <w:gridBefore w:val="1"/>
          <w:wBefore w:w="15" w:type="dxa"/>
          <w:trHeight w:val="289"/>
          <w:jc w:val="center"/>
        </w:trPr>
        <w:tc>
          <w:tcPr>
            <w:tcW w:w="4754" w:type="dxa"/>
            <w:gridSpan w:val="4"/>
            <w:tcBorders>
              <w:top w:val="double" w:sz="4" w:space="0" w:color="auto"/>
            </w:tcBorders>
            <w:shd w:val="clear" w:color="auto" w:fill="auto"/>
            <w:vAlign w:val="center"/>
          </w:tcPr>
          <w:p w14:paraId="08194E47" w14:textId="77777777" w:rsidR="00CB1A27" w:rsidRPr="00E50A7A" w:rsidRDefault="00CB1A27" w:rsidP="00CB1A27">
            <w:pPr>
              <w:pStyle w:val="Text1"/>
              <w:spacing w:beforeLines="20" w:before="48" w:afterLines="20" w:after="48"/>
              <w:ind w:left="136"/>
              <w:jc w:val="left"/>
              <w:rPr>
                <w:noProof/>
                <w:sz w:val="16"/>
                <w:szCs w:val="16"/>
                <w:lang w:val="en-IE"/>
              </w:rPr>
            </w:pPr>
            <w:r w:rsidRPr="00E50A7A">
              <w:rPr>
                <w:b/>
                <w:noProof/>
                <w:sz w:val="16"/>
                <w:lang w:val="en-IE"/>
              </w:rPr>
              <w:t>TOTAL</w:t>
            </w:r>
          </w:p>
        </w:tc>
        <w:tc>
          <w:tcPr>
            <w:tcW w:w="731" w:type="dxa"/>
            <w:tcBorders>
              <w:top w:val="double" w:sz="4" w:space="0" w:color="auto"/>
            </w:tcBorders>
            <w:shd w:val="clear" w:color="auto" w:fill="auto"/>
            <w:vAlign w:val="center"/>
          </w:tcPr>
          <w:p w14:paraId="4DDCACD2" w14:textId="77777777" w:rsidR="00CB1A27" w:rsidRPr="00E50A7A" w:rsidRDefault="005F41FD" w:rsidP="00CB1A27">
            <w:pPr>
              <w:spacing w:beforeLines="20" w:before="48" w:afterLines="20" w:after="48"/>
              <w:jc w:val="center"/>
              <w:rPr>
                <w:b/>
                <w:noProof/>
                <w:sz w:val="16"/>
                <w:szCs w:val="16"/>
                <w:lang w:val="en-IE"/>
              </w:rPr>
            </w:pPr>
            <w:r w:rsidRPr="00E50A7A">
              <w:rPr>
                <w:b/>
                <w:noProof/>
                <w:sz w:val="16"/>
                <w:szCs w:val="16"/>
                <w:lang w:val="en-IE"/>
              </w:rPr>
              <w:t>1.5</w:t>
            </w:r>
          </w:p>
        </w:tc>
        <w:tc>
          <w:tcPr>
            <w:tcW w:w="731" w:type="dxa"/>
            <w:tcBorders>
              <w:top w:val="double" w:sz="4" w:space="0" w:color="auto"/>
            </w:tcBorders>
            <w:shd w:val="clear" w:color="auto" w:fill="auto"/>
            <w:vAlign w:val="center"/>
          </w:tcPr>
          <w:p w14:paraId="25DEC284" w14:textId="1EDE7E67" w:rsidR="00CB1A27" w:rsidRPr="00E50A7A" w:rsidRDefault="00C85F36" w:rsidP="00CB1A27">
            <w:pPr>
              <w:spacing w:beforeLines="20" w:before="48" w:afterLines="20" w:after="48"/>
              <w:jc w:val="center"/>
              <w:rPr>
                <w:b/>
                <w:noProof/>
                <w:sz w:val="16"/>
                <w:szCs w:val="16"/>
                <w:lang w:val="en-IE"/>
              </w:rPr>
            </w:pPr>
            <w:r>
              <w:rPr>
                <w:rStyle w:val="normaltextrun"/>
                <w:noProof/>
                <w:sz w:val="18"/>
                <w:szCs w:val="18"/>
                <w:lang w:val="en-IE"/>
              </w:rPr>
              <w:t>4</w:t>
            </w:r>
          </w:p>
        </w:tc>
        <w:tc>
          <w:tcPr>
            <w:tcW w:w="731" w:type="dxa"/>
            <w:tcBorders>
              <w:top w:val="double" w:sz="4" w:space="0" w:color="auto"/>
            </w:tcBorders>
            <w:shd w:val="clear" w:color="auto" w:fill="auto"/>
            <w:vAlign w:val="center"/>
          </w:tcPr>
          <w:p w14:paraId="6DD90DB4" w14:textId="58A3FF5F" w:rsidR="00CB1A27" w:rsidRPr="00E50A7A" w:rsidRDefault="00C85F36" w:rsidP="00CB1A27">
            <w:pPr>
              <w:spacing w:beforeLines="20" w:before="48" w:afterLines="20" w:after="48"/>
              <w:jc w:val="center"/>
              <w:rPr>
                <w:b/>
                <w:noProof/>
                <w:sz w:val="16"/>
                <w:szCs w:val="16"/>
                <w:lang w:val="en-IE"/>
              </w:rPr>
            </w:pPr>
            <w:r>
              <w:rPr>
                <w:rStyle w:val="normaltextrun"/>
                <w:noProof/>
                <w:sz w:val="18"/>
                <w:szCs w:val="18"/>
                <w:lang w:val="en-IE"/>
              </w:rPr>
              <w:t>4</w:t>
            </w:r>
          </w:p>
        </w:tc>
        <w:tc>
          <w:tcPr>
            <w:tcW w:w="731" w:type="dxa"/>
            <w:tcBorders>
              <w:top w:val="double" w:sz="4" w:space="0" w:color="auto"/>
            </w:tcBorders>
            <w:shd w:val="clear" w:color="auto" w:fill="auto"/>
            <w:vAlign w:val="center"/>
          </w:tcPr>
          <w:p w14:paraId="3AEFA4BB" w14:textId="2688C411" w:rsidR="00CB1A27" w:rsidRPr="00E50A7A" w:rsidRDefault="00C85F36" w:rsidP="00CB1A27">
            <w:pPr>
              <w:spacing w:beforeLines="20" w:before="48" w:afterLines="20" w:after="48"/>
              <w:jc w:val="center"/>
              <w:rPr>
                <w:b/>
                <w:noProof/>
                <w:sz w:val="16"/>
                <w:szCs w:val="16"/>
                <w:lang w:val="en-IE"/>
              </w:rPr>
            </w:pPr>
            <w:r>
              <w:rPr>
                <w:rStyle w:val="normaltextrun"/>
                <w:noProof/>
                <w:sz w:val="18"/>
                <w:szCs w:val="18"/>
                <w:lang w:val="en-IE"/>
              </w:rPr>
              <w:t>4</w:t>
            </w:r>
          </w:p>
        </w:tc>
        <w:tc>
          <w:tcPr>
            <w:tcW w:w="2193" w:type="dxa"/>
            <w:tcBorders>
              <w:top w:val="double" w:sz="4" w:space="0" w:color="auto"/>
            </w:tcBorders>
            <w:vAlign w:val="center"/>
          </w:tcPr>
          <w:p w14:paraId="168F7AF8" w14:textId="67D690DF" w:rsidR="00CB1A27" w:rsidRPr="00E50A7A" w:rsidRDefault="00C85F36" w:rsidP="00CB1A27">
            <w:pPr>
              <w:spacing w:beforeLines="20" w:before="48" w:afterLines="20" w:after="48"/>
              <w:jc w:val="center"/>
              <w:rPr>
                <w:b/>
                <w:noProof/>
                <w:sz w:val="16"/>
                <w:szCs w:val="16"/>
                <w:lang w:val="en-IE"/>
              </w:rPr>
            </w:pPr>
            <w:r>
              <w:rPr>
                <w:rStyle w:val="normaltextrun"/>
                <w:noProof/>
                <w:sz w:val="18"/>
                <w:szCs w:val="18"/>
                <w:lang w:val="en-IE"/>
              </w:rPr>
              <w:t>4</w:t>
            </w:r>
          </w:p>
        </w:tc>
      </w:tr>
    </w:tbl>
    <w:p w14:paraId="0E1156D8" w14:textId="77777777" w:rsidR="00BD152F" w:rsidRPr="00E50A7A" w:rsidRDefault="00BD152F" w:rsidP="00B00391">
      <w:pPr>
        <w:pStyle w:val="Text1"/>
        <w:spacing w:before="60" w:after="60"/>
        <w:ind w:left="851"/>
        <w:rPr>
          <w:noProof/>
          <w:sz w:val="18"/>
          <w:szCs w:val="18"/>
          <w:lang w:val="en-IE"/>
        </w:rPr>
      </w:pPr>
      <w:r w:rsidRPr="00E50A7A">
        <w:rPr>
          <w:b/>
          <w:noProof/>
          <w:sz w:val="18"/>
          <w:szCs w:val="18"/>
          <w:lang w:val="en-IE"/>
        </w:rPr>
        <w:t>XX</w:t>
      </w:r>
      <w:r w:rsidRPr="00E50A7A">
        <w:rPr>
          <w:noProof/>
          <w:sz w:val="18"/>
          <w:szCs w:val="18"/>
          <w:lang w:val="en-IE"/>
        </w:rPr>
        <w:t xml:space="preserve"> is the policy area or budget title concerned.</w:t>
      </w:r>
    </w:p>
    <w:p w14:paraId="4A3D41EF" w14:textId="77777777" w:rsidR="00BD152F" w:rsidRPr="00E50A7A" w:rsidRDefault="00BD152F" w:rsidP="00B00391">
      <w:pPr>
        <w:pStyle w:val="Text1"/>
        <w:rPr>
          <w:noProof/>
          <w:sz w:val="18"/>
          <w:szCs w:val="18"/>
          <w:lang w:val="en-IE"/>
        </w:rPr>
      </w:pPr>
      <w:r w:rsidRPr="00E50A7A">
        <w:rPr>
          <w:noProof/>
          <w:sz w:val="18"/>
          <w:lang w:val="en-IE"/>
        </w:rPr>
        <w:t>The human resources required will be met by staff from the DG who are already assigned to management of the action and/or have been redeployed within the DG, together if necessary with any additional allocation which may be granted to the managing DG under the annual allocation procedure and in the light of budgetary constraints.</w:t>
      </w:r>
    </w:p>
    <w:p w14:paraId="2B1740C5" w14:textId="77777777" w:rsidR="00BD152F" w:rsidRPr="00E50A7A" w:rsidRDefault="00BD152F" w:rsidP="00B00391">
      <w:pPr>
        <w:rPr>
          <w:noProof/>
          <w:sz w:val="20"/>
          <w:lang w:val="en-IE"/>
        </w:rPr>
      </w:pPr>
      <w:r w:rsidRPr="00E50A7A">
        <w:rPr>
          <w:noProof/>
          <w:sz w:val="20"/>
          <w:lang w:val="en-IE"/>
        </w:rPr>
        <w:t>Description of tasks to be carried out:</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rsidR="00026B1D" w:rsidRPr="00B314C8" w14:paraId="049DD08B" w14:textId="77777777" w:rsidTr="00A10DCB">
        <w:tc>
          <w:tcPr>
            <w:tcW w:w="3240" w:type="dxa"/>
          </w:tcPr>
          <w:p w14:paraId="361CA254" w14:textId="77777777" w:rsidR="00BD152F" w:rsidRPr="00E50A7A" w:rsidRDefault="00BD152F" w:rsidP="00B00391">
            <w:pPr>
              <w:rPr>
                <w:noProof/>
                <w:sz w:val="20"/>
                <w:lang w:val="en-IE"/>
              </w:rPr>
            </w:pPr>
            <w:r w:rsidRPr="00E50A7A">
              <w:rPr>
                <w:noProof/>
                <w:sz w:val="20"/>
                <w:lang w:val="en-IE"/>
              </w:rPr>
              <w:t>Officials and temporary staff</w:t>
            </w:r>
          </w:p>
        </w:tc>
        <w:tc>
          <w:tcPr>
            <w:tcW w:w="7200" w:type="dxa"/>
          </w:tcPr>
          <w:p w14:paraId="038C456A" w14:textId="77777777" w:rsidR="005F41FD" w:rsidRPr="00E50A7A" w:rsidRDefault="005F41FD" w:rsidP="005F41FD">
            <w:pPr>
              <w:spacing w:before="0" w:after="0"/>
              <w:textAlignment w:val="baseline"/>
              <w:rPr>
                <w:noProof/>
                <w:sz w:val="20"/>
                <w:lang w:val="en-IE"/>
              </w:rPr>
            </w:pPr>
            <w:r w:rsidRPr="00E50A7A">
              <w:rPr>
                <w:noProof/>
                <w:sz w:val="20"/>
                <w:lang w:val="en-IE"/>
              </w:rPr>
              <w:t xml:space="preserve">DG ENV: Existing 0.75 FTE (AD) for co-decision and existing 0.33 FTE (AD) for implementation </w:t>
            </w:r>
          </w:p>
          <w:p w14:paraId="374F9F44" w14:textId="77777777" w:rsidR="00BD152F" w:rsidRPr="00E50A7A" w:rsidRDefault="005F41FD" w:rsidP="005F41FD">
            <w:pPr>
              <w:pStyle w:val="paragraph"/>
              <w:spacing w:before="0" w:beforeAutospacing="0" w:after="0" w:afterAutospacing="0"/>
              <w:ind w:right="225"/>
              <w:jc w:val="both"/>
              <w:textAlignment w:val="baseline"/>
              <w:rPr>
                <w:noProof/>
                <w:sz w:val="20"/>
              </w:rPr>
            </w:pPr>
            <w:r w:rsidRPr="00E50A7A">
              <w:rPr>
                <w:rFonts w:eastAsiaTheme="minorHAnsi"/>
                <w:noProof/>
                <w:sz w:val="20"/>
                <w:szCs w:val="22"/>
                <w:lang w:eastAsia="en-US"/>
              </w:rPr>
              <w:t>DG SANTE: Existing 0.5 FTE (AD) for co-decision and monitoring of Member States</w:t>
            </w:r>
            <w:r w:rsidRPr="00E50A7A">
              <w:rPr>
                <w:noProof/>
                <w:sz w:val="20"/>
              </w:rPr>
              <w:t>.</w:t>
            </w:r>
          </w:p>
        </w:tc>
      </w:tr>
      <w:tr w:rsidR="00026B1D" w:rsidRPr="00B314C8" w14:paraId="325FCCF8" w14:textId="77777777" w:rsidTr="00A10DCB">
        <w:tc>
          <w:tcPr>
            <w:tcW w:w="3240" w:type="dxa"/>
          </w:tcPr>
          <w:p w14:paraId="355619FF" w14:textId="77777777" w:rsidR="00BD152F" w:rsidRPr="00E50A7A" w:rsidRDefault="00BD152F" w:rsidP="00B00391">
            <w:pPr>
              <w:spacing w:before="60" w:after="60"/>
              <w:rPr>
                <w:noProof/>
                <w:sz w:val="20"/>
                <w:lang w:val="en-IE"/>
              </w:rPr>
            </w:pPr>
            <w:r w:rsidRPr="00E50A7A">
              <w:rPr>
                <w:noProof/>
                <w:sz w:val="20"/>
                <w:lang w:val="en-IE"/>
              </w:rPr>
              <w:t>External staff</w:t>
            </w:r>
          </w:p>
        </w:tc>
        <w:tc>
          <w:tcPr>
            <w:tcW w:w="7200" w:type="dxa"/>
          </w:tcPr>
          <w:p w14:paraId="433019A3" w14:textId="3C75F75B" w:rsidR="005F41FD" w:rsidRPr="00B314C8" w:rsidRDefault="005F41FD" w:rsidP="005F41FD">
            <w:pPr>
              <w:pStyle w:val="paragraph"/>
              <w:spacing w:before="0" w:beforeAutospacing="0" w:after="0" w:afterAutospacing="0"/>
              <w:ind w:right="225"/>
              <w:jc w:val="both"/>
              <w:textAlignment w:val="baseline"/>
              <w:rPr>
                <w:rFonts w:ascii="Segoe UI" w:hAnsi="Segoe UI" w:cs="Segoe UI"/>
                <w:noProof/>
                <w:sz w:val="18"/>
                <w:szCs w:val="18"/>
              </w:rPr>
            </w:pPr>
            <w:r w:rsidRPr="00B314C8">
              <w:rPr>
                <w:noProof/>
                <w:sz w:val="20"/>
                <w:szCs w:val="20"/>
              </w:rPr>
              <w:t xml:space="preserve">DG ENV: </w:t>
            </w:r>
            <w:r w:rsidR="00C85F36">
              <w:rPr>
                <w:noProof/>
                <w:sz w:val="20"/>
                <w:szCs w:val="20"/>
              </w:rPr>
              <w:t>3</w:t>
            </w:r>
            <w:r w:rsidRPr="00B314C8">
              <w:rPr>
                <w:noProof/>
                <w:sz w:val="20"/>
                <w:szCs w:val="20"/>
              </w:rPr>
              <w:t xml:space="preserve"> additional contractual staff (</w:t>
            </w:r>
            <w:r w:rsidR="00C85F36">
              <w:rPr>
                <w:noProof/>
                <w:sz w:val="20"/>
                <w:szCs w:val="20"/>
              </w:rPr>
              <w:t>3</w:t>
            </w:r>
            <w:r w:rsidRPr="00B314C8">
              <w:rPr>
                <w:noProof/>
                <w:sz w:val="20"/>
                <w:szCs w:val="20"/>
              </w:rPr>
              <w:t xml:space="preserve"> CAs) are needed to perform the technical work, including: </w:t>
            </w:r>
          </w:p>
          <w:p w14:paraId="27545F6D" w14:textId="77777777" w:rsidR="003056CA" w:rsidRPr="00E50A7A" w:rsidRDefault="003056CA" w:rsidP="003056CA">
            <w:pPr>
              <w:spacing w:before="0" w:after="0"/>
              <w:ind w:right="225"/>
              <w:textAlignment w:val="baseline"/>
              <w:rPr>
                <w:rFonts w:eastAsia="Times New Roman"/>
                <w:noProof/>
                <w:sz w:val="20"/>
                <w:szCs w:val="20"/>
                <w:lang w:val="en-IE" w:eastAsia="en-IE"/>
              </w:rPr>
            </w:pPr>
            <w:r w:rsidRPr="00E50A7A">
              <w:rPr>
                <w:rFonts w:eastAsia="Times New Roman"/>
                <w:noProof/>
                <w:sz w:val="20"/>
                <w:szCs w:val="20"/>
                <w:lang w:val="en-IE" w:eastAsia="en-IE"/>
              </w:rPr>
              <w:t>- Implementing acts establishing the harmonised format for registration in the register </w:t>
            </w:r>
          </w:p>
          <w:p w14:paraId="6ADDB0F0" w14:textId="77777777" w:rsidR="005F41FD" w:rsidRPr="00B314C8" w:rsidRDefault="005F41FD" w:rsidP="005F41FD">
            <w:pPr>
              <w:spacing w:before="0" w:after="0"/>
              <w:ind w:right="225"/>
              <w:textAlignment w:val="baseline"/>
              <w:rPr>
                <w:rFonts w:ascii="Segoe UI" w:eastAsia="Times New Roman" w:hAnsi="Segoe UI" w:cs="Segoe UI"/>
                <w:noProof/>
                <w:sz w:val="18"/>
                <w:szCs w:val="18"/>
                <w:lang w:val="en-IE" w:eastAsia="en-IE"/>
              </w:rPr>
            </w:pPr>
            <w:r w:rsidRPr="00B314C8">
              <w:rPr>
                <w:rFonts w:eastAsia="Times New Roman"/>
                <w:noProof/>
                <w:sz w:val="20"/>
                <w:szCs w:val="20"/>
                <w:lang w:val="en-IE" w:eastAsia="en-IE"/>
              </w:rPr>
              <w:t xml:space="preserve">- Possible </w:t>
            </w:r>
            <w:r w:rsidR="007646BA" w:rsidRPr="00B314C8">
              <w:rPr>
                <w:rFonts w:eastAsia="Times New Roman"/>
                <w:noProof/>
                <w:sz w:val="20"/>
                <w:szCs w:val="20"/>
                <w:lang w:val="en-IE" w:eastAsia="en-IE"/>
              </w:rPr>
              <w:t xml:space="preserve">delegated </w:t>
            </w:r>
            <w:r w:rsidRPr="00B314C8">
              <w:rPr>
                <w:rFonts w:eastAsia="Times New Roman"/>
                <w:noProof/>
                <w:sz w:val="20"/>
                <w:szCs w:val="20"/>
                <w:lang w:val="en-IE" w:eastAsia="en-IE"/>
              </w:rPr>
              <w:t xml:space="preserve">acts to amend the </w:t>
            </w:r>
            <w:r w:rsidR="007646BA" w:rsidRPr="00B314C8">
              <w:rPr>
                <w:rFonts w:eastAsia="Times New Roman"/>
                <w:noProof/>
                <w:sz w:val="20"/>
                <w:szCs w:val="20"/>
                <w:lang w:val="en-IE" w:eastAsia="en-IE"/>
              </w:rPr>
              <w:t>C</w:t>
            </w:r>
            <w:r w:rsidR="000D123F" w:rsidRPr="00B314C8">
              <w:rPr>
                <w:rFonts w:eastAsia="Times New Roman"/>
                <w:noProof/>
                <w:sz w:val="20"/>
                <w:szCs w:val="20"/>
                <w:lang w:val="en-IE" w:eastAsia="en-IE"/>
              </w:rPr>
              <w:t xml:space="preserve">ombined </w:t>
            </w:r>
            <w:r w:rsidR="007646BA" w:rsidRPr="00B314C8">
              <w:rPr>
                <w:rFonts w:eastAsia="Times New Roman"/>
                <w:noProof/>
                <w:sz w:val="20"/>
                <w:szCs w:val="20"/>
                <w:lang w:val="en-IE" w:eastAsia="en-IE"/>
              </w:rPr>
              <w:t>N</w:t>
            </w:r>
            <w:r w:rsidRPr="00B314C8">
              <w:rPr>
                <w:rFonts w:eastAsia="Times New Roman"/>
                <w:noProof/>
                <w:sz w:val="20"/>
                <w:szCs w:val="20"/>
                <w:lang w:val="en-IE" w:eastAsia="en-IE"/>
              </w:rPr>
              <w:t>omenclature codes listed in Annex IVc to bring them in line with the codes listed in Annex 1 of Council Regulation (EEC) No 2658/87 and to ensure the legal certainty on the products covered by the extended producer responsibility </w:t>
            </w:r>
          </w:p>
          <w:p w14:paraId="55D9C6F2" w14:textId="77777777" w:rsidR="005F41FD" w:rsidRPr="00B314C8" w:rsidRDefault="005F41FD" w:rsidP="005F41FD">
            <w:pPr>
              <w:spacing w:before="0" w:after="0"/>
              <w:ind w:right="225"/>
              <w:textAlignment w:val="baseline"/>
              <w:rPr>
                <w:rFonts w:ascii="Segoe UI" w:eastAsia="Times New Roman" w:hAnsi="Segoe UI" w:cs="Segoe UI"/>
                <w:noProof/>
                <w:sz w:val="18"/>
                <w:szCs w:val="18"/>
                <w:lang w:val="en-IE" w:eastAsia="en-IE"/>
              </w:rPr>
            </w:pPr>
            <w:r w:rsidRPr="00B314C8">
              <w:rPr>
                <w:rFonts w:eastAsia="Times New Roman"/>
                <w:noProof/>
                <w:sz w:val="20"/>
                <w:szCs w:val="20"/>
                <w:lang w:val="en-IE" w:eastAsia="en-IE"/>
              </w:rPr>
              <w:t>- Possible implementing act laying down criteria for producer responsibility organisations for the financial contributions paid to them by producers </w:t>
            </w:r>
          </w:p>
          <w:p w14:paraId="5879418D" w14:textId="149F24F2" w:rsidR="00300293" w:rsidRPr="00B314C8" w:rsidRDefault="005F41FD" w:rsidP="005F41FD">
            <w:pPr>
              <w:spacing w:before="0" w:after="0"/>
              <w:ind w:right="225"/>
              <w:textAlignment w:val="baseline"/>
              <w:rPr>
                <w:rFonts w:ascii="Segoe UI" w:eastAsia="Times New Roman" w:hAnsi="Segoe UI" w:cs="Segoe UI"/>
                <w:noProof/>
                <w:sz w:val="18"/>
                <w:szCs w:val="18"/>
                <w:lang w:val="en-IE" w:eastAsia="en-IE"/>
              </w:rPr>
            </w:pPr>
            <w:r w:rsidRPr="00B314C8">
              <w:rPr>
                <w:rFonts w:eastAsia="Times New Roman"/>
                <w:noProof/>
                <w:sz w:val="20"/>
                <w:szCs w:val="20"/>
                <w:lang w:val="en-IE" w:eastAsia="en-IE"/>
              </w:rPr>
              <w:t xml:space="preserve">-  Implementing act laying down the methodology for the calculation and verification of the separate collection </w:t>
            </w:r>
            <w:r w:rsidR="003056CA" w:rsidRPr="00B314C8">
              <w:rPr>
                <w:rFonts w:eastAsia="Times New Roman"/>
                <w:noProof/>
                <w:sz w:val="20"/>
                <w:szCs w:val="20"/>
                <w:lang w:val="en-IE" w:eastAsia="en-IE"/>
              </w:rPr>
              <w:t>rate </w:t>
            </w:r>
          </w:p>
          <w:p w14:paraId="701A0C89" w14:textId="77777777" w:rsidR="00BD152F" w:rsidRPr="00E50A7A" w:rsidRDefault="005F41FD" w:rsidP="008B5470">
            <w:pPr>
              <w:spacing w:before="0" w:after="0"/>
              <w:ind w:right="225"/>
              <w:textAlignment w:val="baseline"/>
              <w:rPr>
                <w:noProof/>
                <w:sz w:val="20"/>
                <w:lang w:val="en-IE"/>
              </w:rPr>
            </w:pPr>
            <w:r w:rsidRPr="00B314C8">
              <w:rPr>
                <w:rFonts w:eastAsia="Times New Roman"/>
                <w:noProof/>
                <w:sz w:val="20"/>
                <w:szCs w:val="20"/>
                <w:lang w:val="en-IE" w:eastAsia="en-IE"/>
              </w:rPr>
              <w:t>- Implementing acts adopted pursuant to paragraph 37 of this Article laying down the format for reporting the data referred to in paragraph 1 to adapt them to the requirements set out in paragraph 3 of that Article.</w:t>
            </w:r>
          </w:p>
        </w:tc>
      </w:tr>
    </w:tbl>
    <w:p w14:paraId="204720D6" w14:textId="77777777" w:rsidR="00BD152F" w:rsidRPr="00E50A7A" w:rsidRDefault="00BD152F" w:rsidP="00B00391">
      <w:pPr>
        <w:rPr>
          <w:noProof/>
          <w:lang w:val="en-IE"/>
        </w:rPr>
        <w:sectPr w:rsidR="00BD152F" w:rsidRPr="00E50A7A" w:rsidSect="001F75A6">
          <w:headerReference w:type="default" r:id="rId42"/>
          <w:footerReference w:type="default" r:id="rId43"/>
          <w:headerReference w:type="first" r:id="rId44"/>
          <w:footerReference w:type="first" r:id="rId45"/>
          <w:pgSz w:w="11907" w:h="16840"/>
          <w:pgMar w:top="1134" w:right="1418" w:bottom="1134" w:left="1418" w:header="709" w:footer="709" w:gutter="0"/>
          <w:cols w:space="708"/>
          <w:docGrid w:linePitch="360"/>
        </w:sectPr>
      </w:pPr>
    </w:p>
    <w:p w14:paraId="63C363F1" w14:textId="77777777" w:rsidR="00BD152F" w:rsidRPr="00E50A7A" w:rsidRDefault="00BD152F" w:rsidP="00B00391">
      <w:pPr>
        <w:pStyle w:val="ManualHeading3"/>
        <w:rPr>
          <w:noProof/>
          <w:lang w:val="en-IE"/>
        </w:rPr>
      </w:pPr>
      <w:r w:rsidRPr="00E50A7A">
        <w:rPr>
          <w:noProof/>
          <w:lang w:val="en-IE"/>
        </w:rPr>
        <w:lastRenderedPageBreak/>
        <w:t>3.2.4.</w:t>
      </w:r>
      <w:r w:rsidRPr="00E50A7A">
        <w:rPr>
          <w:noProof/>
          <w:lang w:val="en-IE"/>
        </w:rPr>
        <w:tab/>
        <w:t xml:space="preserve">Compatibility with the current multiannual financial framework </w:t>
      </w:r>
    </w:p>
    <w:p w14:paraId="59DE0936" w14:textId="77777777" w:rsidR="00BD152F" w:rsidRPr="00E50A7A" w:rsidRDefault="00BD152F" w:rsidP="00B00391">
      <w:pPr>
        <w:pStyle w:val="Text1"/>
        <w:rPr>
          <w:noProof/>
          <w:lang w:val="en-IE"/>
        </w:rPr>
      </w:pPr>
      <w:r w:rsidRPr="00E50A7A">
        <w:rPr>
          <w:noProof/>
          <w:lang w:val="en-IE"/>
        </w:rPr>
        <w:t>The proposal/initiative:</w:t>
      </w:r>
    </w:p>
    <w:p w14:paraId="361455B4" w14:textId="77777777" w:rsidR="00BD152F" w:rsidRPr="00E50A7A" w:rsidRDefault="00841644" w:rsidP="0020411B">
      <w:pPr>
        <w:pStyle w:val="ListDash1"/>
        <w:rPr>
          <w:noProof/>
          <w:lang w:val="en-IE"/>
        </w:rPr>
      </w:pPr>
      <w:r w:rsidRPr="00E50A7A">
        <w:rPr>
          <w:rStyle w:val="normaltextrun"/>
          <w:rFonts w:ascii="Wingdings" w:eastAsia="Wingdings" w:hAnsi="Wingdings" w:cs="Wingdings"/>
          <w:b/>
          <w:bCs/>
          <w:noProof/>
          <w:color w:val="000000"/>
          <w:bdr w:val="none" w:sz="0" w:space="0" w:color="auto" w:frame="1"/>
          <w:lang w:val="en-IE"/>
        </w:rPr>
        <w:t></w:t>
      </w:r>
      <w:r w:rsidR="00BD152F" w:rsidRPr="00E50A7A">
        <w:rPr>
          <w:noProof/>
          <w:lang w:val="en-IE"/>
        </w:rPr>
        <w:tab/>
        <w:t>can be fully financed through redeployment within the relevant heading of the Multiannual Financial Framework (MFF).</w:t>
      </w:r>
    </w:p>
    <w:p w14:paraId="42E52C25" w14:textId="77777777" w:rsidR="00BD152F" w:rsidRPr="00E50A7A" w:rsidRDefault="00BD152F" w:rsidP="0020411B">
      <w:pPr>
        <w:pStyle w:val="ListDash1"/>
        <w:rPr>
          <w:noProof/>
          <w:lang w:val="en-IE"/>
        </w:rPr>
      </w:pPr>
      <w:r w:rsidRPr="00E50A7A">
        <w:rPr>
          <w:rFonts w:ascii="Wingdings" w:eastAsia="Wingdings" w:hAnsi="Wingdings" w:cs="Wingdings"/>
          <w:noProof/>
          <w:lang w:val="en-IE"/>
        </w:rPr>
        <w:t></w:t>
      </w:r>
      <w:r w:rsidRPr="00E50A7A">
        <w:rPr>
          <w:noProof/>
          <w:lang w:val="en-IE"/>
        </w:rPr>
        <w:tab/>
        <w:t>requires use of the unallocated margin under the relevant heading of the MFF and/or use of the special instruments as defined in the MFF Regulation.</w:t>
      </w:r>
    </w:p>
    <w:p w14:paraId="6CDB5870" w14:textId="77777777" w:rsidR="00BD152F" w:rsidRPr="00E50A7A" w:rsidRDefault="00BD152F" w:rsidP="00B00391">
      <w:pPr>
        <w:pStyle w:val="Text1"/>
        <w:pBdr>
          <w:top w:val="single" w:sz="4" w:space="1" w:color="auto"/>
          <w:left w:val="single" w:sz="4" w:space="4" w:color="auto"/>
          <w:bottom w:val="single" w:sz="4" w:space="1" w:color="auto"/>
          <w:right w:val="single" w:sz="4" w:space="4" w:color="auto"/>
        </w:pBdr>
        <w:rPr>
          <w:noProof/>
          <w:sz w:val="20"/>
          <w:lang w:val="en-IE"/>
        </w:rPr>
      </w:pPr>
      <w:r w:rsidRPr="00E50A7A">
        <w:rPr>
          <w:noProof/>
          <w:sz w:val="20"/>
          <w:lang w:val="en-IE"/>
        </w:rPr>
        <w:t>Explain what is required, specifying the headings and budget lines concerned, the corresponding amounts, and the instruments proposed to be used.</w:t>
      </w:r>
    </w:p>
    <w:p w14:paraId="35DCA817" w14:textId="77777777" w:rsidR="00BD152F" w:rsidRPr="00E50A7A" w:rsidRDefault="00BD152F" w:rsidP="0020411B">
      <w:pPr>
        <w:pStyle w:val="ListDash1"/>
        <w:rPr>
          <w:noProof/>
          <w:lang w:val="en-IE"/>
        </w:rPr>
      </w:pPr>
      <w:r w:rsidRPr="00E50A7A">
        <w:rPr>
          <w:rFonts w:ascii="Wingdings" w:eastAsia="Wingdings" w:hAnsi="Wingdings" w:cs="Wingdings"/>
          <w:noProof/>
          <w:lang w:val="en-IE"/>
        </w:rPr>
        <w:t></w:t>
      </w:r>
      <w:r w:rsidRPr="00E50A7A">
        <w:rPr>
          <w:noProof/>
          <w:lang w:val="en-IE"/>
        </w:rPr>
        <w:tab/>
        <w:t>requires a revision of the MFF.</w:t>
      </w:r>
    </w:p>
    <w:p w14:paraId="6D29474E" w14:textId="77777777" w:rsidR="00BD152F" w:rsidRPr="00E50A7A" w:rsidRDefault="00BD152F" w:rsidP="00B00391">
      <w:pPr>
        <w:pStyle w:val="Text1"/>
        <w:pBdr>
          <w:top w:val="single" w:sz="4" w:space="1" w:color="auto"/>
          <w:left w:val="single" w:sz="4" w:space="4" w:color="auto"/>
          <w:bottom w:val="single" w:sz="4" w:space="1" w:color="auto"/>
          <w:right w:val="single" w:sz="4" w:space="4" w:color="auto"/>
        </w:pBdr>
        <w:rPr>
          <w:noProof/>
          <w:sz w:val="20"/>
          <w:lang w:val="en-IE"/>
        </w:rPr>
      </w:pPr>
      <w:r w:rsidRPr="00E50A7A">
        <w:rPr>
          <w:noProof/>
          <w:sz w:val="20"/>
          <w:lang w:val="en-IE"/>
        </w:rPr>
        <w:t>Explain what is required, specifying the headings and budget lines concerned and the corresponding amounts.</w:t>
      </w:r>
    </w:p>
    <w:p w14:paraId="63A16A14" w14:textId="77777777" w:rsidR="00BD152F" w:rsidRPr="00E50A7A" w:rsidRDefault="00BD152F" w:rsidP="00B00391">
      <w:pPr>
        <w:pStyle w:val="ManualHeading3"/>
        <w:rPr>
          <w:bCs/>
          <w:noProof/>
          <w:szCs w:val="24"/>
          <w:lang w:val="en-IE"/>
        </w:rPr>
      </w:pPr>
      <w:r w:rsidRPr="00E50A7A">
        <w:rPr>
          <w:noProof/>
          <w:lang w:val="en-IE"/>
        </w:rPr>
        <w:t>3.2.5.</w:t>
      </w:r>
      <w:r w:rsidRPr="00E50A7A">
        <w:rPr>
          <w:noProof/>
          <w:lang w:val="en-IE"/>
        </w:rPr>
        <w:tab/>
        <w:t xml:space="preserve">Third-party contributions </w:t>
      </w:r>
    </w:p>
    <w:p w14:paraId="426F6D16" w14:textId="77777777" w:rsidR="00BD152F" w:rsidRPr="00E50A7A" w:rsidRDefault="00BD152F" w:rsidP="00B00391">
      <w:pPr>
        <w:pStyle w:val="Text1"/>
        <w:rPr>
          <w:noProof/>
          <w:lang w:val="en-IE"/>
        </w:rPr>
      </w:pPr>
      <w:r w:rsidRPr="00E50A7A">
        <w:rPr>
          <w:noProof/>
          <w:lang w:val="en-IE"/>
        </w:rPr>
        <w:t>The proposal/initiative:</w:t>
      </w:r>
    </w:p>
    <w:p w14:paraId="47B8CD71" w14:textId="77777777" w:rsidR="00BD152F" w:rsidRPr="00E50A7A" w:rsidRDefault="00841644" w:rsidP="0020411B">
      <w:pPr>
        <w:pStyle w:val="ListDash1"/>
        <w:rPr>
          <w:noProof/>
          <w:lang w:val="en-IE"/>
        </w:rPr>
      </w:pPr>
      <w:r w:rsidRPr="00E50A7A">
        <w:rPr>
          <w:rStyle w:val="normaltextrun"/>
          <w:rFonts w:ascii="Wingdings" w:eastAsia="Wingdings" w:hAnsi="Wingdings" w:cs="Wingdings"/>
          <w:b/>
          <w:bCs/>
          <w:noProof/>
          <w:color w:val="000000"/>
          <w:bdr w:val="none" w:sz="0" w:space="0" w:color="auto" w:frame="1"/>
          <w:lang w:val="en-IE"/>
        </w:rPr>
        <w:t></w:t>
      </w:r>
      <w:r w:rsidR="00BD152F" w:rsidRPr="00E50A7A">
        <w:rPr>
          <w:noProof/>
          <w:lang w:val="en-IE"/>
        </w:rPr>
        <w:tab/>
        <w:t>does not provide for co-financing by third parties</w:t>
      </w:r>
    </w:p>
    <w:p w14:paraId="17AE49D6" w14:textId="77777777" w:rsidR="00BD152F" w:rsidRPr="00E50A7A" w:rsidRDefault="00BD152F" w:rsidP="0020411B">
      <w:pPr>
        <w:pStyle w:val="ListDash1"/>
        <w:rPr>
          <w:noProof/>
          <w:lang w:val="en-IE"/>
        </w:rPr>
      </w:pPr>
      <w:r w:rsidRPr="00E50A7A">
        <w:rPr>
          <w:rFonts w:ascii="Wingdings" w:eastAsia="Wingdings" w:hAnsi="Wingdings" w:cs="Wingdings"/>
          <w:noProof/>
          <w:lang w:val="en-IE"/>
        </w:rPr>
        <w:t></w:t>
      </w:r>
      <w:r w:rsidRPr="00E50A7A">
        <w:rPr>
          <w:noProof/>
          <w:lang w:val="en-IE"/>
        </w:rPr>
        <w:tab/>
        <w:t>provides for the co-financing by third parties estimated below:</w:t>
      </w:r>
    </w:p>
    <w:p w14:paraId="14534BCB" w14:textId="77777777" w:rsidR="00BD152F" w:rsidRPr="00E50A7A" w:rsidRDefault="00BD152F" w:rsidP="00B00391">
      <w:pPr>
        <w:jc w:val="right"/>
        <w:rPr>
          <w:noProof/>
          <w:sz w:val="20"/>
          <w:lang w:val="en-IE"/>
        </w:rPr>
      </w:pPr>
      <w:r w:rsidRPr="00E50A7A">
        <w:rPr>
          <w:noProof/>
          <w:sz w:val="20"/>
          <w:lang w:val="en-IE"/>
        </w:rPr>
        <w:t>Appropriations in EUR million (to three decimal places)</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rsidR="002A1674" w:rsidRPr="00B314C8" w14:paraId="12284B24" w14:textId="77777777" w:rsidTr="1BD3479F">
        <w:trPr>
          <w:cantSplit/>
        </w:trPr>
        <w:tc>
          <w:tcPr>
            <w:tcW w:w="2340" w:type="dxa"/>
          </w:tcPr>
          <w:p w14:paraId="5A8F754C" w14:textId="77777777" w:rsidR="00BD152F" w:rsidRPr="00E50A7A" w:rsidRDefault="00BD152F" w:rsidP="00B00391">
            <w:pPr>
              <w:spacing w:before="60" w:after="60"/>
              <w:rPr>
                <w:noProof/>
                <w:sz w:val="20"/>
                <w:lang w:val="en-IE"/>
              </w:rPr>
            </w:pPr>
          </w:p>
        </w:tc>
        <w:tc>
          <w:tcPr>
            <w:tcW w:w="964" w:type="dxa"/>
            <w:vAlign w:val="center"/>
          </w:tcPr>
          <w:p w14:paraId="4C93DA8C" w14:textId="77777777" w:rsidR="00BD152F" w:rsidRPr="00E50A7A" w:rsidRDefault="76754597" w:rsidP="00B00391">
            <w:pPr>
              <w:jc w:val="center"/>
              <w:rPr>
                <w:noProof/>
                <w:sz w:val="20"/>
                <w:lang w:val="en-IE"/>
              </w:rPr>
            </w:pPr>
            <w:r w:rsidRPr="00E50A7A">
              <w:rPr>
                <w:noProof/>
                <w:sz w:val="20"/>
                <w:szCs w:val="20"/>
                <w:lang w:val="en-IE"/>
              </w:rPr>
              <w:t>Year</w:t>
            </w:r>
            <w:r w:rsidR="00BD152F" w:rsidRPr="00E50A7A">
              <w:rPr>
                <w:noProof/>
                <w:sz w:val="22"/>
                <w:lang w:val="en-IE"/>
              </w:rPr>
              <w:br/>
            </w:r>
            <w:r w:rsidRPr="00E50A7A">
              <w:rPr>
                <w:b/>
                <w:bCs/>
                <w:noProof/>
                <w:sz w:val="20"/>
                <w:szCs w:val="20"/>
                <w:lang w:val="en-IE"/>
              </w:rPr>
              <w:t>N</w:t>
            </w:r>
            <w:r w:rsidR="00BD152F" w:rsidRPr="00E50A7A">
              <w:rPr>
                <w:rStyle w:val="FootnoteReference"/>
                <w:b/>
                <w:bCs/>
                <w:noProof/>
                <w:sz w:val="20"/>
                <w:szCs w:val="20"/>
                <w:lang w:val="en-IE"/>
              </w:rPr>
              <w:footnoteReference w:id="96"/>
            </w:r>
          </w:p>
        </w:tc>
        <w:tc>
          <w:tcPr>
            <w:tcW w:w="964" w:type="dxa"/>
            <w:vAlign w:val="center"/>
          </w:tcPr>
          <w:p w14:paraId="5F3402F3" w14:textId="77777777" w:rsidR="00BD152F" w:rsidRPr="00E50A7A" w:rsidRDefault="00BD152F" w:rsidP="00B00391">
            <w:pPr>
              <w:jc w:val="center"/>
              <w:rPr>
                <w:noProof/>
                <w:sz w:val="20"/>
                <w:lang w:val="en-IE"/>
              </w:rPr>
            </w:pPr>
            <w:r w:rsidRPr="00E50A7A">
              <w:rPr>
                <w:noProof/>
                <w:sz w:val="20"/>
                <w:lang w:val="en-IE"/>
              </w:rPr>
              <w:t>Year</w:t>
            </w:r>
            <w:r w:rsidRPr="00E50A7A">
              <w:rPr>
                <w:noProof/>
                <w:sz w:val="22"/>
                <w:lang w:val="en-IE"/>
              </w:rPr>
              <w:br/>
            </w:r>
            <w:r w:rsidRPr="00E50A7A">
              <w:rPr>
                <w:b/>
                <w:noProof/>
                <w:sz w:val="20"/>
                <w:lang w:val="en-IE"/>
              </w:rPr>
              <w:t>N+1</w:t>
            </w:r>
          </w:p>
        </w:tc>
        <w:tc>
          <w:tcPr>
            <w:tcW w:w="964" w:type="dxa"/>
            <w:vAlign w:val="center"/>
          </w:tcPr>
          <w:p w14:paraId="6962192A" w14:textId="77777777" w:rsidR="00BD152F" w:rsidRPr="00E50A7A" w:rsidRDefault="00BD152F" w:rsidP="00B00391">
            <w:pPr>
              <w:jc w:val="center"/>
              <w:rPr>
                <w:noProof/>
                <w:sz w:val="20"/>
                <w:lang w:val="en-IE"/>
              </w:rPr>
            </w:pPr>
            <w:r w:rsidRPr="00E50A7A">
              <w:rPr>
                <w:noProof/>
                <w:sz w:val="20"/>
                <w:lang w:val="en-IE"/>
              </w:rPr>
              <w:t>Year</w:t>
            </w:r>
            <w:r w:rsidRPr="00E50A7A">
              <w:rPr>
                <w:noProof/>
                <w:sz w:val="22"/>
                <w:lang w:val="en-IE"/>
              </w:rPr>
              <w:br/>
            </w:r>
            <w:r w:rsidRPr="00E50A7A">
              <w:rPr>
                <w:b/>
                <w:noProof/>
                <w:sz w:val="20"/>
                <w:lang w:val="en-IE"/>
              </w:rPr>
              <w:t>N+2</w:t>
            </w:r>
          </w:p>
        </w:tc>
        <w:tc>
          <w:tcPr>
            <w:tcW w:w="964" w:type="dxa"/>
            <w:vAlign w:val="center"/>
          </w:tcPr>
          <w:p w14:paraId="736C47E1" w14:textId="77777777" w:rsidR="00BD152F" w:rsidRPr="00E50A7A" w:rsidRDefault="00BD152F" w:rsidP="00B00391">
            <w:pPr>
              <w:jc w:val="center"/>
              <w:rPr>
                <w:noProof/>
                <w:sz w:val="20"/>
                <w:lang w:val="en-IE"/>
              </w:rPr>
            </w:pPr>
            <w:r w:rsidRPr="00E50A7A">
              <w:rPr>
                <w:noProof/>
                <w:sz w:val="20"/>
                <w:lang w:val="en-IE"/>
              </w:rPr>
              <w:t>Year</w:t>
            </w:r>
            <w:r w:rsidRPr="00E50A7A">
              <w:rPr>
                <w:noProof/>
                <w:sz w:val="22"/>
                <w:lang w:val="en-IE"/>
              </w:rPr>
              <w:br/>
            </w:r>
            <w:r w:rsidRPr="00E50A7A">
              <w:rPr>
                <w:b/>
                <w:noProof/>
                <w:sz w:val="20"/>
                <w:lang w:val="en-IE"/>
              </w:rPr>
              <w:t>N+3</w:t>
            </w:r>
          </w:p>
        </w:tc>
        <w:tc>
          <w:tcPr>
            <w:tcW w:w="2892" w:type="dxa"/>
            <w:gridSpan w:val="3"/>
            <w:vAlign w:val="center"/>
          </w:tcPr>
          <w:p w14:paraId="1C0E8AF6" w14:textId="77777777" w:rsidR="00BD152F" w:rsidRPr="00E50A7A" w:rsidRDefault="00BD152F" w:rsidP="00B00391">
            <w:pPr>
              <w:jc w:val="center"/>
              <w:rPr>
                <w:b/>
                <w:noProof/>
                <w:sz w:val="20"/>
                <w:lang w:val="en-IE"/>
              </w:rPr>
            </w:pPr>
            <w:r w:rsidRPr="00E50A7A">
              <w:rPr>
                <w:noProof/>
                <w:sz w:val="20"/>
                <w:lang w:val="en-IE"/>
              </w:rPr>
              <w:t>Enter as many years as necessary to show the duration of the impact (see point 1.6)</w:t>
            </w:r>
          </w:p>
        </w:tc>
        <w:tc>
          <w:tcPr>
            <w:tcW w:w="1158" w:type="dxa"/>
            <w:vAlign w:val="center"/>
          </w:tcPr>
          <w:p w14:paraId="74F5BB88" w14:textId="77777777" w:rsidR="00BD152F" w:rsidRPr="00E50A7A" w:rsidRDefault="00BD152F" w:rsidP="00B00391">
            <w:pPr>
              <w:spacing w:before="60" w:after="60"/>
              <w:jc w:val="center"/>
              <w:rPr>
                <w:noProof/>
                <w:sz w:val="20"/>
                <w:lang w:val="en-IE"/>
              </w:rPr>
            </w:pPr>
            <w:r w:rsidRPr="00E50A7A">
              <w:rPr>
                <w:noProof/>
                <w:sz w:val="20"/>
                <w:lang w:val="en-IE"/>
              </w:rPr>
              <w:t>Total</w:t>
            </w:r>
          </w:p>
        </w:tc>
      </w:tr>
      <w:tr w:rsidR="002A1674" w:rsidRPr="00B314C8" w14:paraId="0E63A667" w14:textId="77777777" w:rsidTr="1BD3479F">
        <w:trPr>
          <w:cantSplit/>
        </w:trPr>
        <w:tc>
          <w:tcPr>
            <w:tcW w:w="2340" w:type="dxa"/>
          </w:tcPr>
          <w:p w14:paraId="2ED76BF0" w14:textId="77777777" w:rsidR="00BD152F" w:rsidRPr="00E50A7A" w:rsidRDefault="00BD152F" w:rsidP="00B00391">
            <w:pPr>
              <w:rPr>
                <w:noProof/>
                <w:lang w:val="en-IE"/>
              </w:rPr>
            </w:pPr>
            <w:r w:rsidRPr="00E50A7A">
              <w:rPr>
                <w:noProof/>
                <w:sz w:val="20"/>
                <w:lang w:val="en-IE"/>
              </w:rPr>
              <w:t>Specify the co-financing body</w:t>
            </w:r>
            <w:r w:rsidRPr="00E50A7A">
              <w:rPr>
                <w:i/>
                <w:noProof/>
                <w:sz w:val="20"/>
                <w:lang w:val="en-IE"/>
              </w:rPr>
              <w:t xml:space="preserve"> </w:t>
            </w:r>
          </w:p>
        </w:tc>
        <w:tc>
          <w:tcPr>
            <w:tcW w:w="964" w:type="dxa"/>
            <w:vAlign w:val="center"/>
          </w:tcPr>
          <w:p w14:paraId="19549115" w14:textId="77777777" w:rsidR="00BD152F" w:rsidRPr="00E50A7A" w:rsidRDefault="00BD152F" w:rsidP="00B00391">
            <w:pPr>
              <w:spacing w:before="60" w:after="60"/>
              <w:jc w:val="center"/>
              <w:rPr>
                <w:noProof/>
                <w:sz w:val="20"/>
                <w:lang w:val="en-IE"/>
              </w:rPr>
            </w:pPr>
          </w:p>
        </w:tc>
        <w:tc>
          <w:tcPr>
            <w:tcW w:w="964" w:type="dxa"/>
            <w:vAlign w:val="center"/>
          </w:tcPr>
          <w:p w14:paraId="5C4EA3A0" w14:textId="77777777" w:rsidR="00BD152F" w:rsidRPr="00E50A7A" w:rsidRDefault="00BD152F" w:rsidP="00B00391">
            <w:pPr>
              <w:spacing w:before="60" w:after="60"/>
              <w:jc w:val="center"/>
              <w:rPr>
                <w:noProof/>
                <w:sz w:val="20"/>
                <w:lang w:val="en-IE"/>
              </w:rPr>
            </w:pPr>
          </w:p>
        </w:tc>
        <w:tc>
          <w:tcPr>
            <w:tcW w:w="964" w:type="dxa"/>
            <w:vAlign w:val="center"/>
          </w:tcPr>
          <w:p w14:paraId="4FE81887" w14:textId="77777777" w:rsidR="00BD152F" w:rsidRPr="00E50A7A" w:rsidRDefault="00BD152F" w:rsidP="00B00391">
            <w:pPr>
              <w:spacing w:before="60" w:after="60"/>
              <w:jc w:val="center"/>
              <w:rPr>
                <w:noProof/>
                <w:sz w:val="20"/>
                <w:lang w:val="en-IE"/>
              </w:rPr>
            </w:pPr>
          </w:p>
        </w:tc>
        <w:tc>
          <w:tcPr>
            <w:tcW w:w="964" w:type="dxa"/>
            <w:vAlign w:val="center"/>
          </w:tcPr>
          <w:p w14:paraId="1601BFFF" w14:textId="77777777" w:rsidR="00BD152F" w:rsidRPr="00E50A7A" w:rsidRDefault="00BD152F" w:rsidP="00B00391">
            <w:pPr>
              <w:spacing w:before="60" w:after="60"/>
              <w:jc w:val="center"/>
              <w:rPr>
                <w:noProof/>
                <w:sz w:val="20"/>
                <w:lang w:val="en-IE"/>
              </w:rPr>
            </w:pPr>
          </w:p>
        </w:tc>
        <w:tc>
          <w:tcPr>
            <w:tcW w:w="964" w:type="dxa"/>
            <w:vAlign w:val="center"/>
          </w:tcPr>
          <w:p w14:paraId="5C2F6204" w14:textId="77777777" w:rsidR="00BD152F" w:rsidRPr="00E50A7A" w:rsidRDefault="00BD152F" w:rsidP="00B00391">
            <w:pPr>
              <w:spacing w:before="60" w:after="60"/>
              <w:jc w:val="center"/>
              <w:rPr>
                <w:noProof/>
                <w:sz w:val="20"/>
                <w:lang w:val="en-IE"/>
              </w:rPr>
            </w:pPr>
          </w:p>
        </w:tc>
        <w:tc>
          <w:tcPr>
            <w:tcW w:w="964" w:type="dxa"/>
            <w:vAlign w:val="center"/>
          </w:tcPr>
          <w:p w14:paraId="20D01F21" w14:textId="77777777" w:rsidR="00BD152F" w:rsidRPr="00E50A7A" w:rsidRDefault="00BD152F" w:rsidP="00B00391">
            <w:pPr>
              <w:spacing w:before="60" w:after="60"/>
              <w:jc w:val="center"/>
              <w:rPr>
                <w:noProof/>
                <w:sz w:val="20"/>
                <w:lang w:val="en-IE"/>
              </w:rPr>
            </w:pPr>
          </w:p>
        </w:tc>
        <w:tc>
          <w:tcPr>
            <w:tcW w:w="964" w:type="dxa"/>
            <w:vAlign w:val="center"/>
          </w:tcPr>
          <w:p w14:paraId="6B46E923" w14:textId="77777777" w:rsidR="00BD152F" w:rsidRPr="00E50A7A" w:rsidRDefault="00BD152F" w:rsidP="00B00391">
            <w:pPr>
              <w:spacing w:before="60" w:after="60"/>
              <w:jc w:val="center"/>
              <w:rPr>
                <w:noProof/>
                <w:sz w:val="20"/>
                <w:lang w:val="en-IE"/>
              </w:rPr>
            </w:pPr>
          </w:p>
        </w:tc>
        <w:tc>
          <w:tcPr>
            <w:tcW w:w="1158" w:type="dxa"/>
            <w:vAlign w:val="center"/>
          </w:tcPr>
          <w:p w14:paraId="1A6ACDBE" w14:textId="77777777" w:rsidR="00BD152F" w:rsidRPr="00E50A7A" w:rsidRDefault="00BD152F" w:rsidP="00B00391">
            <w:pPr>
              <w:spacing w:before="60" w:after="60"/>
              <w:jc w:val="center"/>
              <w:rPr>
                <w:noProof/>
                <w:sz w:val="20"/>
                <w:lang w:val="en-IE"/>
              </w:rPr>
            </w:pPr>
          </w:p>
        </w:tc>
      </w:tr>
      <w:tr w:rsidR="002A1674" w:rsidRPr="00B314C8" w14:paraId="7402D868" w14:textId="77777777" w:rsidTr="1BD3479F">
        <w:trPr>
          <w:cantSplit/>
        </w:trPr>
        <w:tc>
          <w:tcPr>
            <w:tcW w:w="2340" w:type="dxa"/>
          </w:tcPr>
          <w:p w14:paraId="1FF36F9F" w14:textId="77777777" w:rsidR="00BD152F" w:rsidRPr="00E50A7A" w:rsidRDefault="00BD152F" w:rsidP="00B00391">
            <w:pPr>
              <w:spacing w:before="60" w:after="60"/>
              <w:jc w:val="left"/>
              <w:rPr>
                <w:noProof/>
                <w:sz w:val="20"/>
                <w:lang w:val="en-IE"/>
              </w:rPr>
            </w:pPr>
            <w:r w:rsidRPr="00E50A7A">
              <w:rPr>
                <w:noProof/>
                <w:sz w:val="20"/>
                <w:lang w:val="en-IE"/>
              </w:rPr>
              <w:t xml:space="preserve">TOTAL appropriations co-financed </w:t>
            </w:r>
          </w:p>
        </w:tc>
        <w:tc>
          <w:tcPr>
            <w:tcW w:w="964" w:type="dxa"/>
            <w:vAlign w:val="center"/>
          </w:tcPr>
          <w:p w14:paraId="590DF510" w14:textId="77777777" w:rsidR="00BD152F" w:rsidRPr="00E50A7A" w:rsidRDefault="00BD152F" w:rsidP="00B00391">
            <w:pPr>
              <w:spacing w:before="60" w:after="60"/>
              <w:jc w:val="center"/>
              <w:rPr>
                <w:noProof/>
                <w:sz w:val="20"/>
                <w:lang w:val="en-IE"/>
              </w:rPr>
            </w:pPr>
          </w:p>
        </w:tc>
        <w:tc>
          <w:tcPr>
            <w:tcW w:w="964" w:type="dxa"/>
            <w:vAlign w:val="center"/>
          </w:tcPr>
          <w:p w14:paraId="077F398A" w14:textId="77777777" w:rsidR="00BD152F" w:rsidRPr="00E50A7A" w:rsidRDefault="00BD152F" w:rsidP="00B00391">
            <w:pPr>
              <w:spacing w:before="60" w:after="60"/>
              <w:jc w:val="center"/>
              <w:rPr>
                <w:noProof/>
                <w:sz w:val="20"/>
                <w:lang w:val="en-IE"/>
              </w:rPr>
            </w:pPr>
          </w:p>
        </w:tc>
        <w:tc>
          <w:tcPr>
            <w:tcW w:w="964" w:type="dxa"/>
            <w:vAlign w:val="center"/>
          </w:tcPr>
          <w:p w14:paraId="36CF04A0" w14:textId="77777777" w:rsidR="00BD152F" w:rsidRPr="00E50A7A" w:rsidRDefault="00BD152F" w:rsidP="00B00391">
            <w:pPr>
              <w:spacing w:before="60" w:after="60"/>
              <w:jc w:val="center"/>
              <w:rPr>
                <w:noProof/>
                <w:sz w:val="20"/>
                <w:lang w:val="en-IE"/>
              </w:rPr>
            </w:pPr>
          </w:p>
        </w:tc>
        <w:tc>
          <w:tcPr>
            <w:tcW w:w="964" w:type="dxa"/>
            <w:vAlign w:val="center"/>
          </w:tcPr>
          <w:p w14:paraId="3EF14F62" w14:textId="77777777" w:rsidR="00BD152F" w:rsidRPr="00E50A7A" w:rsidRDefault="00BD152F" w:rsidP="00B00391">
            <w:pPr>
              <w:spacing w:before="60" w:after="60"/>
              <w:jc w:val="center"/>
              <w:rPr>
                <w:noProof/>
                <w:sz w:val="20"/>
                <w:lang w:val="en-IE"/>
              </w:rPr>
            </w:pPr>
          </w:p>
        </w:tc>
        <w:tc>
          <w:tcPr>
            <w:tcW w:w="964" w:type="dxa"/>
            <w:vAlign w:val="center"/>
          </w:tcPr>
          <w:p w14:paraId="4A7F3399" w14:textId="77777777" w:rsidR="00BD152F" w:rsidRPr="00E50A7A" w:rsidRDefault="00BD152F" w:rsidP="00B00391">
            <w:pPr>
              <w:spacing w:before="60" w:after="60"/>
              <w:jc w:val="center"/>
              <w:rPr>
                <w:noProof/>
                <w:sz w:val="20"/>
                <w:lang w:val="en-IE"/>
              </w:rPr>
            </w:pPr>
          </w:p>
        </w:tc>
        <w:tc>
          <w:tcPr>
            <w:tcW w:w="964" w:type="dxa"/>
            <w:vAlign w:val="center"/>
          </w:tcPr>
          <w:p w14:paraId="0CEB5BFD" w14:textId="77777777" w:rsidR="00BD152F" w:rsidRPr="00E50A7A" w:rsidRDefault="00BD152F" w:rsidP="00B00391">
            <w:pPr>
              <w:spacing w:before="60" w:after="60"/>
              <w:jc w:val="center"/>
              <w:rPr>
                <w:noProof/>
                <w:sz w:val="20"/>
                <w:lang w:val="en-IE"/>
              </w:rPr>
            </w:pPr>
          </w:p>
        </w:tc>
        <w:tc>
          <w:tcPr>
            <w:tcW w:w="964" w:type="dxa"/>
            <w:vAlign w:val="center"/>
          </w:tcPr>
          <w:p w14:paraId="3C349F80" w14:textId="77777777" w:rsidR="00BD152F" w:rsidRPr="00E50A7A" w:rsidRDefault="00BD152F" w:rsidP="00B00391">
            <w:pPr>
              <w:spacing w:before="60" w:after="60"/>
              <w:jc w:val="center"/>
              <w:rPr>
                <w:noProof/>
                <w:sz w:val="20"/>
                <w:lang w:val="en-IE"/>
              </w:rPr>
            </w:pPr>
          </w:p>
        </w:tc>
        <w:tc>
          <w:tcPr>
            <w:tcW w:w="1158" w:type="dxa"/>
            <w:vAlign w:val="center"/>
          </w:tcPr>
          <w:p w14:paraId="49D7B9E1" w14:textId="77777777" w:rsidR="00BD152F" w:rsidRPr="00E50A7A" w:rsidRDefault="00BD152F" w:rsidP="00B00391">
            <w:pPr>
              <w:spacing w:before="60" w:after="60"/>
              <w:jc w:val="center"/>
              <w:rPr>
                <w:noProof/>
                <w:sz w:val="20"/>
                <w:lang w:val="en-IE"/>
              </w:rPr>
            </w:pPr>
          </w:p>
        </w:tc>
      </w:tr>
    </w:tbl>
    <w:p w14:paraId="2C350EA9" w14:textId="77777777" w:rsidR="00BD152F" w:rsidRPr="00E50A7A" w:rsidRDefault="00BD152F" w:rsidP="00B00391">
      <w:pPr>
        <w:rPr>
          <w:noProof/>
          <w:lang w:val="en-IE"/>
        </w:rPr>
      </w:pPr>
      <w:r w:rsidRPr="00E50A7A">
        <w:rPr>
          <w:noProof/>
          <w:lang w:val="en-IE"/>
        </w:rPr>
        <w:br/>
      </w:r>
    </w:p>
    <w:p w14:paraId="0A802D0F" w14:textId="77777777" w:rsidR="00BD152F" w:rsidRPr="00E50A7A" w:rsidRDefault="00BD152F" w:rsidP="00B00391">
      <w:pPr>
        <w:pStyle w:val="ManualHeading2"/>
        <w:rPr>
          <w:bCs/>
          <w:noProof/>
          <w:szCs w:val="24"/>
          <w:lang w:val="en-IE"/>
        </w:rPr>
      </w:pPr>
      <w:r w:rsidRPr="00E50A7A">
        <w:rPr>
          <w:noProof/>
          <w:lang w:val="en-IE"/>
        </w:rPr>
        <w:br w:type="page"/>
      </w:r>
      <w:r w:rsidRPr="00E50A7A">
        <w:rPr>
          <w:noProof/>
          <w:lang w:val="en-IE"/>
        </w:rPr>
        <w:lastRenderedPageBreak/>
        <w:t>3.3.</w:t>
      </w:r>
      <w:r w:rsidRPr="00E50A7A">
        <w:rPr>
          <w:noProof/>
          <w:lang w:val="en-IE"/>
        </w:rPr>
        <w:tab/>
        <w:t xml:space="preserve">Estimated impact on revenue </w:t>
      </w:r>
    </w:p>
    <w:p w14:paraId="724D4CBF" w14:textId="77777777" w:rsidR="00BD152F" w:rsidRPr="00E50A7A" w:rsidRDefault="00841644" w:rsidP="0020411B">
      <w:pPr>
        <w:pStyle w:val="ListDash1"/>
        <w:rPr>
          <w:noProof/>
          <w:lang w:val="en-IE"/>
        </w:rPr>
      </w:pPr>
      <w:r w:rsidRPr="00E50A7A">
        <w:rPr>
          <w:rStyle w:val="normaltextrun"/>
          <w:rFonts w:ascii="Wingdings" w:eastAsia="Wingdings" w:hAnsi="Wingdings" w:cs="Wingdings"/>
          <w:b/>
          <w:bCs/>
          <w:noProof/>
          <w:color w:val="000000"/>
          <w:bdr w:val="none" w:sz="0" w:space="0" w:color="auto" w:frame="1"/>
          <w:lang w:val="en-IE"/>
        </w:rPr>
        <w:t></w:t>
      </w:r>
      <w:r w:rsidR="00BD152F" w:rsidRPr="00E50A7A">
        <w:rPr>
          <w:noProof/>
          <w:lang w:val="en-IE"/>
        </w:rPr>
        <w:tab/>
        <w:t>The proposal/initiative has no financial impact on revenue.</w:t>
      </w:r>
    </w:p>
    <w:p w14:paraId="1A863359" w14:textId="77777777" w:rsidR="00BD152F" w:rsidRPr="00E50A7A" w:rsidRDefault="00BD152F" w:rsidP="0020411B">
      <w:pPr>
        <w:pStyle w:val="ListDash1"/>
        <w:rPr>
          <w:noProof/>
          <w:lang w:val="en-IE"/>
        </w:rPr>
      </w:pPr>
      <w:r w:rsidRPr="00E50A7A">
        <w:rPr>
          <w:rFonts w:ascii="Wingdings" w:eastAsia="Wingdings" w:hAnsi="Wingdings" w:cs="Wingdings"/>
          <w:noProof/>
          <w:lang w:val="en-IE"/>
        </w:rPr>
        <w:t></w:t>
      </w:r>
      <w:r w:rsidRPr="00E50A7A">
        <w:rPr>
          <w:noProof/>
          <w:lang w:val="en-IE"/>
        </w:rPr>
        <w:tab/>
        <w:t>The proposal/initiative has the following financial impact:</w:t>
      </w:r>
    </w:p>
    <w:p w14:paraId="296CAFD4" w14:textId="77777777" w:rsidR="00BD152F" w:rsidRPr="00E50A7A" w:rsidRDefault="00BD152F" w:rsidP="005975D6">
      <w:pPr>
        <w:pStyle w:val="ListNumberLevel3"/>
        <w:rPr>
          <w:noProof/>
          <w:lang w:val="en-IE"/>
        </w:rPr>
      </w:pPr>
      <w:r w:rsidRPr="00E50A7A">
        <w:rPr>
          <w:rFonts w:ascii="Wingdings" w:eastAsia="Wingdings" w:hAnsi="Wingdings" w:cs="Wingdings"/>
          <w:noProof/>
          <w:lang w:val="en-IE"/>
        </w:rPr>
        <w:t></w:t>
      </w:r>
      <w:r w:rsidRPr="00E50A7A">
        <w:rPr>
          <w:noProof/>
          <w:lang w:val="en-IE"/>
        </w:rPr>
        <w:tab/>
        <w:t xml:space="preserve">on own resources </w:t>
      </w:r>
    </w:p>
    <w:p w14:paraId="49A23154" w14:textId="77777777" w:rsidR="00BD152F" w:rsidRPr="00E50A7A" w:rsidRDefault="00BD152F" w:rsidP="005975D6">
      <w:pPr>
        <w:pStyle w:val="ListNumberLevel3"/>
        <w:rPr>
          <w:noProof/>
          <w:lang w:val="en-IE"/>
        </w:rPr>
      </w:pPr>
      <w:r w:rsidRPr="00E50A7A">
        <w:rPr>
          <w:rFonts w:ascii="Wingdings" w:eastAsia="Wingdings" w:hAnsi="Wingdings" w:cs="Wingdings"/>
          <w:noProof/>
          <w:lang w:val="en-IE"/>
        </w:rPr>
        <w:t></w:t>
      </w:r>
      <w:r w:rsidRPr="00E50A7A">
        <w:rPr>
          <w:noProof/>
          <w:lang w:val="en-IE"/>
        </w:rPr>
        <w:tab/>
        <w:t>on other revenue</w:t>
      </w:r>
    </w:p>
    <w:p w14:paraId="6E4B5122" w14:textId="77777777" w:rsidR="00BD152F" w:rsidRPr="00E50A7A" w:rsidRDefault="00BD152F" w:rsidP="005975D6">
      <w:pPr>
        <w:pStyle w:val="ListNumberLevel3"/>
        <w:rPr>
          <w:noProof/>
          <w:lang w:val="en-IE"/>
        </w:rPr>
      </w:pPr>
      <w:r w:rsidRPr="00E50A7A">
        <w:rPr>
          <w:noProof/>
          <w:lang w:val="en-IE"/>
        </w:rPr>
        <w:t xml:space="preserve">please indicate, if the revenue is assigned to expenditure lines </w:t>
      </w:r>
      <w:r w:rsidRPr="00E50A7A">
        <w:rPr>
          <w:rFonts w:ascii="Wingdings" w:eastAsia="Wingdings" w:hAnsi="Wingdings" w:cs="Wingdings"/>
          <w:noProof/>
          <w:lang w:val="en-IE"/>
        </w:rPr>
        <w:t></w:t>
      </w:r>
      <w:r w:rsidRPr="00E50A7A">
        <w:rPr>
          <w:noProof/>
          <w:lang w:val="en-IE"/>
        </w:rPr>
        <w:tab/>
      </w:r>
    </w:p>
    <w:p w14:paraId="5A747B96" w14:textId="77777777" w:rsidR="00BD152F" w:rsidRPr="00E50A7A" w:rsidRDefault="00BD152F" w:rsidP="00B00391">
      <w:pPr>
        <w:ind w:left="4320"/>
        <w:rPr>
          <w:i/>
          <w:noProof/>
          <w:sz w:val="20"/>
          <w:lang w:val="en-IE"/>
        </w:rPr>
      </w:pPr>
      <w:r w:rsidRPr="00E50A7A">
        <w:rPr>
          <w:noProof/>
          <w:lang w:val="en-IE"/>
        </w:rPr>
        <w:t xml:space="preserve">     EUR million (to three decimal places)</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325"/>
        <w:gridCol w:w="1031"/>
        <w:gridCol w:w="900"/>
        <w:gridCol w:w="900"/>
        <w:gridCol w:w="1080"/>
        <w:gridCol w:w="1080"/>
        <w:gridCol w:w="1080"/>
        <w:gridCol w:w="1080"/>
      </w:tblGrid>
      <w:tr w:rsidR="002A1674" w:rsidRPr="00B314C8" w14:paraId="38FA35F6" w14:textId="77777777" w:rsidTr="1BD3479F">
        <w:trPr>
          <w:trHeight w:val="388"/>
        </w:trPr>
        <w:tc>
          <w:tcPr>
            <w:tcW w:w="2144" w:type="dxa"/>
            <w:vMerge w:val="restart"/>
            <w:vAlign w:val="center"/>
          </w:tcPr>
          <w:p w14:paraId="41B61B9C" w14:textId="77777777" w:rsidR="00BD152F" w:rsidRPr="00E50A7A" w:rsidRDefault="00BD152F" w:rsidP="00B00391">
            <w:pPr>
              <w:spacing w:before="40" w:after="40"/>
              <w:rPr>
                <w:noProof/>
                <w:sz w:val="18"/>
                <w:lang w:val="en-IE"/>
              </w:rPr>
            </w:pPr>
            <w:r w:rsidRPr="00E50A7A">
              <w:rPr>
                <w:noProof/>
                <w:sz w:val="18"/>
                <w:lang w:val="en-IE"/>
              </w:rPr>
              <w:t>Budget revenue line:</w:t>
            </w:r>
          </w:p>
        </w:tc>
        <w:tc>
          <w:tcPr>
            <w:tcW w:w="1325" w:type="dxa"/>
            <w:vMerge w:val="restart"/>
            <w:vAlign w:val="center"/>
          </w:tcPr>
          <w:p w14:paraId="024DFBA7" w14:textId="77777777" w:rsidR="00BD152F" w:rsidRPr="00E50A7A" w:rsidRDefault="00BD152F" w:rsidP="00B00391">
            <w:pPr>
              <w:jc w:val="center"/>
              <w:rPr>
                <w:noProof/>
                <w:sz w:val="18"/>
                <w:lang w:val="en-IE"/>
              </w:rPr>
            </w:pPr>
            <w:r w:rsidRPr="00E50A7A">
              <w:rPr>
                <w:noProof/>
                <w:sz w:val="18"/>
                <w:lang w:val="en-IE"/>
              </w:rPr>
              <w:t>Appropriations available for the current financial year</w:t>
            </w:r>
          </w:p>
        </w:tc>
        <w:tc>
          <w:tcPr>
            <w:tcW w:w="7151" w:type="dxa"/>
            <w:gridSpan w:val="7"/>
            <w:vAlign w:val="center"/>
          </w:tcPr>
          <w:p w14:paraId="04BBF031" w14:textId="77777777" w:rsidR="00BD152F" w:rsidRPr="00E50A7A" w:rsidRDefault="76754597" w:rsidP="00B00391">
            <w:pPr>
              <w:jc w:val="center"/>
              <w:rPr>
                <w:noProof/>
                <w:sz w:val="18"/>
                <w:lang w:val="en-IE"/>
              </w:rPr>
            </w:pPr>
            <w:r w:rsidRPr="00E50A7A">
              <w:rPr>
                <w:noProof/>
                <w:sz w:val="18"/>
                <w:szCs w:val="18"/>
                <w:lang w:val="en-IE"/>
              </w:rPr>
              <w:t>Impact of the proposal/initiative</w:t>
            </w:r>
            <w:r w:rsidR="00BD152F" w:rsidRPr="00E50A7A">
              <w:rPr>
                <w:rStyle w:val="FootnoteReference"/>
                <w:noProof/>
                <w:sz w:val="18"/>
                <w:szCs w:val="18"/>
                <w:lang w:val="en-IE"/>
              </w:rPr>
              <w:footnoteReference w:id="97"/>
            </w:r>
          </w:p>
        </w:tc>
      </w:tr>
      <w:tr w:rsidR="002A1674" w:rsidRPr="00B314C8" w14:paraId="3D021D0F" w14:textId="77777777" w:rsidTr="1BD3479F">
        <w:trPr>
          <w:trHeight w:val="388"/>
        </w:trPr>
        <w:tc>
          <w:tcPr>
            <w:tcW w:w="2144" w:type="dxa"/>
            <w:vMerge/>
          </w:tcPr>
          <w:p w14:paraId="71F4E4A3" w14:textId="77777777" w:rsidR="00BD152F" w:rsidRPr="00E50A7A" w:rsidRDefault="00BD152F" w:rsidP="00B00391">
            <w:pPr>
              <w:spacing w:before="40" w:after="40"/>
              <w:rPr>
                <w:noProof/>
                <w:sz w:val="18"/>
                <w:lang w:val="en-IE"/>
              </w:rPr>
            </w:pPr>
          </w:p>
        </w:tc>
        <w:tc>
          <w:tcPr>
            <w:tcW w:w="1325" w:type="dxa"/>
            <w:vMerge/>
          </w:tcPr>
          <w:p w14:paraId="5AF440AB" w14:textId="77777777" w:rsidR="00BD152F" w:rsidRPr="00E50A7A" w:rsidRDefault="00BD152F" w:rsidP="00B00391">
            <w:pPr>
              <w:spacing w:beforeLines="40" w:before="96" w:afterLines="40" w:after="96"/>
              <w:rPr>
                <w:i/>
                <w:noProof/>
                <w:sz w:val="18"/>
                <w:lang w:val="en-IE"/>
              </w:rPr>
            </w:pPr>
          </w:p>
        </w:tc>
        <w:tc>
          <w:tcPr>
            <w:tcW w:w="1031" w:type="dxa"/>
            <w:vAlign w:val="center"/>
          </w:tcPr>
          <w:p w14:paraId="6761B8E9" w14:textId="77777777" w:rsidR="00BD152F" w:rsidRPr="00E50A7A" w:rsidRDefault="00BD152F" w:rsidP="00B00391">
            <w:pPr>
              <w:jc w:val="center"/>
              <w:rPr>
                <w:noProof/>
                <w:sz w:val="18"/>
                <w:lang w:val="en-IE"/>
              </w:rPr>
            </w:pPr>
            <w:r w:rsidRPr="00E50A7A">
              <w:rPr>
                <w:noProof/>
                <w:sz w:val="18"/>
                <w:lang w:val="en-IE"/>
              </w:rPr>
              <w:t>Year</w:t>
            </w:r>
            <w:r w:rsidRPr="00E50A7A">
              <w:rPr>
                <w:noProof/>
                <w:sz w:val="22"/>
                <w:lang w:val="en-IE"/>
              </w:rPr>
              <w:br/>
            </w:r>
            <w:r w:rsidRPr="00E50A7A">
              <w:rPr>
                <w:b/>
                <w:noProof/>
                <w:sz w:val="18"/>
                <w:lang w:val="en-IE"/>
              </w:rPr>
              <w:t>N</w:t>
            </w:r>
          </w:p>
        </w:tc>
        <w:tc>
          <w:tcPr>
            <w:tcW w:w="900" w:type="dxa"/>
            <w:vAlign w:val="center"/>
          </w:tcPr>
          <w:p w14:paraId="2AFFA5DA" w14:textId="77777777" w:rsidR="00BD152F" w:rsidRPr="00E50A7A" w:rsidRDefault="00BD152F" w:rsidP="00B00391">
            <w:pPr>
              <w:jc w:val="center"/>
              <w:rPr>
                <w:noProof/>
                <w:sz w:val="18"/>
                <w:lang w:val="en-IE"/>
              </w:rPr>
            </w:pPr>
            <w:r w:rsidRPr="00E50A7A">
              <w:rPr>
                <w:noProof/>
                <w:sz w:val="18"/>
                <w:lang w:val="en-IE"/>
              </w:rPr>
              <w:t>Year</w:t>
            </w:r>
            <w:r w:rsidRPr="00E50A7A">
              <w:rPr>
                <w:noProof/>
                <w:sz w:val="22"/>
                <w:lang w:val="en-IE"/>
              </w:rPr>
              <w:br/>
            </w:r>
            <w:r w:rsidRPr="00E50A7A">
              <w:rPr>
                <w:b/>
                <w:noProof/>
                <w:sz w:val="18"/>
                <w:lang w:val="en-IE"/>
              </w:rPr>
              <w:t>N+1</w:t>
            </w:r>
          </w:p>
        </w:tc>
        <w:tc>
          <w:tcPr>
            <w:tcW w:w="900" w:type="dxa"/>
            <w:vAlign w:val="center"/>
          </w:tcPr>
          <w:p w14:paraId="2C8A628E" w14:textId="77777777" w:rsidR="00BD152F" w:rsidRPr="00E50A7A" w:rsidRDefault="00BD152F" w:rsidP="00B00391">
            <w:pPr>
              <w:jc w:val="center"/>
              <w:rPr>
                <w:noProof/>
                <w:sz w:val="18"/>
                <w:lang w:val="en-IE"/>
              </w:rPr>
            </w:pPr>
            <w:r w:rsidRPr="00E50A7A">
              <w:rPr>
                <w:noProof/>
                <w:sz w:val="18"/>
                <w:lang w:val="en-IE"/>
              </w:rPr>
              <w:t>Year</w:t>
            </w:r>
            <w:r w:rsidRPr="00E50A7A">
              <w:rPr>
                <w:noProof/>
                <w:sz w:val="22"/>
                <w:lang w:val="en-IE"/>
              </w:rPr>
              <w:br/>
            </w:r>
            <w:r w:rsidRPr="00E50A7A">
              <w:rPr>
                <w:b/>
                <w:noProof/>
                <w:sz w:val="18"/>
                <w:lang w:val="en-IE"/>
              </w:rPr>
              <w:t>N+2</w:t>
            </w:r>
          </w:p>
        </w:tc>
        <w:tc>
          <w:tcPr>
            <w:tcW w:w="1080" w:type="dxa"/>
            <w:vAlign w:val="center"/>
          </w:tcPr>
          <w:p w14:paraId="53F3AA91" w14:textId="77777777" w:rsidR="00BD152F" w:rsidRPr="00E50A7A" w:rsidRDefault="00BD152F" w:rsidP="00B00391">
            <w:pPr>
              <w:jc w:val="center"/>
              <w:rPr>
                <w:noProof/>
                <w:sz w:val="18"/>
                <w:lang w:val="en-IE"/>
              </w:rPr>
            </w:pPr>
            <w:r w:rsidRPr="00E50A7A">
              <w:rPr>
                <w:noProof/>
                <w:sz w:val="18"/>
                <w:lang w:val="en-IE"/>
              </w:rPr>
              <w:t>Year</w:t>
            </w:r>
            <w:r w:rsidRPr="00E50A7A">
              <w:rPr>
                <w:noProof/>
                <w:sz w:val="22"/>
                <w:lang w:val="en-IE"/>
              </w:rPr>
              <w:br/>
            </w:r>
            <w:r w:rsidRPr="00E50A7A">
              <w:rPr>
                <w:b/>
                <w:noProof/>
                <w:sz w:val="18"/>
                <w:lang w:val="en-IE"/>
              </w:rPr>
              <w:t>N+3</w:t>
            </w:r>
          </w:p>
        </w:tc>
        <w:tc>
          <w:tcPr>
            <w:tcW w:w="3240" w:type="dxa"/>
            <w:gridSpan w:val="3"/>
            <w:vAlign w:val="center"/>
          </w:tcPr>
          <w:p w14:paraId="45E3535E" w14:textId="77777777" w:rsidR="00BD152F" w:rsidRPr="00E50A7A" w:rsidRDefault="00BD152F" w:rsidP="00B00391">
            <w:pPr>
              <w:jc w:val="center"/>
              <w:rPr>
                <w:b/>
                <w:noProof/>
                <w:sz w:val="18"/>
                <w:lang w:val="en-IE"/>
              </w:rPr>
            </w:pPr>
            <w:r w:rsidRPr="00E50A7A">
              <w:rPr>
                <w:noProof/>
                <w:sz w:val="18"/>
                <w:lang w:val="en-IE"/>
              </w:rPr>
              <w:t>Enter as many years as necessary to show the duration of the impact (see point 1.6)</w:t>
            </w:r>
          </w:p>
        </w:tc>
      </w:tr>
      <w:tr w:rsidR="00151042" w:rsidRPr="00B314C8" w14:paraId="39AA4F63" w14:textId="77777777" w:rsidTr="1BD3479F">
        <w:trPr>
          <w:trHeight w:val="388"/>
        </w:trPr>
        <w:tc>
          <w:tcPr>
            <w:tcW w:w="2144" w:type="dxa"/>
            <w:vAlign w:val="center"/>
          </w:tcPr>
          <w:p w14:paraId="15218F1C" w14:textId="77777777" w:rsidR="00BD152F" w:rsidRPr="00E50A7A" w:rsidRDefault="00BD152F" w:rsidP="00B00391">
            <w:pPr>
              <w:spacing w:before="40" w:after="40"/>
              <w:rPr>
                <w:noProof/>
                <w:sz w:val="18"/>
                <w:lang w:val="en-IE"/>
              </w:rPr>
            </w:pPr>
            <w:r w:rsidRPr="00E50A7A">
              <w:rPr>
                <w:noProof/>
                <w:sz w:val="18"/>
                <w:lang w:val="en-IE"/>
              </w:rPr>
              <w:t>Article ………….</w:t>
            </w:r>
          </w:p>
        </w:tc>
        <w:tc>
          <w:tcPr>
            <w:tcW w:w="1325" w:type="dxa"/>
          </w:tcPr>
          <w:p w14:paraId="437BE3AA" w14:textId="77777777" w:rsidR="00BD152F" w:rsidRPr="00E50A7A" w:rsidRDefault="00BD152F" w:rsidP="00B00391">
            <w:pPr>
              <w:spacing w:beforeLines="40" w:before="96" w:afterLines="40" w:after="96"/>
              <w:jc w:val="center"/>
              <w:rPr>
                <w:i/>
                <w:noProof/>
                <w:sz w:val="18"/>
                <w:lang w:val="en-IE"/>
              </w:rPr>
            </w:pPr>
          </w:p>
        </w:tc>
        <w:tc>
          <w:tcPr>
            <w:tcW w:w="1031" w:type="dxa"/>
          </w:tcPr>
          <w:p w14:paraId="02D9B6F8" w14:textId="77777777" w:rsidR="00BD152F" w:rsidRPr="00E50A7A" w:rsidRDefault="00BD152F" w:rsidP="00B00391">
            <w:pPr>
              <w:spacing w:beforeLines="40" w:before="96" w:afterLines="40" w:after="96"/>
              <w:jc w:val="center"/>
              <w:rPr>
                <w:noProof/>
                <w:sz w:val="18"/>
                <w:lang w:val="en-IE"/>
              </w:rPr>
            </w:pPr>
          </w:p>
        </w:tc>
        <w:tc>
          <w:tcPr>
            <w:tcW w:w="900" w:type="dxa"/>
          </w:tcPr>
          <w:p w14:paraId="754D0322" w14:textId="77777777" w:rsidR="00BD152F" w:rsidRPr="00E50A7A" w:rsidRDefault="00BD152F" w:rsidP="00B00391">
            <w:pPr>
              <w:spacing w:beforeLines="40" w:before="96" w:afterLines="40" w:after="96"/>
              <w:jc w:val="center"/>
              <w:rPr>
                <w:noProof/>
                <w:sz w:val="18"/>
                <w:lang w:val="en-IE"/>
              </w:rPr>
            </w:pPr>
          </w:p>
        </w:tc>
        <w:tc>
          <w:tcPr>
            <w:tcW w:w="900" w:type="dxa"/>
          </w:tcPr>
          <w:p w14:paraId="267E34A7" w14:textId="77777777" w:rsidR="00BD152F" w:rsidRPr="00E50A7A" w:rsidRDefault="00BD152F" w:rsidP="00B00391">
            <w:pPr>
              <w:spacing w:beforeLines="40" w:before="96" w:afterLines="40" w:after="96"/>
              <w:jc w:val="center"/>
              <w:rPr>
                <w:noProof/>
                <w:sz w:val="18"/>
                <w:lang w:val="en-IE"/>
              </w:rPr>
            </w:pPr>
          </w:p>
        </w:tc>
        <w:tc>
          <w:tcPr>
            <w:tcW w:w="1080" w:type="dxa"/>
          </w:tcPr>
          <w:p w14:paraId="52B6BA77" w14:textId="77777777" w:rsidR="00BD152F" w:rsidRPr="00E50A7A" w:rsidRDefault="00BD152F" w:rsidP="00B00391">
            <w:pPr>
              <w:spacing w:beforeLines="40" w:before="96" w:afterLines="40" w:after="96"/>
              <w:jc w:val="center"/>
              <w:rPr>
                <w:noProof/>
                <w:sz w:val="18"/>
                <w:lang w:val="en-IE"/>
              </w:rPr>
            </w:pPr>
          </w:p>
        </w:tc>
        <w:tc>
          <w:tcPr>
            <w:tcW w:w="1080" w:type="dxa"/>
          </w:tcPr>
          <w:p w14:paraId="471C523A" w14:textId="77777777" w:rsidR="00BD152F" w:rsidRPr="00E50A7A" w:rsidRDefault="00BD152F" w:rsidP="00B00391">
            <w:pPr>
              <w:spacing w:beforeLines="40" w:before="96" w:afterLines="40" w:after="96"/>
              <w:jc w:val="center"/>
              <w:rPr>
                <w:noProof/>
                <w:sz w:val="18"/>
                <w:lang w:val="en-IE"/>
              </w:rPr>
            </w:pPr>
          </w:p>
        </w:tc>
        <w:tc>
          <w:tcPr>
            <w:tcW w:w="1080" w:type="dxa"/>
          </w:tcPr>
          <w:p w14:paraId="248B6399" w14:textId="77777777" w:rsidR="00BD152F" w:rsidRPr="00E50A7A" w:rsidRDefault="00BD152F" w:rsidP="00B00391">
            <w:pPr>
              <w:spacing w:beforeLines="40" w:before="96" w:afterLines="40" w:after="96"/>
              <w:jc w:val="center"/>
              <w:rPr>
                <w:noProof/>
                <w:sz w:val="18"/>
                <w:lang w:val="en-IE"/>
              </w:rPr>
            </w:pPr>
          </w:p>
        </w:tc>
        <w:tc>
          <w:tcPr>
            <w:tcW w:w="1080" w:type="dxa"/>
          </w:tcPr>
          <w:p w14:paraId="1278A6F9" w14:textId="77777777" w:rsidR="00BD152F" w:rsidRPr="00E50A7A" w:rsidRDefault="00BD152F" w:rsidP="00B00391">
            <w:pPr>
              <w:spacing w:beforeLines="40" w:before="96" w:afterLines="40" w:after="96"/>
              <w:jc w:val="center"/>
              <w:rPr>
                <w:noProof/>
                <w:sz w:val="18"/>
                <w:lang w:val="en-IE"/>
              </w:rPr>
            </w:pPr>
          </w:p>
        </w:tc>
      </w:tr>
    </w:tbl>
    <w:p w14:paraId="55B453E4" w14:textId="77777777" w:rsidR="00BD152F" w:rsidRPr="00E50A7A" w:rsidRDefault="00BD152F" w:rsidP="00B00391">
      <w:pPr>
        <w:pStyle w:val="Text1"/>
        <w:rPr>
          <w:noProof/>
          <w:sz w:val="20"/>
          <w:lang w:val="en-IE"/>
        </w:rPr>
      </w:pPr>
      <w:r w:rsidRPr="00E50A7A">
        <w:rPr>
          <w:noProof/>
          <w:sz w:val="20"/>
          <w:lang w:val="en-IE"/>
        </w:rPr>
        <w:t>For assigned revenue, specify the budget expenditure line(s) affected.</w:t>
      </w:r>
    </w:p>
    <w:p w14:paraId="0203443F" w14:textId="49D9BAD3" w:rsidR="00BD152F" w:rsidRPr="00E50A7A" w:rsidRDefault="00BD152F" w:rsidP="00B00391">
      <w:pPr>
        <w:pStyle w:val="Text1"/>
        <w:pBdr>
          <w:top w:val="single" w:sz="4" w:space="1" w:color="auto"/>
          <w:left w:val="single" w:sz="4" w:space="4" w:color="auto"/>
          <w:bottom w:val="single" w:sz="4" w:space="1" w:color="auto"/>
          <w:right w:val="single" w:sz="4" w:space="4" w:color="auto"/>
        </w:pBdr>
        <w:rPr>
          <w:noProof/>
          <w:lang w:val="en-IE"/>
        </w:rPr>
      </w:pPr>
    </w:p>
    <w:p w14:paraId="525DE660" w14:textId="77777777" w:rsidR="00BD152F" w:rsidRPr="00E50A7A" w:rsidRDefault="00BD152F" w:rsidP="00B00391">
      <w:pPr>
        <w:pStyle w:val="Text1"/>
        <w:rPr>
          <w:noProof/>
          <w:sz w:val="20"/>
          <w:lang w:val="en-IE"/>
        </w:rPr>
      </w:pPr>
      <w:r w:rsidRPr="00E50A7A">
        <w:rPr>
          <w:noProof/>
          <w:sz w:val="20"/>
          <w:lang w:val="en-IE"/>
        </w:rPr>
        <w:t>Other remarks (e.g. method/formula used for calculating the impact on revenue or any other information).</w:t>
      </w:r>
    </w:p>
    <w:p w14:paraId="775BC146" w14:textId="40E111C2" w:rsidR="00BD152F" w:rsidRPr="00E50A7A" w:rsidRDefault="00BD152F" w:rsidP="00B00391">
      <w:pPr>
        <w:pStyle w:val="Text1"/>
        <w:pBdr>
          <w:top w:val="single" w:sz="4" w:space="1" w:color="auto"/>
          <w:left w:val="single" w:sz="4" w:space="4" w:color="auto"/>
          <w:bottom w:val="single" w:sz="4" w:space="1" w:color="auto"/>
          <w:right w:val="single" w:sz="4" w:space="4" w:color="auto"/>
        </w:pBdr>
        <w:rPr>
          <w:noProof/>
          <w:lang w:val="en-IE"/>
        </w:rPr>
      </w:pPr>
    </w:p>
    <w:sectPr w:rsidR="00BD152F" w:rsidRPr="00E50A7A" w:rsidSect="001F75A6">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EF45FA" w14:textId="77777777" w:rsidR="00D6571B" w:rsidRDefault="00D6571B" w:rsidP="00BD152F">
      <w:pPr>
        <w:spacing w:before="0" w:after="0"/>
      </w:pPr>
      <w:r>
        <w:separator/>
      </w:r>
    </w:p>
  </w:endnote>
  <w:endnote w:type="continuationSeparator" w:id="0">
    <w:p w14:paraId="5B111327" w14:textId="77777777" w:rsidR="00D6571B" w:rsidRDefault="00D6571B" w:rsidP="00BD152F">
      <w:pPr>
        <w:spacing w:before="0" w:after="0"/>
      </w:pPr>
      <w:r>
        <w:continuationSeparator/>
      </w:r>
    </w:p>
  </w:endnote>
  <w:endnote w:type="continuationNotice" w:id="1">
    <w:p w14:paraId="01A9BCC5" w14:textId="77777777" w:rsidR="00D6571B" w:rsidRDefault="00D6571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variable"/>
    <w:sig w:usb0="00000001" w:usb1="5000217F" w:usb2="00000021"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EUAlbertina">
    <w:altName w:val="Cambria"/>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95A389" w14:textId="77777777" w:rsidR="00FA14CE" w:rsidRDefault="00FA14CE">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0B7CE9" w14:textId="77777777" w:rsidR="00FA14CE" w:rsidRPr="001F75A6" w:rsidRDefault="00FA14CE" w:rsidP="001F75A6">
    <w:pPr>
      <w:pStyle w:val="FooterLandscape"/>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D54B8F" w14:textId="3EEF5AFF" w:rsidR="00FA14CE" w:rsidRPr="001F75A6" w:rsidRDefault="00FA14CE" w:rsidP="001F75A6">
    <w:pPr>
      <w:pStyle w:val="Footer"/>
      <w:rPr>
        <w:rFonts w:ascii="Arial" w:hAnsi="Arial" w:cs="Arial"/>
        <w:b/>
        <w:sz w:val="48"/>
      </w:rPr>
    </w:pPr>
    <w:r w:rsidRPr="001F75A6">
      <w:rPr>
        <w:rFonts w:ascii="Arial" w:hAnsi="Arial" w:cs="Arial"/>
        <w:b/>
        <w:sz w:val="48"/>
      </w:rPr>
      <w:t>EN</w:t>
    </w:r>
    <w:r w:rsidRPr="001F75A6">
      <w:rPr>
        <w:rFonts w:ascii="Arial" w:hAnsi="Arial" w:cs="Arial"/>
        <w:b/>
        <w:sz w:val="48"/>
      </w:rPr>
      <w:tab/>
    </w:r>
    <w:r>
      <w:fldChar w:fldCharType="begin"/>
    </w:r>
    <w:r>
      <w:instrText xml:space="preserve"> PAGE  \* MERGEFORMAT </w:instrText>
    </w:r>
    <w:r>
      <w:fldChar w:fldCharType="separate"/>
    </w:r>
    <w:r w:rsidR="00E114C7">
      <w:rPr>
        <w:noProof/>
      </w:rPr>
      <w:t>17</w:t>
    </w:r>
    <w:r>
      <w:fldChar w:fldCharType="end"/>
    </w:r>
    <w:r>
      <w:tab/>
    </w:r>
    <w:r w:rsidRPr="001F75A6">
      <w:tab/>
    </w:r>
    <w:r w:rsidRPr="001F75A6">
      <w:rPr>
        <w:rFonts w:ascii="Arial" w:hAnsi="Arial" w:cs="Arial"/>
        <w:b/>
        <w:sz w:val="48"/>
      </w:rPr>
      <w:t>EN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60CEC0" w14:textId="77777777" w:rsidR="00FA14CE" w:rsidRPr="001F75A6" w:rsidRDefault="00FA14CE" w:rsidP="001F75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FA14CE" w:rsidRPr="00D94637" w14:paraId="2F27EC5E" w14:textId="77777777" w:rsidTr="009C21C5">
      <w:trPr>
        <w:jc w:val="center"/>
      </w:trPr>
      <w:tc>
        <w:tcPr>
          <w:tcW w:w="5000" w:type="pct"/>
          <w:gridSpan w:val="7"/>
          <w:shd w:val="clear" w:color="auto" w:fill="auto"/>
          <w:tcMar>
            <w:top w:w="57" w:type="dxa"/>
          </w:tcMar>
        </w:tcPr>
        <w:p w14:paraId="4834DDA5" w14:textId="77777777" w:rsidR="00FA14CE" w:rsidRPr="00D94637" w:rsidRDefault="00FA14CE" w:rsidP="00B6196A">
          <w:pPr>
            <w:pStyle w:val="FooterText"/>
            <w:pBdr>
              <w:top w:val="single" w:sz="4" w:space="1" w:color="auto"/>
            </w:pBdr>
            <w:spacing w:before="200"/>
            <w:rPr>
              <w:sz w:val="2"/>
              <w:szCs w:val="2"/>
            </w:rPr>
          </w:pPr>
          <w:bookmarkStart w:id="1" w:name="FOOTER_STANDARD"/>
        </w:p>
      </w:tc>
    </w:tr>
    <w:tr w:rsidR="00FA14CE" w:rsidRPr="00B310DC" w14:paraId="766C96C6" w14:textId="77777777" w:rsidTr="009C21C5">
      <w:trPr>
        <w:jc w:val="center"/>
      </w:trPr>
      <w:tc>
        <w:tcPr>
          <w:tcW w:w="2500" w:type="pct"/>
          <w:gridSpan w:val="2"/>
          <w:shd w:val="clear" w:color="auto" w:fill="auto"/>
          <w:tcMar>
            <w:top w:w="0" w:type="dxa"/>
          </w:tcMar>
        </w:tcPr>
        <w:p w14:paraId="29A39B6E" w14:textId="7A731B96" w:rsidR="00FA14CE" w:rsidRPr="00AD7BF2" w:rsidRDefault="00FA14CE" w:rsidP="00B6196A">
          <w:pPr>
            <w:pStyle w:val="FooterText"/>
          </w:pPr>
          <w:r>
            <w:t>11624/23</w:t>
          </w:r>
          <w:r w:rsidRPr="002511D8">
            <w:t xml:space="preserve"> </w:t>
          </w:r>
        </w:p>
      </w:tc>
      <w:tc>
        <w:tcPr>
          <w:tcW w:w="625" w:type="pct"/>
          <w:shd w:val="clear" w:color="auto" w:fill="auto"/>
          <w:tcMar>
            <w:top w:w="0" w:type="dxa"/>
          </w:tcMar>
        </w:tcPr>
        <w:p w14:paraId="048E972B" w14:textId="77777777" w:rsidR="00FA14CE" w:rsidRPr="00AD7BF2" w:rsidRDefault="00FA14CE" w:rsidP="00B6196A">
          <w:pPr>
            <w:pStyle w:val="FooterText"/>
            <w:jc w:val="center"/>
          </w:pPr>
        </w:p>
      </w:tc>
      <w:tc>
        <w:tcPr>
          <w:tcW w:w="1286" w:type="pct"/>
          <w:gridSpan w:val="3"/>
          <w:shd w:val="clear" w:color="auto" w:fill="auto"/>
          <w:tcMar>
            <w:top w:w="0" w:type="dxa"/>
          </w:tcMar>
        </w:tcPr>
        <w:p w14:paraId="6D49F5AE" w14:textId="71D6B53A" w:rsidR="00FA14CE" w:rsidRPr="002511D8" w:rsidRDefault="00FA14CE" w:rsidP="00B6196A">
          <w:pPr>
            <w:pStyle w:val="FooterText"/>
            <w:jc w:val="center"/>
          </w:pPr>
          <w:r>
            <w:t>PHL/bsl</w:t>
          </w:r>
        </w:p>
      </w:tc>
      <w:tc>
        <w:tcPr>
          <w:tcW w:w="589" w:type="pct"/>
          <w:shd w:val="clear" w:color="auto" w:fill="auto"/>
          <w:tcMar>
            <w:top w:w="0" w:type="dxa"/>
          </w:tcMar>
        </w:tcPr>
        <w:p w14:paraId="496302BB" w14:textId="1E6E9ECF" w:rsidR="00FA14CE" w:rsidRPr="00B310DC" w:rsidRDefault="00FA14CE" w:rsidP="00B6196A">
          <w:pPr>
            <w:pStyle w:val="FooterText"/>
            <w:jc w:val="right"/>
          </w:pPr>
          <w:r>
            <w:fldChar w:fldCharType="begin"/>
          </w:r>
          <w:r>
            <w:instrText xml:space="preserve"> PAGE  \* MERGEFORMAT </w:instrText>
          </w:r>
          <w:r>
            <w:fldChar w:fldCharType="separate"/>
          </w:r>
          <w:r>
            <w:rPr>
              <w:noProof/>
            </w:rPr>
            <w:t>0</w:t>
          </w:r>
          <w:r>
            <w:fldChar w:fldCharType="end"/>
          </w:r>
        </w:p>
      </w:tc>
    </w:tr>
    <w:tr w:rsidR="00FA14CE" w:rsidRPr="00D94637" w14:paraId="4205E575" w14:textId="77777777" w:rsidTr="009C21C5">
      <w:trPr>
        <w:jc w:val="center"/>
      </w:trPr>
      <w:tc>
        <w:tcPr>
          <w:tcW w:w="1774" w:type="pct"/>
          <w:shd w:val="clear" w:color="auto" w:fill="auto"/>
        </w:tcPr>
        <w:p w14:paraId="3EE117C6" w14:textId="4C9B3300" w:rsidR="00FA14CE" w:rsidRPr="00AD7BF2" w:rsidRDefault="00FA14CE" w:rsidP="00B6196A">
          <w:pPr>
            <w:pStyle w:val="FooterText"/>
            <w:spacing w:before="40"/>
          </w:pPr>
        </w:p>
      </w:tc>
      <w:tc>
        <w:tcPr>
          <w:tcW w:w="1455" w:type="pct"/>
          <w:gridSpan w:val="3"/>
          <w:shd w:val="clear" w:color="auto" w:fill="auto"/>
        </w:tcPr>
        <w:p w14:paraId="5C59EBDB" w14:textId="06850D6E" w:rsidR="00FA14CE" w:rsidRPr="00AD7BF2" w:rsidRDefault="00FA14CE" w:rsidP="00B6196A">
          <w:pPr>
            <w:pStyle w:val="FooterText"/>
            <w:spacing w:before="40"/>
            <w:jc w:val="center"/>
          </w:pPr>
          <w:r>
            <w:t>TREE.1.A</w:t>
          </w:r>
        </w:p>
      </w:tc>
      <w:tc>
        <w:tcPr>
          <w:tcW w:w="742" w:type="pct"/>
          <w:shd w:val="clear" w:color="auto" w:fill="auto"/>
        </w:tcPr>
        <w:p w14:paraId="00BA241A" w14:textId="33363DF3" w:rsidR="00FA14CE" w:rsidRPr="00D94637" w:rsidRDefault="00FA14CE" w:rsidP="00B6196A">
          <w:pPr>
            <w:pStyle w:val="FooterText"/>
            <w:jc w:val="center"/>
            <w:rPr>
              <w:b/>
              <w:position w:val="-4"/>
              <w:sz w:val="36"/>
            </w:rPr>
          </w:pPr>
        </w:p>
      </w:tc>
      <w:tc>
        <w:tcPr>
          <w:tcW w:w="1029" w:type="pct"/>
          <w:gridSpan w:val="2"/>
          <w:shd w:val="clear" w:color="auto" w:fill="auto"/>
        </w:tcPr>
        <w:p w14:paraId="0007B05F" w14:textId="3432F043" w:rsidR="00FA14CE" w:rsidRPr="000310C2" w:rsidRDefault="00FA14CE" w:rsidP="00B6196A">
          <w:pPr>
            <w:pStyle w:val="FooterText"/>
            <w:jc w:val="right"/>
            <w:rPr>
              <w:spacing w:val="-20"/>
              <w:sz w:val="16"/>
            </w:rPr>
          </w:pPr>
          <w:r>
            <w:rPr>
              <w:b/>
              <w:spacing w:val="-20"/>
              <w:position w:val="-4"/>
              <w:sz w:val="36"/>
            </w:rPr>
            <w:t>EN</w:t>
          </w:r>
        </w:p>
      </w:tc>
    </w:tr>
    <w:bookmarkEnd w:id="1"/>
  </w:tbl>
  <w:p w14:paraId="196399FB" w14:textId="08A5EB48" w:rsidR="00FA14CE" w:rsidRPr="009C21C5" w:rsidRDefault="00FA14CE" w:rsidP="009C21C5">
    <w:pPr>
      <w:pStyle w:val="FooterCouncil"/>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FA14CE" w:rsidRPr="00D94637" w14:paraId="02CADE4F" w14:textId="77777777" w:rsidTr="009C21C5">
      <w:trPr>
        <w:jc w:val="center"/>
      </w:trPr>
      <w:tc>
        <w:tcPr>
          <w:tcW w:w="5000" w:type="pct"/>
          <w:gridSpan w:val="7"/>
          <w:shd w:val="clear" w:color="auto" w:fill="auto"/>
          <w:tcMar>
            <w:top w:w="57" w:type="dxa"/>
          </w:tcMar>
        </w:tcPr>
        <w:p w14:paraId="62661F47" w14:textId="77777777" w:rsidR="00FA14CE" w:rsidRPr="00D94637" w:rsidRDefault="00FA14CE" w:rsidP="00B6196A">
          <w:pPr>
            <w:pStyle w:val="FooterText"/>
            <w:pBdr>
              <w:top w:val="single" w:sz="4" w:space="1" w:color="auto"/>
            </w:pBdr>
            <w:spacing w:before="200"/>
            <w:rPr>
              <w:sz w:val="2"/>
              <w:szCs w:val="2"/>
            </w:rPr>
          </w:pPr>
        </w:p>
      </w:tc>
    </w:tr>
    <w:tr w:rsidR="00FA14CE" w:rsidRPr="00B310DC" w14:paraId="2543BE5E" w14:textId="77777777" w:rsidTr="009C21C5">
      <w:trPr>
        <w:jc w:val="center"/>
      </w:trPr>
      <w:tc>
        <w:tcPr>
          <w:tcW w:w="2500" w:type="pct"/>
          <w:gridSpan w:val="2"/>
          <w:shd w:val="clear" w:color="auto" w:fill="auto"/>
          <w:tcMar>
            <w:top w:w="0" w:type="dxa"/>
          </w:tcMar>
        </w:tcPr>
        <w:p w14:paraId="3BBF2550" w14:textId="012A5724" w:rsidR="00FA14CE" w:rsidRPr="00AD7BF2" w:rsidRDefault="00FA14CE" w:rsidP="00B6196A">
          <w:pPr>
            <w:pStyle w:val="FooterText"/>
          </w:pPr>
          <w:r>
            <w:t>11624/23</w:t>
          </w:r>
          <w:r w:rsidRPr="002511D8">
            <w:t xml:space="preserve"> </w:t>
          </w:r>
        </w:p>
      </w:tc>
      <w:tc>
        <w:tcPr>
          <w:tcW w:w="625" w:type="pct"/>
          <w:shd w:val="clear" w:color="auto" w:fill="auto"/>
          <w:tcMar>
            <w:top w:w="0" w:type="dxa"/>
          </w:tcMar>
        </w:tcPr>
        <w:p w14:paraId="2F0732C7" w14:textId="77777777" w:rsidR="00FA14CE" w:rsidRPr="00AD7BF2" w:rsidRDefault="00FA14CE" w:rsidP="00B6196A">
          <w:pPr>
            <w:pStyle w:val="FooterText"/>
            <w:jc w:val="center"/>
          </w:pPr>
        </w:p>
      </w:tc>
      <w:tc>
        <w:tcPr>
          <w:tcW w:w="1286" w:type="pct"/>
          <w:gridSpan w:val="3"/>
          <w:shd w:val="clear" w:color="auto" w:fill="auto"/>
          <w:tcMar>
            <w:top w:w="0" w:type="dxa"/>
          </w:tcMar>
        </w:tcPr>
        <w:p w14:paraId="4233B610" w14:textId="317EE4DE" w:rsidR="00FA14CE" w:rsidRPr="002511D8" w:rsidRDefault="00FA14CE" w:rsidP="00B6196A">
          <w:pPr>
            <w:pStyle w:val="FooterText"/>
            <w:jc w:val="center"/>
          </w:pPr>
          <w:r>
            <w:t>PHL/bsl</w:t>
          </w:r>
        </w:p>
      </w:tc>
      <w:tc>
        <w:tcPr>
          <w:tcW w:w="589" w:type="pct"/>
          <w:shd w:val="clear" w:color="auto" w:fill="auto"/>
          <w:tcMar>
            <w:top w:w="0" w:type="dxa"/>
          </w:tcMar>
        </w:tcPr>
        <w:p w14:paraId="54DC5F60" w14:textId="50906A8A" w:rsidR="00FA14CE" w:rsidRPr="00B310DC" w:rsidRDefault="00FA14CE" w:rsidP="00B6196A">
          <w:pPr>
            <w:pStyle w:val="FooterText"/>
            <w:jc w:val="right"/>
          </w:pPr>
        </w:p>
      </w:tc>
    </w:tr>
    <w:tr w:rsidR="00FA14CE" w:rsidRPr="00D94637" w14:paraId="4C15E0D9" w14:textId="77777777" w:rsidTr="009C21C5">
      <w:trPr>
        <w:jc w:val="center"/>
      </w:trPr>
      <w:tc>
        <w:tcPr>
          <w:tcW w:w="1774" w:type="pct"/>
          <w:shd w:val="clear" w:color="auto" w:fill="auto"/>
        </w:tcPr>
        <w:p w14:paraId="32EAE37B" w14:textId="006CB770" w:rsidR="00FA14CE" w:rsidRPr="00AD7BF2" w:rsidRDefault="00FA14CE" w:rsidP="00B6196A">
          <w:pPr>
            <w:pStyle w:val="FooterText"/>
            <w:spacing w:before="40"/>
          </w:pPr>
        </w:p>
      </w:tc>
      <w:tc>
        <w:tcPr>
          <w:tcW w:w="1455" w:type="pct"/>
          <w:gridSpan w:val="3"/>
          <w:shd w:val="clear" w:color="auto" w:fill="auto"/>
        </w:tcPr>
        <w:p w14:paraId="7825BC86" w14:textId="7CE8667B" w:rsidR="00FA14CE" w:rsidRPr="00AD7BF2" w:rsidRDefault="00FA14CE" w:rsidP="00B6196A">
          <w:pPr>
            <w:pStyle w:val="FooterText"/>
            <w:spacing w:before="40"/>
            <w:jc w:val="center"/>
          </w:pPr>
          <w:r>
            <w:t>TREE.1.A</w:t>
          </w:r>
        </w:p>
      </w:tc>
      <w:tc>
        <w:tcPr>
          <w:tcW w:w="742" w:type="pct"/>
          <w:shd w:val="clear" w:color="auto" w:fill="auto"/>
        </w:tcPr>
        <w:p w14:paraId="5ABE4E86" w14:textId="15536EB3" w:rsidR="00FA14CE" w:rsidRPr="00D94637" w:rsidRDefault="00FA14CE" w:rsidP="00B6196A">
          <w:pPr>
            <w:pStyle w:val="FooterText"/>
            <w:jc w:val="center"/>
            <w:rPr>
              <w:b/>
              <w:position w:val="-4"/>
              <w:sz w:val="36"/>
            </w:rPr>
          </w:pPr>
        </w:p>
      </w:tc>
      <w:tc>
        <w:tcPr>
          <w:tcW w:w="1029" w:type="pct"/>
          <w:gridSpan w:val="2"/>
          <w:shd w:val="clear" w:color="auto" w:fill="auto"/>
        </w:tcPr>
        <w:p w14:paraId="51D74F9B" w14:textId="55068088" w:rsidR="00FA14CE" w:rsidRPr="000310C2" w:rsidRDefault="00FA14CE" w:rsidP="00B6196A">
          <w:pPr>
            <w:pStyle w:val="FooterText"/>
            <w:jc w:val="right"/>
            <w:rPr>
              <w:spacing w:val="-20"/>
              <w:sz w:val="16"/>
            </w:rPr>
          </w:pPr>
          <w:r>
            <w:rPr>
              <w:b/>
              <w:spacing w:val="-20"/>
              <w:position w:val="-4"/>
              <w:sz w:val="36"/>
            </w:rPr>
            <w:t>EN</w:t>
          </w:r>
        </w:p>
      </w:tc>
    </w:tr>
  </w:tbl>
  <w:p w14:paraId="1EC2F7EF" w14:textId="77777777" w:rsidR="00FA14CE" w:rsidRPr="009C21C5" w:rsidRDefault="00FA14CE" w:rsidP="009C21C5">
    <w:pPr>
      <w:pStyle w:val="FooterCouncil"/>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52702B" w14:textId="77777777" w:rsidR="00FA14CE" w:rsidRDefault="00FA14C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BB2332" w14:textId="77777777" w:rsidR="00FA14CE" w:rsidRPr="001F75A6" w:rsidRDefault="00FA14CE" w:rsidP="001F75A6">
    <w:pPr>
      <w:pStyle w:val="Footer"/>
      <w:rPr>
        <w:rFonts w:ascii="Arial" w:hAnsi="Arial" w:cs="Arial"/>
        <w:b/>
        <w:sz w:val="48"/>
      </w:rPr>
    </w:pPr>
    <w:r w:rsidRPr="001F75A6">
      <w:rPr>
        <w:rFonts w:ascii="Arial" w:hAnsi="Arial" w:cs="Arial"/>
        <w:b/>
        <w:sz w:val="48"/>
      </w:rPr>
      <w:t>EN</w:t>
    </w:r>
    <w:r w:rsidRPr="001F75A6">
      <w:rPr>
        <w:rFonts w:ascii="Arial" w:hAnsi="Arial" w:cs="Arial"/>
        <w:b/>
        <w:sz w:val="48"/>
      </w:rPr>
      <w:tab/>
    </w:r>
    <w:r w:rsidRPr="001F75A6">
      <w:rPr>
        <w:rFonts w:ascii="Arial" w:hAnsi="Arial" w:cs="Arial"/>
        <w:b/>
        <w:sz w:val="48"/>
      </w:rPr>
      <w:tab/>
    </w:r>
    <w:r w:rsidRPr="001F75A6">
      <w:tab/>
    </w:r>
    <w:r w:rsidRPr="001F75A6">
      <w:rPr>
        <w:rFonts w:ascii="Arial" w:hAnsi="Arial" w:cs="Arial"/>
        <w:b/>
        <w:sz w:val="48"/>
      </w:rPr>
      <w:t>EN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E16278" w14:textId="77777777" w:rsidR="00FA14CE" w:rsidRDefault="00FA14CE">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68084A" w14:textId="4537107F" w:rsidR="00FA14CE" w:rsidRPr="001F75A6" w:rsidRDefault="00FA14CE" w:rsidP="001F75A6">
    <w:pPr>
      <w:pStyle w:val="Footer"/>
      <w:rPr>
        <w:rFonts w:ascii="Arial" w:hAnsi="Arial" w:cs="Arial"/>
        <w:b/>
        <w:sz w:val="48"/>
      </w:rPr>
    </w:pPr>
    <w:r w:rsidRPr="001F75A6">
      <w:rPr>
        <w:rFonts w:ascii="Arial" w:hAnsi="Arial" w:cs="Arial"/>
        <w:b/>
        <w:sz w:val="48"/>
      </w:rPr>
      <w:t>EN</w:t>
    </w:r>
    <w:r w:rsidRPr="001F75A6">
      <w:rPr>
        <w:rFonts w:ascii="Arial" w:hAnsi="Arial" w:cs="Arial"/>
        <w:b/>
        <w:sz w:val="48"/>
      </w:rPr>
      <w:tab/>
    </w:r>
    <w:r>
      <w:fldChar w:fldCharType="begin"/>
    </w:r>
    <w:r>
      <w:instrText xml:space="preserve"> PAGE  \* MERGEFORMAT </w:instrText>
    </w:r>
    <w:r>
      <w:fldChar w:fldCharType="separate"/>
    </w:r>
    <w:r w:rsidR="00E114C7">
      <w:rPr>
        <w:noProof/>
      </w:rPr>
      <w:t>37</w:t>
    </w:r>
    <w:r>
      <w:fldChar w:fldCharType="end"/>
    </w:r>
    <w:r>
      <w:tab/>
    </w:r>
    <w:r w:rsidRPr="001F75A6">
      <w:tab/>
    </w:r>
    <w:r w:rsidRPr="001F75A6">
      <w:rPr>
        <w:rFonts w:ascii="Arial" w:hAnsi="Arial" w:cs="Arial"/>
        <w:b/>
        <w:sz w:val="48"/>
      </w:rPr>
      <w:t>EN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9744FD" w14:textId="77777777" w:rsidR="00FA14CE" w:rsidRPr="001F75A6" w:rsidRDefault="00FA14CE" w:rsidP="001F75A6">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4B434" w14:textId="2B804FBF" w:rsidR="00FA14CE" w:rsidRPr="001F75A6" w:rsidRDefault="00FA14CE" w:rsidP="001F75A6">
    <w:pPr>
      <w:pStyle w:val="FooterLandscape"/>
      <w:rPr>
        <w:rFonts w:ascii="Arial" w:hAnsi="Arial" w:cs="Arial"/>
        <w:b/>
        <w:sz w:val="48"/>
      </w:rPr>
    </w:pPr>
    <w:r w:rsidRPr="001F75A6">
      <w:rPr>
        <w:rFonts w:ascii="Arial" w:hAnsi="Arial" w:cs="Arial"/>
        <w:b/>
        <w:sz w:val="48"/>
      </w:rPr>
      <w:t>EN</w:t>
    </w:r>
    <w:r w:rsidRPr="001F75A6">
      <w:rPr>
        <w:rFonts w:ascii="Arial" w:hAnsi="Arial" w:cs="Arial"/>
        <w:b/>
        <w:sz w:val="48"/>
      </w:rPr>
      <w:tab/>
    </w:r>
    <w:r>
      <w:fldChar w:fldCharType="begin"/>
    </w:r>
    <w:r>
      <w:instrText xml:space="preserve"> PAGE  \* MERGEFORMAT </w:instrText>
    </w:r>
    <w:r>
      <w:fldChar w:fldCharType="separate"/>
    </w:r>
    <w:r w:rsidR="00E114C7">
      <w:rPr>
        <w:noProof/>
      </w:rPr>
      <w:t>13</w:t>
    </w:r>
    <w:r>
      <w:fldChar w:fldCharType="end"/>
    </w:r>
    <w:r>
      <w:tab/>
    </w:r>
    <w:r w:rsidRPr="001F75A6">
      <w:tab/>
    </w:r>
    <w:r w:rsidRPr="001F75A6">
      <w:rPr>
        <w:rFonts w:ascii="Arial" w:hAnsi="Arial" w:cs="Arial"/>
        <w:b/>
        <w:sz w:val="48"/>
      </w:rPr>
      <w:t>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9305CF" w14:textId="77777777" w:rsidR="00D6571B" w:rsidRDefault="00D6571B" w:rsidP="00BD152F">
      <w:pPr>
        <w:spacing w:before="0" w:after="0"/>
      </w:pPr>
      <w:r>
        <w:separator/>
      </w:r>
    </w:p>
  </w:footnote>
  <w:footnote w:type="continuationSeparator" w:id="0">
    <w:p w14:paraId="15DBEE80" w14:textId="77777777" w:rsidR="00D6571B" w:rsidRDefault="00D6571B" w:rsidP="00BD152F">
      <w:pPr>
        <w:spacing w:before="0" w:after="0"/>
      </w:pPr>
      <w:r>
        <w:continuationSeparator/>
      </w:r>
    </w:p>
  </w:footnote>
  <w:footnote w:type="continuationNotice" w:id="1">
    <w:p w14:paraId="4E5CA34A" w14:textId="77777777" w:rsidR="00D6571B" w:rsidRDefault="00D6571B">
      <w:pPr>
        <w:spacing w:before="0" w:after="0"/>
      </w:pPr>
    </w:p>
  </w:footnote>
  <w:footnote w:id="2">
    <w:p w14:paraId="253D051E" w14:textId="4BF0677E" w:rsidR="00FA14CE" w:rsidRPr="00B24CA9" w:rsidRDefault="00FA14CE">
      <w:pPr>
        <w:pStyle w:val="FootnoteText"/>
        <w:rPr>
          <w:lang w:val="en-US"/>
        </w:rPr>
      </w:pPr>
      <w:r>
        <w:rPr>
          <w:rStyle w:val="FootnoteReference"/>
        </w:rPr>
        <w:footnoteRef/>
      </w:r>
      <w:r>
        <w:rPr>
          <w:lang w:val="en-US"/>
        </w:rPr>
        <w:tab/>
      </w:r>
      <w:r>
        <w:t>Communication from the Commission to the European Parliament, the European Council, the European Economic and Social Committee and the Committee of the Regions on the European Green Deal, COM(2019) 640 final.</w:t>
      </w:r>
    </w:p>
  </w:footnote>
  <w:footnote w:id="3">
    <w:p w14:paraId="30FA0C84" w14:textId="77777777" w:rsidR="00FA14CE" w:rsidRPr="00B24CA9" w:rsidRDefault="00FA14CE">
      <w:pPr>
        <w:pStyle w:val="FootnoteText"/>
        <w:rPr>
          <w:lang w:val="en-US"/>
        </w:rPr>
      </w:pPr>
      <w:r>
        <w:rPr>
          <w:rStyle w:val="FootnoteReference"/>
        </w:rPr>
        <w:footnoteRef/>
      </w:r>
      <w:r>
        <w:rPr>
          <w:lang w:val="en-US"/>
        </w:rPr>
        <w:tab/>
      </w:r>
      <w:r>
        <w:t xml:space="preserve">A new Circular Economy Action Plan: For a cleaner and more competitive Europe, </w:t>
      </w:r>
      <w:r w:rsidRPr="3CEC9C0D">
        <w:rPr>
          <w:noProof/>
          <w:color w:val="333333"/>
        </w:rPr>
        <w:t>COM(2020)98 final</w:t>
      </w:r>
      <w:r w:rsidRPr="3CEC9C0D">
        <w:rPr>
          <w:noProof/>
        </w:rPr>
        <w:t xml:space="preserve"> of 11.3.2020</w:t>
      </w:r>
      <w:r>
        <w:rPr>
          <w:noProof/>
        </w:rPr>
        <w:t>.</w:t>
      </w:r>
    </w:p>
  </w:footnote>
  <w:footnote w:id="4">
    <w:p w14:paraId="03BEFBC6" w14:textId="68BDBC9D" w:rsidR="00FA14CE" w:rsidRPr="0074459E" w:rsidRDefault="00FA14CE">
      <w:pPr>
        <w:pStyle w:val="FootnoteText"/>
        <w:rPr>
          <w:lang w:val="fr-BE"/>
        </w:rPr>
      </w:pPr>
      <w:r>
        <w:rPr>
          <w:rStyle w:val="FootnoteReference"/>
        </w:rPr>
        <w:footnoteRef/>
      </w:r>
      <w:r w:rsidRPr="0074459E">
        <w:rPr>
          <w:lang w:val="fr-BE"/>
        </w:rPr>
        <w:tab/>
      </w:r>
      <w:hyperlink r:id="rId1" w:history="1">
        <w:r w:rsidRPr="009373FF">
          <w:rPr>
            <w:rStyle w:val="Hyperlink"/>
            <w:noProof/>
            <w:lang w:val="fr-BE"/>
          </w:rPr>
          <w:t>EU Transition Pathways (europa.eu)</w:t>
        </w:r>
      </w:hyperlink>
    </w:p>
  </w:footnote>
  <w:footnote w:id="5">
    <w:p w14:paraId="50CD89E9" w14:textId="77777777" w:rsidR="00FA14CE" w:rsidRPr="00E97367" w:rsidRDefault="00FA14CE" w:rsidP="00876A2B">
      <w:pPr>
        <w:pStyle w:val="FootnoteText"/>
        <w:rPr>
          <w:lang w:val="fr-BE"/>
        </w:rPr>
      </w:pPr>
      <w:r>
        <w:rPr>
          <w:rStyle w:val="FootnoteReference"/>
        </w:rPr>
        <w:footnoteRef/>
      </w:r>
      <w:r w:rsidRPr="00E97367">
        <w:rPr>
          <w:lang w:val="fr-BE"/>
        </w:rPr>
        <w:tab/>
      </w:r>
      <w:r w:rsidRPr="00E97367">
        <w:rPr>
          <w:rStyle w:val="normaltextrun"/>
          <w:color w:val="000000" w:themeColor="text1"/>
          <w:lang w:val="fr-BE"/>
        </w:rPr>
        <w:t>OJ L 312 22.11.2008, p. 3.</w:t>
      </w:r>
    </w:p>
  </w:footnote>
  <w:footnote w:id="6">
    <w:p w14:paraId="78308536" w14:textId="77777777" w:rsidR="00FA14CE" w:rsidRPr="00E97367" w:rsidRDefault="00FA14CE">
      <w:pPr>
        <w:pStyle w:val="FootnoteText"/>
        <w:rPr>
          <w:lang w:val="fr-BE"/>
        </w:rPr>
      </w:pPr>
      <w:r>
        <w:rPr>
          <w:rStyle w:val="FootnoteReference"/>
        </w:rPr>
        <w:footnoteRef/>
      </w:r>
      <w:r w:rsidRPr="00E97367">
        <w:rPr>
          <w:lang w:val="fr-BE"/>
        </w:rPr>
        <w:tab/>
      </w:r>
      <w:r w:rsidRPr="00E97367">
        <w:rPr>
          <w:rStyle w:val="normaltextrun"/>
          <w:color w:val="000000"/>
          <w:shd w:val="clear" w:color="auto" w:fill="FFFFFF"/>
          <w:lang w:val="fr-BE"/>
        </w:rPr>
        <w:t>European Environment Agency, </w:t>
      </w:r>
      <w:r w:rsidRPr="00E97367">
        <w:rPr>
          <w:rStyle w:val="normaltextrun"/>
          <w:i/>
          <w:iCs/>
          <w:color w:val="000000"/>
          <w:shd w:val="clear" w:color="auto" w:fill="FFFFFF"/>
          <w:lang w:val="fr-BE"/>
        </w:rPr>
        <w:t>Waste prevention in Europe, </w:t>
      </w:r>
      <w:r w:rsidRPr="00E97367">
        <w:rPr>
          <w:rStyle w:val="normaltextrun"/>
          <w:color w:val="000000"/>
          <w:shd w:val="clear" w:color="auto" w:fill="FFFFFF"/>
          <w:lang w:val="fr-BE"/>
        </w:rPr>
        <w:t>2021, </w:t>
      </w:r>
      <w:hyperlink r:id="rId2" w:tgtFrame="_blank" w:history="1">
        <w:r w:rsidRPr="00E97367">
          <w:rPr>
            <w:rStyle w:val="normaltextrun"/>
            <w:color w:val="0000FF"/>
            <w:u w:val="single"/>
            <w:shd w:val="clear" w:color="auto" w:fill="FFFFFF"/>
            <w:lang w:val="fr-BE"/>
          </w:rPr>
          <w:t>Waste prevention in Europe — European Environment Agency (europa.eu)</w:t>
        </w:r>
      </w:hyperlink>
    </w:p>
  </w:footnote>
  <w:footnote w:id="7">
    <w:p w14:paraId="78735316" w14:textId="77777777" w:rsidR="00FA14CE" w:rsidRPr="00E97367" w:rsidRDefault="00FA14CE">
      <w:pPr>
        <w:pStyle w:val="FootnoteText"/>
        <w:rPr>
          <w:lang w:val="fr-BE"/>
        </w:rPr>
      </w:pPr>
      <w:r>
        <w:rPr>
          <w:rStyle w:val="FootnoteReference"/>
        </w:rPr>
        <w:footnoteRef/>
      </w:r>
      <w:r w:rsidRPr="00E97367">
        <w:rPr>
          <w:lang w:val="fr-BE"/>
        </w:rPr>
        <w:tab/>
      </w:r>
      <w:r w:rsidRPr="00E97367">
        <w:rPr>
          <w:rStyle w:val="normaltextrun"/>
          <w:color w:val="000000"/>
          <w:shd w:val="clear" w:color="auto" w:fill="FFFFFF"/>
          <w:lang w:val="fr-BE"/>
        </w:rPr>
        <w:t>Lai, O., </w:t>
      </w:r>
      <w:r w:rsidRPr="00E97367">
        <w:rPr>
          <w:rStyle w:val="normaltextrun"/>
          <w:i/>
          <w:iCs/>
          <w:color w:val="000000"/>
          <w:shd w:val="clear" w:color="auto" w:fill="FFFFFF"/>
          <w:lang w:val="fr-BE"/>
        </w:rPr>
        <w:t>What is fast fashion</w:t>
      </w:r>
      <w:r w:rsidRPr="00E97367">
        <w:rPr>
          <w:rStyle w:val="normaltextrun"/>
          <w:color w:val="000000"/>
          <w:shd w:val="clear" w:color="auto" w:fill="FFFFFF"/>
          <w:lang w:val="fr-BE"/>
        </w:rPr>
        <w:t>, Earth.org, 2021, </w:t>
      </w:r>
      <w:hyperlink r:id="rId3" w:tgtFrame="_blank" w:history="1">
        <w:r w:rsidRPr="00E97367">
          <w:rPr>
            <w:rStyle w:val="normaltextrun"/>
            <w:color w:val="0000FF"/>
            <w:u w:val="single"/>
            <w:shd w:val="clear" w:color="auto" w:fill="FFFFFF"/>
            <w:lang w:val="fr-BE"/>
          </w:rPr>
          <w:t>https://earth.org/what-is-fast-fashion</w:t>
        </w:r>
      </w:hyperlink>
    </w:p>
  </w:footnote>
  <w:footnote w:id="8">
    <w:p w14:paraId="7B477789" w14:textId="77777777" w:rsidR="00FA14CE" w:rsidRPr="0097087E" w:rsidRDefault="00FA14CE">
      <w:pPr>
        <w:pStyle w:val="FootnoteText"/>
        <w:rPr>
          <w:lang w:val="en-US"/>
        </w:rPr>
      </w:pPr>
      <w:r>
        <w:rPr>
          <w:rStyle w:val="FootnoteReference"/>
        </w:rPr>
        <w:footnoteRef/>
      </w:r>
      <w:r>
        <w:rPr>
          <w:lang w:val="en-US"/>
        </w:rPr>
        <w:tab/>
      </w:r>
      <w:r>
        <w:rPr>
          <w:rStyle w:val="normaltextrun"/>
          <w:color w:val="000000"/>
          <w:bdr w:val="none" w:sz="0" w:space="0" w:color="auto" w:frame="1"/>
        </w:rPr>
        <w:t>Stakeholder workshop.</w:t>
      </w:r>
    </w:p>
  </w:footnote>
  <w:footnote w:id="9">
    <w:p w14:paraId="7FC1CF68" w14:textId="77777777" w:rsidR="00FA14CE" w:rsidRPr="0097087E" w:rsidRDefault="00FA14CE">
      <w:pPr>
        <w:pStyle w:val="FootnoteText"/>
        <w:rPr>
          <w:lang w:val="en-US"/>
        </w:rPr>
      </w:pPr>
      <w:r>
        <w:rPr>
          <w:rStyle w:val="FootnoteReference"/>
        </w:rPr>
        <w:footnoteRef/>
      </w:r>
      <w:r>
        <w:rPr>
          <w:lang w:val="en-US"/>
        </w:rPr>
        <w:tab/>
      </w:r>
      <w:r>
        <w:rPr>
          <w:rStyle w:val="normaltextrun"/>
          <w:color w:val="000000"/>
          <w:shd w:val="clear" w:color="auto" w:fill="FFFFFF"/>
        </w:rPr>
        <w:t>European Commission, Joint Research Centre, 2021, </w:t>
      </w:r>
      <w:hyperlink r:id="rId4" w:tgtFrame="_blank" w:history="1">
        <w:r>
          <w:rPr>
            <w:rStyle w:val="normaltextrun"/>
            <w:color w:val="0000FF"/>
            <w:u w:val="single"/>
            <w:shd w:val="clear" w:color="auto" w:fill="FFFFFF"/>
          </w:rPr>
          <w:t>https://data.europa.eu/doi/10.2760/858144</w:t>
        </w:r>
      </w:hyperlink>
      <w:r>
        <w:rPr>
          <w:rStyle w:val="normaltextrun"/>
          <w:color w:val="000000"/>
          <w:shd w:val="clear" w:color="auto" w:fill="FFFFFF"/>
        </w:rPr>
        <w:t>.</w:t>
      </w:r>
    </w:p>
  </w:footnote>
  <w:footnote w:id="10">
    <w:p w14:paraId="493EC6BC" w14:textId="77777777" w:rsidR="00FA14CE" w:rsidRPr="00B24CA9" w:rsidRDefault="00FA14CE">
      <w:pPr>
        <w:pStyle w:val="FootnoteText"/>
        <w:rPr>
          <w:lang w:val="en-US"/>
        </w:rPr>
      </w:pPr>
      <w:r>
        <w:rPr>
          <w:rStyle w:val="FootnoteReference"/>
        </w:rPr>
        <w:footnoteRef/>
      </w:r>
      <w:r>
        <w:rPr>
          <w:lang w:val="en-US"/>
        </w:rPr>
        <w:tab/>
      </w:r>
      <w:r w:rsidRPr="00BC647A">
        <w:t xml:space="preserve">European Commission, </w:t>
      </w:r>
      <w:r w:rsidRPr="00BC647A">
        <w:rPr>
          <w:lang w:val="en-IE"/>
        </w:rPr>
        <w:t xml:space="preserve">Joint Research Centre. </w:t>
      </w:r>
      <w:r w:rsidRPr="00BC647A">
        <w:rPr>
          <w:i/>
          <w:lang w:val="en-IE"/>
        </w:rPr>
        <w:t>Techno-scientific assessment of the management options for used and waste textiles</w:t>
      </w:r>
      <w:r w:rsidRPr="00BC647A">
        <w:rPr>
          <w:lang w:val="en-IE"/>
        </w:rPr>
        <w:t>. 2023 (under development)</w:t>
      </w:r>
    </w:p>
  </w:footnote>
  <w:footnote w:id="11">
    <w:p w14:paraId="085B012D" w14:textId="77777777" w:rsidR="00FA14CE" w:rsidRPr="0087161A" w:rsidRDefault="00FA14CE">
      <w:pPr>
        <w:pStyle w:val="FootnoteText"/>
        <w:rPr>
          <w:lang w:val="en-US"/>
        </w:rPr>
      </w:pPr>
      <w:r>
        <w:rPr>
          <w:rStyle w:val="FootnoteReference"/>
        </w:rPr>
        <w:footnoteRef/>
      </w:r>
      <w:r>
        <w:rPr>
          <w:lang w:val="en-US"/>
        </w:rPr>
        <w:tab/>
      </w:r>
      <w:r w:rsidRPr="0087161A">
        <w:rPr>
          <w:rStyle w:val="normaltextrun"/>
          <w:shd w:val="clear" w:color="auto" w:fill="FFFFFF"/>
        </w:rPr>
        <w:t>European Commission, Joint Research Centre. </w:t>
      </w:r>
      <w:r w:rsidRPr="0087161A">
        <w:rPr>
          <w:rStyle w:val="normaltextrun"/>
          <w:i/>
          <w:iCs/>
          <w:shd w:val="clear" w:color="auto" w:fill="FFFFFF"/>
        </w:rPr>
        <w:t>Techno-scientific assessment of the management options for used and waste textiles</w:t>
      </w:r>
      <w:r w:rsidRPr="0087161A">
        <w:rPr>
          <w:rStyle w:val="normaltextrun"/>
          <w:shd w:val="clear" w:color="auto" w:fill="FFFFFF"/>
        </w:rPr>
        <w:t>. 2023 (under development).</w:t>
      </w:r>
    </w:p>
  </w:footnote>
  <w:footnote w:id="12">
    <w:p w14:paraId="2648DDE3" w14:textId="77777777" w:rsidR="00FA14CE" w:rsidRPr="00770D83" w:rsidRDefault="00FA14CE">
      <w:pPr>
        <w:pStyle w:val="FootnoteText"/>
        <w:rPr>
          <w:lang w:val="en-US"/>
        </w:rPr>
      </w:pPr>
      <w:r>
        <w:rPr>
          <w:rStyle w:val="FootnoteReference"/>
        </w:rPr>
        <w:footnoteRef/>
      </w:r>
      <w:r>
        <w:rPr>
          <w:lang w:val="en-US"/>
        </w:rPr>
        <w:tab/>
      </w:r>
      <w:r>
        <w:rPr>
          <w:rStyle w:val="normaltextrun"/>
          <w:color w:val="000000"/>
          <w:bdr w:val="none" w:sz="0" w:space="0" w:color="auto" w:frame="1"/>
        </w:rPr>
        <w:t>European Environment Agency, 2019.</w:t>
      </w:r>
    </w:p>
  </w:footnote>
  <w:footnote w:id="13">
    <w:p w14:paraId="54750C54" w14:textId="77777777" w:rsidR="00FA14CE" w:rsidRPr="00770D83" w:rsidRDefault="00FA14CE">
      <w:pPr>
        <w:pStyle w:val="FootnoteText"/>
        <w:rPr>
          <w:lang w:val="en-US"/>
        </w:rPr>
      </w:pPr>
      <w:r>
        <w:rPr>
          <w:rStyle w:val="FootnoteReference"/>
        </w:rPr>
        <w:footnoteRef/>
      </w:r>
      <w:r>
        <w:rPr>
          <w:lang w:val="en-US"/>
        </w:rPr>
        <w:tab/>
      </w:r>
      <w:r>
        <w:rPr>
          <w:rStyle w:val="normaltextrun"/>
          <w:color w:val="000000"/>
          <w:shd w:val="clear" w:color="auto" w:fill="FFFFFF"/>
        </w:rPr>
        <w:t>EEA. Textiles and the environment: the role of design in Europe’s circular economy (2022). Available at: https://www.eea.europa.eu/publications/textiles-and-the-environment-the.</w:t>
      </w:r>
    </w:p>
  </w:footnote>
  <w:footnote w:id="14">
    <w:p w14:paraId="2966DB91" w14:textId="77777777" w:rsidR="00FA14CE" w:rsidRPr="00770D83" w:rsidRDefault="00FA14CE">
      <w:pPr>
        <w:pStyle w:val="FootnoteText"/>
        <w:rPr>
          <w:lang w:val="en-US"/>
        </w:rPr>
      </w:pPr>
      <w:r>
        <w:rPr>
          <w:rStyle w:val="FootnoteReference"/>
        </w:rPr>
        <w:footnoteRef/>
      </w:r>
      <w:r>
        <w:rPr>
          <w:lang w:val="en-US"/>
        </w:rPr>
        <w:tab/>
      </w:r>
      <w:r>
        <w:rPr>
          <w:rStyle w:val="normaltextrun"/>
          <w:color w:val="000000"/>
          <w:shd w:val="clear" w:color="auto" w:fill="FFFFFF"/>
        </w:rPr>
        <w:t>Ellen Mac Arthur Foundation, 2017, </w:t>
      </w:r>
      <w:r>
        <w:rPr>
          <w:rStyle w:val="normaltextrun"/>
          <w:color w:val="0000FF"/>
          <w:u w:val="single"/>
          <w:shd w:val="clear" w:color="auto" w:fill="FFFFFF"/>
        </w:rPr>
        <w:t>https://ellenmacarthurfoundation.org/a-new-textiles-economy.</w:t>
      </w:r>
    </w:p>
  </w:footnote>
  <w:footnote w:id="15">
    <w:p w14:paraId="6A02167A" w14:textId="77777777" w:rsidR="00FA14CE" w:rsidRPr="00770D83" w:rsidRDefault="00FA14CE">
      <w:pPr>
        <w:pStyle w:val="FootnoteText"/>
        <w:rPr>
          <w:lang w:val="en-US"/>
        </w:rPr>
      </w:pPr>
      <w:r>
        <w:rPr>
          <w:rStyle w:val="FootnoteReference"/>
        </w:rPr>
        <w:footnoteRef/>
      </w:r>
      <w:r>
        <w:rPr>
          <w:lang w:val="en-US"/>
        </w:rPr>
        <w:tab/>
      </w:r>
      <w:r>
        <w:rPr>
          <w:rStyle w:val="normaltextrun"/>
          <w:color w:val="000000"/>
          <w:shd w:val="clear" w:color="auto" w:fill="FFFFFF"/>
        </w:rPr>
        <w:t>The waste hierarchy is a central concept in the WFD that establishes an order of preference for managing and disposing of waste: prevention first (including re-use) followed by waste management operations: preparing for re-use, recycling, recovery and last disposal. It is operationalised through specific rules and performance targets, such as setting separate collection obligations and targets for prevention, recycling or diversion from landfill.</w:t>
      </w:r>
    </w:p>
  </w:footnote>
  <w:footnote w:id="16">
    <w:p w14:paraId="6D252720" w14:textId="77777777" w:rsidR="00FA14CE" w:rsidRPr="00E97367" w:rsidRDefault="00FA14CE">
      <w:pPr>
        <w:pStyle w:val="FootnoteText"/>
        <w:rPr>
          <w:lang w:val="pt-PT"/>
        </w:rPr>
      </w:pPr>
      <w:r>
        <w:rPr>
          <w:rStyle w:val="FootnoteReference"/>
        </w:rPr>
        <w:footnoteRef/>
      </w:r>
      <w:r w:rsidRPr="00E97367">
        <w:rPr>
          <w:lang w:val="pt-PT"/>
        </w:rPr>
        <w:tab/>
      </w:r>
      <w:r w:rsidRPr="00E97367">
        <w:rPr>
          <w:rStyle w:val="normaltextrun"/>
          <w:color w:val="000000"/>
          <w:bdr w:val="none" w:sz="0" w:space="0" w:color="auto" w:frame="1"/>
          <w:lang w:val="pt-PT"/>
        </w:rPr>
        <w:t>COM(2020)98 final.</w:t>
      </w:r>
    </w:p>
  </w:footnote>
  <w:footnote w:id="17">
    <w:p w14:paraId="455AEA8A" w14:textId="77777777" w:rsidR="00FA14CE" w:rsidRPr="00E97367" w:rsidRDefault="00FA14CE">
      <w:pPr>
        <w:pStyle w:val="FootnoteText"/>
        <w:rPr>
          <w:lang w:val="pt-PT"/>
        </w:rPr>
      </w:pPr>
      <w:r>
        <w:rPr>
          <w:rStyle w:val="FootnoteReference"/>
        </w:rPr>
        <w:footnoteRef/>
      </w:r>
      <w:r w:rsidRPr="00E97367">
        <w:rPr>
          <w:lang w:val="pt-PT"/>
        </w:rPr>
        <w:tab/>
      </w:r>
      <w:r w:rsidRPr="00E97367">
        <w:rPr>
          <w:rStyle w:val="normaltextrun"/>
          <w:color w:val="000000"/>
          <w:bdr w:val="none" w:sz="0" w:space="0" w:color="auto" w:frame="1"/>
          <w:lang w:val="pt-PT"/>
        </w:rPr>
        <w:t>COM(2022)141 final.</w:t>
      </w:r>
    </w:p>
  </w:footnote>
  <w:footnote w:id="18">
    <w:p w14:paraId="4BE489F9" w14:textId="77777777" w:rsidR="00FA14CE" w:rsidRPr="00FD1AD5" w:rsidRDefault="00FA14CE">
      <w:pPr>
        <w:pStyle w:val="FootnoteText"/>
        <w:rPr>
          <w:lang w:val="en-US"/>
        </w:rPr>
      </w:pPr>
      <w:r>
        <w:rPr>
          <w:rStyle w:val="FootnoteReference"/>
        </w:rPr>
        <w:footnoteRef/>
      </w:r>
      <w:r w:rsidRPr="00E97367">
        <w:rPr>
          <w:lang w:val="pt-PT"/>
        </w:rPr>
        <w:tab/>
      </w:r>
      <w:r w:rsidRPr="00E97367">
        <w:rPr>
          <w:rStyle w:val="normaltextrun"/>
          <w:color w:val="000000"/>
          <w:shd w:val="clear" w:color="auto" w:fill="FFFFFF"/>
          <w:lang w:val="pt-PT"/>
        </w:rPr>
        <w:t xml:space="preserve">Sanye Mengual, E. and Sala, S., 2023. </w:t>
      </w:r>
      <w:r w:rsidRPr="0072285E">
        <w:rPr>
          <w:rStyle w:val="normaltextrun"/>
          <w:i/>
          <w:iCs/>
          <w:color w:val="000000"/>
          <w:shd w:val="clear" w:color="auto" w:fill="FFFFFF"/>
        </w:rPr>
        <w:t>Consumption Footprint and Domestic Footprint: Assessing the environmental impacts of EU consumption and production</w:t>
      </w:r>
      <w:r>
        <w:rPr>
          <w:rStyle w:val="normaltextrun"/>
          <w:color w:val="000000"/>
          <w:shd w:val="clear" w:color="auto" w:fill="FFFFFF"/>
        </w:rPr>
        <w:t>.</w:t>
      </w:r>
      <w:r w:rsidRPr="00FD1AD5">
        <w:rPr>
          <w:lang w:val="en-US"/>
        </w:rPr>
        <w:t xml:space="preserve"> </w:t>
      </w:r>
    </w:p>
  </w:footnote>
  <w:footnote w:id="19">
    <w:p w14:paraId="198DE722" w14:textId="77777777" w:rsidR="00FA14CE" w:rsidRPr="00F8462C" w:rsidRDefault="00FA14CE">
      <w:pPr>
        <w:pStyle w:val="FootnoteText"/>
        <w:rPr>
          <w:lang w:val="en-US"/>
        </w:rPr>
      </w:pPr>
      <w:r>
        <w:rPr>
          <w:rStyle w:val="FootnoteReference"/>
        </w:rPr>
        <w:footnoteRef/>
      </w:r>
      <w:r w:rsidRPr="00E97367">
        <w:rPr>
          <w:lang w:val="en-US"/>
        </w:rPr>
        <w:tab/>
      </w:r>
      <w:r w:rsidRPr="00E97367">
        <w:rPr>
          <w:rStyle w:val="normaltextrun"/>
          <w:color w:val="000000"/>
          <w:shd w:val="clear" w:color="auto" w:fill="FFFFFF"/>
          <w:lang w:val="en-US"/>
        </w:rPr>
        <w:t xml:space="preserve">Sanyé-Mengual, E., Biganzoli, F., Valente, A., Pfister, S., &amp; Sala, S. (2023). </w:t>
      </w:r>
      <w:r w:rsidRPr="007226C8">
        <w:rPr>
          <w:rStyle w:val="normaltextrun"/>
          <w:i/>
          <w:iCs/>
          <w:color w:val="000000"/>
          <w:shd w:val="clear" w:color="auto" w:fill="FFFFFF"/>
          <w:lang w:val="en-IE"/>
        </w:rPr>
        <w:t>What are the main environmental impacts and products contributing to the biodiversity footprint of EU consumption? A comparison of life cycle impact assessment methods and models</w:t>
      </w:r>
      <w:r>
        <w:t>.</w:t>
      </w:r>
    </w:p>
  </w:footnote>
  <w:footnote w:id="20">
    <w:p w14:paraId="73E8B660" w14:textId="77777777" w:rsidR="00FA14CE" w:rsidRPr="00F8462C" w:rsidRDefault="00FA14CE">
      <w:pPr>
        <w:pStyle w:val="FootnoteText"/>
        <w:rPr>
          <w:lang w:val="en-US"/>
        </w:rPr>
      </w:pPr>
      <w:r>
        <w:rPr>
          <w:rStyle w:val="FootnoteReference"/>
        </w:rPr>
        <w:footnoteRef/>
      </w:r>
      <w:r>
        <w:rPr>
          <w:lang w:val="en-US"/>
        </w:rPr>
        <w:tab/>
      </w:r>
      <w:hyperlink r:id="rId5" w:tgtFrame="_blank" w:history="1">
        <w:r>
          <w:rPr>
            <w:rStyle w:val="normaltextrun"/>
            <w:color w:val="0000FF"/>
            <w:u w:val="single"/>
            <w:shd w:val="clear" w:color="auto" w:fill="FFFFFF"/>
          </w:rPr>
          <w:t>https://ec.europa.eu/eurostat/databrowser/view/env_wasfw/default/table?lang=en</w:t>
        </w:r>
      </w:hyperlink>
    </w:p>
  </w:footnote>
  <w:footnote w:id="21">
    <w:p w14:paraId="41A97577" w14:textId="77777777" w:rsidR="00FA14CE" w:rsidRPr="00F8462C" w:rsidRDefault="00FA14CE">
      <w:pPr>
        <w:pStyle w:val="FootnoteText"/>
        <w:rPr>
          <w:lang w:val="en-US"/>
        </w:rPr>
      </w:pPr>
      <w:r>
        <w:rPr>
          <w:rStyle w:val="FootnoteReference"/>
        </w:rPr>
        <w:footnoteRef/>
      </w:r>
      <w:r>
        <w:rPr>
          <w:lang w:val="en-US"/>
        </w:rPr>
        <w:tab/>
      </w:r>
      <w:r>
        <w:rPr>
          <w:rStyle w:val="normaltextrun"/>
          <w:color w:val="000000"/>
          <w:shd w:val="clear" w:color="auto" w:fill="FFFFFF"/>
        </w:rPr>
        <w:t>Calculated using the Consumption Footprint methodology, as presented in: European Commission, Joint Research Centre, Sanyé Mengual, E., Sala, S., </w:t>
      </w:r>
      <w:r>
        <w:rPr>
          <w:rStyle w:val="normaltextrun"/>
          <w:i/>
          <w:iCs/>
          <w:color w:val="000000"/>
          <w:shd w:val="clear" w:color="auto" w:fill="FFFFFF"/>
        </w:rPr>
        <w:t>Consumption footprint and domestic footprint: assessing the environmental impacts of EU consumption and production: life cycle assessment to support the European Green Deal</w:t>
      </w:r>
      <w:r>
        <w:rPr>
          <w:rStyle w:val="normaltextrun"/>
          <w:color w:val="000000"/>
          <w:shd w:val="clear" w:color="auto" w:fill="FFFFFF"/>
        </w:rPr>
        <w:t>, Publications Office of the European Union, 2023, https://data.europa.eu/doi/10.2760/218540.</w:t>
      </w:r>
    </w:p>
  </w:footnote>
  <w:footnote w:id="22">
    <w:p w14:paraId="1D0C21FC" w14:textId="77777777" w:rsidR="00FA14CE" w:rsidRPr="00F8462C" w:rsidRDefault="00FA14CE">
      <w:pPr>
        <w:pStyle w:val="FootnoteText"/>
        <w:rPr>
          <w:lang w:val="en-US"/>
        </w:rPr>
      </w:pPr>
      <w:r>
        <w:rPr>
          <w:rStyle w:val="FootnoteReference"/>
        </w:rPr>
        <w:footnoteRef/>
      </w:r>
      <w:r>
        <w:rPr>
          <w:lang w:val="en-US"/>
        </w:rPr>
        <w:tab/>
      </w:r>
      <w:r>
        <w:rPr>
          <w:rStyle w:val="normaltextrun"/>
          <w:color w:val="000000"/>
          <w:shd w:val="clear" w:color="auto" w:fill="FFFFFF"/>
        </w:rPr>
        <w:t>A m</w:t>
      </w:r>
      <w:r>
        <w:rPr>
          <w:rStyle w:val="normaltextrun"/>
          <w:color w:val="000000"/>
          <w:sz w:val="16"/>
          <w:szCs w:val="16"/>
          <w:shd w:val="clear" w:color="auto" w:fill="FFFFFF"/>
          <w:vertAlign w:val="superscript"/>
        </w:rPr>
        <w:t>3</w:t>
      </w:r>
      <w:r>
        <w:rPr>
          <w:rStyle w:val="normaltextrun"/>
          <w:color w:val="000000"/>
          <w:shd w:val="clear" w:color="auto" w:fill="FFFFFF"/>
        </w:rPr>
        <w:t>-world eq. represents a cubic meter consumed on average in the world. The average refers to a consumption-weighted average, and hence represents the locations where water is currently consumed.</w:t>
      </w:r>
    </w:p>
  </w:footnote>
  <w:footnote w:id="23">
    <w:p w14:paraId="75808C85" w14:textId="77777777" w:rsidR="00FA14CE" w:rsidRPr="00F8462C" w:rsidRDefault="00FA14CE">
      <w:pPr>
        <w:pStyle w:val="FootnoteText"/>
        <w:rPr>
          <w:lang w:val="en-US"/>
        </w:rPr>
      </w:pPr>
      <w:r>
        <w:rPr>
          <w:rStyle w:val="FootnoteReference"/>
        </w:rPr>
        <w:footnoteRef/>
      </w:r>
      <w:r>
        <w:rPr>
          <w:lang w:val="en-US"/>
        </w:rPr>
        <w:tab/>
      </w:r>
      <w:r>
        <w:rPr>
          <w:rStyle w:val="normaltextrun"/>
          <w:color w:val="000000"/>
          <w:shd w:val="clear" w:color="auto" w:fill="FFFFFF"/>
        </w:rPr>
        <w:t>Assessed considering impacts on four soil properties: biotic production, erosion resistance, groundwater regeneration and mechanical filtration, as presented in: De Laurentiis, V., Secchi, M., Bos, U., Horn, R., Laurent, A. and Sala, S., Soil quality index: </w:t>
      </w:r>
      <w:r>
        <w:rPr>
          <w:rStyle w:val="normaltextrun"/>
          <w:i/>
          <w:iCs/>
          <w:color w:val="000000"/>
          <w:shd w:val="clear" w:color="auto" w:fill="FFFFFF"/>
        </w:rPr>
        <w:t>Exploring options for a comprehensive assessment of land use impacts in LCA</w:t>
      </w:r>
      <w:r>
        <w:rPr>
          <w:rStyle w:val="normaltextrun"/>
          <w:color w:val="000000"/>
          <w:shd w:val="clear" w:color="auto" w:fill="FFFFFF"/>
        </w:rPr>
        <w:t>, Journal of Cleaner Production, 215, pp.63-74, 2019.</w:t>
      </w:r>
    </w:p>
  </w:footnote>
  <w:footnote w:id="24">
    <w:p w14:paraId="5F9BD18F" w14:textId="77777777" w:rsidR="00FA14CE" w:rsidRPr="00C24FD0" w:rsidRDefault="00FA14CE">
      <w:pPr>
        <w:pStyle w:val="FootnoteText"/>
        <w:rPr>
          <w:lang w:val="en-US"/>
        </w:rPr>
      </w:pPr>
      <w:r>
        <w:rPr>
          <w:rStyle w:val="FootnoteReference"/>
        </w:rPr>
        <w:footnoteRef/>
      </w:r>
      <w:r>
        <w:rPr>
          <w:lang w:val="en-US"/>
        </w:rPr>
        <w:tab/>
      </w:r>
      <w:r>
        <w:rPr>
          <w:rStyle w:val="normaltextrun"/>
          <w:color w:val="000000"/>
          <w:bdr w:val="none" w:sz="0" w:space="0" w:color="auto" w:frame="1"/>
        </w:rPr>
        <w:t>The Consumption Footprint covers the 16 impact categories of the Environmental Footprint (European Commission, 2021) including freshwater eutrophication which is caused mainly by phosphorous emissions.</w:t>
      </w:r>
    </w:p>
  </w:footnote>
  <w:footnote w:id="25">
    <w:p w14:paraId="77C355E7" w14:textId="77777777" w:rsidR="00FA14CE" w:rsidRPr="00C24FD0" w:rsidRDefault="00FA14CE">
      <w:pPr>
        <w:pStyle w:val="FootnoteText"/>
        <w:rPr>
          <w:lang w:val="en-US"/>
        </w:rPr>
      </w:pPr>
      <w:r>
        <w:rPr>
          <w:rStyle w:val="FootnoteReference"/>
        </w:rPr>
        <w:footnoteRef/>
      </w:r>
      <w:r>
        <w:rPr>
          <w:lang w:val="en-US"/>
        </w:rPr>
        <w:tab/>
      </w:r>
      <w:r>
        <w:rPr>
          <w:rStyle w:val="normaltextrun"/>
          <w:color w:val="000000"/>
          <w:shd w:val="clear" w:color="auto" w:fill="FFFFFF"/>
        </w:rPr>
        <w:t>OJ L 471, 30.12.2021, p. 1–396.</w:t>
      </w:r>
    </w:p>
  </w:footnote>
  <w:footnote w:id="26">
    <w:p w14:paraId="1BC381E5" w14:textId="77777777" w:rsidR="00FA14CE" w:rsidRPr="00C24FD0" w:rsidRDefault="00FA14CE">
      <w:pPr>
        <w:pStyle w:val="FootnoteText"/>
        <w:rPr>
          <w:lang w:val="en-US"/>
        </w:rPr>
      </w:pPr>
      <w:r>
        <w:rPr>
          <w:rStyle w:val="FootnoteReference"/>
        </w:rPr>
        <w:footnoteRef/>
      </w:r>
      <w:r>
        <w:rPr>
          <w:lang w:val="en-US"/>
        </w:rPr>
        <w:tab/>
      </w:r>
      <w:r>
        <w:rPr>
          <w:rStyle w:val="normaltextrun"/>
          <w:color w:val="000000"/>
          <w:shd w:val="clear" w:color="auto" w:fill="FFFFFF"/>
        </w:rPr>
        <w:t>Eurostat, 2022 (see note 92, page 32).</w:t>
      </w:r>
    </w:p>
  </w:footnote>
  <w:footnote w:id="27">
    <w:p w14:paraId="365AF526" w14:textId="77777777" w:rsidR="00FA14CE" w:rsidRPr="00C24FD0" w:rsidRDefault="00FA14CE">
      <w:pPr>
        <w:pStyle w:val="FootnoteText"/>
        <w:rPr>
          <w:lang w:val="en-US"/>
        </w:rPr>
      </w:pPr>
      <w:r>
        <w:rPr>
          <w:rStyle w:val="FootnoteReference"/>
        </w:rPr>
        <w:footnoteRef/>
      </w:r>
      <w:r>
        <w:rPr>
          <w:lang w:val="en-US"/>
        </w:rPr>
        <w:tab/>
      </w:r>
      <w:r>
        <w:rPr>
          <w:rStyle w:val="normaltextrun"/>
          <w:color w:val="000000"/>
          <w:shd w:val="clear" w:color="auto" w:fill="FFFFFF"/>
        </w:rPr>
        <w:t>Manfredi, S., &amp; Cristobal, J., </w:t>
      </w:r>
      <w:r>
        <w:rPr>
          <w:rStyle w:val="normaltextrun"/>
          <w:i/>
          <w:iCs/>
          <w:color w:val="000000"/>
          <w:shd w:val="clear" w:color="auto" w:fill="FFFFFF"/>
        </w:rPr>
        <w:t>Towards more sustainable management of European food waste: Methodological approach and numerical application</w:t>
      </w:r>
      <w:r>
        <w:rPr>
          <w:rStyle w:val="normaltextrun"/>
          <w:color w:val="000000"/>
          <w:shd w:val="clear" w:color="auto" w:fill="FFFFFF"/>
        </w:rPr>
        <w:t>. Waste Management and Research, 34(9), 957–968, 2016, https://doi.org/10.1177/0734242X16652965.</w:t>
      </w:r>
    </w:p>
  </w:footnote>
  <w:footnote w:id="28">
    <w:p w14:paraId="5A7B8D2B" w14:textId="77777777" w:rsidR="00FA14CE" w:rsidRPr="00C24FD0" w:rsidRDefault="00FA14CE">
      <w:pPr>
        <w:pStyle w:val="FootnoteText"/>
        <w:rPr>
          <w:lang w:val="en-US"/>
        </w:rPr>
      </w:pPr>
      <w:r>
        <w:rPr>
          <w:rStyle w:val="FootnoteReference"/>
        </w:rPr>
        <w:footnoteRef/>
      </w:r>
      <w:r>
        <w:rPr>
          <w:lang w:val="en-US"/>
        </w:rPr>
        <w:tab/>
      </w:r>
      <w:r>
        <w:rPr>
          <w:rStyle w:val="normaltextrun"/>
          <w:color w:val="000000"/>
          <w:shd w:val="clear" w:color="auto" w:fill="FFFFFF"/>
        </w:rPr>
        <w:t>European Commission, Directorate-General for Agriculture and Rural Development</w:t>
      </w:r>
      <w:r>
        <w:rPr>
          <w:rStyle w:val="normaltextrun"/>
          <w:i/>
          <w:iCs/>
          <w:color w:val="000000"/>
          <w:shd w:val="clear" w:color="auto" w:fill="FFFFFF"/>
        </w:rPr>
        <w:t>, EU agricultural outlook for markets, income and environment 2022-2032</w:t>
      </w:r>
      <w:r>
        <w:rPr>
          <w:rStyle w:val="normaltextrun"/>
          <w:color w:val="000000"/>
          <w:shd w:val="clear" w:color="auto" w:fill="FFFFFF"/>
        </w:rPr>
        <w:t>, Publications Office of the European Union, 2023, p. 43. </w:t>
      </w:r>
      <w:r w:rsidRPr="0072285E">
        <w:rPr>
          <w:rStyle w:val="normaltextrun"/>
          <w:shd w:val="clear" w:color="auto" w:fill="FFFFFF"/>
        </w:rPr>
        <w:t>https://data.europa.eu/doi/10.2762/29222</w:t>
      </w:r>
      <w:r>
        <w:rPr>
          <w:rStyle w:val="normaltextrun"/>
          <w:color w:val="000000"/>
          <w:shd w:val="clear" w:color="auto" w:fill="FFFFFF"/>
        </w:rPr>
        <w:t>. Note: very small variation (less than 1%), because of slightly different MAGNET baseline used.</w:t>
      </w:r>
    </w:p>
  </w:footnote>
  <w:footnote w:id="29">
    <w:p w14:paraId="50E386B5" w14:textId="77777777" w:rsidR="00FA14CE" w:rsidRPr="00C24FD0" w:rsidRDefault="00FA14CE">
      <w:pPr>
        <w:pStyle w:val="FootnoteText"/>
        <w:rPr>
          <w:lang w:val="en-US"/>
        </w:rPr>
      </w:pPr>
      <w:r>
        <w:rPr>
          <w:rStyle w:val="FootnoteReference"/>
        </w:rPr>
        <w:footnoteRef/>
      </w:r>
      <w:r>
        <w:rPr>
          <w:lang w:val="en-US"/>
        </w:rPr>
        <w:tab/>
      </w:r>
      <w:r>
        <w:rPr>
          <w:rStyle w:val="normaltextrun"/>
          <w:color w:val="000000"/>
          <w:shd w:val="clear" w:color="auto" w:fill="FFFFFF"/>
        </w:rPr>
        <w:t>Eurostat, October 2022. </w:t>
      </w:r>
      <w:r w:rsidRPr="0072285E">
        <w:rPr>
          <w:rStyle w:val="normaltextrun"/>
          <w:i/>
          <w:iCs/>
          <w:shd w:val="clear" w:color="auto" w:fill="FFFFFF"/>
        </w:rPr>
        <w:t>Living conditions in Europe - material deprivation and economic strain - Statistics Explained</w:t>
      </w:r>
    </w:p>
  </w:footnote>
  <w:footnote w:id="30">
    <w:p w14:paraId="43B3B0A9" w14:textId="77777777" w:rsidR="00FA14CE" w:rsidRPr="00C24FD0" w:rsidRDefault="00FA14CE">
      <w:pPr>
        <w:pStyle w:val="FootnoteText"/>
        <w:rPr>
          <w:lang w:val="en-US"/>
        </w:rPr>
      </w:pPr>
      <w:r>
        <w:rPr>
          <w:rStyle w:val="FootnoteReference"/>
        </w:rPr>
        <w:footnoteRef/>
      </w:r>
      <w:r>
        <w:rPr>
          <w:lang w:val="en-US"/>
        </w:rPr>
        <w:tab/>
      </w:r>
      <w:r>
        <w:rPr>
          <w:rStyle w:val="normaltextrun"/>
          <w:color w:val="000000"/>
          <w:shd w:val="clear" w:color="auto" w:fill="FFFFFF"/>
        </w:rPr>
        <w:t>The need to ensure access to food and solidarity in the food supply chain is also highlighted in the recommendations of the European citizens’ panel on food waste. For the complete set of recommendations, see Annex 16 of the Impact Assessment Report.</w:t>
      </w:r>
    </w:p>
  </w:footnote>
  <w:footnote w:id="31">
    <w:p w14:paraId="5F8D143E" w14:textId="77777777" w:rsidR="00FA14CE" w:rsidRPr="00E97367" w:rsidRDefault="00FA14CE">
      <w:pPr>
        <w:pStyle w:val="FootnoteText"/>
        <w:rPr>
          <w:lang w:val="pt-PT"/>
        </w:rPr>
      </w:pPr>
      <w:r>
        <w:rPr>
          <w:rStyle w:val="FootnoteReference"/>
        </w:rPr>
        <w:footnoteRef/>
      </w:r>
      <w:r w:rsidRPr="00E97367">
        <w:rPr>
          <w:lang w:val="pt-PT"/>
        </w:rPr>
        <w:tab/>
        <w:t>COM(2020)381 final</w:t>
      </w:r>
    </w:p>
  </w:footnote>
  <w:footnote w:id="32">
    <w:p w14:paraId="424E67FD" w14:textId="77777777" w:rsidR="00FA14CE" w:rsidRPr="00E97367" w:rsidRDefault="00FA14CE">
      <w:pPr>
        <w:pStyle w:val="FootnoteText"/>
        <w:rPr>
          <w:lang w:val="pt-PT"/>
        </w:rPr>
      </w:pPr>
      <w:r>
        <w:rPr>
          <w:rStyle w:val="FootnoteReference"/>
        </w:rPr>
        <w:footnoteRef/>
      </w:r>
      <w:r w:rsidRPr="00E97367">
        <w:rPr>
          <w:lang w:val="pt-PT"/>
        </w:rPr>
        <w:tab/>
      </w:r>
      <w:r w:rsidRPr="00E97367">
        <w:rPr>
          <w:rStyle w:val="normaltextrun"/>
          <w:shd w:val="clear" w:color="auto" w:fill="FFFFFF"/>
          <w:lang w:val="pt-PT"/>
        </w:rPr>
        <w:t>OJ L 248, 27.9.2019, p.77-85.</w:t>
      </w:r>
    </w:p>
  </w:footnote>
  <w:footnote w:id="33">
    <w:p w14:paraId="54F82A1A" w14:textId="77777777" w:rsidR="00FA14CE" w:rsidRPr="00E97367" w:rsidRDefault="00FA14CE">
      <w:pPr>
        <w:pStyle w:val="FootnoteText"/>
        <w:rPr>
          <w:lang w:val="pl-PL"/>
        </w:rPr>
      </w:pPr>
      <w:r w:rsidRPr="0072285E">
        <w:rPr>
          <w:rStyle w:val="FootnoteReference"/>
        </w:rPr>
        <w:footnoteRef/>
      </w:r>
      <w:r w:rsidRPr="00E97367">
        <w:rPr>
          <w:lang w:val="pl-PL"/>
        </w:rPr>
        <w:tab/>
      </w:r>
      <w:r w:rsidRPr="0072285E">
        <w:rPr>
          <w:rStyle w:val="normaltextrun"/>
          <w:bdr w:val="none" w:sz="0" w:space="0" w:color="auto" w:frame="1"/>
          <w:lang w:val="pl-PL"/>
        </w:rPr>
        <w:t>OJ C 361, 25.10.2017, p. 1–29</w:t>
      </w:r>
      <w:r>
        <w:rPr>
          <w:rStyle w:val="normaltextrun"/>
          <w:bdr w:val="none" w:sz="0" w:space="0" w:color="auto" w:frame="1"/>
          <w:lang w:val="pl-PL"/>
        </w:rPr>
        <w:t>.</w:t>
      </w:r>
    </w:p>
  </w:footnote>
  <w:footnote w:id="34">
    <w:p w14:paraId="4F741570" w14:textId="77777777" w:rsidR="00FA14CE" w:rsidRPr="00E97367" w:rsidRDefault="00FA14CE">
      <w:pPr>
        <w:pStyle w:val="FootnoteText"/>
        <w:rPr>
          <w:lang w:val="pl-PL"/>
        </w:rPr>
      </w:pPr>
      <w:r w:rsidRPr="0072285E">
        <w:rPr>
          <w:rStyle w:val="FootnoteReference"/>
        </w:rPr>
        <w:footnoteRef/>
      </w:r>
      <w:r w:rsidRPr="00E97367">
        <w:rPr>
          <w:lang w:val="pl-PL"/>
        </w:rPr>
        <w:tab/>
      </w:r>
      <w:r w:rsidRPr="0072285E">
        <w:rPr>
          <w:rStyle w:val="normaltextrun"/>
          <w:shd w:val="clear" w:color="auto" w:fill="FFFFFF"/>
          <w:lang w:val="pl-PL"/>
        </w:rPr>
        <w:t>OJ C 133, 16.4.2018, p. 2–18</w:t>
      </w:r>
      <w:r>
        <w:rPr>
          <w:rStyle w:val="normaltextrun"/>
          <w:shd w:val="clear" w:color="auto" w:fill="FFFFFF"/>
          <w:lang w:val="pl-PL"/>
        </w:rPr>
        <w:t xml:space="preserve">. </w:t>
      </w:r>
    </w:p>
  </w:footnote>
  <w:footnote w:id="35">
    <w:p w14:paraId="33675C67" w14:textId="77777777" w:rsidR="00FA14CE" w:rsidRPr="00E97367" w:rsidRDefault="00FA14CE">
      <w:pPr>
        <w:pStyle w:val="FootnoteText"/>
        <w:rPr>
          <w:lang w:val="pl-PL"/>
        </w:rPr>
      </w:pPr>
      <w:r>
        <w:rPr>
          <w:rStyle w:val="FootnoteReference"/>
        </w:rPr>
        <w:footnoteRef/>
      </w:r>
      <w:r w:rsidRPr="00E97367">
        <w:rPr>
          <w:lang w:val="pl-PL"/>
        </w:rPr>
        <w:tab/>
        <w:t>https://food.ec.europa.eu/safety/food-waste/eu-actions-against-food-waste/eu-platform-food-losses-and-food-waste_en</w:t>
      </w:r>
    </w:p>
  </w:footnote>
  <w:footnote w:id="36">
    <w:p w14:paraId="1F50B8C8" w14:textId="77777777" w:rsidR="00FA14CE" w:rsidRPr="00E97367" w:rsidRDefault="00FA14CE">
      <w:pPr>
        <w:pStyle w:val="FootnoteText"/>
        <w:rPr>
          <w:lang w:val="pl-PL"/>
        </w:rPr>
      </w:pPr>
      <w:r>
        <w:rPr>
          <w:rStyle w:val="FootnoteReference"/>
        </w:rPr>
        <w:footnoteRef/>
      </w:r>
      <w:r w:rsidRPr="00E97367">
        <w:rPr>
          <w:lang w:val="pl-PL"/>
        </w:rPr>
        <w:tab/>
        <w:t>https://food.ec.europa.eu/system/files/2021-05/fs_eu-actions_action_platform_key-rcmnd_en.pdf</w:t>
      </w:r>
    </w:p>
  </w:footnote>
  <w:footnote w:id="37">
    <w:p w14:paraId="76CD9091" w14:textId="77777777" w:rsidR="00FA14CE" w:rsidRPr="00E97367" w:rsidRDefault="00FA14CE">
      <w:pPr>
        <w:pStyle w:val="FootnoteText"/>
        <w:rPr>
          <w:lang w:val="pl-PL"/>
        </w:rPr>
      </w:pPr>
      <w:r>
        <w:rPr>
          <w:rStyle w:val="FootnoteReference"/>
        </w:rPr>
        <w:footnoteRef/>
      </w:r>
      <w:r w:rsidRPr="00E97367">
        <w:rPr>
          <w:lang w:val="pl-PL"/>
        </w:rPr>
        <w:tab/>
      </w:r>
      <w:r w:rsidRPr="00E97367">
        <w:rPr>
          <w:rStyle w:val="normaltextrun"/>
          <w:shd w:val="clear" w:color="auto" w:fill="FFFFFF"/>
          <w:lang w:val="pl-PL"/>
        </w:rPr>
        <w:t>https://ec.europa.eu/food/safety/food_waste/eu_actions/date_marking_en</w:t>
      </w:r>
    </w:p>
  </w:footnote>
  <w:footnote w:id="38">
    <w:p w14:paraId="4730088E" w14:textId="77777777" w:rsidR="00FA14CE" w:rsidRPr="00E97367" w:rsidRDefault="00FA14CE">
      <w:pPr>
        <w:pStyle w:val="FootnoteText"/>
        <w:rPr>
          <w:lang w:val="pl-PL"/>
        </w:rPr>
      </w:pPr>
      <w:r>
        <w:rPr>
          <w:rStyle w:val="FootnoteReference"/>
        </w:rPr>
        <w:footnoteRef/>
      </w:r>
      <w:r w:rsidRPr="00E97367">
        <w:rPr>
          <w:lang w:val="pl-PL"/>
        </w:rPr>
        <w:tab/>
        <w:t>https://ec.europa.eu/food/safety/food_waste/eu-food-loss-waste-prevention-hub/eu-member-state-page/show/FI</w:t>
      </w:r>
    </w:p>
  </w:footnote>
  <w:footnote w:id="39">
    <w:p w14:paraId="18C50F6C" w14:textId="77777777" w:rsidR="00FA14CE" w:rsidRPr="00E97367" w:rsidRDefault="00FA14CE">
      <w:pPr>
        <w:pStyle w:val="FootnoteText"/>
        <w:rPr>
          <w:lang w:val="pl-PL"/>
        </w:rPr>
      </w:pPr>
      <w:r>
        <w:rPr>
          <w:rStyle w:val="FootnoteReference"/>
        </w:rPr>
        <w:footnoteRef/>
      </w:r>
      <w:r w:rsidRPr="00E97367">
        <w:rPr>
          <w:lang w:val="pl-PL"/>
        </w:rPr>
        <w:tab/>
        <w:t>https://restwith.eu/</w:t>
      </w:r>
    </w:p>
  </w:footnote>
  <w:footnote w:id="40">
    <w:p w14:paraId="5AED61EC" w14:textId="77777777" w:rsidR="00FA14CE" w:rsidRPr="004A3E48" w:rsidRDefault="00FA14CE">
      <w:pPr>
        <w:pStyle w:val="FootnoteText"/>
        <w:rPr>
          <w:lang w:val="en-US"/>
        </w:rPr>
      </w:pPr>
      <w:r>
        <w:rPr>
          <w:rStyle w:val="FootnoteReference"/>
        </w:rPr>
        <w:footnoteRef/>
      </w:r>
      <w:r w:rsidRPr="00E97367">
        <w:rPr>
          <w:lang w:val="pl-PL"/>
        </w:rPr>
        <w:tab/>
      </w:r>
      <w:r w:rsidRPr="00E97367">
        <w:rPr>
          <w:rStyle w:val="normaltextrun"/>
          <w:color w:val="000000"/>
          <w:shd w:val="clear" w:color="auto" w:fill="FFFFFF"/>
          <w:lang w:val="pl-PL"/>
        </w:rPr>
        <w:t>European Commission, Joint Research Centre, Caldeira, C., Sala, S., De Laurentiis, V., </w:t>
      </w:r>
      <w:r w:rsidRPr="00E97367">
        <w:rPr>
          <w:rStyle w:val="normaltextrun"/>
          <w:i/>
          <w:color w:val="000000"/>
          <w:shd w:val="clear" w:color="auto" w:fill="FFFFFF"/>
          <w:lang w:val="pl-PL"/>
        </w:rPr>
        <w:t xml:space="preserve">Assessment of food waste prevention actions. </w:t>
      </w:r>
      <w:r>
        <w:rPr>
          <w:rStyle w:val="normaltextrun"/>
          <w:i/>
          <w:iCs/>
          <w:color w:val="000000"/>
          <w:shd w:val="clear" w:color="auto" w:fill="FFFFFF"/>
        </w:rPr>
        <w:t>Development of an evaluation framework to assess the performance of food waste prevention actions,</w:t>
      </w:r>
      <w:r>
        <w:rPr>
          <w:rStyle w:val="normaltextrun"/>
          <w:color w:val="000000"/>
          <w:shd w:val="clear" w:color="auto" w:fill="FFFFFF"/>
        </w:rPr>
        <w:t> Publications Office, 2019.</w:t>
      </w:r>
      <w:r w:rsidRPr="004A3E48">
        <w:rPr>
          <w:lang w:val="en-US"/>
        </w:rPr>
        <w:t xml:space="preserve"> </w:t>
      </w:r>
    </w:p>
  </w:footnote>
  <w:footnote w:id="41">
    <w:p w14:paraId="5FD283B5" w14:textId="77777777" w:rsidR="00FA14CE" w:rsidRPr="004A3E48" w:rsidRDefault="00FA14CE" w:rsidP="004A3E48">
      <w:pPr>
        <w:pStyle w:val="FootnoteText"/>
        <w:rPr>
          <w:lang w:val="en-US"/>
        </w:rPr>
      </w:pPr>
      <w:r>
        <w:rPr>
          <w:rStyle w:val="FootnoteReference"/>
        </w:rPr>
        <w:footnoteRef/>
      </w:r>
      <w:r>
        <w:rPr>
          <w:lang w:val="en-US"/>
        </w:rPr>
        <w:tab/>
      </w:r>
      <w:r>
        <w:rPr>
          <w:rStyle w:val="normaltextrun"/>
          <w:color w:val="000000"/>
          <w:shd w:val="clear" w:color="auto" w:fill="FFFFFF"/>
        </w:rPr>
        <w:t>See projects </w:t>
      </w:r>
      <w:hyperlink r:id="rId6" w:tgtFrame="_blank" w:history="1">
        <w:r>
          <w:rPr>
            <w:rStyle w:val="normaltextrun"/>
            <w:color w:val="0000FF"/>
            <w:u w:val="single"/>
            <w:shd w:val="clear" w:color="auto" w:fill="FFFFFF"/>
          </w:rPr>
          <w:t>CHORIZO</w:t>
        </w:r>
      </w:hyperlink>
      <w:r>
        <w:rPr>
          <w:rStyle w:val="normaltextrun"/>
          <w:color w:val="000000"/>
          <w:shd w:val="clear" w:color="auto" w:fill="FFFFFF"/>
        </w:rPr>
        <w:t> and </w:t>
      </w:r>
      <w:hyperlink r:id="rId7" w:tgtFrame="_blank" w:history="1">
        <w:r>
          <w:rPr>
            <w:rStyle w:val="normaltextrun"/>
            <w:color w:val="0000FF"/>
            <w:u w:val="single"/>
            <w:shd w:val="clear" w:color="auto" w:fill="FFFFFF"/>
          </w:rPr>
          <w:t>ToNoWaste</w:t>
        </w:r>
      </w:hyperlink>
    </w:p>
  </w:footnote>
  <w:footnote w:id="42">
    <w:p w14:paraId="2A13A2F4" w14:textId="77777777" w:rsidR="00FA14CE" w:rsidRPr="004A3E48" w:rsidRDefault="00FA14CE">
      <w:pPr>
        <w:pStyle w:val="FootnoteText"/>
        <w:rPr>
          <w:lang w:val="en-US"/>
        </w:rPr>
      </w:pPr>
      <w:r>
        <w:rPr>
          <w:rStyle w:val="FootnoteReference"/>
        </w:rPr>
        <w:footnoteRef/>
      </w:r>
      <w:r>
        <w:rPr>
          <w:lang w:val="en-US"/>
        </w:rPr>
        <w:tab/>
      </w:r>
      <w:r>
        <w:rPr>
          <w:rStyle w:val="normaltextrun"/>
          <w:color w:val="000000"/>
          <w:shd w:val="clear" w:color="auto" w:fill="FFFFFF"/>
        </w:rPr>
        <w:t>See projects </w:t>
      </w:r>
      <w:hyperlink r:id="rId8" w:tgtFrame="_blank" w:history="1">
        <w:r>
          <w:rPr>
            <w:rStyle w:val="normaltextrun"/>
            <w:color w:val="0000FF"/>
            <w:u w:val="single"/>
            <w:shd w:val="clear" w:color="auto" w:fill="FFFFFF"/>
          </w:rPr>
          <w:t>FOLOU</w:t>
        </w:r>
      </w:hyperlink>
      <w:r>
        <w:rPr>
          <w:rStyle w:val="normaltextrun"/>
          <w:color w:val="000000"/>
          <w:shd w:val="clear" w:color="auto" w:fill="FFFFFF"/>
        </w:rPr>
        <w:t> and </w:t>
      </w:r>
      <w:hyperlink r:id="rId9" w:tgtFrame="_blank" w:history="1">
        <w:r>
          <w:rPr>
            <w:rStyle w:val="normaltextrun"/>
            <w:color w:val="0000FF"/>
            <w:u w:val="single"/>
            <w:shd w:val="clear" w:color="auto" w:fill="FFFFFF"/>
          </w:rPr>
          <w:t>WASTELESS</w:t>
        </w:r>
      </w:hyperlink>
    </w:p>
  </w:footnote>
  <w:footnote w:id="43">
    <w:p w14:paraId="4E5F2935" w14:textId="77777777" w:rsidR="00FA14CE" w:rsidRPr="004A3E48" w:rsidRDefault="00FA14CE">
      <w:pPr>
        <w:pStyle w:val="FootnoteText"/>
        <w:rPr>
          <w:lang w:val="en-US"/>
        </w:rPr>
      </w:pPr>
      <w:r>
        <w:rPr>
          <w:rStyle w:val="FootnoteReference"/>
        </w:rPr>
        <w:footnoteRef/>
      </w:r>
      <w:r>
        <w:rPr>
          <w:lang w:val="en-US"/>
        </w:rPr>
        <w:tab/>
      </w:r>
      <w:r>
        <w:rPr>
          <w:rStyle w:val="normaltextrun"/>
          <w:color w:val="000000"/>
          <w:shd w:val="clear" w:color="auto" w:fill="FFFFFF"/>
        </w:rPr>
        <w:t>Example: </w:t>
      </w:r>
      <w:hyperlink r:id="rId10" w:tgtFrame="_blank" w:history="1">
        <w:r>
          <w:rPr>
            <w:rStyle w:val="normaltextrun"/>
            <w:color w:val="0000FF"/>
            <w:u w:val="single"/>
            <w:shd w:val="clear" w:color="auto" w:fill="FFFFFF"/>
          </w:rPr>
          <w:t>HaDEA 2022 call for proposals to help stakeholders take action on fighting food waste</w:t>
        </w:r>
      </w:hyperlink>
    </w:p>
  </w:footnote>
  <w:footnote w:id="44">
    <w:p w14:paraId="33BCA36E" w14:textId="77777777" w:rsidR="00FA14CE" w:rsidRPr="00B24CA9" w:rsidRDefault="00FA14CE">
      <w:pPr>
        <w:pStyle w:val="FootnoteText"/>
        <w:rPr>
          <w:lang w:val="en-US"/>
        </w:rPr>
      </w:pPr>
      <w:r>
        <w:rPr>
          <w:rStyle w:val="FootnoteReference"/>
        </w:rPr>
        <w:footnoteRef/>
      </w:r>
      <w:r>
        <w:rPr>
          <w:lang w:val="en-US"/>
        </w:rPr>
        <w:tab/>
      </w:r>
      <w:r w:rsidRPr="00E50A7A">
        <w:rPr>
          <w:lang w:val="en-IE"/>
        </w:rPr>
        <w:t xml:space="preserve">European Commission, Food Safety, </w:t>
      </w:r>
      <w:r w:rsidRPr="00E50A7A">
        <w:rPr>
          <w:i/>
          <w:iCs/>
          <w:lang w:val="en-IE"/>
        </w:rPr>
        <w:t>EU Code of Conduct on Responsible Food Business and Marketing Practices</w:t>
      </w:r>
      <w:r w:rsidRPr="00E50A7A">
        <w:rPr>
          <w:lang w:val="en-IE"/>
        </w:rPr>
        <w:t>, 2021</w:t>
      </w:r>
    </w:p>
  </w:footnote>
  <w:footnote w:id="45">
    <w:p w14:paraId="12160DA0" w14:textId="41CF3530" w:rsidR="00FA14CE" w:rsidRPr="00E97367" w:rsidRDefault="00FA14CE">
      <w:pPr>
        <w:pStyle w:val="FootnoteText"/>
        <w:rPr>
          <w:lang w:val="pt-PT"/>
        </w:rPr>
      </w:pPr>
      <w:r>
        <w:rPr>
          <w:rStyle w:val="FootnoteReference"/>
        </w:rPr>
        <w:footnoteRef/>
      </w:r>
      <w:r w:rsidRPr="00E97367">
        <w:rPr>
          <w:lang w:val="pt-PT"/>
        </w:rPr>
        <w:tab/>
        <w:t>COM/2022/66 final</w:t>
      </w:r>
    </w:p>
  </w:footnote>
  <w:footnote w:id="46">
    <w:p w14:paraId="514502C7" w14:textId="4AB22E6A" w:rsidR="00FA14CE" w:rsidRPr="00E97367" w:rsidRDefault="00FA14CE">
      <w:pPr>
        <w:pStyle w:val="FootnoteText"/>
        <w:rPr>
          <w:lang w:val="pt-PT"/>
        </w:rPr>
      </w:pPr>
      <w:r>
        <w:rPr>
          <w:rStyle w:val="FootnoteReference"/>
        </w:rPr>
        <w:footnoteRef/>
      </w:r>
      <w:r w:rsidRPr="00E97367">
        <w:rPr>
          <w:lang w:val="pt-PT"/>
        </w:rPr>
        <w:tab/>
        <w:t>COM/2021/709 final</w:t>
      </w:r>
    </w:p>
  </w:footnote>
  <w:footnote w:id="47">
    <w:p w14:paraId="759E6C58" w14:textId="27121F70" w:rsidR="00FA14CE" w:rsidRPr="00E97367" w:rsidRDefault="00FA14CE">
      <w:pPr>
        <w:pStyle w:val="FootnoteText"/>
        <w:rPr>
          <w:lang w:val="pt-PT"/>
        </w:rPr>
      </w:pPr>
      <w:r>
        <w:rPr>
          <w:rStyle w:val="FootnoteReference"/>
        </w:rPr>
        <w:footnoteRef/>
      </w:r>
      <w:r w:rsidRPr="00E97367">
        <w:rPr>
          <w:lang w:val="pt-PT"/>
        </w:rPr>
        <w:tab/>
        <w:t>COM/2022/142 final</w:t>
      </w:r>
    </w:p>
  </w:footnote>
  <w:footnote w:id="48">
    <w:p w14:paraId="3C2D7D04" w14:textId="2C7F167B" w:rsidR="00FA14CE" w:rsidRPr="00E97367" w:rsidRDefault="00FA14CE">
      <w:pPr>
        <w:pStyle w:val="FootnoteText"/>
        <w:rPr>
          <w:lang w:val="pt-PT"/>
        </w:rPr>
      </w:pPr>
      <w:r>
        <w:rPr>
          <w:rStyle w:val="FootnoteReference"/>
        </w:rPr>
        <w:footnoteRef/>
      </w:r>
      <w:r w:rsidRPr="00E97367">
        <w:rPr>
          <w:lang w:val="pt-PT"/>
        </w:rPr>
        <w:tab/>
        <w:t>OJ L 272 18.10.2011, p. 1</w:t>
      </w:r>
    </w:p>
  </w:footnote>
  <w:footnote w:id="49">
    <w:p w14:paraId="10C9DD29" w14:textId="201E48E4" w:rsidR="00FA14CE" w:rsidRPr="00E97367" w:rsidRDefault="00FA14CE">
      <w:pPr>
        <w:pStyle w:val="FootnoteText"/>
        <w:rPr>
          <w:lang w:val="pt-PT"/>
        </w:rPr>
      </w:pPr>
      <w:r>
        <w:rPr>
          <w:rStyle w:val="FootnoteReference"/>
        </w:rPr>
        <w:footnoteRef/>
      </w:r>
      <w:r w:rsidRPr="00E97367">
        <w:rPr>
          <w:lang w:val="pt-PT"/>
        </w:rPr>
        <w:tab/>
        <w:t>OJ L 396 30.12.2006, p. 1</w:t>
      </w:r>
    </w:p>
  </w:footnote>
  <w:footnote w:id="50">
    <w:p w14:paraId="6E937D5F" w14:textId="5FDC7849" w:rsidR="00FA14CE" w:rsidRPr="00E97367" w:rsidRDefault="00FA14CE">
      <w:pPr>
        <w:pStyle w:val="FootnoteText"/>
        <w:rPr>
          <w:lang w:val="pt-PT"/>
        </w:rPr>
      </w:pPr>
      <w:r>
        <w:rPr>
          <w:rStyle w:val="FootnoteReference"/>
        </w:rPr>
        <w:footnoteRef/>
      </w:r>
      <w:r w:rsidRPr="00E97367">
        <w:rPr>
          <w:lang w:val="pt-PT"/>
        </w:rPr>
        <w:tab/>
        <w:t>COM(2020) 562 final</w:t>
      </w:r>
    </w:p>
  </w:footnote>
  <w:footnote w:id="51">
    <w:p w14:paraId="30183334" w14:textId="207C3D44" w:rsidR="00FA14CE" w:rsidRPr="00E97367" w:rsidRDefault="00FA14CE">
      <w:pPr>
        <w:pStyle w:val="FootnoteText"/>
        <w:rPr>
          <w:lang w:val="pt-PT"/>
        </w:rPr>
      </w:pPr>
      <w:r>
        <w:rPr>
          <w:rStyle w:val="FootnoteReference"/>
        </w:rPr>
        <w:footnoteRef/>
      </w:r>
      <w:r w:rsidRPr="00E97367">
        <w:rPr>
          <w:lang w:val="pt-PT"/>
        </w:rPr>
        <w:tab/>
        <w:t>COM(2012)060 final</w:t>
      </w:r>
    </w:p>
  </w:footnote>
  <w:footnote w:id="52">
    <w:p w14:paraId="65727D70" w14:textId="427E66F3" w:rsidR="00FA14CE" w:rsidRPr="00E97367" w:rsidRDefault="00FA14CE">
      <w:pPr>
        <w:pStyle w:val="FootnoteText"/>
        <w:rPr>
          <w:lang w:val="pt-PT"/>
        </w:rPr>
      </w:pPr>
      <w:r>
        <w:rPr>
          <w:rStyle w:val="FootnoteReference"/>
        </w:rPr>
        <w:footnoteRef/>
      </w:r>
      <w:r w:rsidRPr="00E97367">
        <w:rPr>
          <w:lang w:val="pt-PT"/>
        </w:rPr>
        <w:tab/>
        <w:t>https://op.europa.eu/en/publication-detail/-/publication/404a8144-8892-11ec-8c40-01aa75ed71a1</w:t>
      </w:r>
    </w:p>
  </w:footnote>
  <w:footnote w:id="53">
    <w:p w14:paraId="2D656E1B" w14:textId="798F07F6" w:rsidR="00FA14CE" w:rsidRPr="00E97367" w:rsidRDefault="00FA14CE">
      <w:pPr>
        <w:pStyle w:val="FootnoteText"/>
        <w:rPr>
          <w:lang w:val="pt-PT"/>
        </w:rPr>
      </w:pPr>
      <w:r>
        <w:rPr>
          <w:rStyle w:val="FootnoteReference"/>
        </w:rPr>
        <w:footnoteRef/>
      </w:r>
      <w:r w:rsidRPr="00E97367">
        <w:rPr>
          <w:lang w:val="pt-PT"/>
        </w:rPr>
        <w:tab/>
      </w:r>
      <w:hyperlink r:id="rId11" w:history="1">
        <w:r w:rsidRPr="00E97367">
          <w:rPr>
            <w:rStyle w:val="Hyperlink"/>
            <w:lang w:val="pt-PT"/>
          </w:rPr>
          <w:t>https://data.consilium.europa.eu/doc/document/ST-15441-2022-INIT/en/pdf</w:t>
        </w:r>
      </w:hyperlink>
    </w:p>
  </w:footnote>
  <w:footnote w:id="54">
    <w:p w14:paraId="0DBB9C2D" w14:textId="0783F906" w:rsidR="00FA14CE" w:rsidRPr="00AB7409" w:rsidRDefault="00FA14CE">
      <w:pPr>
        <w:pStyle w:val="FootnoteText"/>
        <w:rPr>
          <w:lang w:val="en-US"/>
        </w:rPr>
      </w:pPr>
      <w:r>
        <w:rPr>
          <w:rStyle w:val="FootnoteReference"/>
        </w:rPr>
        <w:footnoteRef/>
      </w:r>
      <w:r>
        <w:rPr>
          <w:lang w:val="en-US"/>
        </w:rPr>
        <w:tab/>
      </w:r>
      <w:r w:rsidRPr="00E50A7A">
        <w:rPr>
          <w:lang w:val="en-IE"/>
        </w:rPr>
        <w:t xml:space="preserve">SWD(2023)4 final, </w:t>
      </w:r>
      <w:r w:rsidRPr="00E50A7A">
        <w:rPr>
          <w:i/>
          <w:iCs/>
          <w:lang w:val="en-IE"/>
        </w:rPr>
        <w:t>Drivers of food security.</w:t>
      </w:r>
    </w:p>
  </w:footnote>
  <w:footnote w:id="55">
    <w:p w14:paraId="48BC940D" w14:textId="77777777" w:rsidR="00FA14CE" w:rsidRPr="004A3E48" w:rsidRDefault="00FA14CE">
      <w:pPr>
        <w:pStyle w:val="FootnoteText"/>
        <w:rPr>
          <w:lang w:val="en-US"/>
        </w:rPr>
      </w:pPr>
      <w:r>
        <w:rPr>
          <w:rStyle w:val="FootnoteReference"/>
        </w:rPr>
        <w:footnoteRef/>
      </w:r>
      <w:r>
        <w:rPr>
          <w:lang w:val="en-US"/>
        </w:rPr>
        <w:tab/>
      </w:r>
      <w:r w:rsidRPr="00E50A7A">
        <w:rPr>
          <w:rStyle w:val="normaltextrun"/>
          <w:color w:val="000000"/>
          <w:shd w:val="clear" w:color="auto" w:fill="FFFFFF"/>
          <w:lang w:val="en-IE"/>
        </w:rPr>
        <w:t>OJ C 326, 26.10.2012, p.47.</w:t>
      </w:r>
      <w:r w:rsidRPr="004A3E48">
        <w:rPr>
          <w:lang w:val="en-US"/>
        </w:rPr>
        <w:t xml:space="preserve"> </w:t>
      </w:r>
    </w:p>
  </w:footnote>
  <w:footnote w:id="56">
    <w:p w14:paraId="2475BA83" w14:textId="5F22F382" w:rsidR="00FA14CE" w:rsidRPr="00415D46" w:rsidRDefault="00FA14CE">
      <w:pPr>
        <w:pStyle w:val="FootnoteText"/>
        <w:rPr>
          <w:lang w:val="en-US"/>
        </w:rPr>
      </w:pPr>
      <w:r>
        <w:rPr>
          <w:rStyle w:val="FootnoteReference"/>
        </w:rPr>
        <w:footnoteRef/>
      </w:r>
      <w:r>
        <w:rPr>
          <w:lang w:val="en-US"/>
        </w:rPr>
        <w:tab/>
      </w:r>
      <w:r w:rsidRPr="001659FD">
        <w:rPr>
          <w:lang w:val="en-IE"/>
        </w:rPr>
        <w:t xml:space="preserve">European Commission, Have your say, Published initiatives, Environmental impact of waste management – revision of EU waste framework, </w:t>
      </w:r>
      <w:hyperlink r:id="rId12" w:history="1">
        <w:r w:rsidRPr="001659FD">
          <w:rPr>
            <w:rStyle w:val="Hyperlink"/>
            <w:lang w:val="en-IE"/>
          </w:rPr>
          <w:t>https://ec.europa.eu/info/law/better-regulation/have-your-say/initiatives/13225-Environmental-impact-of-waste-management-revision-of-EU-waste-framework_en</w:t>
        </w:r>
      </w:hyperlink>
    </w:p>
  </w:footnote>
  <w:footnote w:id="57">
    <w:p w14:paraId="755306CC" w14:textId="7B2980E8" w:rsidR="00FA14CE" w:rsidRPr="00415D46" w:rsidRDefault="00FA14CE">
      <w:pPr>
        <w:pStyle w:val="FootnoteText"/>
        <w:rPr>
          <w:lang w:val="en-US"/>
        </w:rPr>
      </w:pPr>
      <w:r>
        <w:rPr>
          <w:rStyle w:val="FootnoteReference"/>
        </w:rPr>
        <w:footnoteRef/>
      </w:r>
      <w:r>
        <w:rPr>
          <w:lang w:val="en-US"/>
        </w:rPr>
        <w:tab/>
      </w:r>
      <w:r w:rsidRPr="00DF2BED">
        <w:t xml:space="preserve">European Commission, Have your say, published initiatives, Food waste – reduction targets, </w:t>
      </w:r>
      <w:hyperlink r:id="rId13" w:history="1">
        <w:r w:rsidRPr="00E858AF">
          <w:rPr>
            <w:rStyle w:val="Hyperlink"/>
          </w:rPr>
          <w:t>https://ec.europa.eu/info/law/better-regulation/have-your-say/initiatives/13223-Food-waste-reduction-targets_en</w:t>
        </w:r>
      </w:hyperlink>
    </w:p>
  </w:footnote>
  <w:footnote w:id="58">
    <w:p w14:paraId="247DB093" w14:textId="77777777" w:rsidR="00FA14CE" w:rsidRPr="004A3E48" w:rsidRDefault="00FA14CE">
      <w:pPr>
        <w:pStyle w:val="FootnoteText"/>
        <w:rPr>
          <w:lang w:val="en-US"/>
        </w:rPr>
      </w:pPr>
      <w:r>
        <w:rPr>
          <w:rStyle w:val="FootnoteReference"/>
        </w:rPr>
        <w:footnoteRef/>
      </w:r>
      <w:r>
        <w:rPr>
          <w:lang w:val="en-US"/>
        </w:rPr>
        <w:tab/>
      </w:r>
      <w:r>
        <w:rPr>
          <w:rStyle w:val="normaltextrun"/>
          <w:color w:val="000000"/>
          <w:shd w:val="clear" w:color="auto" w:fill="FFFFFF"/>
        </w:rPr>
        <w:t xml:space="preserve">198 indicated on </w:t>
      </w:r>
      <w:hyperlink r:id="rId14" w:tgtFrame="_blank" w:history="1">
        <w:r>
          <w:rPr>
            <w:rStyle w:val="normaltextrun"/>
            <w:color w:val="0000FF"/>
            <w:u w:val="single"/>
            <w:shd w:val="clear" w:color="auto" w:fill="FFFFFF"/>
          </w:rPr>
          <w:t>Environmental impact of waste management – revision of EU waste framework (europa.eu)</w:t>
        </w:r>
      </w:hyperlink>
      <w:r>
        <w:t xml:space="preserve"> </w:t>
      </w:r>
      <w:r>
        <w:rPr>
          <w:rStyle w:val="normaltextrun"/>
          <w:color w:val="000000"/>
          <w:shd w:val="clear" w:color="auto" w:fill="FFFFFF"/>
        </w:rPr>
        <w:t>because one is a duplication from WEEE forum.</w:t>
      </w:r>
    </w:p>
  </w:footnote>
  <w:footnote w:id="59">
    <w:p w14:paraId="04EBCE66" w14:textId="77777777" w:rsidR="00FA14CE" w:rsidRPr="004A3E48" w:rsidRDefault="00FA14CE">
      <w:pPr>
        <w:pStyle w:val="FootnoteText"/>
        <w:rPr>
          <w:lang w:val="en-US"/>
        </w:rPr>
      </w:pPr>
      <w:r>
        <w:rPr>
          <w:rStyle w:val="FootnoteReference"/>
        </w:rPr>
        <w:footnoteRef/>
      </w:r>
      <w:r>
        <w:rPr>
          <w:lang w:val="en-US"/>
        </w:rPr>
        <w:tab/>
      </w:r>
      <w:r>
        <w:rPr>
          <w:rStyle w:val="normaltextrun"/>
          <w:color w:val="000000"/>
          <w:shd w:val="clear" w:color="auto" w:fill="FFFFFF"/>
        </w:rPr>
        <w:t>All received contributions were considered valid.</w:t>
      </w:r>
      <w:r>
        <w:rPr>
          <w:rStyle w:val="eop"/>
          <w:color w:val="000000"/>
          <w:shd w:val="clear" w:color="auto" w:fill="FFFFFF"/>
        </w:rPr>
        <w:t> </w:t>
      </w:r>
    </w:p>
  </w:footnote>
  <w:footnote w:id="60">
    <w:p w14:paraId="6559CE1C" w14:textId="77777777" w:rsidR="00FA14CE" w:rsidRPr="004A3E48" w:rsidRDefault="00FA14CE">
      <w:pPr>
        <w:pStyle w:val="FootnoteText"/>
        <w:rPr>
          <w:lang w:val="en-US"/>
        </w:rPr>
      </w:pPr>
      <w:r>
        <w:rPr>
          <w:rStyle w:val="FootnoteReference"/>
        </w:rPr>
        <w:footnoteRef/>
      </w:r>
      <w:r>
        <w:rPr>
          <w:lang w:val="en-US"/>
        </w:rPr>
        <w:tab/>
      </w:r>
      <w:r>
        <w:rPr>
          <w:rStyle w:val="normaltextrun"/>
          <w:color w:val="000000"/>
          <w:bdr w:val="none" w:sz="0" w:space="0" w:color="auto" w:frame="1"/>
        </w:rPr>
        <w:t>The high number of respondents from Belgium is assumed to result from the fact that Brussels hosts many of the organisations representing different groups of interest before EU Institutions, such as industry associations, non-governmental and consumers' organisations etc.</w:t>
      </w:r>
    </w:p>
  </w:footnote>
  <w:footnote w:id="61">
    <w:p w14:paraId="7D496028" w14:textId="6612580F" w:rsidR="00FA14CE" w:rsidRPr="00415D46" w:rsidRDefault="00FA14CE">
      <w:pPr>
        <w:pStyle w:val="FootnoteText"/>
        <w:rPr>
          <w:lang w:val="en-US"/>
        </w:rPr>
      </w:pPr>
      <w:r>
        <w:rPr>
          <w:rStyle w:val="FootnoteReference"/>
        </w:rPr>
        <w:footnoteRef/>
      </w:r>
      <w:r>
        <w:rPr>
          <w:lang w:val="en-US"/>
        </w:rPr>
        <w:tab/>
      </w:r>
      <w:r w:rsidRPr="008C06CD">
        <w:t xml:space="preserve">European Citizens’ Panel on Food Waste, </w:t>
      </w:r>
      <w:hyperlink r:id="rId15" w:history="1">
        <w:r w:rsidRPr="008C06CD">
          <w:rPr>
            <w:rStyle w:val="Hyperlink"/>
            <w:i/>
            <w:iCs/>
          </w:rPr>
          <w:t>Final recommendations</w:t>
        </w:r>
      </w:hyperlink>
      <w:r w:rsidRPr="008C06CD">
        <w:t>, February 2023</w:t>
      </w:r>
    </w:p>
  </w:footnote>
  <w:footnote w:id="62">
    <w:p w14:paraId="2EA0E815" w14:textId="442BED44" w:rsidR="00FA14CE" w:rsidRPr="00006B65" w:rsidRDefault="00FA14CE">
      <w:pPr>
        <w:pStyle w:val="FootnoteText"/>
        <w:rPr>
          <w:lang w:val="en-US"/>
        </w:rPr>
      </w:pPr>
      <w:r>
        <w:rPr>
          <w:rStyle w:val="FootnoteReference"/>
        </w:rPr>
        <w:footnoteRef/>
      </w:r>
      <w:r>
        <w:rPr>
          <w:lang w:val="en-US"/>
        </w:rPr>
        <w:tab/>
      </w:r>
      <w:hyperlink r:id="rId16" w:history="1">
        <w:r w:rsidRPr="000E797C">
          <w:rPr>
            <w:rStyle w:val="Hyperlink"/>
            <w:lang w:val="en-IE"/>
          </w:rPr>
          <w:t>European Commission, Joint Research Centre. Circular economy perspectives in the EU Textile sector. 2021</w:t>
        </w:r>
      </w:hyperlink>
      <w:r>
        <w:rPr>
          <w:lang w:val="en-IE"/>
        </w:rPr>
        <w:t xml:space="preserve"> and </w:t>
      </w:r>
      <w:r w:rsidRPr="000E797C">
        <w:rPr>
          <w:lang w:val="en-IE"/>
        </w:rPr>
        <w:t>European Commission, Joint Research Centre. Techno-scientific assessment of the management options for used and waste textiles. 2023 (under development)</w:t>
      </w:r>
      <w:r>
        <w:rPr>
          <w:lang w:val="en-IE"/>
        </w:rPr>
        <w:t>.</w:t>
      </w:r>
    </w:p>
  </w:footnote>
  <w:footnote w:id="63">
    <w:p w14:paraId="7E2FA76B" w14:textId="32C75116" w:rsidR="00FA14CE" w:rsidRPr="00006B65" w:rsidRDefault="00FA14CE">
      <w:pPr>
        <w:pStyle w:val="FootnoteText"/>
        <w:rPr>
          <w:lang w:val="en-US"/>
        </w:rPr>
      </w:pPr>
      <w:r>
        <w:rPr>
          <w:rStyle w:val="FootnoteReference"/>
        </w:rPr>
        <w:footnoteRef/>
      </w:r>
      <w:r>
        <w:rPr>
          <w:lang w:val="en-US"/>
        </w:rPr>
        <w:tab/>
        <w:t xml:space="preserve">De Laurentiis, V, Mancini, L, Casonato, C, Boysen-Urban, K, De Jong, B, M’Barek, R, Sanyé Mengual, E, Sala, S. </w:t>
      </w:r>
      <w:r>
        <w:rPr>
          <w:i/>
          <w:iCs/>
          <w:lang w:val="en-US"/>
        </w:rPr>
        <w:t>Setting the scene for an EU initiative on food waste reduction targets</w:t>
      </w:r>
      <w:r>
        <w:rPr>
          <w:lang w:val="en-US"/>
        </w:rPr>
        <w:t>. Publication Office of the European Union, Luxembourg, 2023, doi: 10.2760/13859, JRC133967.</w:t>
      </w:r>
    </w:p>
  </w:footnote>
  <w:footnote w:id="64">
    <w:p w14:paraId="5149D8DD" w14:textId="2C9B82BD" w:rsidR="00FA14CE" w:rsidRPr="00006B65" w:rsidRDefault="00FA14CE">
      <w:pPr>
        <w:pStyle w:val="FootnoteText"/>
        <w:rPr>
          <w:lang w:val="en-US"/>
        </w:rPr>
      </w:pPr>
      <w:r>
        <w:rPr>
          <w:rStyle w:val="FootnoteReference"/>
        </w:rPr>
        <w:footnoteRef/>
      </w:r>
      <w:r>
        <w:rPr>
          <w:lang w:val="en-US"/>
        </w:rPr>
        <w:tab/>
      </w:r>
      <w:r>
        <w:rPr>
          <w:color w:val="000000" w:themeColor="text1"/>
        </w:rPr>
        <w:t xml:space="preserve">De Jong B, Boysen-Urban K, De Laurentiis V, Philippidis G, Bartelings  H, Mancini L, Biganzoli F, Sanyé Mengual E, Sala S, Lasarte-López J, Rokicki B, M’barek R. </w:t>
      </w:r>
      <w:r>
        <w:rPr>
          <w:i/>
          <w:iCs/>
          <w:color w:val="000000" w:themeColor="text1"/>
        </w:rPr>
        <w:t xml:space="preserve">Assessing the economic, social and environmental impacts of food waste reduction targets. A model-based analysis. </w:t>
      </w:r>
      <w:r>
        <w:rPr>
          <w:color w:val="000000" w:themeColor="text1"/>
        </w:rPr>
        <w:t>Publications Office of the European Union, Luxembourg, 2023, doi:10.2760/77251, JRC133971.</w:t>
      </w:r>
    </w:p>
  </w:footnote>
  <w:footnote w:id="65">
    <w:p w14:paraId="34B7E488" w14:textId="4DB447DA" w:rsidR="00FA14CE" w:rsidRPr="00415D46" w:rsidRDefault="00FA14CE">
      <w:pPr>
        <w:pStyle w:val="FootnoteText"/>
        <w:rPr>
          <w:lang w:val="en-US"/>
        </w:rPr>
      </w:pPr>
      <w:r>
        <w:rPr>
          <w:rStyle w:val="FootnoteReference"/>
        </w:rPr>
        <w:footnoteRef/>
      </w:r>
      <w:r>
        <w:rPr>
          <w:lang w:val="en-US"/>
        </w:rPr>
        <w:tab/>
      </w:r>
      <w:hyperlink r:id="rId17" w:tgtFrame="_blank" w:history="1">
        <w:r w:rsidRPr="00E50A7A">
          <w:rPr>
            <w:rStyle w:val="normaltextrun"/>
            <w:color w:val="0000FF"/>
            <w:u w:val="single"/>
          </w:rPr>
          <w:t>https://ec.europa.eu/eurostat/statistics-explained/index.php?title=Food_waste_and_food_waste_prevention_-_estimates</w:t>
        </w:r>
      </w:hyperlink>
      <w:r>
        <w:rPr>
          <w:rStyle w:val="normaltextrun"/>
          <w:color w:val="0000FF"/>
          <w:u w:val="single"/>
        </w:rPr>
        <w:t xml:space="preserve">. </w:t>
      </w:r>
      <w:r>
        <w:rPr>
          <w:rStyle w:val="eop"/>
        </w:rPr>
        <w:t>The database can be found under code ( env_wasfw ) at Eurostat website)</w:t>
      </w:r>
    </w:p>
  </w:footnote>
  <w:footnote w:id="66">
    <w:p w14:paraId="5B1DC319" w14:textId="6F0CDAE4" w:rsidR="00FA14CE" w:rsidRPr="00415D46" w:rsidRDefault="00FA14CE">
      <w:pPr>
        <w:pStyle w:val="FootnoteText"/>
        <w:rPr>
          <w:lang w:val="en-US"/>
        </w:rPr>
      </w:pPr>
      <w:r>
        <w:rPr>
          <w:rStyle w:val="FootnoteReference"/>
        </w:rPr>
        <w:footnoteRef/>
      </w:r>
      <w:r>
        <w:rPr>
          <w:lang w:val="en-US"/>
        </w:rPr>
        <w:tab/>
      </w:r>
      <w:r>
        <w:rPr>
          <w:lang w:val="en-IE"/>
        </w:rPr>
        <w:t xml:space="preserve">For an overview of the channels through which the circular economy impacts competitiveness, please see </w:t>
      </w:r>
      <w:r>
        <w:t xml:space="preserve">Flachenecker, F. (2018) The causal impact of material productivity on macroeconomic competitiveness in the EU. </w:t>
      </w:r>
      <w:r w:rsidRPr="00310754">
        <w:rPr>
          <w:i/>
          <w:iCs/>
        </w:rPr>
        <w:t>Environ</w:t>
      </w:r>
      <w:r>
        <w:rPr>
          <w:i/>
          <w:iCs/>
        </w:rPr>
        <w:t>mental</w:t>
      </w:r>
      <w:r w:rsidRPr="00310754">
        <w:rPr>
          <w:i/>
          <w:iCs/>
        </w:rPr>
        <w:t xml:space="preserve"> Econ</w:t>
      </w:r>
      <w:r>
        <w:rPr>
          <w:i/>
          <w:iCs/>
        </w:rPr>
        <w:t>omics and</w:t>
      </w:r>
      <w:r w:rsidRPr="00310754">
        <w:rPr>
          <w:i/>
          <w:iCs/>
        </w:rPr>
        <w:t xml:space="preserve"> Policy Stud</w:t>
      </w:r>
      <w:r>
        <w:rPr>
          <w:i/>
          <w:iCs/>
        </w:rPr>
        <w:t>ies</w:t>
      </w:r>
      <w:r w:rsidRPr="00310754">
        <w:t xml:space="preserve"> 20, 17–46. </w:t>
      </w:r>
      <w:hyperlink r:id="rId18" w:history="1">
        <w:r w:rsidRPr="008C06CD">
          <w:rPr>
            <w:rStyle w:val="Hyperlink"/>
          </w:rPr>
          <w:t>https://doi.org/10.1007/s10018-016-0180-3</w:t>
        </w:r>
      </w:hyperlink>
      <w:r w:rsidRPr="00310754">
        <w:t xml:space="preserve"> and Flachenecker, F., Kornejew, M. (2019) The causal impact of material productivity on microeconomic competitiveness and environmental performance in the </w:t>
      </w:r>
      <w:r>
        <w:t>EU</w:t>
      </w:r>
      <w:r w:rsidRPr="00310754">
        <w:t xml:space="preserve">. </w:t>
      </w:r>
      <w:r w:rsidRPr="00310754">
        <w:rPr>
          <w:i/>
          <w:iCs/>
        </w:rPr>
        <w:t>Environ</w:t>
      </w:r>
      <w:r>
        <w:rPr>
          <w:i/>
          <w:iCs/>
        </w:rPr>
        <w:t>mental</w:t>
      </w:r>
      <w:r w:rsidRPr="00310754">
        <w:rPr>
          <w:i/>
          <w:iCs/>
        </w:rPr>
        <w:t xml:space="preserve"> Econ</w:t>
      </w:r>
      <w:r>
        <w:rPr>
          <w:i/>
          <w:iCs/>
        </w:rPr>
        <w:t>omics and</w:t>
      </w:r>
      <w:r w:rsidRPr="00310754">
        <w:rPr>
          <w:i/>
          <w:iCs/>
        </w:rPr>
        <w:t xml:space="preserve"> Policy Stud</w:t>
      </w:r>
      <w:r>
        <w:rPr>
          <w:i/>
          <w:iCs/>
        </w:rPr>
        <w:t>ies</w:t>
      </w:r>
      <w:r w:rsidRPr="00310754">
        <w:t xml:space="preserve"> 21, 87–122. </w:t>
      </w:r>
      <w:hyperlink r:id="rId19" w:history="1">
        <w:r w:rsidRPr="008C06CD">
          <w:rPr>
            <w:rStyle w:val="Hyperlink"/>
          </w:rPr>
          <w:t>https://doi.org/10.1007/s10018-018-0223-z</w:t>
        </w:r>
      </w:hyperlink>
    </w:p>
  </w:footnote>
  <w:footnote w:id="67">
    <w:p w14:paraId="6F86CE69" w14:textId="77777777" w:rsidR="00FA14CE" w:rsidRPr="00C309FA" w:rsidRDefault="00FA14CE">
      <w:pPr>
        <w:pStyle w:val="FootnoteText"/>
        <w:rPr>
          <w:lang w:val="en-US"/>
        </w:rPr>
      </w:pPr>
      <w:r>
        <w:rPr>
          <w:rStyle w:val="FootnoteReference"/>
        </w:rPr>
        <w:footnoteRef/>
      </w:r>
      <w:r>
        <w:rPr>
          <w:lang w:val="en-US"/>
        </w:rPr>
        <w:tab/>
      </w:r>
      <w:r>
        <w:rPr>
          <w:rStyle w:val="normaltextrun"/>
          <w:color w:val="000000"/>
          <w:bdr w:val="none" w:sz="0" w:space="0" w:color="auto" w:frame="1"/>
        </w:rPr>
        <w:t>COM/2014/0397 final</w:t>
      </w:r>
    </w:p>
  </w:footnote>
  <w:footnote w:id="68">
    <w:p w14:paraId="21A9901A" w14:textId="388943BB" w:rsidR="00FA14CE" w:rsidRPr="00E50A7A" w:rsidRDefault="00FA14CE" w:rsidP="00B00391">
      <w:pPr>
        <w:pStyle w:val="FootnoteText"/>
        <w:rPr>
          <w:lang w:val="en-IE"/>
        </w:rPr>
      </w:pPr>
      <w:r>
        <w:rPr>
          <w:rStyle w:val="FootnoteReference"/>
        </w:rPr>
        <w:footnoteRef/>
      </w:r>
      <w:r w:rsidRPr="00E50A7A">
        <w:rPr>
          <w:lang w:val="en-IE"/>
        </w:rPr>
        <w:tab/>
        <w:t>OJ C , , p. .</w:t>
      </w:r>
    </w:p>
  </w:footnote>
  <w:footnote w:id="69">
    <w:p w14:paraId="0109F5F6" w14:textId="46ECA76C" w:rsidR="00FA14CE" w:rsidRPr="00E50A7A" w:rsidRDefault="00FA14CE" w:rsidP="00B00391">
      <w:pPr>
        <w:pStyle w:val="FootnoteText"/>
        <w:rPr>
          <w:lang w:val="en-IE"/>
        </w:rPr>
      </w:pPr>
      <w:r>
        <w:rPr>
          <w:rStyle w:val="FootnoteReference"/>
        </w:rPr>
        <w:footnoteRef/>
      </w:r>
      <w:r w:rsidRPr="00E50A7A">
        <w:rPr>
          <w:lang w:val="en-IE"/>
        </w:rPr>
        <w:tab/>
        <w:t>OJ C , , p. .</w:t>
      </w:r>
    </w:p>
  </w:footnote>
  <w:footnote w:id="70">
    <w:p w14:paraId="762DA0E7" w14:textId="57726AFD" w:rsidR="00FA14CE" w:rsidRPr="0074680C" w:rsidRDefault="00FA14CE">
      <w:pPr>
        <w:pStyle w:val="FootnoteText"/>
        <w:rPr>
          <w:lang w:val="en-US"/>
        </w:rPr>
      </w:pPr>
      <w:r>
        <w:rPr>
          <w:rStyle w:val="FootnoteReference"/>
        </w:rPr>
        <w:footnoteRef/>
      </w:r>
      <w:r>
        <w:rPr>
          <w:lang w:val="en-US"/>
        </w:rPr>
        <w:tab/>
      </w:r>
      <w:r w:rsidRPr="444A79FE">
        <w:rPr>
          <w:noProof/>
          <w:color w:val="333333"/>
        </w:rPr>
        <w:t>COM(2020)98 final</w:t>
      </w:r>
      <w:r w:rsidRPr="444A79FE">
        <w:rPr>
          <w:noProof/>
        </w:rPr>
        <w:t xml:space="preserve"> of 11</w:t>
      </w:r>
      <w:r>
        <w:rPr>
          <w:noProof/>
        </w:rPr>
        <w:t xml:space="preserve"> March </w:t>
      </w:r>
      <w:r w:rsidRPr="444A79FE">
        <w:rPr>
          <w:noProof/>
        </w:rPr>
        <w:t>2020</w:t>
      </w:r>
      <w:r>
        <w:rPr>
          <w:noProof/>
        </w:rPr>
        <w:t>.</w:t>
      </w:r>
    </w:p>
  </w:footnote>
  <w:footnote w:id="71">
    <w:p w14:paraId="4F82A326" w14:textId="77777777" w:rsidR="00FA14CE" w:rsidRPr="00FA611C" w:rsidRDefault="00FA14CE">
      <w:pPr>
        <w:pStyle w:val="FootnoteText"/>
        <w:rPr>
          <w:lang w:val="fr-BE"/>
        </w:rPr>
      </w:pPr>
      <w:r>
        <w:rPr>
          <w:rStyle w:val="FootnoteReference"/>
        </w:rPr>
        <w:footnoteRef/>
      </w:r>
      <w:r w:rsidRPr="00FA611C">
        <w:rPr>
          <w:lang w:val="fr-BE"/>
        </w:rPr>
        <w:tab/>
      </w:r>
      <w:r w:rsidRPr="444A79FE">
        <w:rPr>
          <w:noProof/>
          <w:lang w:val="fr-BE"/>
        </w:rPr>
        <w:t>EU Transition Pathways (europa.eu)</w:t>
      </w:r>
    </w:p>
  </w:footnote>
  <w:footnote w:id="72">
    <w:p w14:paraId="61B9B71A" w14:textId="5B7F3F3B" w:rsidR="00FA14CE" w:rsidRPr="0074680C" w:rsidRDefault="00FA14CE">
      <w:pPr>
        <w:pStyle w:val="FootnoteText"/>
        <w:rPr>
          <w:lang w:val="en-US"/>
        </w:rPr>
      </w:pPr>
      <w:r>
        <w:rPr>
          <w:rStyle w:val="FootnoteReference"/>
        </w:rPr>
        <w:footnoteRef/>
      </w:r>
      <w:r>
        <w:rPr>
          <w:lang w:val="en-US"/>
        </w:rPr>
        <w:tab/>
      </w:r>
      <w:r w:rsidRPr="444A79FE">
        <w:rPr>
          <w:noProof/>
          <w:lang w:val="en-US"/>
        </w:rPr>
        <w:t xml:space="preserve">COM(2022)141 final of </w:t>
      </w:r>
      <w:r w:rsidRPr="444A79FE">
        <w:rPr>
          <w:noProof/>
          <w:color w:val="333333"/>
        </w:rPr>
        <w:t>30</w:t>
      </w:r>
      <w:r>
        <w:rPr>
          <w:noProof/>
          <w:color w:val="333333"/>
        </w:rPr>
        <w:t xml:space="preserve"> March </w:t>
      </w:r>
      <w:r w:rsidRPr="444A79FE">
        <w:rPr>
          <w:noProof/>
          <w:color w:val="333333"/>
        </w:rPr>
        <w:t>2022</w:t>
      </w:r>
      <w:r>
        <w:rPr>
          <w:noProof/>
          <w:color w:val="333333"/>
        </w:rPr>
        <w:t>.</w:t>
      </w:r>
    </w:p>
  </w:footnote>
  <w:footnote w:id="73">
    <w:p w14:paraId="0BB5FB42" w14:textId="5FE909C1" w:rsidR="00FA14CE" w:rsidRPr="00415D46" w:rsidRDefault="00FA14CE">
      <w:pPr>
        <w:pStyle w:val="FootnoteText"/>
        <w:rPr>
          <w:lang w:val="en-US"/>
        </w:rPr>
      </w:pPr>
      <w:r>
        <w:rPr>
          <w:rStyle w:val="FootnoteReference"/>
        </w:rPr>
        <w:footnoteRef/>
      </w:r>
      <w:r>
        <w:rPr>
          <w:lang w:val="en-US"/>
        </w:rPr>
        <w:tab/>
      </w:r>
      <w:r w:rsidRPr="00E50A7A">
        <w:rPr>
          <w:lang w:val="en-IE"/>
        </w:rPr>
        <w:t xml:space="preserve">For the complete list of </w:t>
      </w:r>
      <w:r>
        <w:rPr>
          <w:lang w:val="en-IE"/>
        </w:rPr>
        <w:t>recommendations, see Annex 16 of the Impact Assessment Report.</w:t>
      </w:r>
    </w:p>
  </w:footnote>
  <w:footnote w:id="74">
    <w:p w14:paraId="51217E43" w14:textId="3BA993AC" w:rsidR="00FA14CE" w:rsidRPr="00E50A7A" w:rsidRDefault="00FA14CE">
      <w:pPr>
        <w:pStyle w:val="FootnoteText"/>
        <w:rPr>
          <w:lang w:val="pl-PL"/>
        </w:rPr>
      </w:pPr>
      <w:r>
        <w:rPr>
          <w:rStyle w:val="FootnoteReference"/>
        </w:rPr>
        <w:footnoteRef/>
      </w:r>
      <w:r w:rsidRPr="00E50A7A">
        <w:rPr>
          <w:lang w:val="pl-PL"/>
        </w:rPr>
        <w:tab/>
        <w:t>OJ L 140, 5.6.2009, p. 114.</w:t>
      </w:r>
    </w:p>
  </w:footnote>
  <w:footnote w:id="75">
    <w:p w14:paraId="0CF5B19A" w14:textId="73931422" w:rsidR="00FA14CE" w:rsidRPr="00E50A7A" w:rsidRDefault="00FA14CE">
      <w:pPr>
        <w:pStyle w:val="FootnoteText"/>
        <w:rPr>
          <w:lang w:val="pl-PL"/>
        </w:rPr>
      </w:pPr>
      <w:r>
        <w:rPr>
          <w:rStyle w:val="FootnoteReference"/>
        </w:rPr>
        <w:footnoteRef/>
      </w:r>
      <w:r w:rsidRPr="00E50A7A">
        <w:rPr>
          <w:lang w:val="pl-PL"/>
        </w:rPr>
        <w:tab/>
        <w:t>OJ L 114, 27.4.2006, p. 9.</w:t>
      </w:r>
    </w:p>
  </w:footnote>
  <w:footnote w:id="76">
    <w:p w14:paraId="48AB0B94" w14:textId="6C7856B5" w:rsidR="00FA14CE" w:rsidRPr="00E50A7A" w:rsidRDefault="00FA14CE">
      <w:pPr>
        <w:pStyle w:val="FootnoteText"/>
        <w:rPr>
          <w:lang w:val="pl-PL"/>
        </w:rPr>
      </w:pPr>
      <w:r>
        <w:rPr>
          <w:rStyle w:val="FootnoteReference"/>
        </w:rPr>
        <w:footnoteRef/>
      </w:r>
      <w:r w:rsidRPr="00E50A7A">
        <w:rPr>
          <w:lang w:val="pl-PL"/>
        </w:rPr>
        <w:tab/>
        <w:t>OJ L 312, 22.11.2008, p. 3.</w:t>
      </w:r>
    </w:p>
  </w:footnote>
  <w:footnote w:id="77">
    <w:p w14:paraId="754353A4" w14:textId="114D4153" w:rsidR="00FA14CE" w:rsidRPr="00415D46" w:rsidRDefault="00FA14CE">
      <w:pPr>
        <w:pStyle w:val="FootnoteText"/>
        <w:rPr>
          <w:lang w:val="en-US"/>
        </w:rPr>
      </w:pPr>
      <w:r>
        <w:rPr>
          <w:rStyle w:val="FootnoteReference"/>
        </w:rPr>
        <w:footnoteRef/>
      </w:r>
      <w:r>
        <w:rPr>
          <w:lang w:val="en-US"/>
        </w:rPr>
        <w:tab/>
      </w:r>
      <w:r>
        <w:t>Commission Delegated Decision (EU) 2019/1597 of 3 May 2019 supplementing Directive 2008/98/EC of the European Parliament and of the Council as regards a common methodology and minimum quality requirements for the uniform measurement of levels of food waste (OJ L 248, 27.9.2019, p. 77).</w:t>
      </w:r>
    </w:p>
  </w:footnote>
  <w:footnote w:id="78">
    <w:p w14:paraId="365A8293" w14:textId="77777777" w:rsidR="00FA14CE" w:rsidRPr="0074680C" w:rsidRDefault="00FA14CE">
      <w:pPr>
        <w:pStyle w:val="FootnoteText"/>
        <w:rPr>
          <w:lang w:val="en-US"/>
        </w:rPr>
      </w:pPr>
      <w:r>
        <w:rPr>
          <w:rStyle w:val="FootnoteReference"/>
        </w:rPr>
        <w:footnoteRef/>
      </w:r>
      <w:r>
        <w:rPr>
          <w:lang w:val="en-US"/>
        </w:rPr>
        <w:tab/>
      </w:r>
      <w:r w:rsidRPr="0074680C">
        <w:rPr>
          <w:noProof/>
          <w:sz w:val="19"/>
          <w:szCs w:val="19"/>
        </w:rPr>
        <w:t>Directive 2011/83/EU of the European Parliament and of the Council of 25</w:t>
      </w:r>
      <w:r w:rsidRPr="0074680C">
        <w:rPr>
          <w:noProof/>
        </w:rPr>
        <w:t xml:space="preserve"> October 2011 on consumer rights, amending Council Directive 93/13/EEC and Directive 1999/44/EC of the European Parliament and of the Council and repealing Council Directive 85/577/EEC and Directive 97/7/EC of the European Parliament and of the Council (OJ L 304, 22.11.2011, p. 64).</w:t>
      </w:r>
    </w:p>
  </w:footnote>
  <w:footnote w:id="79">
    <w:p w14:paraId="495009C8" w14:textId="5FA34F6B" w:rsidR="00FA14CE" w:rsidRPr="0074680C" w:rsidRDefault="00FA14CE">
      <w:pPr>
        <w:pStyle w:val="FootnoteText"/>
        <w:rPr>
          <w:lang w:val="en-US"/>
        </w:rPr>
      </w:pPr>
      <w:r>
        <w:rPr>
          <w:rStyle w:val="FootnoteReference"/>
        </w:rPr>
        <w:footnoteRef/>
      </w:r>
      <w:r>
        <w:rPr>
          <w:lang w:val="en-US"/>
        </w:rPr>
        <w:tab/>
      </w:r>
      <w:r w:rsidRPr="00FA611C">
        <w:rPr>
          <w:noProof/>
          <w:color w:val="333333"/>
          <w:lang w:val="en-IE"/>
        </w:rPr>
        <w:t>OJ L 256, 7.9.1987, p. 1.</w:t>
      </w:r>
    </w:p>
  </w:footnote>
  <w:footnote w:id="80">
    <w:p w14:paraId="1E942955" w14:textId="172AAAD8" w:rsidR="00FA14CE" w:rsidRPr="0074680C" w:rsidRDefault="00FA14CE">
      <w:pPr>
        <w:pStyle w:val="FootnoteText"/>
        <w:rPr>
          <w:lang w:val="en-US"/>
        </w:rPr>
      </w:pPr>
      <w:r>
        <w:rPr>
          <w:rStyle w:val="FootnoteReference"/>
        </w:rPr>
        <w:footnoteRef/>
      </w:r>
      <w:r>
        <w:rPr>
          <w:lang w:val="en-US"/>
        </w:rPr>
        <w:tab/>
      </w:r>
      <w:r w:rsidRPr="0C363BF0">
        <w:rPr>
          <w:color w:val="333333"/>
        </w:rPr>
        <w:t xml:space="preserve">COM (2021) </w:t>
      </w:r>
      <w:r>
        <w:t>778 final of 9 December 2021.</w:t>
      </w:r>
    </w:p>
  </w:footnote>
  <w:footnote w:id="81">
    <w:p w14:paraId="35025608" w14:textId="77777777" w:rsidR="00FA14CE" w:rsidRPr="00B13603" w:rsidRDefault="00FA14CE">
      <w:pPr>
        <w:pStyle w:val="FootnoteText"/>
        <w:rPr>
          <w:lang w:val="en-US"/>
        </w:rPr>
      </w:pPr>
      <w:r>
        <w:rPr>
          <w:rStyle w:val="FootnoteReference"/>
        </w:rPr>
        <w:footnoteRef/>
      </w:r>
      <w:r>
        <w:rPr>
          <w:lang w:val="en-US"/>
        </w:rPr>
        <w:tab/>
      </w:r>
      <w:r w:rsidRPr="1BD3479F">
        <w:rPr>
          <w:i/>
          <w:iCs/>
          <w:lang w:val="en-US"/>
        </w:rPr>
        <w:t>OJ to insert the reference number once adopted</w:t>
      </w:r>
      <w:r>
        <w:rPr>
          <w:i/>
          <w:iCs/>
          <w:lang w:val="en-US"/>
        </w:rPr>
        <w:t>.</w:t>
      </w:r>
    </w:p>
  </w:footnote>
  <w:footnote w:id="82">
    <w:p w14:paraId="35AB3491" w14:textId="5AE8D451" w:rsidR="00FA14CE" w:rsidRPr="00B13603" w:rsidRDefault="00FA14CE">
      <w:pPr>
        <w:pStyle w:val="FootnoteText"/>
        <w:rPr>
          <w:lang w:val="en-US"/>
        </w:rPr>
      </w:pPr>
      <w:r>
        <w:rPr>
          <w:rStyle w:val="FootnoteReference"/>
        </w:rPr>
        <w:footnoteRef/>
      </w:r>
      <w:r>
        <w:rPr>
          <w:lang w:val="en-US"/>
        </w:rPr>
        <w:tab/>
      </w:r>
      <w:r w:rsidRPr="00E50A7A">
        <w:rPr>
          <w:rFonts w:eastAsia="Times New Roman"/>
        </w:rPr>
        <w:t xml:space="preserve">Regulation (EU) No 1007/2011 of the European Parliament and of the Council of 27 September 2011 on textile fibre names and related labelling and marking of the fibre composition of textile products and repealing Council Directive 73/44/EEC and Directives 96/73/EC and 2008/121/EC of the European Parliament and of the Council </w:t>
      </w:r>
      <w:r>
        <w:rPr>
          <w:rFonts w:eastAsia="Times New Roman"/>
        </w:rPr>
        <w:t>(OJ L 272, 18.10.2011, p. 1).</w:t>
      </w:r>
    </w:p>
  </w:footnote>
  <w:footnote w:id="83">
    <w:p w14:paraId="040C7958" w14:textId="77777777" w:rsidR="00FA14CE" w:rsidRPr="0074680C" w:rsidRDefault="00FA14CE">
      <w:pPr>
        <w:pStyle w:val="FootnoteText"/>
        <w:rPr>
          <w:lang w:val="en-US"/>
        </w:rPr>
      </w:pPr>
      <w:r>
        <w:rPr>
          <w:rStyle w:val="FootnoteReference"/>
        </w:rPr>
        <w:footnoteRef/>
      </w:r>
      <w:r>
        <w:rPr>
          <w:lang w:val="en-US"/>
        </w:rPr>
        <w:tab/>
      </w:r>
      <w:r w:rsidRPr="1BD3479F">
        <w:rPr>
          <w:i/>
          <w:iCs/>
          <w:lang w:val="en-US"/>
        </w:rPr>
        <w:t>OJ to insert the reference number once adopted.</w:t>
      </w:r>
    </w:p>
  </w:footnote>
  <w:footnote w:id="84">
    <w:p w14:paraId="6D97D033" w14:textId="1E0AB156" w:rsidR="00FA14CE" w:rsidRPr="0074680C" w:rsidRDefault="00FA14CE">
      <w:pPr>
        <w:pStyle w:val="FootnoteText"/>
        <w:rPr>
          <w:lang w:val="en-US"/>
        </w:rPr>
      </w:pPr>
      <w:r>
        <w:rPr>
          <w:rStyle w:val="FootnoteReference"/>
        </w:rPr>
        <w:footnoteRef/>
      </w:r>
      <w:r>
        <w:rPr>
          <w:lang w:val="en-US"/>
        </w:rPr>
        <w:tab/>
      </w:r>
      <w:r w:rsidRPr="5089AF9B">
        <w:rPr>
          <w:color w:val="333333"/>
        </w:rPr>
        <w:t>OJ L 277, 27.10.2022, p. 1</w:t>
      </w:r>
      <w:r>
        <w:rPr>
          <w:color w:val="333333"/>
        </w:rPr>
        <w:t>.</w:t>
      </w:r>
    </w:p>
  </w:footnote>
  <w:footnote w:id="85">
    <w:p w14:paraId="741B2D4F" w14:textId="77777777" w:rsidR="00FA14CE" w:rsidRPr="0074680C" w:rsidRDefault="00FA14CE">
      <w:pPr>
        <w:pStyle w:val="FootnoteText"/>
        <w:rPr>
          <w:lang w:val="en-US"/>
        </w:rPr>
      </w:pPr>
      <w:r>
        <w:rPr>
          <w:rStyle w:val="FootnoteReference"/>
        </w:rPr>
        <w:footnoteRef/>
      </w:r>
      <w:r>
        <w:rPr>
          <w:lang w:val="en-US"/>
        </w:rPr>
        <w:tab/>
      </w:r>
      <w:r w:rsidRPr="444A79FE">
        <w:rPr>
          <w:i/>
          <w:iCs/>
          <w:noProof/>
          <w:lang w:val="en-US"/>
        </w:rPr>
        <w:t>OJ to insert the reference number once adopted</w:t>
      </w:r>
      <w:r>
        <w:rPr>
          <w:i/>
          <w:iCs/>
          <w:noProof/>
          <w:lang w:val="en-US"/>
        </w:rPr>
        <w:t>.</w:t>
      </w:r>
    </w:p>
  </w:footnote>
  <w:footnote w:id="86">
    <w:p w14:paraId="6E690F98" w14:textId="77777777" w:rsidR="00FA14CE" w:rsidRPr="00290C17" w:rsidRDefault="00FA14CE">
      <w:pPr>
        <w:pStyle w:val="FootnoteText"/>
        <w:rPr>
          <w:lang w:val="en-US"/>
        </w:rPr>
      </w:pPr>
      <w:r w:rsidRPr="00290C17">
        <w:rPr>
          <w:rStyle w:val="FootnoteReference"/>
        </w:rPr>
        <w:footnoteRef/>
      </w:r>
      <w:r w:rsidRPr="00290C17">
        <w:rPr>
          <w:lang w:val="en-US"/>
        </w:rPr>
        <w:tab/>
      </w:r>
      <w:r w:rsidRPr="00290C17">
        <w:t>Regulation (EU) No 182/2011 of the European Parliament and of the Council of 16 February 2011 laying down the rules and general principles concerning mechanisms for control by Member States of the Commission’s exercise of implementing powers (OJ L 55, 28.02.2011, p. 13).</w:t>
      </w:r>
    </w:p>
  </w:footnote>
  <w:footnote w:id="87">
    <w:p w14:paraId="4F88370C" w14:textId="77777777" w:rsidR="00FA14CE" w:rsidRDefault="00FA14CE" w:rsidP="00B00391">
      <w:pPr>
        <w:pStyle w:val="FootnoteText"/>
        <w:rPr>
          <w:szCs w:val="24"/>
        </w:rPr>
      </w:pPr>
      <w:r>
        <w:rPr>
          <w:rStyle w:val="FootnoteReference"/>
        </w:rPr>
        <w:footnoteRef/>
      </w:r>
      <w:r>
        <w:tab/>
        <w:t>As referred to in Article 58(2)(a) or (b) of the Financial Regulation.</w:t>
      </w:r>
    </w:p>
  </w:footnote>
  <w:footnote w:id="88">
    <w:p w14:paraId="37B4B8E0" w14:textId="77777777" w:rsidR="00FA14CE" w:rsidRDefault="00FA14CE" w:rsidP="00B00391">
      <w:pPr>
        <w:pStyle w:val="FootnoteText"/>
        <w:jc w:val="left"/>
        <w:rPr>
          <w:szCs w:val="24"/>
        </w:rPr>
      </w:pPr>
      <w:r>
        <w:rPr>
          <w:rStyle w:val="FootnoteReference"/>
        </w:rPr>
        <w:footnoteRef/>
      </w:r>
      <w:r>
        <w:tab/>
        <w:t xml:space="preserve">Details of budget implementation methods and references to the Financial Regulation may be found on the BUDGpedia site: </w:t>
      </w:r>
      <w:hyperlink r:id="rId20" w:history="1">
        <w:r w:rsidRPr="00974254">
          <w:rPr>
            <w:rStyle w:val="Hyperlink"/>
          </w:rPr>
          <w:t>https://myintracomm.ec.europa.eu/corp/budget/financial-rules/budget-implementation/Pages/implementation-methods.aspx</w:t>
        </w:r>
      </w:hyperlink>
    </w:p>
  </w:footnote>
  <w:footnote w:id="89">
    <w:p w14:paraId="2B254A55" w14:textId="77777777" w:rsidR="00FA14CE" w:rsidRDefault="00FA14CE" w:rsidP="00B00391">
      <w:pPr>
        <w:pStyle w:val="FootnoteText"/>
        <w:rPr>
          <w:szCs w:val="24"/>
        </w:rPr>
      </w:pPr>
      <w:r>
        <w:rPr>
          <w:rStyle w:val="FootnoteReference"/>
        </w:rPr>
        <w:footnoteRef/>
      </w:r>
      <w:r>
        <w:tab/>
        <w:t>Diff. = Differentiated appropriations / Non-diff. = Non-differentiated appropriations.</w:t>
      </w:r>
    </w:p>
  </w:footnote>
  <w:footnote w:id="90">
    <w:p w14:paraId="50A17A5E" w14:textId="77777777" w:rsidR="00FA14CE" w:rsidRDefault="00FA14CE" w:rsidP="00B00391">
      <w:pPr>
        <w:pStyle w:val="FootnoteText"/>
        <w:rPr>
          <w:szCs w:val="24"/>
        </w:rPr>
      </w:pPr>
      <w:r>
        <w:rPr>
          <w:rStyle w:val="FootnoteReference"/>
        </w:rPr>
        <w:footnoteRef/>
      </w:r>
      <w:r>
        <w:tab/>
        <w:t xml:space="preserve">EFTA: European Free Trade Association. </w:t>
      </w:r>
    </w:p>
  </w:footnote>
  <w:footnote w:id="91">
    <w:p w14:paraId="5DE039AB" w14:textId="77777777" w:rsidR="00FA14CE" w:rsidRDefault="00FA14CE" w:rsidP="00B00391">
      <w:pPr>
        <w:pStyle w:val="FootnoteText"/>
        <w:rPr>
          <w:szCs w:val="24"/>
        </w:rPr>
      </w:pPr>
      <w:r>
        <w:rPr>
          <w:rStyle w:val="FootnoteReference"/>
        </w:rPr>
        <w:footnoteRef/>
      </w:r>
      <w:r>
        <w:tab/>
        <w:t>Candidate countries and, where applicable, potential candidates from the Western Balkans.</w:t>
      </w:r>
    </w:p>
  </w:footnote>
  <w:footnote w:id="92">
    <w:p w14:paraId="7E1146EF" w14:textId="77777777" w:rsidR="00FA14CE" w:rsidRDefault="00FA14CE" w:rsidP="00B00391">
      <w:pPr>
        <w:pStyle w:val="FootnoteText"/>
        <w:rPr>
          <w:szCs w:val="24"/>
        </w:rPr>
      </w:pPr>
      <w:r>
        <w:rPr>
          <w:rStyle w:val="FootnoteReference"/>
        </w:rPr>
        <w:footnoteRef/>
      </w:r>
      <w:r>
        <w:tab/>
        <w:t>Outputs are products and services to be supplied (e.g.: number of student exchanges financed, number of km of roads built, etc.).</w:t>
      </w:r>
    </w:p>
  </w:footnote>
  <w:footnote w:id="93">
    <w:p w14:paraId="77DB3BA7" w14:textId="77777777" w:rsidR="00FA14CE" w:rsidRDefault="00FA14CE" w:rsidP="00B00391">
      <w:pPr>
        <w:pStyle w:val="FootnoteText"/>
        <w:rPr>
          <w:szCs w:val="24"/>
        </w:rPr>
      </w:pPr>
      <w:r>
        <w:rPr>
          <w:rStyle w:val="FootnoteReference"/>
        </w:rPr>
        <w:footnoteRef/>
      </w:r>
      <w:r>
        <w:tab/>
        <w:t xml:space="preserve">As described in point 1.4.2. ‘Specific objective(s)…’ </w:t>
      </w:r>
    </w:p>
  </w:footnote>
  <w:footnote w:id="94">
    <w:p w14:paraId="308C6730" w14:textId="77777777" w:rsidR="00FA14CE" w:rsidRDefault="00FA14CE" w:rsidP="002B6EB1">
      <w:pPr>
        <w:pStyle w:val="FootnoteText"/>
        <w:rPr>
          <w:szCs w:val="24"/>
        </w:rPr>
      </w:pPr>
      <w:r w:rsidRPr="00CB7CD3">
        <w:rPr>
          <w:rStyle w:val="FootnoteReference"/>
        </w:rPr>
        <w:footnoteRef/>
      </w:r>
      <w:r w:rsidRPr="007974DD">
        <w:rPr>
          <w:sz w:val="18"/>
          <w:szCs w:val="18"/>
        </w:rPr>
        <w:tab/>
        <w:t>Technical and/or administrative assistance and expenditure in support of the implementation of EU programmes and/or actions (former ‘BA’ lines), indirect research, direct research.</w:t>
      </w:r>
    </w:p>
  </w:footnote>
  <w:footnote w:id="95">
    <w:p w14:paraId="155F571C" w14:textId="77777777" w:rsidR="00FA14CE" w:rsidRDefault="00FA14CE" w:rsidP="00B00391">
      <w:pPr>
        <w:pStyle w:val="FootnoteText"/>
        <w:rPr>
          <w:szCs w:val="24"/>
        </w:rPr>
      </w:pPr>
      <w:r>
        <w:rPr>
          <w:rStyle w:val="FootnoteReference"/>
        </w:rPr>
        <w:footnoteRef/>
      </w:r>
      <w:r>
        <w:tab/>
        <w:t>Sub-ceiling for external staff covered by operational appropriations (former ‘BA’ lines).</w:t>
      </w:r>
    </w:p>
  </w:footnote>
  <w:footnote w:id="96">
    <w:p w14:paraId="059D8945" w14:textId="77777777" w:rsidR="00FA14CE" w:rsidRDefault="00FA14CE" w:rsidP="00B00391">
      <w:pPr>
        <w:pStyle w:val="FootnoteText"/>
      </w:pPr>
      <w:r w:rsidRPr="00CB7CD3">
        <w:rPr>
          <w:rStyle w:val="FootnoteReference"/>
        </w:rPr>
        <w:footnoteRef/>
      </w:r>
      <w:r>
        <w:tab/>
        <w:t>Year N is the year in which implementation of the proposal/initiative starts. Please replace "N" by the expected first year of implementation (for instance: 2021). The same for the following years.</w:t>
      </w:r>
    </w:p>
  </w:footnote>
  <w:footnote w:id="97">
    <w:p w14:paraId="07A7C31C" w14:textId="77777777" w:rsidR="00FA14CE" w:rsidRDefault="00FA14CE" w:rsidP="00B00391">
      <w:pPr>
        <w:pStyle w:val="FootnoteText"/>
        <w:rPr>
          <w:szCs w:val="24"/>
        </w:rPr>
      </w:pPr>
      <w:r>
        <w:rPr>
          <w:rStyle w:val="FootnoteReference"/>
        </w:rPr>
        <w:footnoteRef/>
      </w:r>
      <w:r>
        <w:tab/>
        <w:t xml:space="preserve">As regards traditional own resources (customs duties, sugar levies), the amounts indicated must be net amounts, i.e. gross amounts after deduction of </w:t>
      </w:r>
      <w:r w:rsidRPr="009B753E">
        <w:t>20</w:t>
      </w:r>
      <w:r>
        <w:t> % for collection costs.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C3154A" w14:textId="77777777" w:rsidR="00FA14CE" w:rsidRDefault="00FA14C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FE05F0" w14:textId="77777777" w:rsidR="00FA14CE" w:rsidRPr="001F75A6" w:rsidRDefault="00FA14CE" w:rsidP="001F75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3B707B" w14:textId="315F4E18" w:rsidR="00FA14CE" w:rsidRPr="009C21C5" w:rsidRDefault="00FA14CE" w:rsidP="009C21C5">
    <w:pPr>
      <w:pStyle w:val="HeaderCouncilLarge"/>
    </w:pPr>
    <w:r>
      <w:t>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92D8E3" w14:textId="359C2A0E" w:rsidR="00FA14CE" w:rsidRPr="009C21C5" w:rsidRDefault="00FA14CE" w:rsidP="009C21C5">
    <w:pPr>
      <w:pStyle w:val="HeaderCouncil"/>
    </w:pPr>
    <w:r>
      <w:t>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CAE7F2" w14:textId="77777777" w:rsidR="00FA14CE" w:rsidRDefault="00FA14C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37E85" w14:textId="77777777" w:rsidR="00FA14CE" w:rsidRDefault="00FA14C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288DD5" w14:textId="77777777" w:rsidR="00FA14CE" w:rsidRDefault="00FA14C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7E1E1B" w14:textId="77777777" w:rsidR="00FA14CE" w:rsidRPr="001F75A6" w:rsidRDefault="00FA14CE" w:rsidP="001F75A6">
    <w:pPr>
      <w:pStyle w:val="HeaderLandscap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23D21A" w14:textId="77777777" w:rsidR="00FA14CE" w:rsidRPr="001F75A6" w:rsidRDefault="00FA14CE" w:rsidP="001F75A6">
    <w:pPr>
      <w:pStyle w:val="HeaderLandscape"/>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6A1105" w14:textId="77777777" w:rsidR="00FA14CE" w:rsidRPr="00006B65" w:rsidRDefault="00FA14CE" w:rsidP="001F75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1" w15:restartNumberingAfterBreak="0">
    <w:nsid w:val="128364B0"/>
    <w:multiLevelType w:val="singleLevel"/>
    <w:tmpl w:val="D084FB54"/>
    <w:lvl w:ilvl="0">
      <w:start w:val="1"/>
      <w:numFmt w:val="bullet"/>
      <w:pStyle w:val="ListDash3"/>
      <w:lvlText w:val="–"/>
      <w:lvlJc w:val="left"/>
      <w:pPr>
        <w:tabs>
          <w:tab w:val="num" w:pos="1134"/>
        </w:tabs>
        <w:ind w:left="1134" w:hanging="283"/>
      </w:pPr>
      <w:rPr>
        <w:rFonts w:ascii="Times New Roman" w:hAnsi="Times New Roman"/>
      </w:rPr>
    </w:lvl>
  </w:abstractNum>
  <w:abstractNum w:abstractNumId="2" w15:restartNumberingAfterBreak="0">
    <w:nsid w:val="13E4330B"/>
    <w:multiLevelType w:val="multilevel"/>
    <w:tmpl w:val="875C4416"/>
    <w:name w:val="List Dash 3"/>
    <w:lvl w:ilvl="0">
      <w:start w:val="1"/>
      <w:numFmt w:val="decimal"/>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4" w15:restartNumberingAfterBreak="0">
    <w:nsid w:val="1E3F0D19"/>
    <w:multiLevelType w:val="hybridMultilevel"/>
    <w:tmpl w:val="3DB227C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decimal"/>
      <w:pStyle w:val="NumPar5"/>
      <w:lvlText w:val="%1.%2.%3.%4.%5."/>
      <w:lvlJc w:val="left"/>
      <w:pPr>
        <w:tabs>
          <w:tab w:val="num" w:pos="1417"/>
        </w:tabs>
        <w:ind w:left="1417" w:hanging="1417"/>
      </w:pPr>
    </w:lvl>
    <w:lvl w:ilvl="5">
      <w:start w:val="1"/>
      <w:numFmt w:val="decimal"/>
      <w:pStyle w:val="NumPar6"/>
      <w:lvlText w:val="%1.%2.%3.%4.%5.%6."/>
      <w:lvlJc w:val="left"/>
      <w:pPr>
        <w:tabs>
          <w:tab w:val="num" w:pos="1417"/>
        </w:tabs>
        <w:ind w:left="1417" w:hanging="1417"/>
      </w:pPr>
    </w:lvl>
    <w:lvl w:ilvl="6">
      <w:start w:val="1"/>
      <w:numFmt w:val="decimal"/>
      <w:pStyle w:val="NumPar7"/>
      <w:lvlText w:val="%1.%2.%3.%4.%5.%6.%7."/>
      <w:lvlJc w:val="left"/>
      <w:pPr>
        <w:tabs>
          <w:tab w:val="num" w:pos="1417"/>
        </w:tabs>
        <w:ind w:left="1417" w:hanging="1417"/>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7"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8" w15:restartNumberingAfterBreak="0">
    <w:nsid w:val="2D820C1F"/>
    <w:multiLevelType w:val="singleLevel"/>
    <w:tmpl w:val="7896AADE"/>
    <w:name w:val="List Dash"/>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9" w15:restartNumberingAfterBreak="0">
    <w:nsid w:val="2F191641"/>
    <w:multiLevelType w:val="multilevel"/>
    <w:tmpl w:val="B67C4E92"/>
    <w:lvl w:ilvl="0">
      <w:start w:val="1"/>
      <w:numFmt w:val="decimal"/>
      <w:pStyle w:val="ListNumber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15:restartNumberingAfterBreak="0">
    <w:nsid w:val="31CD398A"/>
    <w:multiLevelType w:val="singleLevel"/>
    <w:tmpl w:val="0276BF00"/>
    <w:lvl w:ilvl="0">
      <w:start w:val="1"/>
      <w:numFmt w:val="bullet"/>
      <w:pStyle w:val="ListDash4"/>
      <w:lvlText w:val="–"/>
      <w:lvlJc w:val="left"/>
      <w:pPr>
        <w:tabs>
          <w:tab w:val="num" w:pos="1134"/>
        </w:tabs>
        <w:ind w:left="1134" w:hanging="283"/>
      </w:pPr>
      <w:rPr>
        <w:rFonts w:ascii="Times New Roman" w:hAnsi="Times New Roman"/>
      </w:rPr>
    </w:lvl>
  </w:abstractNum>
  <w:abstractNum w:abstractNumId="11" w15:restartNumberingAfterBreak="0">
    <w:nsid w:val="398C015E"/>
    <w:multiLevelType w:val="multilevel"/>
    <w:tmpl w:val="027A66BA"/>
    <w:name w:val="List Dash 4"/>
    <w:lvl w:ilvl="0">
      <w:start w:val="1"/>
      <w:numFmt w:val="decimal"/>
      <w:pStyle w:val="ListNumber2"/>
      <w:lvlText w:val="(%1)"/>
      <w:lvlJc w:val="left"/>
      <w:pPr>
        <w:tabs>
          <w:tab w:val="num" w:pos="1560"/>
        </w:tabs>
        <w:ind w:left="1560" w:hanging="709"/>
      </w:pPr>
      <w:rPr>
        <w:rFonts w:cs="Times New Roman"/>
      </w:rPr>
    </w:lvl>
    <w:lvl w:ilvl="1">
      <w:start w:val="1"/>
      <w:numFmt w:val="lowerLetter"/>
      <w:pStyle w:val="ListNumber2Level2"/>
      <w:lvlText w:val="(%2)"/>
      <w:lvlJc w:val="left"/>
      <w:pPr>
        <w:tabs>
          <w:tab w:val="num" w:pos="2268"/>
        </w:tabs>
        <w:ind w:left="2268" w:hanging="708"/>
      </w:pPr>
      <w:rPr>
        <w:rFonts w:cs="Times New Roman"/>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15:restartNumberingAfterBreak="0">
    <w:nsid w:val="42FC077D"/>
    <w:multiLevelType w:val="singleLevel"/>
    <w:tmpl w:val="4128FD03"/>
    <w:name w:val="Tiret 5"/>
    <w:lvl w:ilvl="0">
      <w:start w:val="1"/>
      <w:numFmt w:val="bullet"/>
      <w:lvlRestart w:val="0"/>
      <w:pStyle w:val="Tiret5"/>
      <w:lvlText w:val="–"/>
      <w:lvlJc w:val="left"/>
      <w:pPr>
        <w:tabs>
          <w:tab w:val="num" w:pos="3685"/>
        </w:tabs>
        <w:ind w:left="3685" w:hanging="567"/>
      </w:pPr>
    </w:lvl>
  </w:abstractNum>
  <w:abstractNum w:abstractNumId="15"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15:restartNumberingAfterBreak="0">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7" w15:restartNumberingAfterBreak="0">
    <w:nsid w:val="4AA153C0"/>
    <w:multiLevelType w:val="hybridMultilevel"/>
    <w:tmpl w:val="2334022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8" w15:restartNumberingAfterBreak="0">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9" w15:restartNumberingAfterBreak="0">
    <w:nsid w:val="542A1204"/>
    <w:multiLevelType w:val="multilevel"/>
    <w:tmpl w:val="BC1E8404"/>
    <w:lvl w:ilvl="0">
      <w:start w:val="1"/>
      <w:numFmt w:val="decimal"/>
      <w:pStyle w:val="ListNumber4"/>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550160F3"/>
    <w:multiLevelType w:val="hybridMultilevel"/>
    <w:tmpl w:val="07861B8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1"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2" w15:restartNumberingAfterBreak="0">
    <w:nsid w:val="5B0B0635"/>
    <w:multiLevelType w:val="singleLevel"/>
    <w:tmpl w:val="017E7CEE"/>
    <w:lvl w:ilvl="0">
      <w:start w:val="1"/>
      <w:numFmt w:val="bullet"/>
      <w:lvlRestart w:val="0"/>
      <w:pStyle w:val="ListBullet4"/>
      <w:lvlText w:val=""/>
      <w:lvlJc w:val="left"/>
      <w:pPr>
        <w:tabs>
          <w:tab w:val="num" w:pos="1134"/>
        </w:tabs>
        <w:ind w:left="1134" w:hanging="283"/>
      </w:pPr>
      <w:rPr>
        <w:rFonts w:ascii="Symbol" w:hAnsi="Symbol" w:hint="default"/>
      </w:rPr>
    </w:lvl>
  </w:abstractNum>
  <w:abstractNum w:abstractNumId="23"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4"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6" w15:restartNumberingAfterBreak="0">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7" w15:restartNumberingAfterBreak="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decimal"/>
      <w:pStyle w:val="Heading5"/>
      <w:lvlText w:val="%1.%2.%3.%4.%5."/>
      <w:lvlJc w:val="left"/>
      <w:pPr>
        <w:tabs>
          <w:tab w:val="num" w:pos="1417"/>
        </w:tabs>
        <w:ind w:left="1417" w:hanging="1417"/>
      </w:pPr>
    </w:lvl>
    <w:lvl w:ilvl="5">
      <w:start w:val="1"/>
      <w:numFmt w:val="decimal"/>
      <w:pStyle w:val="Heading6"/>
      <w:lvlText w:val="%1.%2.%3.%4.%5.%6."/>
      <w:lvlJc w:val="left"/>
      <w:pPr>
        <w:tabs>
          <w:tab w:val="num" w:pos="1417"/>
        </w:tabs>
        <w:ind w:left="1417" w:hanging="1417"/>
      </w:pPr>
    </w:lvl>
    <w:lvl w:ilvl="6">
      <w:start w:val="1"/>
      <w:numFmt w:val="decimal"/>
      <w:pStyle w:val="Heading7"/>
      <w:lvlText w:val="%1.%2.%3.%4.%5.%6.%7."/>
      <w:lvlJc w:val="left"/>
      <w:pPr>
        <w:tabs>
          <w:tab w:val="num" w:pos="1417"/>
        </w:tabs>
        <w:ind w:left="1417" w:hanging="1417"/>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6BF0424"/>
    <w:multiLevelType w:val="hybridMultilevel"/>
    <w:tmpl w:val="D2B649A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9"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30" w15:restartNumberingAfterBreak="0">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31" w15:restartNumberingAfterBreak="0">
    <w:nsid w:val="76BC5C11"/>
    <w:multiLevelType w:val="singleLevel"/>
    <w:tmpl w:val="E44CE82E"/>
    <w:lvl w:ilvl="0">
      <w:start w:val="1"/>
      <w:numFmt w:val="bullet"/>
      <w:pStyle w:val="ListBullet3"/>
      <w:lvlText w:val=""/>
      <w:lvlJc w:val="left"/>
      <w:pPr>
        <w:tabs>
          <w:tab w:val="num" w:pos="1134"/>
        </w:tabs>
        <w:ind w:left="1134" w:hanging="283"/>
      </w:pPr>
      <w:rPr>
        <w:rFonts w:ascii="Symbol" w:hAnsi="Symbol" w:hint="default"/>
      </w:rPr>
    </w:lvl>
  </w:abstractNum>
  <w:abstractNum w:abstractNumId="32" w15:restartNumberingAfterBreak="0">
    <w:nsid w:val="7CBE4812"/>
    <w:multiLevelType w:val="singleLevel"/>
    <w:tmpl w:val="23C821E4"/>
    <w:name w:val="Considérant"/>
    <w:lvl w:ilvl="0">
      <w:start w:val="1"/>
      <w:numFmt w:val="decimal"/>
      <w:lvlRestart w:val="0"/>
      <w:pStyle w:val="Considrant"/>
      <w:lvlText w:val="(%1)"/>
      <w:lvlJc w:val="left"/>
      <w:pPr>
        <w:tabs>
          <w:tab w:val="num" w:pos="992"/>
        </w:tabs>
        <w:ind w:left="992" w:hanging="709"/>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2"/>
  </w:num>
  <w:num w:numId="8">
    <w:abstractNumId w:val="8"/>
  </w:num>
  <w:num w:numId="9">
    <w:abstractNumId w:val="18"/>
  </w:num>
  <w:num w:numId="10">
    <w:abstractNumId w:val="16"/>
  </w:num>
  <w:num w:numId="11">
    <w:abstractNumId w:val="26"/>
  </w:num>
  <w:num w:numId="12">
    <w:abstractNumId w:val="30"/>
  </w:num>
  <w:num w:numId="13">
    <w:abstractNumId w:val="31"/>
  </w:num>
  <w:num w:numId="14">
    <w:abstractNumId w:val="1"/>
  </w:num>
  <w:num w:numId="15">
    <w:abstractNumId w:val="10"/>
  </w:num>
  <w:num w:numId="16">
    <w:abstractNumId w:val="2"/>
  </w:num>
  <w:num w:numId="17">
    <w:abstractNumId w:val="11"/>
  </w:num>
  <w:num w:numId="18">
    <w:abstractNumId w:val="9"/>
  </w:num>
  <w:num w:numId="19">
    <w:abstractNumId w:val="19"/>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28"/>
  </w:num>
  <w:num w:numId="25">
    <w:abstractNumId w:val="20"/>
  </w:num>
  <w:num w:numId="26">
    <w:abstractNumId w:val="4"/>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num>
  <w:num w:numId="30">
    <w:abstractNumId w:val="32"/>
    <w:lvlOverride w:ilvl="0">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lvlOverride w:ilvl="0">
      <w:startOverride w:val="1"/>
    </w:lvlOverride>
  </w:num>
  <w:num w:numId="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lvlOverride w:ilvl="0">
      <w:startOverride w:val="1"/>
    </w:lvlOverride>
  </w:num>
  <w:num w:numId="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num>
  <w:num w:numId="46">
    <w:abstractNumId w:val="12"/>
  </w:num>
  <w:num w:numId="47">
    <w:abstractNumId w:val="29"/>
  </w:num>
  <w:num w:numId="48">
    <w:abstractNumId w:val="7"/>
  </w:num>
  <w:num w:numId="49">
    <w:abstractNumId w:val="13"/>
  </w:num>
  <w:num w:numId="50">
    <w:abstractNumId w:val="14"/>
  </w:num>
  <w:num w:numId="51">
    <w:abstractNumId w:val="5"/>
  </w:num>
  <w:num w:numId="52">
    <w:abstractNumId w:val="27"/>
  </w:num>
  <w:num w:numId="53">
    <w:abstractNumId w:val="3"/>
  </w:num>
  <w:num w:numId="54">
    <w:abstractNumId w:val="15"/>
  </w:num>
  <w:num w:numId="55">
    <w:abstractNumId w:val="23"/>
  </w:num>
  <w:num w:numId="56">
    <w:abstractNumId w:val="24"/>
  </w:num>
  <w:num w:numId="57">
    <w:abstractNumId w:val="6"/>
  </w:num>
  <w:num w:numId="58">
    <w:abstractNumId w:val="21"/>
  </w:num>
  <w:num w:numId="59">
    <w:abstractNumId w:val="32"/>
  </w:num>
  <w:num w:numId="60">
    <w:abstractNumId w:val="3"/>
  </w:num>
  <w:num w:numId="6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
  </w:num>
  <w:num w:numId="6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hideSpellingErrors/>
  <w:hideGrammaticalErrors/>
  <w:attachedTemplate r:id="rId1"/>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uncil" w:val="true"/>
    <w:docVar w:name="CoverPageOnWordDoc" w:val="false"/>
    <w:docVar w:name="CR_RefLast" w:val="0"/>
    <w:docVar w:name="DocuWriteMetaData" w:val="&lt;metadataset docuwriteversion=&quot;4.8.2&quot; technicalblockguid=&quot;5503802684747287468&quot;&gt;_x000d__x000a_  &lt;metadata key=&quot;md_DocumentLanguages&quot;&gt;_x000d__x000a_    &lt;basicdatatypelist&gt;_x000d__x000a_      &lt;language key=&quot;EN&quot; text=&quot;EN&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DocumentLanguagesAutomatic&quot;&gt;_x000d__x000a_    &lt;text&gt;&lt;/text&gt;_x000d__x000a_  &lt;/metadata&gt;_x000d__x000a_  &lt;metadata key=&quot;md_UniqueHeading&quot;&gt;_x000d__x000a_    &lt;basicdatatype&gt;_x000d__x000a_      &lt;heading key=&quot;uh_65&quot; text=&quot;PROPOSAL&quot; /&gt;_x000d__x000a_    &lt;/basicdatatype&gt;_x000d__x000a_  &lt;/metadata&gt;_x000d__x000a_  &lt;metadata key=&quot;md_HeadingText&quot;&gt;_x000d__x000a_    &lt;headingtext text=&quot;PROPOSAL&quot;&gt;_x000d__x000a_      &lt;formattedtext&gt;_x000d__x000a_        &lt;xaml text=&quot;PROPOSAL&quot;&gt;&amp;lt;FlowDocument xmlns=&quot;http://schemas.microsoft.com/winfx/2006/xaml/presentation&quot;&amp;gt;&amp;lt;Paragraph&amp;gt;PROPOSAL&amp;lt;/Paragraph&amp;gt;&amp;lt;/FlowDocument&amp;gt;&lt;/xaml&gt;_x000d__x000a_      &lt;/formattedtext&gt;_x000d__x000a_    &lt;/headingtext&gt;_x000d__x000a_  &lt;/metadata&gt;_x000d__x000a_  &lt;metadata key=&quot;md_CustomFootnote&quot; /&gt;_x000d__x000a_  &lt;metadata key=&quot;md_DocumentGroup&quot;&gt;_x000d__x000a_    &lt;basicdatatype&gt;_x000d__x000a_      &lt;document_group key=&quot;dg_12&quot; text=&quot;Cover Page&quot; /&gt;_x000d__x000a_    &lt;/basicdatatype&gt;_x000d__x000a_  &lt;/metadata&gt;_x000d__x000a_  &lt;metadata key=&quot;md_DocumentType&quot;&gt;_x000d__x000a_    &lt;basicdatatype&gt;_x000d__x000a_      &lt;doc_type key=&quot;dt_ST&quot; text=&quot;ST&quot; /&gt;_x000d__x000a_    &lt;/basicdatatype&gt;_x000d__x000a_  &lt;/metadata&gt;_x000d__x000a_  &lt;metadata key=&quot;md_InstitutionalFramework&quot;&gt;_x000d__x000a_    &lt;basicdatatype&gt;_x000d__x000a_      &lt;framework key=&quot;if_01&quot; text=&quot;Council of the European Union&quot; institution=&quot;instfr_institution&quot; acronym=&quot;instfr_acronym&quot; /&gt;_x000d__x000a_    &lt;/basicdatatype&gt;_x000d__x000a_  &lt;/metadata&gt;_x000d__x000a_  &lt;metadata key=&quot;md_DraftNote&quot; /&gt;_x000d__x000a_  &lt;metadata key=&quot;md_DGName&quot;&gt;_x000d__x000a_    &lt;basicdatatype&gt;_x000d__x000a_      &lt;dgname key=&quot;&quot; /&gt;_x000d__x000a_    &lt;/basicdatatype&gt;_x000d__x000a_  &lt;/metadata&gt;_x000d__x000a_  &lt;metadata key=&quot;md_ContributingService&quot;&gt;_x000d__x000a_    &lt;text&gt;&lt;/text&gt;_x000d__x000a_  &lt;/metadata&gt;_x000d__x000a_  &lt;metadata key=&quot;md_DocumentLocation&quot;&gt;_x000d__x000a_    &lt;basicdatatype&gt;_x000d__x000a_      &lt;location key=&quot;loc_01&quot; text=&quot;Brussels&quot; /&gt;_x000d__x000a_    &lt;/basicdatatype&gt;_x000d__x000a_  &lt;/metadata&gt;_x000d__x000a_  &lt;metadata key=&quot;md_DocumentDate&quot;&gt;_x000d__x000a_    &lt;text&gt;2023-07-07&lt;/text&gt;_x000d__x000a_  &lt;/metadata&gt;_x000d__x000a_  &lt;metadata key=&quot;md_Prefix&quot;&gt;_x000d__x000a_    &lt;text&gt;&lt;/text&gt;_x000d__x000a_  &lt;/metadata&gt;_x000d__x000a_  &lt;metadata key=&quot;md_DocumentNumber&quot;&gt;_x000d__x000a_    &lt;text&gt;11624&lt;/text&gt;_x000d__x000a_  &lt;/metadata&gt;_x000d__x000a_  &lt;metadata key=&quot;md_YearDocumentNumber&quot;&gt;_x000d__x000a_    &lt;text&gt;2023&lt;/text&gt;_x000d__x000a_  &lt;/metadata&gt;_x000d__x000a_  &lt;metadata key=&quot;md_Suffixes&quot;&gt;_x000d__x000a_    &lt;text&gt;&lt;/text&gt;_x000d__x000a_  &lt;/metadata&gt;_x000d__x000a_  &lt;metadata key=&quot;md_SuffixLanguagesInvolved&quot;&gt;_x000d__x000a_    &lt;text&gt;&lt;/text&gt;_x000d__x000a_  &lt;/metadata&gt;_x000d__x000a_  &lt;metadata key=&quot;md_FirstRevNumber&quot;&gt;_x000d__x000a_    &lt;text&gt;&lt;/text&gt;_x000d__x000a_  &lt;/metadata&gt;_x000d__x000a_  &lt;metadata key=&quot;md_Distribution&quot;&gt;_x000d__x000a_    &lt;basicdatatype&gt;_x000d__x000a_      &lt;distribution key=&quot;dis_01&quot; text=&quot;PUBLIC&quot; /&gt;_x000d__x000a_    &lt;/basicdatatype&gt;_x000d__x000a_  &lt;/metadata&gt;_x000d__x000a_  &lt;metadata key=&quot;md_SubjectCodes&quot;&gt;_x000d__x000a_    &lt;textlist&gt;_x000d__x000a_      &lt;text&gt;ENV 826&lt;/text&gt;_x000d__x000a_      &lt;text&gt;COMPET 739&lt;/text&gt;_x000d__x000a_      &lt;text&gt;SAN 448&lt;/text&gt;_x000d__x000a_      &lt;text&gt;MI 600&lt;/text&gt;_x000d__x000a_      &lt;text&gt;IND 374&lt;/text&gt;_x000d__x000a_      &lt;text&gt;CONSOM 267&lt;/text&gt;_x000d__x000a_      &lt;text&gt;ENT 158&lt;/text&gt;_x000d__x000a_      &lt;text&gt;FOOD 57&lt;/text&gt;_x000d__x000a_      &lt;text&gt;AGRI 383&lt;/text&gt;_x000d__x000a_      &lt;text&gt;CODEC 1320&lt;/text&gt;_x000d__x000a_    &lt;/textlist&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gt;_x000d__x000a_    &lt;textlist&gt;_x000d__x000a_      &lt;text&gt;2023/0234(COD)&lt;/text&gt;_x000d__x000a_    &lt;/textlist&gt;_x000d__x000a_  &lt;/metadata&gt;_x000d__x000a_  &lt;metadata key=&quot;md_AdditionalReferences&quot;&gt;_x000d__x000a_    &lt;textlist /&gt;_x000d__x000a_  &lt;/metadata&gt;_x000d__x000a_  &lt;metadata key=&quot;md_LEXNumber&quot;&gt;_x000d__x000a_    &lt;text&gt;&lt;/text&gt;_x000d__x000a_  &lt;/metadata&gt;_x000d__x000a_  &lt;metadata key=&quot;md_SousEmbargo&quot;&gt;_x000d__x000a_    &lt;text&gt;&lt;/text&gt;_x000d__x000a_  &lt;/metadata&gt;_x000d__x000a_  &lt;metadata key=&quot;md_DraftVersion&quot;&gt;_x000d__x000a_    &lt;text&gt;&lt;/text&gt;_x000d__x000a_  &lt;/metadata&gt;_x000d__x000a_  &lt;metadata key=&quot;md_Originator&quot;&gt;_x000d__x000a_    &lt;basicdatatype&gt;_x000d__x000a_      &lt;originator key=&quot;or_33&quot; text=&quot;Secretary-General of the European Commission, signed by Ms Martine DEPREZ, Director&quot; /&gt;_x000d__x000a_    &lt;/basicdatatype&gt;_x000d__x000a_  &lt;/metadata&gt;_x000d__x000a_  &lt;metadata key=&quot;md_Recipient&quot;&gt;_x000d__x000a_    &lt;basicdatatype&gt;_x000d__x000a_      &lt;recipient key=&quot;re_47&quot; text=&quot;Ms Thérèse BLANCHET, Secretary-General of the Council of the European Union&quot; /&gt;_x000d__x000a_    &lt;/basicdatatype&gt;_x000d__x000a_  &lt;/metadata&gt;_x000d__x000a_  &lt;metadata key=&quot;md_DateOfReceipt&quot;&gt;_x000d__x000a_    &lt;text&gt;2023-07-06&lt;/text&gt;_x000d__x000a_  &lt;/metadata&gt;_x000d__x000a_  &lt;metadata key=&quot;md_FreeDate&quot;&gt;_x000d__x000a_    &lt;textlist /&gt;_x000d__x000a_  &lt;/metadata&gt;_x000d__x000a_  &lt;metadata key=&quot;md_PrecedingDocuments&quot;&gt;_x000d__x000a_    &lt;textlist /&gt;_x000d__x000a_  &lt;/metadata&gt;_x000d__x000a_  &lt;metadata key=&quot;md_CommissionDocuments&quot;&gt;_x000d__x000a_    &lt;textlist&gt;_x000d__x000a_      &lt;text&gt;COM(2023) 420 final&lt;/text&gt;_x000d__x000a_    &lt;/textlist&gt;_x000d__x000a_  &lt;/metadata&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DateFormatOr&quot;&gt;_x000d__x000a_    &lt;text&gt;&lt;/text&gt;_x000d__x000a_  &lt;/metadata&gt;_x000d__x000a_  &lt;metadata key=&quot;md_MeetingInformation&quot; /&gt;_x000d__x000a_  &lt;metadata key=&quot;md_Item&quot; /&gt;_x000d__x000a_  &lt;metadata key=&quot;md_SubjectPrefix&quot;&gt;_x000d__x000a_    &lt;text&gt;&lt;/text&gt;_x000d__x000a_  &lt;/metadata&gt;_x000d__x000a_  &lt;metadata key=&quot;md_Subject&quot;&gt;_x000d__x000a_    &lt;xaml text=&quot;Proposal for a DIRECTIVE OF THE EUROPEAN PARLIAMENT AND OF THE COUNCIL amending Directive 2008/98/EC on waste&quot;&gt;&amp;lt;FlowDocument FontFamily=&quot;Segoe UI&quot; FontSize=&quot;12&quot; PagePadding=&quot;2,2,2,2&quot; AllowDrop=&quot;False&quot; xmlns=&quot;http://schemas.microsoft.com/winfx/2006/xaml/presentation&quot;&amp;gt;&amp;lt;Paragraph&amp;gt;Proposal for a DIRECTIVE OF THE EUROPEAN PARLIAMENT AND OF THE COUNCIL amending Directive 2008/98/EC on waste&amp;lt;/Paragraph&amp;gt;&amp;lt;/FlowDocument&amp;gt;&lt;/xaml&gt;_x000d__x000a_  &lt;/metadata&gt;_x000d__x000a_  &lt;metadata key=&quot;md_SubjectFootnote&quot; /&gt;_x000d__x000a_  &lt;metadata key=&quot;md_DG&quot;&gt;_x000d__x000a_    &lt;text&gt;TREE.1.A&lt;/text&gt;_x000d__x000a_  &lt;/metadata&gt;_x000d__x000a_  &lt;metadata key=&quot;md_Initials&quot;&gt;_x000d__x000a_    &lt;text&gt;PHL/bsl&lt;/text&gt;_x000d__x000a_  &lt;/metadata&gt;_x000d__x000a_  &lt;metadata key=&quot;md_SensitivityLabel&quot;&gt;_x000d__x000a_    &lt;basicdatatype&gt;_x000d__x000a_      &lt;sensitivity_label key=&quot;senslabel_01&quot; text=&quot;PUBLIC&quot; labelid=&quot;af60b174-6478-47f9-866e-33f097bb6603&quot; siteid=&quot;03ad1c97-0a4d-4e82-8f93-27291a6a0767&quot; isdefault=&quot;false&quot; /&gt;_x000d__x000a_    &lt;/basicdatatype&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23&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2023&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EN&lt;/text&gt;_x000d__x000a_  &lt;/metadata&gt;_x000d__x000a_  &lt;metadata key=&quot;md_SourceDocType&quot;&gt;_x000d__x000a_    &lt;text&gt;Proposal for a _x000d__x000a_DIRECTIVE OF THE EUROPEAN PARLIAMENT AND OF THE COUNCIL&lt;/text&gt;_x000d__x000a_  &lt;/metadata&gt;_x000d__x000a_  &lt;metadata key=&quot;md_SourceDocTitle&quot;&gt;_x000d__x000a_    &lt;text&gt;amending Directive 2008/98/EC on waste&lt;/text&gt;_x000d__x000a_  &lt;/metadata&gt;_x000d__x000a_  &lt;metadata key=&quot;md_SourceDocIsCECDoc&quot;&gt;_x000d__x000a_    &lt;text&gt;true&lt;/text&gt;_x000d__x000a_  &lt;/metadata&gt;_x000d__x000a_  &lt;metadata key=&quot;md_NB1&quot; /&gt;_x000d__x000a_  &lt;metadata key=&quot;md_NB2&quot; /&gt;_x000d__x000a_  &lt;metadata key=&quot;md_NB3&quot; /&gt;_x000d__x000a_  &lt;metadata key=&quot;md_NB4&quot; /&gt;_x000d__x000a_  &lt;metadata key=&quot;md_NB5&quot; /&gt;_x000d__x000a_  &lt;metadata key=&quot;md_CustomNB&quot; /&gt;_x000d__x000a_  &lt;metadata key=&quot;md_Meetings&quot;&gt;_x000d__x000a_    &lt;meetings /&gt;_x000d__x000a_  &lt;/metadata&gt;_x000d__x000a_  &lt;metadata key=&quot;md_VisualRepresentation&quot;&gt;_x000d__x000a_    &lt;basicdatatype&gt;_x000d__x000a_      &lt;visualrepresentation key=&quot;visrep_02&quot; text=&quot;New visual identity&quot; /&gt;_x000d__x000a_    &lt;/basicdatatype&gt;_x000d__x000a_  &lt;/metadata&gt;_x000d__x000a_  &lt;metadata key=&quot;md_LetterData&quot; /&gt;_x000d__x000a_  &lt;metadata key=&quot;md_InstFrSubWordmark&quot;&gt;_x000d__x000a_    &lt;xaml text=&quot;&quot;&gt;&amp;lt;FlowDocument FontFamily=&quot;Segoe UI&quot; FontSize=&quot;12&quot; PagePadding=&quot;2,2,2,2&quot; AllowDrop=&quot;False&quot; xmlns=&quot;http://schemas.microsoft.com/winfx/2006/xaml/presentation&quot; /&amp;gt;&lt;/xaml&gt;_x000d__x000a_  &lt;/metadata&gt;_x000d__x000a_  &lt;metadata key=&quot;md_WorkflowLinkStatus&quot;&gt;_x000d__x000a_    &lt;text&gt;Linked&lt;/text&gt;_x000d__x000a_  &lt;/metadata&gt;_x000d__x000a_  &lt;metadata key=&quot;md_eAgendaLinkStatus&quot; /&gt;_x000d__x000a_  &lt;metadata key=&quot;md_Caveat&quot;&gt;_x000d__x000a_    &lt;text&gt;&lt;/text&gt;_x000d__x000a_  &lt;/metadata&gt;_x000d__x000a_  &lt;metadata key=&quot;md_TechnicalKey&quot; /&gt;_x000d__x000a_&lt;/metadataset&gt;"/>
    <w:docVar w:name="DQCDateTime" w:val="2023-06-28 15:07:03"/>
    <w:docVar w:name="DQCResult_Distribution" w:val="0;0"/>
    <w:docVar w:name="DQCResult_DocumentContent" w:val="0;0"/>
    <w:docVar w:name="DQCResult_DocumentSize" w:val="0;0"/>
    <w:docVar w:name="DQCResult_InvalidFootnotes" w:val="0;0"/>
    <w:docVar w:name="DQCResult_ModifiedMarkers" w:val="0;0"/>
    <w:docVar w:name="DQCResult_ModifiedNumbering" w:val="0;0"/>
    <w:docVar w:name="DQCResult_Objects" w:val="0;0"/>
    <w:docVar w:name="DQCResult_StructureCheck" w:val="0;0"/>
    <w:docVar w:name="DQCStatus" w:val="Yellow"/>
    <w:docVar w:name="DQCVersion" w:val="3"/>
    <w:docVar w:name="DQCWithWarnings" w:val="0"/>
    <w:docVar w:name="LW_CORRIGENDUM" w:val="&lt;UNUSED&gt;"/>
    <w:docVar w:name="LW_COVERPAGE_EXISTS" w:val="True"/>
    <w:docVar w:name="LW_COVERPAGE_GUID" w:val="B958BF7B-0086-4B11-9E1C-E3ECC233BA52"/>
    <w:docVar w:name="LW_COVERPAGE_TYPE" w:val="1"/>
    <w:docVar w:name="LW_CROSSREFERENCE" w:val="{SEC(2023) 420 final} - {SWD(2023) 420 final} - {SWD(2023) 421 final} - {SWD(2023) 422 final}"/>
    <w:docVar w:name="LW_DocType" w:val="COM"/>
    <w:docVar w:name="LW_EMISSION" w:val="5.7.2023"/>
    <w:docVar w:name="LW_EMISSION_ISODATE" w:val="2023-07-05"/>
    <w:docVar w:name="LW_EMISSION_LOCATION" w:val="BRX"/>
    <w:docVar w:name="LW_EMISSION_PREFIX" w:val="Brussels, "/>
    <w:docVar w:name="LW_EMISSION_SUFFIX" w:val=" "/>
    <w:docVar w:name="LW_ID_DOCMODEL" w:val="SJ-024"/>
    <w:docVar w:name="LW_ID_DOCSIGNATURE" w:val="SJ-024"/>
    <w:docVar w:name="LW_ID_DOCSTRUCTURE" w:val="COM/PL/ORG"/>
    <w:docVar w:name="LW_ID_DOCTYPE" w:val="SJ-024"/>
    <w:docVar w:name="LW_ID_STATUT" w:val="SJ-024"/>
    <w:docVar w:name="LW_INSERT_EXP.MOTIFS.NEW" w:val="1"/>
    <w:docVar w:name="LW_INTERETEEE.CP" w:val="(Text with EEA relevance)"/>
    <w:docVar w:name="LW_LANGUE" w:val="EN"/>
    <w:docVar w:name="LW_LEVEL_OF_SENSITIVITY" w:val="Standard treatment"/>
    <w:docVar w:name="LW_NOM.INST" w:val="EUROPEAN COMMISSION"/>
    <w:docVar w:name="LW_NOM.INST_JOINTDOC" w:val="&lt;EMPTY&gt;"/>
    <w:docVar w:name="LW_PART_NBR" w:val="1"/>
    <w:docVar w:name="LW_PART_NBR_TOTAL" w:val="1"/>
    <w:docVar w:name="LW_REF.II.NEW.CP" w:val="COD"/>
    <w:docVar w:name="LW_REF.II.NEW.CP_YEAR" w:val="2023"/>
    <w:docVar w:name="LW_REF.II.NEW.CP_NUMBER" w:val="0234"/>
    <w:docVar w:name="LW_REF.INST.NEW" w:val="COM"/>
    <w:docVar w:name="LW_REF.INST.NEW_ADOPTED" w:val="final"/>
    <w:docVar w:name="LW_REF.INST.NEW_TEXT" w:val="(2023) 42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oposal for a"/>
    <w:docVar w:name="LW_SUPERTITRE" w:val="&lt;UNUSED&gt;"/>
    <w:docVar w:name="LW_TYPE.DOC.CP" w:val="DIRECTIVE OF THE EUROPEAN PARLIAMENT AND OF THE COUNCIL"/>
    <w:docVar w:name="LW_TITRE.OBJ.CP" w:val="amending Directive 2008/98/EC on waste"/>
    <w:docVar w:name="LwApiVersions" w:val="LW4CoDe 1.23.2.0; LW 8.0, Build 20211117"/>
  </w:docVars>
  <w:rsids>
    <w:rsidRoot w:val="00BD152F"/>
    <w:rsid w:val="00000AB9"/>
    <w:rsid w:val="00000DEA"/>
    <w:rsid w:val="0000226F"/>
    <w:rsid w:val="000028CA"/>
    <w:rsid w:val="0000469B"/>
    <w:rsid w:val="00006468"/>
    <w:rsid w:val="00006B65"/>
    <w:rsid w:val="000074D2"/>
    <w:rsid w:val="00007E02"/>
    <w:rsid w:val="00011D6D"/>
    <w:rsid w:val="00012845"/>
    <w:rsid w:val="00012E51"/>
    <w:rsid w:val="00014686"/>
    <w:rsid w:val="00014DDB"/>
    <w:rsid w:val="00015CC9"/>
    <w:rsid w:val="000168A2"/>
    <w:rsid w:val="000169B3"/>
    <w:rsid w:val="00016CEB"/>
    <w:rsid w:val="00016D72"/>
    <w:rsid w:val="00017BB7"/>
    <w:rsid w:val="00017FC3"/>
    <w:rsid w:val="000200F7"/>
    <w:rsid w:val="000203FE"/>
    <w:rsid w:val="00020D0D"/>
    <w:rsid w:val="000215A0"/>
    <w:rsid w:val="000223B9"/>
    <w:rsid w:val="00022CC9"/>
    <w:rsid w:val="00026A3F"/>
    <w:rsid w:val="00026B1D"/>
    <w:rsid w:val="00030507"/>
    <w:rsid w:val="00030678"/>
    <w:rsid w:val="0003068F"/>
    <w:rsid w:val="00030BEB"/>
    <w:rsid w:val="000353BD"/>
    <w:rsid w:val="0003594C"/>
    <w:rsid w:val="00036B5A"/>
    <w:rsid w:val="0004047F"/>
    <w:rsid w:val="00041038"/>
    <w:rsid w:val="0004185E"/>
    <w:rsid w:val="0004337C"/>
    <w:rsid w:val="000439FC"/>
    <w:rsid w:val="00043A68"/>
    <w:rsid w:val="000441C4"/>
    <w:rsid w:val="000458A8"/>
    <w:rsid w:val="00046018"/>
    <w:rsid w:val="00046417"/>
    <w:rsid w:val="00046EA1"/>
    <w:rsid w:val="00047DDE"/>
    <w:rsid w:val="00050789"/>
    <w:rsid w:val="00050A91"/>
    <w:rsid w:val="00053263"/>
    <w:rsid w:val="0005334E"/>
    <w:rsid w:val="00054A42"/>
    <w:rsid w:val="00055B25"/>
    <w:rsid w:val="0005661C"/>
    <w:rsid w:val="00056718"/>
    <w:rsid w:val="00056B7C"/>
    <w:rsid w:val="0006044A"/>
    <w:rsid w:val="00060F7C"/>
    <w:rsid w:val="00061843"/>
    <w:rsid w:val="00062210"/>
    <w:rsid w:val="00063757"/>
    <w:rsid w:val="00063BDC"/>
    <w:rsid w:val="00064E64"/>
    <w:rsid w:val="00064FB1"/>
    <w:rsid w:val="00065095"/>
    <w:rsid w:val="000654D0"/>
    <w:rsid w:val="000660AB"/>
    <w:rsid w:val="0006638A"/>
    <w:rsid w:val="000666BB"/>
    <w:rsid w:val="00066BE4"/>
    <w:rsid w:val="00071359"/>
    <w:rsid w:val="000727FB"/>
    <w:rsid w:val="000728BD"/>
    <w:rsid w:val="00072A17"/>
    <w:rsid w:val="00073719"/>
    <w:rsid w:val="00073797"/>
    <w:rsid w:val="000758D1"/>
    <w:rsid w:val="00076746"/>
    <w:rsid w:val="000778D6"/>
    <w:rsid w:val="00077E96"/>
    <w:rsid w:val="0008239E"/>
    <w:rsid w:val="000829CE"/>
    <w:rsid w:val="00083D0B"/>
    <w:rsid w:val="00084820"/>
    <w:rsid w:val="00084B17"/>
    <w:rsid w:val="00084E23"/>
    <w:rsid w:val="00085B2C"/>
    <w:rsid w:val="00086335"/>
    <w:rsid w:val="00087AF0"/>
    <w:rsid w:val="0009073A"/>
    <w:rsid w:val="00091233"/>
    <w:rsid w:val="00092582"/>
    <w:rsid w:val="0009328A"/>
    <w:rsid w:val="0009334E"/>
    <w:rsid w:val="000945E5"/>
    <w:rsid w:val="00097FC3"/>
    <w:rsid w:val="000A1989"/>
    <w:rsid w:val="000A1A20"/>
    <w:rsid w:val="000A3657"/>
    <w:rsid w:val="000A3B20"/>
    <w:rsid w:val="000A3BA4"/>
    <w:rsid w:val="000A58C2"/>
    <w:rsid w:val="000A5C9A"/>
    <w:rsid w:val="000A78F4"/>
    <w:rsid w:val="000B0944"/>
    <w:rsid w:val="000B1352"/>
    <w:rsid w:val="000B36BB"/>
    <w:rsid w:val="000B3B3E"/>
    <w:rsid w:val="000B4C5D"/>
    <w:rsid w:val="000B5091"/>
    <w:rsid w:val="000B50E8"/>
    <w:rsid w:val="000B622F"/>
    <w:rsid w:val="000B7EAC"/>
    <w:rsid w:val="000C1B7A"/>
    <w:rsid w:val="000C3982"/>
    <w:rsid w:val="000C3D99"/>
    <w:rsid w:val="000C4BFA"/>
    <w:rsid w:val="000C5B9F"/>
    <w:rsid w:val="000C65FB"/>
    <w:rsid w:val="000C7E56"/>
    <w:rsid w:val="000D10D0"/>
    <w:rsid w:val="000D123F"/>
    <w:rsid w:val="000D166F"/>
    <w:rsid w:val="000D2452"/>
    <w:rsid w:val="000D34D9"/>
    <w:rsid w:val="000D62D8"/>
    <w:rsid w:val="000E01BF"/>
    <w:rsid w:val="000E18DA"/>
    <w:rsid w:val="000E253D"/>
    <w:rsid w:val="000E2727"/>
    <w:rsid w:val="000E2C90"/>
    <w:rsid w:val="000E36FD"/>
    <w:rsid w:val="000E40C1"/>
    <w:rsid w:val="000E5D2A"/>
    <w:rsid w:val="000E7B47"/>
    <w:rsid w:val="000E7C63"/>
    <w:rsid w:val="000F1A08"/>
    <w:rsid w:val="000F1A14"/>
    <w:rsid w:val="000F39A7"/>
    <w:rsid w:val="000F413C"/>
    <w:rsid w:val="000F473C"/>
    <w:rsid w:val="000F6262"/>
    <w:rsid w:val="000F6AD0"/>
    <w:rsid w:val="000F70C3"/>
    <w:rsid w:val="000F7AB7"/>
    <w:rsid w:val="00101B27"/>
    <w:rsid w:val="00101E06"/>
    <w:rsid w:val="00102185"/>
    <w:rsid w:val="001031D7"/>
    <w:rsid w:val="00103C17"/>
    <w:rsid w:val="00105193"/>
    <w:rsid w:val="001065F5"/>
    <w:rsid w:val="00111FD3"/>
    <w:rsid w:val="00112B99"/>
    <w:rsid w:val="00113894"/>
    <w:rsid w:val="00114B3B"/>
    <w:rsid w:val="00114FFA"/>
    <w:rsid w:val="00115ED8"/>
    <w:rsid w:val="0011638B"/>
    <w:rsid w:val="00116725"/>
    <w:rsid w:val="00116B45"/>
    <w:rsid w:val="0011773C"/>
    <w:rsid w:val="001205C8"/>
    <w:rsid w:val="00120AC3"/>
    <w:rsid w:val="001216E1"/>
    <w:rsid w:val="00121BD3"/>
    <w:rsid w:val="00122AA6"/>
    <w:rsid w:val="00122CEC"/>
    <w:rsid w:val="00123696"/>
    <w:rsid w:val="001238EF"/>
    <w:rsid w:val="0012436A"/>
    <w:rsid w:val="00125201"/>
    <w:rsid w:val="00127563"/>
    <w:rsid w:val="00127DC5"/>
    <w:rsid w:val="00127E47"/>
    <w:rsid w:val="00130C47"/>
    <w:rsid w:val="00130D00"/>
    <w:rsid w:val="0013126A"/>
    <w:rsid w:val="00131DE7"/>
    <w:rsid w:val="00133F85"/>
    <w:rsid w:val="00136648"/>
    <w:rsid w:val="0013695B"/>
    <w:rsid w:val="00137BF6"/>
    <w:rsid w:val="001423BD"/>
    <w:rsid w:val="001437A8"/>
    <w:rsid w:val="00143E5F"/>
    <w:rsid w:val="001444D2"/>
    <w:rsid w:val="00145644"/>
    <w:rsid w:val="00145F5E"/>
    <w:rsid w:val="00146862"/>
    <w:rsid w:val="0014686F"/>
    <w:rsid w:val="0014741C"/>
    <w:rsid w:val="00151042"/>
    <w:rsid w:val="00154EAE"/>
    <w:rsid w:val="00160482"/>
    <w:rsid w:val="00163955"/>
    <w:rsid w:val="001639B5"/>
    <w:rsid w:val="00164E34"/>
    <w:rsid w:val="001654A8"/>
    <w:rsid w:val="00165536"/>
    <w:rsid w:val="001655C5"/>
    <w:rsid w:val="001659FD"/>
    <w:rsid w:val="00165EF1"/>
    <w:rsid w:val="00166FBF"/>
    <w:rsid w:val="001676A7"/>
    <w:rsid w:val="001710BD"/>
    <w:rsid w:val="00171D70"/>
    <w:rsid w:val="00172261"/>
    <w:rsid w:val="00172825"/>
    <w:rsid w:val="001730FC"/>
    <w:rsid w:val="00174B7E"/>
    <w:rsid w:val="00177408"/>
    <w:rsid w:val="0017741E"/>
    <w:rsid w:val="0018065A"/>
    <w:rsid w:val="00180FD5"/>
    <w:rsid w:val="0018154C"/>
    <w:rsid w:val="00182D28"/>
    <w:rsid w:val="001867E5"/>
    <w:rsid w:val="00186B9F"/>
    <w:rsid w:val="001870DF"/>
    <w:rsid w:val="00187292"/>
    <w:rsid w:val="00187DFA"/>
    <w:rsid w:val="00190070"/>
    <w:rsid w:val="00191EDE"/>
    <w:rsid w:val="0019261E"/>
    <w:rsid w:val="00192E30"/>
    <w:rsid w:val="001930B8"/>
    <w:rsid w:val="00193555"/>
    <w:rsid w:val="00193D1A"/>
    <w:rsid w:val="0019475F"/>
    <w:rsid w:val="00194C89"/>
    <w:rsid w:val="00195CBE"/>
    <w:rsid w:val="00197613"/>
    <w:rsid w:val="001976FE"/>
    <w:rsid w:val="00197F58"/>
    <w:rsid w:val="001A0663"/>
    <w:rsid w:val="001A1B79"/>
    <w:rsid w:val="001A2817"/>
    <w:rsid w:val="001A3D2D"/>
    <w:rsid w:val="001A4478"/>
    <w:rsid w:val="001A77CC"/>
    <w:rsid w:val="001B048F"/>
    <w:rsid w:val="001B1480"/>
    <w:rsid w:val="001B1B31"/>
    <w:rsid w:val="001B29B5"/>
    <w:rsid w:val="001B2A93"/>
    <w:rsid w:val="001B314F"/>
    <w:rsid w:val="001B41EE"/>
    <w:rsid w:val="001B4DA8"/>
    <w:rsid w:val="001B5480"/>
    <w:rsid w:val="001BA079"/>
    <w:rsid w:val="001C0333"/>
    <w:rsid w:val="001C23FA"/>
    <w:rsid w:val="001C2A10"/>
    <w:rsid w:val="001C2C5D"/>
    <w:rsid w:val="001C4193"/>
    <w:rsid w:val="001C449E"/>
    <w:rsid w:val="001C5607"/>
    <w:rsid w:val="001C5DE2"/>
    <w:rsid w:val="001C6D6A"/>
    <w:rsid w:val="001C7F52"/>
    <w:rsid w:val="001D069B"/>
    <w:rsid w:val="001D2EE1"/>
    <w:rsid w:val="001D33F8"/>
    <w:rsid w:val="001D38BF"/>
    <w:rsid w:val="001D3914"/>
    <w:rsid w:val="001D3C38"/>
    <w:rsid w:val="001D3ECB"/>
    <w:rsid w:val="001D4546"/>
    <w:rsid w:val="001D4CA9"/>
    <w:rsid w:val="001D507D"/>
    <w:rsid w:val="001D5375"/>
    <w:rsid w:val="001D5616"/>
    <w:rsid w:val="001D5C6C"/>
    <w:rsid w:val="001D6654"/>
    <w:rsid w:val="001D6B33"/>
    <w:rsid w:val="001E21B6"/>
    <w:rsid w:val="001E2D71"/>
    <w:rsid w:val="001E2F3D"/>
    <w:rsid w:val="001E4081"/>
    <w:rsid w:val="001E4A96"/>
    <w:rsid w:val="001E511B"/>
    <w:rsid w:val="001E561C"/>
    <w:rsid w:val="001E71F8"/>
    <w:rsid w:val="001E731E"/>
    <w:rsid w:val="001E7496"/>
    <w:rsid w:val="001E7957"/>
    <w:rsid w:val="001E7CA5"/>
    <w:rsid w:val="001F101C"/>
    <w:rsid w:val="001F4DF6"/>
    <w:rsid w:val="001F5136"/>
    <w:rsid w:val="001F685C"/>
    <w:rsid w:val="001F68CB"/>
    <w:rsid w:val="001F6A69"/>
    <w:rsid w:val="001F7313"/>
    <w:rsid w:val="001F75A6"/>
    <w:rsid w:val="002014B0"/>
    <w:rsid w:val="00201CC4"/>
    <w:rsid w:val="0020411B"/>
    <w:rsid w:val="00204C50"/>
    <w:rsid w:val="00205D66"/>
    <w:rsid w:val="00211331"/>
    <w:rsid w:val="002113A9"/>
    <w:rsid w:val="002136CB"/>
    <w:rsid w:val="00214A27"/>
    <w:rsid w:val="00214BD2"/>
    <w:rsid w:val="00214C41"/>
    <w:rsid w:val="002203CC"/>
    <w:rsid w:val="00220F9B"/>
    <w:rsid w:val="0022412D"/>
    <w:rsid w:val="002256E0"/>
    <w:rsid w:val="00225E65"/>
    <w:rsid w:val="00226BA9"/>
    <w:rsid w:val="00226C50"/>
    <w:rsid w:val="0023093F"/>
    <w:rsid w:val="002310BE"/>
    <w:rsid w:val="00231A40"/>
    <w:rsid w:val="00231BA3"/>
    <w:rsid w:val="00232315"/>
    <w:rsid w:val="00233B7A"/>
    <w:rsid w:val="00233DC7"/>
    <w:rsid w:val="00235051"/>
    <w:rsid w:val="00235A4F"/>
    <w:rsid w:val="002362AA"/>
    <w:rsid w:val="00236713"/>
    <w:rsid w:val="0023693A"/>
    <w:rsid w:val="00236D7C"/>
    <w:rsid w:val="0023780D"/>
    <w:rsid w:val="00237D17"/>
    <w:rsid w:val="002413FE"/>
    <w:rsid w:val="00241CB6"/>
    <w:rsid w:val="00245B9B"/>
    <w:rsid w:val="00246B5A"/>
    <w:rsid w:val="00247346"/>
    <w:rsid w:val="00247779"/>
    <w:rsid w:val="002505B1"/>
    <w:rsid w:val="00250C7A"/>
    <w:rsid w:val="0025408A"/>
    <w:rsid w:val="00254E11"/>
    <w:rsid w:val="00255B5D"/>
    <w:rsid w:val="00255FB8"/>
    <w:rsid w:val="00256B8A"/>
    <w:rsid w:val="002601D7"/>
    <w:rsid w:val="00260362"/>
    <w:rsid w:val="00260A41"/>
    <w:rsid w:val="0026173F"/>
    <w:rsid w:val="002622B3"/>
    <w:rsid w:val="00262495"/>
    <w:rsid w:val="002632CF"/>
    <w:rsid w:val="00263BE6"/>
    <w:rsid w:val="00263FCC"/>
    <w:rsid w:val="00264855"/>
    <w:rsid w:val="00265526"/>
    <w:rsid w:val="002661C0"/>
    <w:rsid w:val="00267AF5"/>
    <w:rsid w:val="00271BCA"/>
    <w:rsid w:val="00272078"/>
    <w:rsid w:val="00272FE0"/>
    <w:rsid w:val="00274EF1"/>
    <w:rsid w:val="00274F3E"/>
    <w:rsid w:val="0028043B"/>
    <w:rsid w:val="002817D9"/>
    <w:rsid w:val="00281B75"/>
    <w:rsid w:val="00283634"/>
    <w:rsid w:val="00285932"/>
    <w:rsid w:val="00285BEE"/>
    <w:rsid w:val="00285CFC"/>
    <w:rsid w:val="0028690D"/>
    <w:rsid w:val="0029049E"/>
    <w:rsid w:val="002906B7"/>
    <w:rsid w:val="00290C17"/>
    <w:rsid w:val="00290C41"/>
    <w:rsid w:val="00291AB9"/>
    <w:rsid w:val="0029289F"/>
    <w:rsid w:val="0029506F"/>
    <w:rsid w:val="0029533F"/>
    <w:rsid w:val="002968E6"/>
    <w:rsid w:val="00297AF7"/>
    <w:rsid w:val="00297B06"/>
    <w:rsid w:val="002A0FBA"/>
    <w:rsid w:val="002A14C6"/>
    <w:rsid w:val="002A1674"/>
    <w:rsid w:val="002A208C"/>
    <w:rsid w:val="002A2EBF"/>
    <w:rsid w:val="002A316C"/>
    <w:rsid w:val="002A323A"/>
    <w:rsid w:val="002A3DAE"/>
    <w:rsid w:val="002A478D"/>
    <w:rsid w:val="002A53B4"/>
    <w:rsid w:val="002A555C"/>
    <w:rsid w:val="002A7307"/>
    <w:rsid w:val="002B0754"/>
    <w:rsid w:val="002B2034"/>
    <w:rsid w:val="002B280E"/>
    <w:rsid w:val="002B284B"/>
    <w:rsid w:val="002B30AF"/>
    <w:rsid w:val="002B463A"/>
    <w:rsid w:val="002B5347"/>
    <w:rsid w:val="002B5AC2"/>
    <w:rsid w:val="002B6EB1"/>
    <w:rsid w:val="002B7A70"/>
    <w:rsid w:val="002C2C4F"/>
    <w:rsid w:val="002C308D"/>
    <w:rsid w:val="002C338C"/>
    <w:rsid w:val="002C4453"/>
    <w:rsid w:val="002C4736"/>
    <w:rsid w:val="002C4CC0"/>
    <w:rsid w:val="002C508C"/>
    <w:rsid w:val="002C536A"/>
    <w:rsid w:val="002C5556"/>
    <w:rsid w:val="002C7038"/>
    <w:rsid w:val="002D162B"/>
    <w:rsid w:val="002D4E58"/>
    <w:rsid w:val="002D5D74"/>
    <w:rsid w:val="002D6D82"/>
    <w:rsid w:val="002D74B4"/>
    <w:rsid w:val="002E05BE"/>
    <w:rsid w:val="002E349E"/>
    <w:rsid w:val="002E34EF"/>
    <w:rsid w:val="002E3F43"/>
    <w:rsid w:val="002E4E65"/>
    <w:rsid w:val="002E68C6"/>
    <w:rsid w:val="002E6A63"/>
    <w:rsid w:val="002F03A0"/>
    <w:rsid w:val="002F15BF"/>
    <w:rsid w:val="002F41E3"/>
    <w:rsid w:val="002F423D"/>
    <w:rsid w:val="002F4529"/>
    <w:rsid w:val="002F5EC1"/>
    <w:rsid w:val="002F664E"/>
    <w:rsid w:val="002F7070"/>
    <w:rsid w:val="00300002"/>
    <w:rsid w:val="00300293"/>
    <w:rsid w:val="003009E9"/>
    <w:rsid w:val="00300AA4"/>
    <w:rsid w:val="00302191"/>
    <w:rsid w:val="003031FF"/>
    <w:rsid w:val="00303F89"/>
    <w:rsid w:val="003043A5"/>
    <w:rsid w:val="003056CA"/>
    <w:rsid w:val="00305A48"/>
    <w:rsid w:val="00305F1C"/>
    <w:rsid w:val="00306955"/>
    <w:rsid w:val="003101FB"/>
    <w:rsid w:val="00310F1B"/>
    <w:rsid w:val="00311F17"/>
    <w:rsid w:val="003141B9"/>
    <w:rsid w:val="00314D50"/>
    <w:rsid w:val="0031535D"/>
    <w:rsid w:val="00315AE3"/>
    <w:rsid w:val="00315E9F"/>
    <w:rsid w:val="00316A1C"/>
    <w:rsid w:val="00316C3D"/>
    <w:rsid w:val="00316DF1"/>
    <w:rsid w:val="003206C3"/>
    <w:rsid w:val="00321D50"/>
    <w:rsid w:val="0032380C"/>
    <w:rsid w:val="00323883"/>
    <w:rsid w:val="0032397F"/>
    <w:rsid w:val="00325FC7"/>
    <w:rsid w:val="003260DE"/>
    <w:rsid w:val="00326241"/>
    <w:rsid w:val="0032663C"/>
    <w:rsid w:val="003307BE"/>
    <w:rsid w:val="0033096A"/>
    <w:rsid w:val="00330B7A"/>
    <w:rsid w:val="0033131C"/>
    <w:rsid w:val="003314DD"/>
    <w:rsid w:val="0033232A"/>
    <w:rsid w:val="0033344A"/>
    <w:rsid w:val="00333B72"/>
    <w:rsid w:val="0033585D"/>
    <w:rsid w:val="0033652B"/>
    <w:rsid w:val="0033668C"/>
    <w:rsid w:val="00342B97"/>
    <w:rsid w:val="00344865"/>
    <w:rsid w:val="00344D35"/>
    <w:rsid w:val="00345CDC"/>
    <w:rsid w:val="003468A9"/>
    <w:rsid w:val="003473C6"/>
    <w:rsid w:val="0034759E"/>
    <w:rsid w:val="00347EAD"/>
    <w:rsid w:val="00350E14"/>
    <w:rsid w:val="00352208"/>
    <w:rsid w:val="003529B7"/>
    <w:rsid w:val="00354149"/>
    <w:rsid w:val="003549AE"/>
    <w:rsid w:val="003552AD"/>
    <w:rsid w:val="00355C06"/>
    <w:rsid w:val="00355D94"/>
    <w:rsid w:val="00356E0F"/>
    <w:rsid w:val="0036178D"/>
    <w:rsid w:val="00361848"/>
    <w:rsid w:val="0036215E"/>
    <w:rsid w:val="00362E04"/>
    <w:rsid w:val="0036306E"/>
    <w:rsid w:val="003644C1"/>
    <w:rsid w:val="00364A5B"/>
    <w:rsid w:val="00366FC8"/>
    <w:rsid w:val="00370246"/>
    <w:rsid w:val="00370D87"/>
    <w:rsid w:val="0037221D"/>
    <w:rsid w:val="0037237D"/>
    <w:rsid w:val="00372EED"/>
    <w:rsid w:val="00373564"/>
    <w:rsid w:val="00373B63"/>
    <w:rsid w:val="003773D8"/>
    <w:rsid w:val="00381648"/>
    <w:rsid w:val="00381F9C"/>
    <w:rsid w:val="00382CF5"/>
    <w:rsid w:val="0038405F"/>
    <w:rsid w:val="00384ABA"/>
    <w:rsid w:val="00384B96"/>
    <w:rsid w:val="003850CD"/>
    <w:rsid w:val="003855DD"/>
    <w:rsid w:val="00385F5E"/>
    <w:rsid w:val="00386163"/>
    <w:rsid w:val="00386365"/>
    <w:rsid w:val="00386A8F"/>
    <w:rsid w:val="00386BC9"/>
    <w:rsid w:val="00387AF4"/>
    <w:rsid w:val="00390310"/>
    <w:rsid w:val="00390C8D"/>
    <w:rsid w:val="00390DD2"/>
    <w:rsid w:val="00391872"/>
    <w:rsid w:val="003918CA"/>
    <w:rsid w:val="00391E1D"/>
    <w:rsid w:val="00392925"/>
    <w:rsid w:val="0039292D"/>
    <w:rsid w:val="00393F94"/>
    <w:rsid w:val="0039421B"/>
    <w:rsid w:val="0039694F"/>
    <w:rsid w:val="003A017F"/>
    <w:rsid w:val="003A161E"/>
    <w:rsid w:val="003A2051"/>
    <w:rsid w:val="003A3263"/>
    <w:rsid w:val="003A3B1C"/>
    <w:rsid w:val="003A56F3"/>
    <w:rsid w:val="003A5881"/>
    <w:rsid w:val="003A73EC"/>
    <w:rsid w:val="003B05A1"/>
    <w:rsid w:val="003B090F"/>
    <w:rsid w:val="003B122A"/>
    <w:rsid w:val="003B1CC7"/>
    <w:rsid w:val="003B1D51"/>
    <w:rsid w:val="003B24A5"/>
    <w:rsid w:val="003B268B"/>
    <w:rsid w:val="003B41D9"/>
    <w:rsid w:val="003B46C2"/>
    <w:rsid w:val="003B5F22"/>
    <w:rsid w:val="003B761D"/>
    <w:rsid w:val="003B791B"/>
    <w:rsid w:val="003B7EA0"/>
    <w:rsid w:val="003C07CA"/>
    <w:rsid w:val="003C0FC5"/>
    <w:rsid w:val="003C1DB2"/>
    <w:rsid w:val="003C1DEB"/>
    <w:rsid w:val="003C54F4"/>
    <w:rsid w:val="003C74D4"/>
    <w:rsid w:val="003C7F43"/>
    <w:rsid w:val="003D063A"/>
    <w:rsid w:val="003D2F6B"/>
    <w:rsid w:val="003D41B7"/>
    <w:rsid w:val="003D5A68"/>
    <w:rsid w:val="003D611E"/>
    <w:rsid w:val="003D61D2"/>
    <w:rsid w:val="003D66C7"/>
    <w:rsid w:val="003D6B39"/>
    <w:rsid w:val="003E01A0"/>
    <w:rsid w:val="003E0A73"/>
    <w:rsid w:val="003E12E3"/>
    <w:rsid w:val="003E2C4E"/>
    <w:rsid w:val="003E3DE6"/>
    <w:rsid w:val="003E4325"/>
    <w:rsid w:val="003E5B5B"/>
    <w:rsid w:val="003E5D53"/>
    <w:rsid w:val="003E7DDB"/>
    <w:rsid w:val="003F1439"/>
    <w:rsid w:val="003F1442"/>
    <w:rsid w:val="003F2127"/>
    <w:rsid w:val="003F2C02"/>
    <w:rsid w:val="003F4506"/>
    <w:rsid w:val="003F55B4"/>
    <w:rsid w:val="003F75B9"/>
    <w:rsid w:val="00400F5B"/>
    <w:rsid w:val="004021A7"/>
    <w:rsid w:val="004022D0"/>
    <w:rsid w:val="00402510"/>
    <w:rsid w:val="00404317"/>
    <w:rsid w:val="004056BF"/>
    <w:rsid w:val="0040580B"/>
    <w:rsid w:val="00406A0C"/>
    <w:rsid w:val="00410333"/>
    <w:rsid w:val="00410DEA"/>
    <w:rsid w:val="0041125D"/>
    <w:rsid w:val="00411500"/>
    <w:rsid w:val="00412490"/>
    <w:rsid w:val="00412C28"/>
    <w:rsid w:val="0041378F"/>
    <w:rsid w:val="004151DC"/>
    <w:rsid w:val="0041595F"/>
    <w:rsid w:val="00415D46"/>
    <w:rsid w:val="00415D53"/>
    <w:rsid w:val="00416DBB"/>
    <w:rsid w:val="004213D7"/>
    <w:rsid w:val="0042142F"/>
    <w:rsid w:val="00421BA4"/>
    <w:rsid w:val="00421F60"/>
    <w:rsid w:val="00422D42"/>
    <w:rsid w:val="00423C4A"/>
    <w:rsid w:val="0042648E"/>
    <w:rsid w:val="0043059C"/>
    <w:rsid w:val="004308A9"/>
    <w:rsid w:val="00430F27"/>
    <w:rsid w:val="00431429"/>
    <w:rsid w:val="00432310"/>
    <w:rsid w:val="00433DD9"/>
    <w:rsid w:val="00434E4F"/>
    <w:rsid w:val="0043590C"/>
    <w:rsid w:val="00435AEE"/>
    <w:rsid w:val="004363C2"/>
    <w:rsid w:val="00436ADA"/>
    <w:rsid w:val="004374C5"/>
    <w:rsid w:val="00437992"/>
    <w:rsid w:val="004418C5"/>
    <w:rsid w:val="0044218B"/>
    <w:rsid w:val="0044258C"/>
    <w:rsid w:val="004446F4"/>
    <w:rsid w:val="00444F0C"/>
    <w:rsid w:val="00445C60"/>
    <w:rsid w:val="00451B51"/>
    <w:rsid w:val="00452724"/>
    <w:rsid w:val="00454B00"/>
    <w:rsid w:val="00455CF3"/>
    <w:rsid w:val="00455D0C"/>
    <w:rsid w:val="004607E8"/>
    <w:rsid w:val="00461EFD"/>
    <w:rsid w:val="00462076"/>
    <w:rsid w:val="0046514D"/>
    <w:rsid w:val="00465162"/>
    <w:rsid w:val="00465649"/>
    <w:rsid w:val="00465F4A"/>
    <w:rsid w:val="004707F9"/>
    <w:rsid w:val="00471386"/>
    <w:rsid w:val="004720BA"/>
    <w:rsid w:val="00472407"/>
    <w:rsid w:val="00472C7D"/>
    <w:rsid w:val="00476076"/>
    <w:rsid w:val="0048042E"/>
    <w:rsid w:val="00480860"/>
    <w:rsid w:val="00482F67"/>
    <w:rsid w:val="00482FA8"/>
    <w:rsid w:val="00483763"/>
    <w:rsid w:val="004839FD"/>
    <w:rsid w:val="00484413"/>
    <w:rsid w:val="00484BA4"/>
    <w:rsid w:val="00485146"/>
    <w:rsid w:val="00486CFD"/>
    <w:rsid w:val="004878E6"/>
    <w:rsid w:val="004912B8"/>
    <w:rsid w:val="00491BCA"/>
    <w:rsid w:val="00491D5A"/>
    <w:rsid w:val="00491EAE"/>
    <w:rsid w:val="00492B68"/>
    <w:rsid w:val="00492DC1"/>
    <w:rsid w:val="004936D2"/>
    <w:rsid w:val="004938E5"/>
    <w:rsid w:val="00497A0B"/>
    <w:rsid w:val="00497C02"/>
    <w:rsid w:val="004A012A"/>
    <w:rsid w:val="004A1326"/>
    <w:rsid w:val="004A1E81"/>
    <w:rsid w:val="004A2AB9"/>
    <w:rsid w:val="004A2FD7"/>
    <w:rsid w:val="004A3E48"/>
    <w:rsid w:val="004A421A"/>
    <w:rsid w:val="004A5130"/>
    <w:rsid w:val="004A619A"/>
    <w:rsid w:val="004A6EE5"/>
    <w:rsid w:val="004B0403"/>
    <w:rsid w:val="004B0802"/>
    <w:rsid w:val="004B0CBE"/>
    <w:rsid w:val="004B15FF"/>
    <w:rsid w:val="004B2171"/>
    <w:rsid w:val="004B28E4"/>
    <w:rsid w:val="004B2B1F"/>
    <w:rsid w:val="004B38DD"/>
    <w:rsid w:val="004B447F"/>
    <w:rsid w:val="004B6181"/>
    <w:rsid w:val="004B6790"/>
    <w:rsid w:val="004C033E"/>
    <w:rsid w:val="004C1604"/>
    <w:rsid w:val="004C46F2"/>
    <w:rsid w:val="004C5F0A"/>
    <w:rsid w:val="004C75F8"/>
    <w:rsid w:val="004D296F"/>
    <w:rsid w:val="004D4459"/>
    <w:rsid w:val="004D49B1"/>
    <w:rsid w:val="004E0C0D"/>
    <w:rsid w:val="004E198C"/>
    <w:rsid w:val="004E236F"/>
    <w:rsid w:val="004E3D39"/>
    <w:rsid w:val="004E5F39"/>
    <w:rsid w:val="004E7D20"/>
    <w:rsid w:val="004F135D"/>
    <w:rsid w:val="004F3337"/>
    <w:rsid w:val="004F460B"/>
    <w:rsid w:val="004F4A82"/>
    <w:rsid w:val="004F654B"/>
    <w:rsid w:val="004F7081"/>
    <w:rsid w:val="005008A2"/>
    <w:rsid w:val="00500A82"/>
    <w:rsid w:val="00500BEB"/>
    <w:rsid w:val="00503055"/>
    <w:rsid w:val="00505926"/>
    <w:rsid w:val="00505BF8"/>
    <w:rsid w:val="0050662E"/>
    <w:rsid w:val="0050683A"/>
    <w:rsid w:val="00506EE2"/>
    <w:rsid w:val="00510536"/>
    <w:rsid w:val="00510E9A"/>
    <w:rsid w:val="00510EA2"/>
    <w:rsid w:val="00510ED1"/>
    <w:rsid w:val="0051365D"/>
    <w:rsid w:val="00513C19"/>
    <w:rsid w:val="005147C2"/>
    <w:rsid w:val="00516BB2"/>
    <w:rsid w:val="00517A15"/>
    <w:rsid w:val="00517A42"/>
    <w:rsid w:val="005223FA"/>
    <w:rsid w:val="005230B0"/>
    <w:rsid w:val="0052314D"/>
    <w:rsid w:val="005262A6"/>
    <w:rsid w:val="0053224C"/>
    <w:rsid w:val="00532708"/>
    <w:rsid w:val="0053272E"/>
    <w:rsid w:val="005330E7"/>
    <w:rsid w:val="005334F2"/>
    <w:rsid w:val="005339F8"/>
    <w:rsid w:val="00535B24"/>
    <w:rsid w:val="005360D5"/>
    <w:rsid w:val="005360DA"/>
    <w:rsid w:val="00536326"/>
    <w:rsid w:val="0053648F"/>
    <w:rsid w:val="00536FA1"/>
    <w:rsid w:val="0053710D"/>
    <w:rsid w:val="005374BD"/>
    <w:rsid w:val="005374EC"/>
    <w:rsid w:val="00537AD8"/>
    <w:rsid w:val="00541E21"/>
    <w:rsid w:val="005459B7"/>
    <w:rsid w:val="00545B33"/>
    <w:rsid w:val="005462C8"/>
    <w:rsid w:val="00546618"/>
    <w:rsid w:val="00546A63"/>
    <w:rsid w:val="00546CCD"/>
    <w:rsid w:val="00547E18"/>
    <w:rsid w:val="005516FF"/>
    <w:rsid w:val="00551A41"/>
    <w:rsid w:val="00551EDE"/>
    <w:rsid w:val="00560040"/>
    <w:rsid w:val="0056028E"/>
    <w:rsid w:val="00561F8F"/>
    <w:rsid w:val="00562D66"/>
    <w:rsid w:val="00564FB5"/>
    <w:rsid w:val="005660D9"/>
    <w:rsid w:val="0056693B"/>
    <w:rsid w:val="00566B89"/>
    <w:rsid w:val="00567F61"/>
    <w:rsid w:val="005720CC"/>
    <w:rsid w:val="00572841"/>
    <w:rsid w:val="00573367"/>
    <w:rsid w:val="0057350E"/>
    <w:rsid w:val="00573DBE"/>
    <w:rsid w:val="00575600"/>
    <w:rsid w:val="00576DC5"/>
    <w:rsid w:val="00577B2F"/>
    <w:rsid w:val="00580C13"/>
    <w:rsid w:val="00581060"/>
    <w:rsid w:val="005818F1"/>
    <w:rsid w:val="00583017"/>
    <w:rsid w:val="00583AA6"/>
    <w:rsid w:val="0058508E"/>
    <w:rsid w:val="005850E4"/>
    <w:rsid w:val="0058518C"/>
    <w:rsid w:val="00585751"/>
    <w:rsid w:val="00587AB7"/>
    <w:rsid w:val="00587B2E"/>
    <w:rsid w:val="00587C44"/>
    <w:rsid w:val="005903F6"/>
    <w:rsid w:val="0059125A"/>
    <w:rsid w:val="005926AE"/>
    <w:rsid w:val="00593FF7"/>
    <w:rsid w:val="0059599F"/>
    <w:rsid w:val="00596343"/>
    <w:rsid w:val="00596EB7"/>
    <w:rsid w:val="005975D6"/>
    <w:rsid w:val="00597783"/>
    <w:rsid w:val="00597E81"/>
    <w:rsid w:val="005A274B"/>
    <w:rsid w:val="005A2E0C"/>
    <w:rsid w:val="005A2FE8"/>
    <w:rsid w:val="005A30E3"/>
    <w:rsid w:val="005A3926"/>
    <w:rsid w:val="005A4B0D"/>
    <w:rsid w:val="005A4B48"/>
    <w:rsid w:val="005A523D"/>
    <w:rsid w:val="005A6FB0"/>
    <w:rsid w:val="005A7794"/>
    <w:rsid w:val="005A7800"/>
    <w:rsid w:val="005B0703"/>
    <w:rsid w:val="005B1EB6"/>
    <w:rsid w:val="005B3022"/>
    <w:rsid w:val="005B3581"/>
    <w:rsid w:val="005B38F8"/>
    <w:rsid w:val="005B5A83"/>
    <w:rsid w:val="005B6E77"/>
    <w:rsid w:val="005C11D4"/>
    <w:rsid w:val="005C11EB"/>
    <w:rsid w:val="005C18D2"/>
    <w:rsid w:val="005C3EAB"/>
    <w:rsid w:val="005C5D10"/>
    <w:rsid w:val="005C6A5F"/>
    <w:rsid w:val="005C781E"/>
    <w:rsid w:val="005D0608"/>
    <w:rsid w:val="005D1020"/>
    <w:rsid w:val="005D28F0"/>
    <w:rsid w:val="005D340E"/>
    <w:rsid w:val="005D3448"/>
    <w:rsid w:val="005D3A0C"/>
    <w:rsid w:val="005D4607"/>
    <w:rsid w:val="005D4975"/>
    <w:rsid w:val="005D4CD4"/>
    <w:rsid w:val="005E2FFC"/>
    <w:rsid w:val="005E309E"/>
    <w:rsid w:val="005E4F95"/>
    <w:rsid w:val="005E5B64"/>
    <w:rsid w:val="005E6369"/>
    <w:rsid w:val="005F0175"/>
    <w:rsid w:val="005F01ED"/>
    <w:rsid w:val="005F0B07"/>
    <w:rsid w:val="005F1F57"/>
    <w:rsid w:val="005F2D91"/>
    <w:rsid w:val="005F3ECF"/>
    <w:rsid w:val="005F41FD"/>
    <w:rsid w:val="005F4B67"/>
    <w:rsid w:val="005F4FEC"/>
    <w:rsid w:val="005F7A9B"/>
    <w:rsid w:val="006009CA"/>
    <w:rsid w:val="0060120E"/>
    <w:rsid w:val="00601598"/>
    <w:rsid w:val="00601CC3"/>
    <w:rsid w:val="00601DBE"/>
    <w:rsid w:val="00603226"/>
    <w:rsid w:val="00603B9A"/>
    <w:rsid w:val="00605DED"/>
    <w:rsid w:val="00606E5A"/>
    <w:rsid w:val="00607BFE"/>
    <w:rsid w:val="0061024E"/>
    <w:rsid w:val="006105C4"/>
    <w:rsid w:val="0061446F"/>
    <w:rsid w:val="00614750"/>
    <w:rsid w:val="0061498B"/>
    <w:rsid w:val="00614C8E"/>
    <w:rsid w:val="00617DEA"/>
    <w:rsid w:val="00620555"/>
    <w:rsid w:val="00620869"/>
    <w:rsid w:val="00621E46"/>
    <w:rsid w:val="00623AAE"/>
    <w:rsid w:val="0062414B"/>
    <w:rsid w:val="006241E1"/>
    <w:rsid w:val="00624F0F"/>
    <w:rsid w:val="00625E9D"/>
    <w:rsid w:val="0062610F"/>
    <w:rsid w:val="00630070"/>
    <w:rsid w:val="00633DC8"/>
    <w:rsid w:val="00636D3F"/>
    <w:rsid w:val="0063705B"/>
    <w:rsid w:val="006370EF"/>
    <w:rsid w:val="00637357"/>
    <w:rsid w:val="0064275E"/>
    <w:rsid w:val="006431E6"/>
    <w:rsid w:val="00644A40"/>
    <w:rsid w:val="006458AB"/>
    <w:rsid w:val="006467AF"/>
    <w:rsid w:val="00650B96"/>
    <w:rsid w:val="0065129A"/>
    <w:rsid w:val="00651E8D"/>
    <w:rsid w:val="006522B1"/>
    <w:rsid w:val="00660C98"/>
    <w:rsid w:val="00661F12"/>
    <w:rsid w:val="00664375"/>
    <w:rsid w:val="00665C42"/>
    <w:rsid w:val="0066633E"/>
    <w:rsid w:val="006664BD"/>
    <w:rsid w:val="00670084"/>
    <w:rsid w:val="0067251A"/>
    <w:rsid w:val="0067293D"/>
    <w:rsid w:val="0067332C"/>
    <w:rsid w:val="00673E4C"/>
    <w:rsid w:val="00674881"/>
    <w:rsid w:val="00675642"/>
    <w:rsid w:val="00675657"/>
    <w:rsid w:val="00676ADF"/>
    <w:rsid w:val="00676F4F"/>
    <w:rsid w:val="00681076"/>
    <w:rsid w:val="00682243"/>
    <w:rsid w:val="00682C4D"/>
    <w:rsid w:val="0068343F"/>
    <w:rsid w:val="00683C76"/>
    <w:rsid w:val="006848D3"/>
    <w:rsid w:val="00685796"/>
    <w:rsid w:val="0068785E"/>
    <w:rsid w:val="00687B6A"/>
    <w:rsid w:val="00690C7C"/>
    <w:rsid w:val="00692ACC"/>
    <w:rsid w:val="00693B6D"/>
    <w:rsid w:val="006941A8"/>
    <w:rsid w:val="006A1E3F"/>
    <w:rsid w:val="006A32F2"/>
    <w:rsid w:val="006A3810"/>
    <w:rsid w:val="006A539D"/>
    <w:rsid w:val="006A6471"/>
    <w:rsid w:val="006A7D97"/>
    <w:rsid w:val="006B0AAE"/>
    <w:rsid w:val="006B104C"/>
    <w:rsid w:val="006B11B0"/>
    <w:rsid w:val="006B1525"/>
    <w:rsid w:val="006B6661"/>
    <w:rsid w:val="006B6C77"/>
    <w:rsid w:val="006B7DC2"/>
    <w:rsid w:val="006C0792"/>
    <w:rsid w:val="006C0C4E"/>
    <w:rsid w:val="006C18F8"/>
    <w:rsid w:val="006C29AD"/>
    <w:rsid w:val="006C2F48"/>
    <w:rsid w:val="006C4803"/>
    <w:rsid w:val="006C4DD9"/>
    <w:rsid w:val="006C5117"/>
    <w:rsid w:val="006C5377"/>
    <w:rsid w:val="006C5FC4"/>
    <w:rsid w:val="006C6F1F"/>
    <w:rsid w:val="006D0A86"/>
    <w:rsid w:val="006D16A5"/>
    <w:rsid w:val="006D2F05"/>
    <w:rsid w:val="006D3183"/>
    <w:rsid w:val="006D375C"/>
    <w:rsid w:val="006D3EA7"/>
    <w:rsid w:val="006D4BBF"/>
    <w:rsid w:val="006D4E23"/>
    <w:rsid w:val="006D5B0F"/>
    <w:rsid w:val="006D5EFE"/>
    <w:rsid w:val="006E1A30"/>
    <w:rsid w:val="006E5CE6"/>
    <w:rsid w:val="006E7B15"/>
    <w:rsid w:val="006F07EF"/>
    <w:rsid w:val="006F1A5E"/>
    <w:rsid w:val="006F1D55"/>
    <w:rsid w:val="006F29EE"/>
    <w:rsid w:val="006F345B"/>
    <w:rsid w:val="006F34AC"/>
    <w:rsid w:val="006F3804"/>
    <w:rsid w:val="006F449D"/>
    <w:rsid w:val="006F5620"/>
    <w:rsid w:val="006F5F70"/>
    <w:rsid w:val="006F6698"/>
    <w:rsid w:val="006F67F7"/>
    <w:rsid w:val="006F78EE"/>
    <w:rsid w:val="00701547"/>
    <w:rsid w:val="00702A03"/>
    <w:rsid w:val="007045F1"/>
    <w:rsid w:val="007057C2"/>
    <w:rsid w:val="00705DF2"/>
    <w:rsid w:val="007061A2"/>
    <w:rsid w:val="00707D43"/>
    <w:rsid w:val="00710CC8"/>
    <w:rsid w:val="0071136A"/>
    <w:rsid w:val="007119DA"/>
    <w:rsid w:val="0071245C"/>
    <w:rsid w:val="00712C44"/>
    <w:rsid w:val="00713512"/>
    <w:rsid w:val="00713A2A"/>
    <w:rsid w:val="0071582D"/>
    <w:rsid w:val="007171D5"/>
    <w:rsid w:val="00717410"/>
    <w:rsid w:val="007178A9"/>
    <w:rsid w:val="0072018B"/>
    <w:rsid w:val="007226C8"/>
    <w:rsid w:val="0072285E"/>
    <w:rsid w:val="00722D05"/>
    <w:rsid w:val="00725605"/>
    <w:rsid w:val="0072685B"/>
    <w:rsid w:val="00730765"/>
    <w:rsid w:val="0073281D"/>
    <w:rsid w:val="00733C65"/>
    <w:rsid w:val="00734727"/>
    <w:rsid w:val="00735D7E"/>
    <w:rsid w:val="00736872"/>
    <w:rsid w:val="007378F4"/>
    <w:rsid w:val="00740E18"/>
    <w:rsid w:val="00743594"/>
    <w:rsid w:val="00743D01"/>
    <w:rsid w:val="0074459E"/>
    <w:rsid w:val="00745AFD"/>
    <w:rsid w:val="0074678E"/>
    <w:rsid w:val="0074680C"/>
    <w:rsid w:val="00746F03"/>
    <w:rsid w:val="007475BF"/>
    <w:rsid w:val="00747700"/>
    <w:rsid w:val="0075002B"/>
    <w:rsid w:val="0075048E"/>
    <w:rsid w:val="0075129B"/>
    <w:rsid w:val="00751C2B"/>
    <w:rsid w:val="0075246A"/>
    <w:rsid w:val="00754279"/>
    <w:rsid w:val="00754AA0"/>
    <w:rsid w:val="007565C6"/>
    <w:rsid w:val="007567E6"/>
    <w:rsid w:val="007574A8"/>
    <w:rsid w:val="00761384"/>
    <w:rsid w:val="00764237"/>
    <w:rsid w:val="007646BA"/>
    <w:rsid w:val="00766B19"/>
    <w:rsid w:val="00770847"/>
    <w:rsid w:val="007709FA"/>
    <w:rsid w:val="00770D6F"/>
    <w:rsid w:val="00770D83"/>
    <w:rsid w:val="00771257"/>
    <w:rsid w:val="00771E88"/>
    <w:rsid w:val="007725C0"/>
    <w:rsid w:val="00773122"/>
    <w:rsid w:val="00773331"/>
    <w:rsid w:val="0077352B"/>
    <w:rsid w:val="00774708"/>
    <w:rsid w:val="0077493B"/>
    <w:rsid w:val="00775089"/>
    <w:rsid w:val="00775AC0"/>
    <w:rsid w:val="00775CE4"/>
    <w:rsid w:val="00775DAA"/>
    <w:rsid w:val="00776540"/>
    <w:rsid w:val="00776D69"/>
    <w:rsid w:val="00777E3C"/>
    <w:rsid w:val="00780432"/>
    <w:rsid w:val="00780674"/>
    <w:rsid w:val="00781508"/>
    <w:rsid w:val="00782612"/>
    <w:rsid w:val="00782A9C"/>
    <w:rsid w:val="00784A91"/>
    <w:rsid w:val="0078546D"/>
    <w:rsid w:val="00786BA3"/>
    <w:rsid w:val="00786CE0"/>
    <w:rsid w:val="00787811"/>
    <w:rsid w:val="0079079C"/>
    <w:rsid w:val="00791515"/>
    <w:rsid w:val="007932EF"/>
    <w:rsid w:val="00793DFE"/>
    <w:rsid w:val="00794F82"/>
    <w:rsid w:val="00795B18"/>
    <w:rsid w:val="0079610B"/>
    <w:rsid w:val="00796186"/>
    <w:rsid w:val="007966C8"/>
    <w:rsid w:val="007975BB"/>
    <w:rsid w:val="007A23A9"/>
    <w:rsid w:val="007A2CFC"/>
    <w:rsid w:val="007A38BB"/>
    <w:rsid w:val="007A42B6"/>
    <w:rsid w:val="007B0F8C"/>
    <w:rsid w:val="007B27D0"/>
    <w:rsid w:val="007B31B6"/>
    <w:rsid w:val="007B3EB2"/>
    <w:rsid w:val="007B4DFE"/>
    <w:rsid w:val="007B6587"/>
    <w:rsid w:val="007B68E1"/>
    <w:rsid w:val="007B7A1B"/>
    <w:rsid w:val="007B7D35"/>
    <w:rsid w:val="007C0052"/>
    <w:rsid w:val="007C18BC"/>
    <w:rsid w:val="007C208D"/>
    <w:rsid w:val="007C21B8"/>
    <w:rsid w:val="007C21C0"/>
    <w:rsid w:val="007C28E9"/>
    <w:rsid w:val="007C30ED"/>
    <w:rsid w:val="007C3423"/>
    <w:rsid w:val="007C46B2"/>
    <w:rsid w:val="007C50D8"/>
    <w:rsid w:val="007C5C67"/>
    <w:rsid w:val="007C63E2"/>
    <w:rsid w:val="007C6DD6"/>
    <w:rsid w:val="007C76FB"/>
    <w:rsid w:val="007D36FF"/>
    <w:rsid w:val="007D3EED"/>
    <w:rsid w:val="007D58E8"/>
    <w:rsid w:val="007D5E40"/>
    <w:rsid w:val="007E05B0"/>
    <w:rsid w:val="007E2DC2"/>
    <w:rsid w:val="007E4A66"/>
    <w:rsid w:val="007E6ACF"/>
    <w:rsid w:val="007F0C90"/>
    <w:rsid w:val="007F19EC"/>
    <w:rsid w:val="007F26B0"/>
    <w:rsid w:val="007F2799"/>
    <w:rsid w:val="007F380D"/>
    <w:rsid w:val="007F4CB2"/>
    <w:rsid w:val="007F578C"/>
    <w:rsid w:val="007F57C0"/>
    <w:rsid w:val="007F5AAE"/>
    <w:rsid w:val="007F5C7A"/>
    <w:rsid w:val="007F6DA9"/>
    <w:rsid w:val="00800900"/>
    <w:rsid w:val="00801666"/>
    <w:rsid w:val="008017CA"/>
    <w:rsid w:val="008028B6"/>
    <w:rsid w:val="008039FB"/>
    <w:rsid w:val="00803A3B"/>
    <w:rsid w:val="00803A70"/>
    <w:rsid w:val="0080596D"/>
    <w:rsid w:val="00806609"/>
    <w:rsid w:val="00810C04"/>
    <w:rsid w:val="008150B2"/>
    <w:rsid w:val="00815230"/>
    <w:rsid w:val="00816A6F"/>
    <w:rsid w:val="00817CB4"/>
    <w:rsid w:val="00817D9C"/>
    <w:rsid w:val="00817ED0"/>
    <w:rsid w:val="00820AD6"/>
    <w:rsid w:val="008217B7"/>
    <w:rsid w:val="00821BD5"/>
    <w:rsid w:val="00821EBD"/>
    <w:rsid w:val="008253D9"/>
    <w:rsid w:val="00825D20"/>
    <w:rsid w:val="0083102A"/>
    <w:rsid w:val="00832E1C"/>
    <w:rsid w:val="008330E3"/>
    <w:rsid w:val="008333A8"/>
    <w:rsid w:val="00834525"/>
    <w:rsid w:val="0083787A"/>
    <w:rsid w:val="00841644"/>
    <w:rsid w:val="00842888"/>
    <w:rsid w:val="00843296"/>
    <w:rsid w:val="0084395A"/>
    <w:rsid w:val="00844909"/>
    <w:rsid w:val="00844D0D"/>
    <w:rsid w:val="00844FE1"/>
    <w:rsid w:val="0084766D"/>
    <w:rsid w:val="00847F34"/>
    <w:rsid w:val="00851FD2"/>
    <w:rsid w:val="00852DCC"/>
    <w:rsid w:val="00853CD4"/>
    <w:rsid w:val="008549AD"/>
    <w:rsid w:val="00854BA0"/>
    <w:rsid w:val="00855CF1"/>
    <w:rsid w:val="008560CD"/>
    <w:rsid w:val="00856BC7"/>
    <w:rsid w:val="00857179"/>
    <w:rsid w:val="00857286"/>
    <w:rsid w:val="00857F2D"/>
    <w:rsid w:val="00860321"/>
    <w:rsid w:val="00861757"/>
    <w:rsid w:val="008625DA"/>
    <w:rsid w:val="00863506"/>
    <w:rsid w:val="00863DF3"/>
    <w:rsid w:val="00866A9E"/>
    <w:rsid w:val="00866FAB"/>
    <w:rsid w:val="00867ACC"/>
    <w:rsid w:val="0087161A"/>
    <w:rsid w:val="00871FE2"/>
    <w:rsid w:val="00872BDF"/>
    <w:rsid w:val="00874D22"/>
    <w:rsid w:val="008758B2"/>
    <w:rsid w:val="00876A2B"/>
    <w:rsid w:val="0087708D"/>
    <w:rsid w:val="008778DA"/>
    <w:rsid w:val="008802B9"/>
    <w:rsid w:val="008818A9"/>
    <w:rsid w:val="0088274B"/>
    <w:rsid w:val="008831E5"/>
    <w:rsid w:val="00883D22"/>
    <w:rsid w:val="00885913"/>
    <w:rsid w:val="008875F4"/>
    <w:rsid w:val="00887AC9"/>
    <w:rsid w:val="00887F65"/>
    <w:rsid w:val="00891032"/>
    <w:rsid w:val="008912A1"/>
    <w:rsid w:val="00892409"/>
    <w:rsid w:val="008928D9"/>
    <w:rsid w:val="0089421F"/>
    <w:rsid w:val="0089439B"/>
    <w:rsid w:val="0089443F"/>
    <w:rsid w:val="008946DA"/>
    <w:rsid w:val="0089567C"/>
    <w:rsid w:val="0089644C"/>
    <w:rsid w:val="008969C5"/>
    <w:rsid w:val="00896F5E"/>
    <w:rsid w:val="008A04F5"/>
    <w:rsid w:val="008A1D10"/>
    <w:rsid w:val="008A26F8"/>
    <w:rsid w:val="008A2914"/>
    <w:rsid w:val="008A2FA6"/>
    <w:rsid w:val="008A390B"/>
    <w:rsid w:val="008A3CEF"/>
    <w:rsid w:val="008A4D63"/>
    <w:rsid w:val="008A4F4D"/>
    <w:rsid w:val="008A529C"/>
    <w:rsid w:val="008A53F2"/>
    <w:rsid w:val="008A772C"/>
    <w:rsid w:val="008B0F3E"/>
    <w:rsid w:val="008B38EC"/>
    <w:rsid w:val="008B5470"/>
    <w:rsid w:val="008B69B4"/>
    <w:rsid w:val="008B77BD"/>
    <w:rsid w:val="008B7853"/>
    <w:rsid w:val="008C0A62"/>
    <w:rsid w:val="008C0C3E"/>
    <w:rsid w:val="008C2BC1"/>
    <w:rsid w:val="008C4A52"/>
    <w:rsid w:val="008C6393"/>
    <w:rsid w:val="008C71C4"/>
    <w:rsid w:val="008D204A"/>
    <w:rsid w:val="008D3FA3"/>
    <w:rsid w:val="008D4787"/>
    <w:rsid w:val="008D503E"/>
    <w:rsid w:val="008D5925"/>
    <w:rsid w:val="008D68AD"/>
    <w:rsid w:val="008D6999"/>
    <w:rsid w:val="008D6B27"/>
    <w:rsid w:val="008D6F06"/>
    <w:rsid w:val="008D7F31"/>
    <w:rsid w:val="008E019E"/>
    <w:rsid w:val="008E1E84"/>
    <w:rsid w:val="008E2178"/>
    <w:rsid w:val="008E2A76"/>
    <w:rsid w:val="008E3082"/>
    <w:rsid w:val="008E3BD1"/>
    <w:rsid w:val="008E4D8E"/>
    <w:rsid w:val="008E5821"/>
    <w:rsid w:val="008E6917"/>
    <w:rsid w:val="008E7228"/>
    <w:rsid w:val="008E78D4"/>
    <w:rsid w:val="008E78E3"/>
    <w:rsid w:val="008F10EB"/>
    <w:rsid w:val="008F2635"/>
    <w:rsid w:val="008F2C04"/>
    <w:rsid w:val="008F37CC"/>
    <w:rsid w:val="008F37F3"/>
    <w:rsid w:val="008F4991"/>
    <w:rsid w:val="008F4D5E"/>
    <w:rsid w:val="008F56CA"/>
    <w:rsid w:val="008F659E"/>
    <w:rsid w:val="009014B9"/>
    <w:rsid w:val="009018EC"/>
    <w:rsid w:val="00901A2B"/>
    <w:rsid w:val="0090310E"/>
    <w:rsid w:val="00903645"/>
    <w:rsid w:val="009044E8"/>
    <w:rsid w:val="00904E0D"/>
    <w:rsid w:val="00905AC2"/>
    <w:rsid w:val="0091099F"/>
    <w:rsid w:val="00910B91"/>
    <w:rsid w:val="00910EDC"/>
    <w:rsid w:val="0091120C"/>
    <w:rsid w:val="0091161F"/>
    <w:rsid w:val="00913A3C"/>
    <w:rsid w:val="009142E4"/>
    <w:rsid w:val="0091446D"/>
    <w:rsid w:val="00914BFE"/>
    <w:rsid w:val="0091513F"/>
    <w:rsid w:val="00915681"/>
    <w:rsid w:val="009156BD"/>
    <w:rsid w:val="00916D71"/>
    <w:rsid w:val="00917F87"/>
    <w:rsid w:val="0092015F"/>
    <w:rsid w:val="00920488"/>
    <w:rsid w:val="00920B8F"/>
    <w:rsid w:val="00921093"/>
    <w:rsid w:val="009259E8"/>
    <w:rsid w:val="009261E3"/>
    <w:rsid w:val="009263D7"/>
    <w:rsid w:val="00926456"/>
    <w:rsid w:val="0092764A"/>
    <w:rsid w:val="00927916"/>
    <w:rsid w:val="00930F68"/>
    <w:rsid w:val="009317FA"/>
    <w:rsid w:val="009334B4"/>
    <w:rsid w:val="009334D8"/>
    <w:rsid w:val="0093504C"/>
    <w:rsid w:val="009351FE"/>
    <w:rsid w:val="00935A83"/>
    <w:rsid w:val="009362D0"/>
    <w:rsid w:val="009363EE"/>
    <w:rsid w:val="00940B25"/>
    <w:rsid w:val="00941509"/>
    <w:rsid w:val="00942217"/>
    <w:rsid w:val="0094361B"/>
    <w:rsid w:val="00943ED0"/>
    <w:rsid w:val="00944E51"/>
    <w:rsid w:val="00945984"/>
    <w:rsid w:val="00946601"/>
    <w:rsid w:val="009466EB"/>
    <w:rsid w:val="0094727D"/>
    <w:rsid w:val="00951278"/>
    <w:rsid w:val="00951CF6"/>
    <w:rsid w:val="00952785"/>
    <w:rsid w:val="00952F0E"/>
    <w:rsid w:val="009530DD"/>
    <w:rsid w:val="00953712"/>
    <w:rsid w:val="009539FF"/>
    <w:rsid w:val="00954074"/>
    <w:rsid w:val="0095451F"/>
    <w:rsid w:val="00955AE6"/>
    <w:rsid w:val="009603E1"/>
    <w:rsid w:val="0096051E"/>
    <w:rsid w:val="009613DB"/>
    <w:rsid w:val="00962372"/>
    <w:rsid w:val="00963D96"/>
    <w:rsid w:val="009645EC"/>
    <w:rsid w:val="00964CC6"/>
    <w:rsid w:val="00965402"/>
    <w:rsid w:val="00965BC3"/>
    <w:rsid w:val="0096714B"/>
    <w:rsid w:val="00967A58"/>
    <w:rsid w:val="0097087E"/>
    <w:rsid w:val="00970B89"/>
    <w:rsid w:val="00970CE0"/>
    <w:rsid w:val="00971CE7"/>
    <w:rsid w:val="0097229B"/>
    <w:rsid w:val="009733D0"/>
    <w:rsid w:val="0097585A"/>
    <w:rsid w:val="009765C6"/>
    <w:rsid w:val="00977A16"/>
    <w:rsid w:val="00977B74"/>
    <w:rsid w:val="00977B84"/>
    <w:rsid w:val="00980AA6"/>
    <w:rsid w:val="009810E6"/>
    <w:rsid w:val="00981484"/>
    <w:rsid w:val="0098171E"/>
    <w:rsid w:val="00981E8B"/>
    <w:rsid w:val="00983109"/>
    <w:rsid w:val="009840D5"/>
    <w:rsid w:val="0098474E"/>
    <w:rsid w:val="00984CB5"/>
    <w:rsid w:val="009850A1"/>
    <w:rsid w:val="00985F6D"/>
    <w:rsid w:val="009875B5"/>
    <w:rsid w:val="00987B8B"/>
    <w:rsid w:val="0099058C"/>
    <w:rsid w:val="00990C06"/>
    <w:rsid w:val="00992D2B"/>
    <w:rsid w:val="00992F9A"/>
    <w:rsid w:val="00994C14"/>
    <w:rsid w:val="0099541F"/>
    <w:rsid w:val="00995829"/>
    <w:rsid w:val="00997EB0"/>
    <w:rsid w:val="009A06DC"/>
    <w:rsid w:val="009A1A9A"/>
    <w:rsid w:val="009A2C15"/>
    <w:rsid w:val="009A3790"/>
    <w:rsid w:val="009A3958"/>
    <w:rsid w:val="009A39E3"/>
    <w:rsid w:val="009A3BDD"/>
    <w:rsid w:val="009A54A7"/>
    <w:rsid w:val="009A60EF"/>
    <w:rsid w:val="009B00D8"/>
    <w:rsid w:val="009B10C8"/>
    <w:rsid w:val="009B1E6E"/>
    <w:rsid w:val="009B2C6A"/>
    <w:rsid w:val="009B3072"/>
    <w:rsid w:val="009B4030"/>
    <w:rsid w:val="009B456F"/>
    <w:rsid w:val="009B4767"/>
    <w:rsid w:val="009B520D"/>
    <w:rsid w:val="009B63CA"/>
    <w:rsid w:val="009B66AB"/>
    <w:rsid w:val="009B793D"/>
    <w:rsid w:val="009C1FAE"/>
    <w:rsid w:val="009C2071"/>
    <w:rsid w:val="009C21C5"/>
    <w:rsid w:val="009C2DB4"/>
    <w:rsid w:val="009C2ECE"/>
    <w:rsid w:val="009C3813"/>
    <w:rsid w:val="009C39F6"/>
    <w:rsid w:val="009C40C0"/>
    <w:rsid w:val="009C42DF"/>
    <w:rsid w:val="009C4329"/>
    <w:rsid w:val="009C6726"/>
    <w:rsid w:val="009C747E"/>
    <w:rsid w:val="009C7EC9"/>
    <w:rsid w:val="009D3CCF"/>
    <w:rsid w:val="009D3F8B"/>
    <w:rsid w:val="009D4DB3"/>
    <w:rsid w:val="009D6433"/>
    <w:rsid w:val="009E07AA"/>
    <w:rsid w:val="009E2230"/>
    <w:rsid w:val="009E4830"/>
    <w:rsid w:val="009E497B"/>
    <w:rsid w:val="009E586B"/>
    <w:rsid w:val="009E6812"/>
    <w:rsid w:val="009E6E98"/>
    <w:rsid w:val="009F1086"/>
    <w:rsid w:val="009F17F1"/>
    <w:rsid w:val="009F1BBE"/>
    <w:rsid w:val="009F3A64"/>
    <w:rsid w:val="009F4E9A"/>
    <w:rsid w:val="009F6585"/>
    <w:rsid w:val="00A00253"/>
    <w:rsid w:val="00A02010"/>
    <w:rsid w:val="00A021D7"/>
    <w:rsid w:val="00A024C9"/>
    <w:rsid w:val="00A025D4"/>
    <w:rsid w:val="00A03814"/>
    <w:rsid w:val="00A042EA"/>
    <w:rsid w:val="00A05A8F"/>
    <w:rsid w:val="00A06472"/>
    <w:rsid w:val="00A06E90"/>
    <w:rsid w:val="00A07108"/>
    <w:rsid w:val="00A10230"/>
    <w:rsid w:val="00A10DCB"/>
    <w:rsid w:val="00A10EDF"/>
    <w:rsid w:val="00A114A7"/>
    <w:rsid w:val="00A12E07"/>
    <w:rsid w:val="00A141B9"/>
    <w:rsid w:val="00A16D08"/>
    <w:rsid w:val="00A16DC9"/>
    <w:rsid w:val="00A176F3"/>
    <w:rsid w:val="00A17886"/>
    <w:rsid w:val="00A17F04"/>
    <w:rsid w:val="00A21132"/>
    <w:rsid w:val="00A22DB0"/>
    <w:rsid w:val="00A23689"/>
    <w:rsid w:val="00A23F8A"/>
    <w:rsid w:val="00A23FCB"/>
    <w:rsid w:val="00A25807"/>
    <w:rsid w:val="00A262DD"/>
    <w:rsid w:val="00A27E50"/>
    <w:rsid w:val="00A308D3"/>
    <w:rsid w:val="00A30C99"/>
    <w:rsid w:val="00A31196"/>
    <w:rsid w:val="00A3119A"/>
    <w:rsid w:val="00A32993"/>
    <w:rsid w:val="00A33145"/>
    <w:rsid w:val="00A34CB3"/>
    <w:rsid w:val="00A362FA"/>
    <w:rsid w:val="00A36E06"/>
    <w:rsid w:val="00A4054D"/>
    <w:rsid w:val="00A418A1"/>
    <w:rsid w:val="00A41EB2"/>
    <w:rsid w:val="00A4338E"/>
    <w:rsid w:val="00A4427A"/>
    <w:rsid w:val="00A457FE"/>
    <w:rsid w:val="00A45895"/>
    <w:rsid w:val="00A462EA"/>
    <w:rsid w:val="00A47B10"/>
    <w:rsid w:val="00A50CA3"/>
    <w:rsid w:val="00A5158E"/>
    <w:rsid w:val="00A51E6D"/>
    <w:rsid w:val="00A5271A"/>
    <w:rsid w:val="00A5399D"/>
    <w:rsid w:val="00A556BA"/>
    <w:rsid w:val="00A560D7"/>
    <w:rsid w:val="00A5790D"/>
    <w:rsid w:val="00A57AF4"/>
    <w:rsid w:val="00A639A1"/>
    <w:rsid w:val="00A64E5B"/>
    <w:rsid w:val="00A65253"/>
    <w:rsid w:val="00A70EC2"/>
    <w:rsid w:val="00A71459"/>
    <w:rsid w:val="00A71C3F"/>
    <w:rsid w:val="00A730D0"/>
    <w:rsid w:val="00A732AE"/>
    <w:rsid w:val="00A73C41"/>
    <w:rsid w:val="00A74A58"/>
    <w:rsid w:val="00A74E81"/>
    <w:rsid w:val="00A753CA"/>
    <w:rsid w:val="00A75655"/>
    <w:rsid w:val="00A76365"/>
    <w:rsid w:val="00A81A19"/>
    <w:rsid w:val="00A82C4C"/>
    <w:rsid w:val="00A83E45"/>
    <w:rsid w:val="00A84E38"/>
    <w:rsid w:val="00A85702"/>
    <w:rsid w:val="00A909DC"/>
    <w:rsid w:val="00A91FD7"/>
    <w:rsid w:val="00A94112"/>
    <w:rsid w:val="00A952AF"/>
    <w:rsid w:val="00A9571E"/>
    <w:rsid w:val="00A95DC9"/>
    <w:rsid w:val="00A9612F"/>
    <w:rsid w:val="00A96462"/>
    <w:rsid w:val="00A9704E"/>
    <w:rsid w:val="00A971B5"/>
    <w:rsid w:val="00A972DB"/>
    <w:rsid w:val="00AA1C6F"/>
    <w:rsid w:val="00AA2481"/>
    <w:rsid w:val="00AA3840"/>
    <w:rsid w:val="00AA3BE5"/>
    <w:rsid w:val="00AA420A"/>
    <w:rsid w:val="00AA5732"/>
    <w:rsid w:val="00AA5B78"/>
    <w:rsid w:val="00AA6A7B"/>
    <w:rsid w:val="00AA7C0A"/>
    <w:rsid w:val="00AB099A"/>
    <w:rsid w:val="00AB0BA0"/>
    <w:rsid w:val="00AB235B"/>
    <w:rsid w:val="00AB299E"/>
    <w:rsid w:val="00AB2AB5"/>
    <w:rsid w:val="00AB2C77"/>
    <w:rsid w:val="00AB30E1"/>
    <w:rsid w:val="00AB365A"/>
    <w:rsid w:val="00AB520C"/>
    <w:rsid w:val="00AB63DA"/>
    <w:rsid w:val="00AB7409"/>
    <w:rsid w:val="00AB7819"/>
    <w:rsid w:val="00AB78E5"/>
    <w:rsid w:val="00AB7EBF"/>
    <w:rsid w:val="00AC0556"/>
    <w:rsid w:val="00AC0B6F"/>
    <w:rsid w:val="00AC137A"/>
    <w:rsid w:val="00AC6CA6"/>
    <w:rsid w:val="00AC7285"/>
    <w:rsid w:val="00AD0CC3"/>
    <w:rsid w:val="00AD0E4E"/>
    <w:rsid w:val="00AD122A"/>
    <w:rsid w:val="00AD15F2"/>
    <w:rsid w:val="00AD1EEE"/>
    <w:rsid w:val="00AD5CFE"/>
    <w:rsid w:val="00AD6347"/>
    <w:rsid w:val="00AD6ABB"/>
    <w:rsid w:val="00AD7C1C"/>
    <w:rsid w:val="00AE27BB"/>
    <w:rsid w:val="00AE3D8B"/>
    <w:rsid w:val="00AE3E06"/>
    <w:rsid w:val="00AE4238"/>
    <w:rsid w:val="00AE438D"/>
    <w:rsid w:val="00AE43C7"/>
    <w:rsid w:val="00AE51FE"/>
    <w:rsid w:val="00AE60D1"/>
    <w:rsid w:val="00AE60F0"/>
    <w:rsid w:val="00AE6942"/>
    <w:rsid w:val="00AE731E"/>
    <w:rsid w:val="00AE7977"/>
    <w:rsid w:val="00AF11A0"/>
    <w:rsid w:val="00AF2175"/>
    <w:rsid w:val="00AF2CE8"/>
    <w:rsid w:val="00AF4BC7"/>
    <w:rsid w:val="00AF62DB"/>
    <w:rsid w:val="00AF688A"/>
    <w:rsid w:val="00B00387"/>
    <w:rsid w:val="00B00391"/>
    <w:rsid w:val="00B03EC3"/>
    <w:rsid w:val="00B04422"/>
    <w:rsid w:val="00B05381"/>
    <w:rsid w:val="00B0720F"/>
    <w:rsid w:val="00B078E2"/>
    <w:rsid w:val="00B07D1E"/>
    <w:rsid w:val="00B10A70"/>
    <w:rsid w:val="00B10F81"/>
    <w:rsid w:val="00B1137E"/>
    <w:rsid w:val="00B115E3"/>
    <w:rsid w:val="00B13603"/>
    <w:rsid w:val="00B13797"/>
    <w:rsid w:val="00B137D3"/>
    <w:rsid w:val="00B13FA5"/>
    <w:rsid w:val="00B154E5"/>
    <w:rsid w:val="00B17771"/>
    <w:rsid w:val="00B20C13"/>
    <w:rsid w:val="00B2120D"/>
    <w:rsid w:val="00B229BF"/>
    <w:rsid w:val="00B22EBD"/>
    <w:rsid w:val="00B232A5"/>
    <w:rsid w:val="00B232E9"/>
    <w:rsid w:val="00B23C01"/>
    <w:rsid w:val="00B24CA9"/>
    <w:rsid w:val="00B25476"/>
    <w:rsid w:val="00B26B5C"/>
    <w:rsid w:val="00B26FB4"/>
    <w:rsid w:val="00B27770"/>
    <w:rsid w:val="00B27FA8"/>
    <w:rsid w:val="00B30E13"/>
    <w:rsid w:val="00B31255"/>
    <w:rsid w:val="00B314C8"/>
    <w:rsid w:val="00B317E9"/>
    <w:rsid w:val="00B31B9C"/>
    <w:rsid w:val="00B32077"/>
    <w:rsid w:val="00B332EB"/>
    <w:rsid w:val="00B363D9"/>
    <w:rsid w:val="00B36661"/>
    <w:rsid w:val="00B36E09"/>
    <w:rsid w:val="00B37294"/>
    <w:rsid w:val="00B37DF9"/>
    <w:rsid w:val="00B37F6A"/>
    <w:rsid w:val="00B41AE8"/>
    <w:rsid w:val="00B42ADF"/>
    <w:rsid w:val="00B4355D"/>
    <w:rsid w:val="00B43AA8"/>
    <w:rsid w:val="00B44576"/>
    <w:rsid w:val="00B44ACE"/>
    <w:rsid w:val="00B44E68"/>
    <w:rsid w:val="00B468A6"/>
    <w:rsid w:val="00B5019E"/>
    <w:rsid w:val="00B50EED"/>
    <w:rsid w:val="00B5138C"/>
    <w:rsid w:val="00B52D86"/>
    <w:rsid w:val="00B543A2"/>
    <w:rsid w:val="00B5445D"/>
    <w:rsid w:val="00B55746"/>
    <w:rsid w:val="00B56849"/>
    <w:rsid w:val="00B57A0E"/>
    <w:rsid w:val="00B61249"/>
    <w:rsid w:val="00B618B8"/>
    <w:rsid w:val="00B6196A"/>
    <w:rsid w:val="00B61CF6"/>
    <w:rsid w:val="00B62318"/>
    <w:rsid w:val="00B637E2"/>
    <w:rsid w:val="00B65119"/>
    <w:rsid w:val="00B661D1"/>
    <w:rsid w:val="00B663EF"/>
    <w:rsid w:val="00B669EC"/>
    <w:rsid w:val="00B66CAA"/>
    <w:rsid w:val="00B72DA1"/>
    <w:rsid w:val="00B72DC8"/>
    <w:rsid w:val="00B736C2"/>
    <w:rsid w:val="00B73849"/>
    <w:rsid w:val="00B74091"/>
    <w:rsid w:val="00B755A3"/>
    <w:rsid w:val="00B7778B"/>
    <w:rsid w:val="00B77CDA"/>
    <w:rsid w:val="00B80141"/>
    <w:rsid w:val="00B80D08"/>
    <w:rsid w:val="00B81692"/>
    <w:rsid w:val="00B817D1"/>
    <w:rsid w:val="00B8187B"/>
    <w:rsid w:val="00B82DCD"/>
    <w:rsid w:val="00B83258"/>
    <w:rsid w:val="00B85173"/>
    <w:rsid w:val="00B865AE"/>
    <w:rsid w:val="00B87975"/>
    <w:rsid w:val="00B87FAA"/>
    <w:rsid w:val="00B91687"/>
    <w:rsid w:val="00B92D8F"/>
    <w:rsid w:val="00B951C2"/>
    <w:rsid w:val="00B9758E"/>
    <w:rsid w:val="00B975E3"/>
    <w:rsid w:val="00BA0DD9"/>
    <w:rsid w:val="00BA46E9"/>
    <w:rsid w:val="00BA5AE5"/>
    <w:rsid w:val="00BA5D74"/>
    <w:rsid w:val="00BA5D7A"/>
    <w:rsid w:val="00BA7EE6"/>
    <w:rsid w:val="00BB039F"/>
    <w:rsid w:val="00BB0A68"/>
    <w:rsid w:val="00BB1A93"/>
    <w:rsid w:val="00BB33DE"/>
    <w:rsid w:val="00BB3ECD"/>
    <w:rsid w:val="00BB4D03"/>
    <w:rsid w:val="00BB4E86"/>
    <w:rsid w:val="00BB51D4"/>
    <w:rsid w:val="00BB6066"/>
    <w:rsid w:val="00BB61AC"/>
    <w:rsid w:val="00BB6D3E"/>
    <w:rsid w:val="00BC0008"/>
    <w:rsid w:val="00BC051D"/>
    <w:rsid w:val="00BC1B6F"/>
    <w:rsid w:val="00BC410C"/>
    <w:rsid w:val="00BC4BF6"/>
    <w:rsid w:val="00BC548E"/>
    <w:rsid w:val="00BC5847"/>
    <w:rsid w:val="00BC64F4"/>
    <w:rsid w:val="00BC7579"/>
    <w:rsid w:val="00BD08F6"/>
    <w:rsid w:val="00BD152F"/>
    <w:rsid w:val="00BD2F1C"/>
    <w:rsid w:val="00BD3552"/>
    <w:rsid w:val="00BD3759"/>
    <w:rsid w:val="00BD4251"/>
    <w:rsid w:val="00BD503C"/>
    <w:rsid w:val="00BD6275"/>
    <w:rsid w:val="00BD67E1"/>
    <w:rsid w:val="00BE05C2"/>
    <w:rsid w:val="00BE0CAE"/>
    <w:rsid w:val="00BE31BA"/>
    <w:rsid w:val="00BE4537"/>
    <w:rsid w:val="00BE4807"/>
    <w:rsid w:val="00BE4AB5"/>
    <w:rsid w:val="00BE4D47"/>
    <w:rsid w:val="00BE4E31"/>
    <w:rsid w:val="00BE51C4"/>
    <w:rsid w:val="00BE7E21"/>
    <w:rsid w:val="00BF04DD"/>
    <w:rsid w:val="00BF0967"/>
    <w:rsid w:val="00BF2C43"/>
    <w:rsid w:val="00BF31F8"/>
    <w:rsid w:val="00BF362D"/>
    <w:rsid w:val="00BF4E20"/>
    <w:rsid w:val="00BF4E93"/>
    <w:rsid w:val="00BF62D3"/>
    <w:rsid w:val="00C0112E"/>
    <w:rsid w:val="00C019B4"/>
    <w:rsid w:val="00C0230B"/>
    <w:rsid w:val="00C029EC"/>
    <w:rsid w:val="00C03F00"/>
    <w:rsid w:val="00C07A23"/>
    <w:rsid w:val="00C10CD1"/>
    <w:rsid w:val="00C12301"/>
    <w:rsid w:val="00C140FE"/>
    <w:rsid w:val="00C15268"/>
    <w:rsid w:val="00C15960"/>
    <w:rsid w:val="00C166D8"/>
    <w:rsid w:val="00C16B1C"/>
    <w:rsid w:val="00C16D4F"/>
    <w:rsid w:val="00C173CA"/>
    <w:rsid w:val="00C20953"/>
    <w:rsid w:val="00C2286F"/>
    <w:rsid w:val="00C2300F"/>
    <w:rsid w:val="00C23381"/>
    <w:rsid w:val="00C23971"/>
    <w:rsid w:val="00C2431A"/>
    <w:rsid w:val="00C24381"/>
    <w:rsid w:val="00C244BC"/>
    <w:rsid w:val="00C24785"/>
    <w:rsid w:val="00C24C77"/>
    <w:rsid w:val="00C24FD0"/>
    <w:rsid w:val="00C25797"/>
    <w:rsid w:val="00C2635C"/>
    <w:rsid w:val="00C2770C"/>
    <w:rsid w:val="00C301F9"/>
    <w:rsid w:val="00C3080D"/>
    <w:rsid w:val="00C309FA"/>
    <w:rsid w:val="00C30B1B"/>
    <w:rsid w:val="00C30C9E"/>
    <w:rsid w:val="00C323CE"/>
    <w:rsid w:val="00C33306"/>
    <w:rsid w:val="00C337C4"/>
    <w:rsid w:val="00C35156"/>
    <w:rsid w:val="00C35206"/>
    <w:rsid w:val="00C36481"/>
    <w:rsid w:val="00C37F36"/>
    <w:rsid w:val="00C41939"/>
    <w:rsid w:val="00C4230F"/>
    <w:rsid w:val="00C44195"/>
    <w:rsid w:val="00C45DB9"/>
    <w:rsid w:val="00C45ED3"/>
    <w:rsid w:val="00C47A36"/>
    <w:rsid w:val="00C547D3"/>
    <w:rsid w:val="00C5657C"/>
    <w:rsid w:val="00C631ED"/>
    <w:rsid w:val="00C6324B"/>
    <w:rsid w:val="00C6368B"/>
    <w:rsid w:val="00C64748"/>
    <w:rsid w:val="00C649EB"/>
    <w:rsid w:val="00C66479"/>
    <w:rsid w:val="00C67911"/>
    <w:rsid w:val="00C710ED"/>
    <w:rsid w:val="00C71E50"/>
    <w:rsid w:val="00C7428D"/>
    <w:rsid w:val="00C75E02"/>
    <w:rsid w:val="00C76733"/>
    <w:rsid w:val="00C76C7C"/>
    <w:rsid w:val="00C76F66"/>
    <w:rsid w:val="00C770F8"/>
    <w:rsid w:val="00C80DEC"/>
    <w:rsid w:val="00C810D3"/>
    <w:rsid w:val="00C831AA"/>
    <w:rsid w:val="00C85523"/>
    <w:rsid w:val="00C85595"/>
    <w:rsid w:val="00C85F36"/>
    <w:rsid w:val="00C85F7D"/>
    <w:rsid w:val="00C870F6"/>
    <w:rsid w:val="00C87BAD"/>
    <w:rsid w:val="00C87C95"/>
    <w:rsid w:val="00C91F56"/>
    <w:rsid w:val="00C927AF"/>
    <w:rsid w:val="00C9423C"/>
    <w:rsid w:val="00C94CD7"/>
    <w:rsid w:val="00C9504B"/>
    <w:rsid w:val="00C95102"/>
    <w:rsid w:val="00C972E7"/>
    <w:rsid w:val="00CA061F"/>
    <w:rsid w:val="00CA1BD3"/>
    <w:rsid w:val="00CA3412"/>
    <w:rsid w:val="00CA3C44"/>
    <w:rsid w:val="00CA427F"/>
    <w:rsid w:val="00CA42F0"/>
    <w:rsid w:val="00CA6D3D"/>
    <w:rsid w:val="00CA78D3"/>
    <w:rsid w:val="00CB12C5"/>
    <w:rsid w:val="00CB1483"/>
    <w:rsid w:val="00CB1607"/>
    <w:rsid w:val="00CB1A27"/>
    <w:rsid w:val="00CB2726"/>
    <w:rsid w:val="00CB2D00"/>
    <w:rsid w:val="00CB3747"/>
    <w:rsid w:val="00CB5224"/>
    <w:rsid w:val="00CC03BF"/>
    <w:rsid w:val="00CC0C0C"/>
    <w:rsid w:val="00CC0C5B"/>
    <w:rsid w:val="00CC125C"/>
    <w:rsid w:val="00CC1CF5"/>
    <w:rsid w:val="00CC1E8F"/>
    <w:rsid w:val="00CC3AE1"/>
    <w:rsid w:val="00CC4410"/>
    <w:rsid w:val="00CC48E1"/>
    <w:rsid w:val="00CC4F1E"/>
    <w:rsid w:val="00CC4FD1"/>
    <w:rsid w:val="00CC6008"/>
    <w:rsid w:val="00CC6B60"/>
    <w:rsid w:val="00CD01C3"/>
    <w:rsid w:val="00CD0BFA"/>
    <w:rsid w:val="00CD1023"/>
    <w:rsid w:val="00CD103B"/>
    <w:rsid w:val="00CD23ED"/>
    <w:rsid w:val="00CD2D9A"/>
    <w:rsid w:val="00CD36C6"/>
    <w:rsid w:val="00CD506D"/>
    <w:rsid w:val="00CD572B"/>
    <w:rsid w:val="00CD662E"/>
    <w:rsid w:val="00CD70F1"/>
    <w:rsid w:val="00CD7CF2"/>
    <w:rsid w:val="00CE19CF"/>
    <w:rsid w:val="00CE1D46"/>
    <w:rsid w:val="00CE1F56"/>
    <w:rsid w:val="00CE2C51"/>
    <w:rsid w:val="00CE2E19"/>
    <w:rsid w:val="00CE33CC"/>
    <w:rsid w:val="00CE3A54"/>
    <w:rsid w:val="00CE3A75"/>
    <w:rsid w:val="00CE4315"/>
    <w:rsid w:val="00CE77DC"/>
    <w:rsid w:val="00CE78A0"/>
    <w:rsid w:val="00CF0CA1"/>
    <w:rsid w:val="00CF15C2"/>
    <w:rsid w:val="00CF1F70"/>
    <w:rsid w:val="00CF2F67"/>
    <w:rsid w:val="00CF4BEC"/>
    <w:rsid w:val="00CF5292"/>
    <w:rsid w:val="00CF5846"/>
    <w:rsid w:val="00CF60AF"/>
    <w:rsid w:val="00CF6BD0"/>
    <w:rsid w:val="00CF6D96"/>
    <w:rsid w:val="00CF7C31"/>
    <w:rsid w:val="00D030E5"/>
    <w:rsid w:val="00D043F3"/>
    <w:rsid w:val="00D048CB"/>
    <w:rsid w:val="00D060C9"/>
    <w:rsid w:val="00D10EDC"/>
    <w:rsid w:val="00D147CE"/>
    <w:rsid w:val="00D15A75"/>
    <w:rsid w:val="00D160A5"/>
    <w:rsid w:val="00D173B1"/>
    <w:rsid w:val="00D1760A"/>
    <w:rsid w:val="00D17773"/>
    <w:rsid w:val="00D17B2D"/>
    <w:rsid w:val="00D17F24"/>
    <w:rsid w:val="00D2033C"/>
    <w:rsid w:val="00D20381"/>
    <w:rsid w:val="00D2076D"/>
    <w:rsid w:val="00D20989"/>
    <w:rsid w:val="00D20AE4"/>
    <w:rsid w:val="00D223E7"/>
    <w:rsid w:val="00D24EF6"/>
    <w:rsid w:val="00D27354"/>
    <w:rsid w:val="00D279C5"/>
    <w:rsid w:val="00D30337"/>
    <w:rsid w:val="00D31C05"/>
    <w:rsid w:val="00D32E1B"/>
    <w:rsid w:val="00D33842"/>
    <w:rsid w:val="00D33FD3"/>
    <w:rsid w:val="00D34D45"/>
    <w:rsid w:val="00D35E31"/>
    <w:rsid w:val="00D40074"/>
    <w:rsid w:val="00D40424"/>
    <w:rsid w:val="00D422F1"/>
    <w:rsid w:val="00D42560"/>
    <w:rsid w:val="00D43300"/>
    <w:rsid w:val="00D44FCB"/>
    <w:rsid w:val="00D4505B"/>
    <w:rsid w:val="00D4549A"/>
    <w:rsid w:val="00D47C35"/>
    <w:rsid w:val="00D506F1"/>
    <w:rsid w:val="00D50A99"/>
    <w:rsid w:val="00D50C4A"/>
    <w:rsid w:val="00D50EA4"/>
    <w:rsid w:val="00D53C20"/>
    <w:rsid w:val="00D55683"/>
    <w:rsid w:val="00D562AF"/>
    <w:rsid w:val="00D576B5"/>
    <w:rsid w:val="00D60020"/>
    <w:rsid w:val="00D60C4F"/>
    <w:rsid w:val="00D62014"/>
    <w:rsid w:val="00D64B54"/>
    <w:rsid w:val="00D65682"/>
    <w:rsid w:val="00D6571B"/>
    <w:rsid w:val="00D65D7E"/>
    <w:rsid w:val="00D660B6"/>
    <w:rsid w:val="00D702FA"/>
    <w:rsid w:val="00D70747"/>
    <w:rsid w:val="00D71931"/>
    <w:rsid w:val="00D71A0F"/>
    <w:rsid w:val="00D72036"/>
    <w:rsid w:val="00D72D65"/>
    <w:rsid w:val="00D7382E"/>
    <w:rsid w:val="00D75008"/>
    <w:rsid w:val="00D76EED"/>
    <w:rsid w:val="00D77B7B"/>
    <w:rsid w:val="00D814EE"/>
    <w:rsid w:val="00D81F34"/>
    <w:rsid w:val="00D834E4"/>
    <w:rsid w:val="00D849AA"/>
    <w:rsid w:val="00D84A7E"/>
    <w:rsid w:val="00D8588A"/>
    <w:rsid w:val="00D86F2B"/>
    <w:rsid w:val="00D8724B"/>
    <w:rsid w:val="00D87797"/>
    <w:rsid w:val="00D91329"/>
    <w:rsid w:val="00D91C0F"/>
    <w:rsid w:val="00D91E47"/>
    <w:rsid w:val="00D931B7"/>
    <w:rsid w:val="00D95CEA"/>
    <w:rsid w:val="00D97EEE"/>
    <w:rsid w:val="00D97EEF"/>
    <w:rsid w:val="00D97FB2"/>
    <w:rsid w:val="00DA1B9C"/>
    <w:rsid w:val="00DA30E3"/>
    <w:rsid w:val="00DA394A"/>
    <w:rsid w:val="00DA5AE4"/>
    <w:rsid w:val="00DB072D"/>
    <w:rsid w:val="00DB13B0"/>
    <w:rsid w:val="00DB207E"/>
    <w:rsid w:val="00DB2190"/>
    <w:rsid w:val="00DB22AF"/>
    <w:rsid w:val="00DB250C"/>
    <w:rsid w:val="00DB27F6"/>
    <w:rsid w:val="00DB2936"/>
    <w:rsid w:val="00DB2F83"/>
    <w:rsid w:val="00DB3DAC"/>
    <w:rsid w:val="00DB3F81"/>
    <w:rsid w:val="00DB4E93"/>
    <w:rsid w:val="00DB5BAD"/>
    <w:rsid w:val="00DB5F1F"/>
    <w:rsid w:val="00DB71AB"/>
    <w:rsid w:val="00DB787B"/>
    <w:rsid w:val="00DC064A"/>
    <w:rsid w:val="00DC0915"/>
    <w:rsid w:val="00DC593F"/>
    <w:rsid w:val="00DC5B3A"/>
    <w:rsid w:val="00DC6813"/>
    <w:rsid w:val="00DC7B51"/>
    <w:rsid w:val="00DD3738"/>
    <w:rsid w:val="00DD59C5"/>
    <w:rsid w:val="00DD70B6"/>
    <w:rsid w:val="00DE07FA"/>
    <w:rsid w:val="00DE110C"/>
    <w:rsid w:val="00DE2A38"/>
    <w:rsid w:val="00DE2F30"/>
    <w:rsid w:val="00DE499F"/>
    <w:rsid w:val="00DF087B"/>
    <w:rsid w:val="00DF1E28"/>
    <w:rsid w:val="00DF20B1"/>
    <w:rsid w:val="00DF2BED"/>
    <w:rsid w:val="00DF392B"/>
    <w:rsid w:val="00DF41E6"/>
    <w:rsid w:val="00DF48CE"/>
    <w:rsid w:val="00DF5172"/>
    <w:rsid w:val="00DF55C8"/>
    <w:rsid w:val="00DF7597"/>
    <w:rsid w:val="00DF779A"/>
    <w:rsid w:val="00DF78BA"/>
    <w:rsid w:val="00E01680"/>
    <w:rsid w:val="00E01823"/>
    <w:rsid w:val="00E02CFC"/>
    <w:rsid w:val="00E0353A"/>
    <w:rsid w:val="00E040D3"/>
    <w:rsid w:val="00E042A2"/>
    <w:rsid w:val="00E051E0"/>
    <w:rsid w:val="00E054AA"/>
    <w:rsid w:val="00E0662A"/>
    <w:rsid w:val="00E0738B"/>
    <w:rsid w:val="00E0762B"/>
    <w:rsid w:val="00E1024E"/>
    <w:rsid w:val="00E10B81"/>
    <w:rsid w:val="00E10C20"/>
    <w:rsid w:val="00E114C7"/>
    <w:rsid w:val="00E12F13"/>
    <w:rsid w:val="00E16616"/>
    <w:rsid w:val="00E16DC1"/>
    <w:rsid w:val="00E2115C"/>
    <w:rsid w:val="00E226BB"/>
    <w:rsid w:val="00E237B8"/>
    <w:rsid w:val="00E23E9D"/>
    <w:rsid w:val="00E23FD4"/>
    <w:rsid w:val="00E241D2"/>
    <w:rsid w:val="00E24D59"/>
    <w:rsid w:val="00E24D90"/>
    <w:rsid w:val="00E2510C"/>
    <w:rsid w:val="00E26866"/>
    <w:rsid w:val="00E27B53"/>
    <w:rsid w:val="00E30121"/>
    <w:rsid w:val="00E308B5"/>
    <w:rsid w:val="00E32DC2"/>
    <w:rsid w:val="00E3469B"/>
    <w:rsid w:val="00E40F20"/>
    <w:rsid w:val="00E414B7"/>
    <w:rsid w:val="00E42900"/>
    <w:rsid w:val="00E4475B"/>
    <w:rsid w:val="00E454B2"/>
    <w:rsid w:val="00E456C9"/>
    <w:rsid w:val="00E46035"/>
    <w:rsid w:val="00E47591"/>
    <w:rsid w:val="00E50A7A"/>
    <w:rsid w:val="00E51C86"/>
    <w:rsid w:val="00E51DDD"/>
    <w:rsid w:val="00E51FB5"/>
    <w:rsid w:val="00E528A4"/>
    <w:rsid w:val="00E54A54"/>
    <w:rsid w:val="00E5534A"/>
    <w:rsid w:val="00E61769"/>
    <w:rsid w:val="00E61C0B"/>
    <w:rsid w:val="00E6232D"/>
    <w:rsid w:val="00E63564"/>
    <w:rsid w:val="00E63B0B"/>
    <w:rsid w:val="00E6499B"/>
    <w:rsid w:val="00E64E72"/>
    <w:rsid w:val="00E64F5B"/>
    <w:rsid w:val="00E66D22"/>
    <w:rsid w:val="00E732BC"/>
    <w:rsid w:val="00E738CE"/>
    <w:rsid w:val="00E73EFA"/>
    <w:rsid w:val="00E74324"/>
    <w:rsid w:val="00E74B3C"/>
    <w:rsid w:val="00E75DCF"/>
    <w:rsid w:val="00E768CB"/>
    <w:rsid w:val="00E76DD3"/>
    <w:rsid w:val="00E81CD1"/>
    <w:rsid w:val="00E828F3"/>
    <w:rsid w:val="00E839DC"/>
    <w:rsid w:val="00E858AF"/>
    <w:rsid w:val="00E86FBB"/>
    <w:rsid w:val="00E8746C"/>
    <w:rsid w:val="00E874A1"/>
    <w:rsid w:val="00E907F0"/>
    <w:rsid w:val="00E90D01"/>
    <w:rsid w:val="00E91FB6"/>
    <w:rsid w:val="00E928E4"/>
    <w:rsid w:val="00E92CFE"/>
    <w:rsid w:val="00E9502E"/>
    <w:rsid w:val="00E95D1E"/>
    <w:rsid w:val="00E96078"/>
    <w:rsid w:val="00E97367"/>
    <w:rsid w:val="00E97C2A"/>
    <w:rsid w:val="00E97FD8"/>
    <w:rsid w:val="00EA0EDF"/>
    <w:rsid w:val="00EA1415"/>
    <w:rsid w:val="00EA29CE"/>
    <w:rsid w:val="00EA2D05"/>
    <w:rsid w:val="00EA5D1B"/>
    <w:rsid w:val="00EA5FF9"/>
    <w:rsid w:val="00EA66AF"/>
    <w:rsid w:val="00EA6E29"/>
    <w:rsid w:val="00EB1183"/>
    <w:rsid w:val="00EB1C4D"/>
    <w:rsid w:val="00EB1D8C"/>
    <w:rsid w:val="00EB2462"/>
    <w:rsid w:val="00EB33F8"/>
    <w:rsid w:val="00EB392D"/>
    <w:rsid w:val="00EB4039"/>
    <w:rsid w:val="00EB4571"/>
    <w:rsid w:val="00EB54A9"/>
    <w:rsid w:val="00EB590F"/>
    <w:rsid w:val="00EB659D"/>
    <w:rsid w:val="00EC0505"/>
    <w:rsid w:val="00EC1087"/>
    <w:rsid w:val="00EC11AA"/>
    <w:rsid w:val="00EC14E7"/>
    <w:rsid w:val="00EC18A5"/>
    <w:rsid w:val="00EC2A03"/>
    <w:rsid w:val="00EC4C39"/>
    <w:rsid w:val="00EC4D0B"/>
    <w:rsid w:val="00EC5DB9"/>
    <w:rsid w:val="00EC7FED"/>
    <w:rsid w:val="00ED0102"/>
    <w:rsid w:val="00ED0E25"/>
    <w:rsid w:val="00ED1EDC"/>
    <w:rsid w:val="00ED1F8D"/>
    <w:rsid w:val="00ED2866"/>
    <w:rsid w:val="00ED2C04"/>
    <w:rsid w:val="00ED396E"/>
    <w:rsid w:val="00ED3AE6"/>
    <w:rsid w:val="00ED3FD9"/>
    <w:rsid w:val="00ED5B1A"/>
    <w:rsid w:val="00ED703D"/>
    <w:rsid w:val="00EE1188"/>
    <w:rsid w:val="00EE1C98"/>
    <w:rsid w:val="00EE233E"/>
    <w:rsid w:val="00EE2C96"/>
    <w:rsid w:val="00EE3B61"/>
    <w:rsid w:val="00EE56F5"/>
    <w:rsid w:val="00EE5D71"/>
    <w:rsid w:val="00EE6D9D"/>
    <w:rsid w:val="00EE7260"/>
    <w:rsid w:val="00EE7310"/>
    <w:rsid w:val="00EF1A75"/>
    <w:rsid w:val="00EF37E7"/>
    <w:rsid w:val="00EF39AD"/>
    <w:rsid w:val="00EF4772"/>
    <w:rsid w:val="00EF4FC5"/>
    <w:rsid w:val="00EF5F29"/>
    <w:rsid w:val="00EF64FF"/>
    <w:rsid w:val="00EF684D"/>
    <w:rsid w:val="00EF6B77"/>
    <w:rsid w:val="00EF7C4D"/>
    <w:rsid w:val="00EF7C72"/>
    <w:rsid w:val="00F01109"/>
    <w:rsid w:val="00F0144E"/>
    <w:rsid w:val="00F02883"/>
    <w:rsid w:val="00F02CDE"/>
    <w:rsid w:val="00F02EDB"/>
    <w:rsid w:val="00F03517"/>
    <w:rsid w:val="00F03686"/>
    <w:rsid w:val="00F038F8"/>
    <w:rsid w:val="00F042E8"/>
    <w:rsid w:val="00F04466"/>
    <w:rsid w:val="00F05326"/>
    <w:rsid w:val="00F0598F"/>
    <w:rsid w:val="00F05A19"/>
    <w:rsid w:val="00F06A21"/>
    <w:rsid w:val="00F06E72"/>
    <w:rsid w:val="00F106F4"/>
    <w:rsid w:val="00F10DF9"/>
    <w:rsid w:val="00F10ED3"/>
    <w:rsid w:val="00F1189E"/>
    <w:rsid w:val="00F1330C"/>
    <w:rsid w:val="00F139E2"/>
    <w:rsid w:val="00F13DC8"/>
    <w:rsid w:val="00F13DD1"/>
    <w:rsid w:val="00F1450F"/>
    <w:rsid w:val="00F17F45"/>
    <w:rsid w:val="00F2063B"/>
    <w:rsid w:val="00F20BDC"/>
    <w:rsid w:val="00F20E92"/>
    <w:rsid w:val="00F21B4D"/>
    <w:rsid w:val="00F229B2"/>
    <w:rsid w:val="00F22CAB"/>
    <w:rsid w:val="00F22E7C"/>
    <w:rsid w:val="00F2326D"/>
    <w:rsid w:val="00F23806"/>
    <w:rsid w:val="00F23A96"/>
    <w:rsid w:val="00F250E7"/>
    <w:rsid w:val="00F25343"/>
    <w:rsid w:val="00F25D30"/>
    <w:rsid w:val="00F26193"/>
    <w:rsid w:val="00F27C59"/>
    <w:rsid w:val="00F30D31"/>
    <w:rsid w:val="00F30FE2"/>
    <w:rsid w:val="00F32F8A"/>
    <w:rsid w:val="00F339F4"/>
    <w:rsid w:val="00F36118"/>
    <w:rsid w:val="00F42A37"/>
    <w:rsid w:val="00F43CEA"/>
    <w:rsid w:val="00F443E0"/>
    <w:rsid w:val="00F45F95"/>
    <w:rsid w:val="00F46A3C"/>
    <w:rsid w:val="00F475BC"/>
    <w:rsid w:val="00F50101"/>
    <w:rsid w:val="00F510A0"/>
    <w:rsid w:val="00F51D2C"/>
    <w:rsid w:val="00F52080"/>
    <w:rsid w:val="00F529D0"/>
    <w:rsid w:val="00F52F77"/>
    <w:rsid w:val="00F53985"/>
    <w:rsid w:val="00F55A81"/>
    <w:rsid w:val="00F561E2"/>
    <w:rsid w:val="00F563EB"/>
    <w:rsid w:val="00F579D0"/>
    <w:rsid w:val="00F57EA0"/>
    <w:rsid w:val="00F609F7"/>
    <w:rsid w:val="00F60E5F"/>
    <w:rsid w:val="00F61B89"/>
    <w:rsid w:val="00F61C2F"/>
    <w:rsid w:val="00F624F5"/>
    <w:rsid w:val="00F63469"/>
    <w:rsid w:val="00F65949"/>
    <w:rsid w:val="00F6695F"/>
    <w:rsid w:val="00F70687"/>
    <w:rsid w:val="00F707C1"/>
    <w:rsid w:val="00F70B78"/>
    <w:rsid w:val="00F70ED8"/>
    <w:rsid w:val="00F70FE5"/>
    <w:rsid w:val="00F71D5F"/>
    <w:rsid w:val="00F71DC5"/>
    <w:rsid w:val="00F74373"/>
    <w:rsid w:val="00F74392"/>
    <w:rsid w:val="00F756BB"/>
    <w:rsid w:val="00F8073B"/>
    <w:rsid w:val="00F80BCB"/>
    <w:rsid w:val="00F81DF2"/>
    <w:rsid w:val="00F83032"/>
    <w:rsid w:val="00F8430D"/>
    <w:rsid w:val="00F8462C"/>
    <w:rsid w:val="00F84CFF"/>
    <w:rsid w:val="00F85228"/>
    <w:rsid w:val="00F85CD9"/>
    <w:rsid w:val="00F900C6"/>
    <w:rsid w:val="00F90F32"/>
    <w:rsid w:val="00F93064"/>
    <w:rsid w:val="00F938EB"/>
    <w:rsid w:val="00F9427E"/>
    <w:rsid w:val="00F95056"/>
    <w:rsid w:val="00F9621A"/>
    <w:rsid w:val="00F963B6"/>
    <w:rsid w:val="00FA037F"/>
    <w:rsid w:val="00FA04FF"/>
    <w:rsid w:val="00FA08E4"/>
    <w:rsid w:val="00FA0C0E"/>
    <w:rsid w:val="00FA0F39"/>
    <w:rsid w:val="00FA14CE"/>
    <w:rsid w:val="00FA1D06"/>
    <w:rsid w:val="00FA25C7"/>
    <w:rsid w:val="00FA2B48"/>
    <w:rsid w:val="00FA3F24"/>
    <w:rsid w:val="00FA4F28"/>
    <w:rsid w:val="00FA611C"/>
    <w:rsid w:val="00FA6876"/>
    <w:rsid w:val="00FB08FA"/>
    <w:rsid w:val="00FB1BA2"/>
    <w:rsid w:val="00FB6B59"/>
    <w:rsid w:val="00FB6EC2"/>
    <w:rsid w:val="00FB71AD"/>
    <w:rsid w:val="00FB7343"/>
    <w:rsid w:val="00FC0416"/>
    <w:rsid w:val="00FC1691"/>
    <w:rsid w:val="00FC38F8"/>
    <w:rsid w:val="00FC3FF4"/>
    <w:rsid w:val="00FC51C3"/>
    <w:rsid w:val="00FC5D85"/>
    <w:rsid w:val="00FC65D7"/>
    <w:rsid w:val="00FC77CB"/>
    <w:rsid w:val="00FD093B"/>
    <w:rsid w:val="00FD1AD5"/>
    <w:rsid w:val="00FD1C0A"/>
    <w:rsid w:val="00FD2A97"/>
    <w:rsid w:val="00FD3E25"/>
    <w:rsid w:val="00FD53C8"/>
    <w:rsid w:val="00FD5E58"/>
    <w:rsid w:val="00FD600E"/>
    <w:rsid w:val="00FD615F"/>
    <w:rsid w:val="00FD68E5"/>
    <w:rsid w:val="00FE1546"/>
    <w:rsid w:val="00FE2684"/>
    <w:rsid w:val="00FE33DE"/>
    <w:rsid w:val="00FE3C66"/>
    <w:rsid w:val="00FE54DF"/>
    <w:rsid w:val="00FE6CF4"/>
    <w:rsid w:val="00FF0FB9"/>
    <w:rsid w:val="00FF229E"/>
    <w:rsid w:val="00FF45AD"/>
    <w:rsid w:val="00FF52E7"/>
    <w:rsid w:val="00FF7D19"/>
    <w:rsid w:val="013AFA15"/>
    <w:rsid w:val="0149971C"/>
    <w:rsid w:val="01527EDA"/>
    <w:rsid w:val="0157D381"/>
    <w:rsid w:val="015D82DA"/>
    <w:rsid w:val="017F5953"/>
    <w:rsid w:val="0196FCE7"/>
    <w:rsid w:val="01A09945"/>
    <w:rsid w:val="01B6E18E"/>
    <w:rsid w:val="01B73A05"/>
    <w:rsid w:val="01D2FB63"/>
    <w:rsid w:val="01E824B4"/>
    <w:rsid w:val="020A2ABD"/>
    <w:rsid w:val="02110F0E"/>
    <w:rsid w:val="021D37C3"/>
    <w:rsid w:val="025BFEE1"/>
    <w:rsid w:val="02737421"/>
    <w:rsid w:val="027AAA69"/>
    <w:rsid w:val="02819EAC"/>
    <w:rsid w:val="028925AF"/>
    <w:rsid w:val="02AC1CD4"/>
    <w:rsid w:val="02D0C7AD"/>
    <w:rsid w:val="02F9164F"/>
    <w:rsid w:val="030BB272"/>
    <w:rsid w:val="031AEA17"/>
    <w:rsid w:val="032C1CC0"/>
    <w:rsid w:val="0343539B"/>
    <w:rsid w:val="034FA89F"/>
    <w:rsid w:val="036E924A"/>
    <w:rsid w:val="03923761"/>
    <w:rsid w:val="0399749B"/>
    <w:rsid w:val="03B60094"/>
    <w:rsid w:val="03C04320"/>
    <w:rsid w:val="03C0922B"/>
    <w:rsid w:val="03DAC8EB"/>
    <w:rsid w:val="03F594D3"/>
    <w:rsid w:val="040157ED"/>
    <w:rsid w:val="040237EC"/>
    <w:rsid w:val="040D6795"/>
    <w:rsid w:val="04223EC4"/>
    <w:rsid w:val="043F5F37"/>
    <w:rsid w:val="04473B45"/>
    <w:rsid w:val="04813E7B"/>
    <w:rsid w:val="048E1F9A"/>
    <w:rsid w:val="04B0FDD7"/>
    <w:rsid w:val="04F521F4"/>
    <w:rsid w:val="052A66C4"/>
    <w:rsid w:val="054D9803"/>
    <w:rsid w:val="05BE9B62"/>
    <w:rsid w:val="05CA4323"/>
    <w:rsid w:val="05DCD36D"/>
    <w:rsid w:val="05FE5503"/>
    <w:rsid w:val="061EA6BA"/>
    <w:rsid w:val="063B0436"/>
    <w:rsid w:val="06580B9C"/>
    <w:rsid w:val="06806395"/>
    <w:rsid w:val="06A923B2"/>
    <w:rsid w:val="06AD227E"/>
    <w:rsid w:val="06B3D153"/>
    <w:rsid w:val="06D57DB3"/>
    <w:rsid w:val="06FE0314"/>
    <w:rsid w:val="070543B1"/>
    <w:rsid w:val="070D2477"/>
    <w:rsid w:val="070F3811"/>
    <w:rsid w:val="072CAFB5"/>
    <w:rsid w:val="07430E90"/>
    <w:rsid w:val="074BC0A2"/>
    <w:rsid w:val="076A06FA"/>
    <w:rsid w:val="0781F6CB"/>
    <w:rsid w:val="0786DC65"/>
    <w:rsid w:val="079726F6"/>
    <w:rsid w:val="07B225DD"/>
    <w:rsid w:val="080BE4A9"/>
    <w:rsid w:val="080DEE4B"/>
    <w:rsid w:val="0831F0FE"/>
    <w:rsid w:val="08714E14"/>
    <w:rsid w:val="088BB9F2"/>
    <w:rsid w:val="089BBABB"/>
    <w:rsid w:val="08B43158"/>
    <w:rsid w:val="08C2368E"/>
    <w:rsid w:val="08C85D75"/>
    <w:rsid w:val="08F952B0"/>
    <w:rsid w:val="091B822A"/>
    <w:rsid w:val="096EC2D5"/>
    <w:rsid w:val="09A96F59"/>
    <w:rsid w:val="09AC8B18"/>
    <w:rsid w:val="09CC26C9"/>
    <w:rsid w:val="09DB4EBC"/>
    <w:rsid w:val="09F2DE8C"/>
    <w:rsid w:val="09F87E38"/>
    <w:rsid w:val="0A0C46D8"/>
    <w:rsid w:val="0A587254"/>
    <w:rsid w:val="0A63B8FF"/>
    <w:rsid w:val="0A9BF4B3"/>
    <w:rsid w:val="0A9FD90A"/>
    <w:rsid w:val="0AA00A5F"/>
    <w:rsid w:val="0AE80C33"/>
    <w:rsid w:val="0AEC6C30"/>
    <w:rsid w:val="0AF068B2"/>
    <w:rsid w:val="0AF63C4F"/>
    <w:rsid w:val="0B1BF82B"/>
    <w:rsid w:val="0B32494A"/>
    <w:rsid w:val="0B41C7D1"/>
    <w:rsid w:val="0B925C45"/>
    <w:rsid w:val="0B92E607"/>
    <w:rsid w:val="0B93F706"/>
    <w:rsid w:val="0B9BE226"/>
    <w:rsid w:val="0BFA7F09"/>
    <w:rsid w:val="0C37B678"/>
    <w:rsid w:val="0C6E193A"/>
    <w:rsid w:val="0C6F4EA5"/>
    <w:rsid w:val="0C8F2BE2"/>
    <w:rsid w:val="0CAA98F3"/>
    <w:rsid w:val="0CAED7EA"/>
    <w:rsid w:val="0CD8ECB9"/>
    <w:rsid w:val="0CF161ED"/>
    <w:rsid w:val="0D111B19"/>
    <w:rsid w:val="0D506290"/>
    <w:rsid w:val="0D7FE2B5"/>
    <w:rsid w:val="0D8991AE"/>
    <w:rsid w:val="0DA02074"/>
    <w:rsid w:val="0DCF4368"/>
    <w:rsid w:val="0DCF6089"/>
    <w:rsid w:val="0DD3B9AA"/>
    <w:rsid w:val="0DFCEB5A"/>
    <w:rsid w:val="0E383214"/>
    <w:rsid w:val="0E6EFCA6"/>
    <w:rsid w:val="0E8B8367"/>
    <w:rsid w:val="0E9D749D"/>
    <w:rsid w:val="0EAF0059"/>
    <w:rsid w:val="0EE1ABBA"/>
    <w:rsid w:val="0EF1AE15"/>
    <w:rsid w:val="0F224C66"/>
    <w:rsid w:val="0F3E7296"/>
    <w:rsid w:val="0F40FCF4"/>
    <w:rsid w:val="0F6CE45E"/>
    <w:rsid w:val="0F763E33"/>
    <w:rsid w:val="0F8F7677"/>
    <w:rsid w:val="0F9E4160"/>
    <w:rsid w:val="0FA98F40"/>
    <w:rsid w:val="0FC78302"/>
    <w:rsid w:val="0FD229D7"/>
    <w:rsid w:val="0FD7B627"/>
    <w:rsid w:val="0FE381AE"/>
    <w:rsid w:val="0FED2A76"/>
    <w:rsid w:val="1076B0DE"/>
    <w:rsid w:val="10847D2E"/>
    <w:rsid w:val="108E5D79"/>
    <w:rsid w:val="10BDD227"/>
    <w:rsid w:val="10D15B2F"/>
    <w:rsid w:val="111C1B29"/>
    <w:rsid w:val="111CFB1C"/>
    <w:rsid w:val="115B15A6"/>
    <w:rsid w:val="11C7B6CE"/>
    <w:rsid w:val="11F09370"/>
    <w:rsid w:val="11FE1F0D"/>
    <w:rsid w:val="127687EE"/>
    <w:rsid w:val="12819554"/>
    <w:rsid w:val="1283535E"/>
    <w:rsid w:val="12940B42"/>
    <w:rsid w:val="12B3DFB2"/>
    <w:rsid w:val="12BB4475"/>
    <w:rsid w:val="12DD1B8C"/>
    <w:rsid w:val="12E87BE1"/>
    <w:rsid w:val="130916BB"/>
    <w:rsid w:val="130C0E73"/>
    <w:rsid w:val="130ECA65"/>
    <w:rsid w:val="131B2270"/>
    <w:rsid w:val="1324E7D0"/>
    <w:rsid w:val="136C446E"/>
    <w:rsid w:val="137202D4"/>
    <w:rsid w:val="1416533C"/>
    <w:rsid w:val="14166A6D"/>
    <w:rsid w:val="14464051"/>
    <w:rsid w:val="147CE9C1"/>
    <w:rsid w:val="14835211"/>
    <w:rsid w:val="14882543"/>
    <w:rsid w:val="1491732C"/>
    <w:rsid w:val="14A0832C"/>
    <w:rsid w:val="14D7FCC5"/>
    <w:rsid w:val="14FACC7D"/>
    <w:rsid w:val="150E1885"/>
    <w:rsid w:val="1529ED5D"/>
    <w:rsid w:val="15CC09B0"/>
    <w:rsid w:val="15D0756C"/>
    <w:rsid w:val="15D9D42A"/>
    <w:rsid w:val="15F19376"/>
    <w:rsid w:val="1601CEE6"/>
    <w:rsid w:val="1643F8B6"/>
    <w:rsid w:val="1646F7AB"/>
    <w:rsid w:val="164C6DDB"/>
    <w:rsid w:val="165E80B4"/>
    <w:rsid w:val="168FDEEC"/>
    <w:rsid w:val="16940A1D"/>
    <w:rsid w:val="16CE10CA"/>
    <w:rsid w:val="16D2CCD3"/>
    <w:rsid w:val="16D48235"/>
    <w:rsid w:val="16F23A19"/>
    <w:rsid w:val="17296D8F"/>
    <w:rsid w:val="17322CFF"/>
    <w:rsid w:val="17387B95"/>
    <w:rsid w:val="1747959F"/>
    <w:rsid w:val="1789462D"/>
    <w:rsid w:val="17AD5DEB"/>
    <w:rsid w:val="17E60F90"/>
    <w:rsid w:val="1803F280"/>
    <w:rsid w:val="1843ACD7"/>
    <w:rsid w:val="185766DA"/>
    <w:rsid w:val="185DC8F5"/>
    <w:rsid w:val="187AFC44"/>
    <w:rsid w:val="187ED096"/>
    <w:rsid w:val="18894CD7"/>
    <w:rsid w:val="18973115"/>
    <w:rsid w:val="18A10634"/>
    <w:rsid w:val="18B33845"/>
    <w:rsid w:val="18B338D0"/>
    <w:rsid w:val="18D44BF6"/>
    <w:rsid w:val="191174EC"/>
    <w:rsid w:val="19553CEB"/>
    <w:rsid w:val="1996E6F5"/>
    <w:rsid w:val="199DB965"/>
    <w:rsid w:val="19D7DCAB"/>
    <w:rsid w:val="19ED0335"/>
    <w:rsid w:val="19F2D561"/>
    <w:rsid w:val="1A08D080"/>
    <w:rsid w:val="1A0C7022"/>
    <w:rsid w:val="1A1215F3"/>
    <w:rsid w:val="1A14C99B"/>
    <w:rsid w:val="1A20D547"/>
    <w:rsid w:val="1A9533A4"/>
    <w:rsid w:val="1AADFA35"/>
    <w:rsid w:val="1AB387EC"/>
    <w:rsid w:val="1AB58141"/>
    <w:rsid w:val="1ACD99DF"/>
    <w:rsid w:val="1AF1A88D"/>
    <w:rsid w:val="1B02FEFF"/>
    <w:rsid w:val="1B03D677"/>
    <w:rsid w:val="1B3EE563"/>
    <w:rsid w:val="1B6CE902"/>
    <w:rsid w:val="1B7DF91B"/>
    <w:rsid w:val="1B9E9736"/>
    <w:rsid w:val="1BB1676F"/>
    <w:rsid w:val="1BD3479F"/>
    <w:rsid w:val="1BD39BDC"/>
    <w:rsid w:val="1BD793E9"/>
    <w:rsid w:val="1BF22920"/>
    <w:rsid w:val="1C3E0D8B"/>
    <w:rsid w:val="1C7BAD44"/>
    <w:rsid w:val="1C8881BB"/>
    <w:rsid w:val="1CB8F18E"/>
    <w:rsid w:val="1CBABA7E"/>
    <w:rsid w:val="1CF7276C"/>
    <w:rsid w:val="1D0B14C7"/>
    <w:rsid w:val="1D155375"/>
    <w:rsid w:val="1D232826"/>
    <w:rsid w:val="1D38185C"/>
    <w:rsid w:val="1D3D851F"/>
    <w:rsid w:val="1D4DB93F"/>
    <w:rsid w:val="1D545014"/>
    <w:rsid w:val="1D6846B3"/>
    <w:rsid w:val="1D803066"/>
    <w:rsid w:val="1D8E4D5D"/>
    <w:rsid w:val="1DDE6DFD"/>
    <w:rsid w:val="1E3A4492"/>
    <w:rsid w:val="1E7AE0D7"/>
    <w:rsid w:val="1E94B6F6"/>
    <w:rsid w:val="1EABB751"/>
    <w:rsid w:val="1EB24C4B"/>
    <w:rsid w:val="1EBFB621"/>
    <w:rsid w:val="1EC70889"/>
    <w:rsid w:val="1EC79566"/>
    <w:rsid w:val="1EE2EEA1"/>
    <w:rsid w:val="1F154E20"/>
    <w:rsid w:val="1F44ED41"/>
    <w:rsid w:val="1F4A9078"/>
    <w:rsid w:val="1F50B8FE"/>
    <w:rsid w:val="1F5CB6B2"/>
    <w:rsid w:val="1F60932F"/>
    <w:rsid w:val="1F64BFCF"/>
    <w:rsid w:val="1F71A609"/>
    <w:rsid w:val="1FC11C19"/>
    <w:rsid w:val="1FC773C7"/>
    <w:rsid w:val="1FDE5A65"/>
    <w:rsid w:val="2022D3A1"/>
    <w:rsid w:val="2073AAA5"/>
    <w:rsid w:val="207F282C"/>
    <w:rsid w:val="209611B6"/>
    <w:rsid w:val="20C0105B"/>
    <w:rsid w:val="20D05D08"/>
    <w:rsid w:val="20DE55EC"/>
    <w:rsid w:val="212C5D65"/>
    <w:rsid w:val="21366CBF"/>
    <w:rsid w:val="2145B287"/>
    <w:rsid w:val="21A93BFC"/>
    <w:rsid w:val="21BEE20D"/>
    <w:rsid w:val="21BF2E99"/>
    <w:rsid w:val="21D340C4"/>
    <w:rsid w:val="21E44A44"/>
    <w:rsid w:val="21F08DFE"/>
    <w:rsid w:val="2246D0A0"/>
    <w:rsid w:val="2251E966"/>
    <w:rsid w:val="225FEA3C"/>
    <w:rsid w:val="2280439D"/>
    <w:rsid w:val="22876939"/>
    <w:rsid w:val="229AF758"/>
    <w:rsid w:val="22EC79BE"/>
    <w:rsid w:val="23059F28"/>
    <w:rsid w:val="234A0FD1"/>
    <w:rsid w:val="235ED905"/>
    <w:rsid w:val="23CFD7BA"/>
    <w:rsid w:val="23ED75B8"/>
    <w:rsid w:val="23F7048A"/>
    <w:rsid w:val="24336CD3"/>
    <w:rsid w:val="2445B5AA"/>
    <w:rsid w:val="246DF693"/>
    <w:rsid w:val="24A03389"/>
    <w:rsid w:val="24A20824"/>
    <w:rsid w:val="24A7481D"/>
    <w:rsid w:val="24B348DF"/>
    <w:rsid w:val="24C712F0"/>
    <w:rsid w:val="24D24DAD"/>
    <w:rsid w:val="251B6C0C"/>
    <w:rsid w:val="2533B98E"/>
    <w:rsid w:val="253B2690"/>
    <w:rsid w:val="2578CA8B"/>
    <w:rsid w:val="25913786"/>
    <w:rsid w:val="25B35DA0"/>
    <w:rsid w:val="25C7FFE2"/>
    <w:rsid w:val="25C99A42"/>
    <w:rsid w:val="260D9F5E"/>
    <w:rsid w:val="2612DE00"/>
    <w:rsid w:val="26246D7F"/>
    <w:rsid w:val="26290CE3"/>
    <w:rsid w:val="26405C81"/>
    <w:rsid w:val="26408F7C"/>
    <w:rsid w:val="264228AE"/>
    <w:rsid w:val="265B6C27"/>
    <w:rsid w:val="2670D482"/>
    <w:rsid w:val="268D0D2A"/>
    <w:rsid w:val="269CDA19"/>
    <w:rsid w:val="26A88530"/>
    <w:rsid w:val="26A92369"/>
    <w:rsid w:val="26CD78DC"/>
    <w:rsid w:val="26FF8ABD"/>
    <w:rsid w:val="26FF8F56"/>
    <w:rsid w:val="270BA490"/>
    <w:rsid w:val="2728BDA7"/>
    <w:rsid w:val="2749DBC4"/>
    <w:rsid w:val="2786963B"/>
    <w:rsid w:val="27BAC489"/>
    <w:rsid w:val="27EF3DC4"/>
    <w:rsid w:val="280EC78C"/>
    <w:rsid w:val="2826FDD6"/>
    <w:rsid w:val="282FA24C"/>
    <w:rsid w:val="28507886"/>
    <w:rsid w:val="287F8B48"/>
    <w:rsid w:val="2889B72A"/>
    <w:rsid w:val="288A596E"/>
    <w:rsid w:val="288AF295"/>
    <w:rsid w:val="28A503E4"/>
    <w:rsid w:val="28D24CFB"/>
    <w:rsid w:val="28D3FCBE"/>
    <w:rsid w:val="28EC5EE5"/>
    <w:rsid w:val="28F0B90C"/>
    <w:rsid w:val="28F9AC69"/>
    <w:rsid w:val="29118E0B"/>
    <w:rsid w:val="29214B93"/>
    <w:rsid w:val="29248D09"/>
    <w:rsid w:val="294EE1E2"/>
    <w:rsid w:val="29572E1F"/>
    <w:rsid w:val="298946C7"/>
    <w:rsid w:val="29A6E017"/>
    <w:rsid w:val="29BB8FCD"/>
    <w:rsid w:val="29BC0331"/>
    <w:rsid w:val="29C56205"/>
    <w:rsid w:val="29C8232D"/>
    <w:rsid w:val="2A0104B8"/>
    <w:rsid w:val="2A1BE077"/>
    <w:rsid w:val="2A1DBE9B"/>
    <w:rsid w:val="2A1FBAEC"/>
    <w:rsid w:val="2A26E01A"/>
    <w:rsid w:val="2A5546FB"/>
    <w:rsid w:val="2A882F46"/>
    <w:rsid w:val="2A8A1437"/>
    <w:rsid w:val="2AB31A49"/>
    <w:rsid w:val="2AB8E2E9"/>
    <w:rsid w:val="2ABA62A2"/>
    <w:rsid w:val="2AC10017"/>
    <w:rsid w:val="2ACE7AD6"/>
    <w:rsid w:val="2ADFB701"/>
    <w:rsid w:val="2AE0C984"/>
    <w:rsid w:val="2AF662EA"/>
    <w:rsid w:val="2B01A297"/>
    <w:rsid w:val="2B2EC9B2"/>
    <w:rsid w:val="2B60C6AB"/>
    <w:rsid w:val="2B6812D3"/>
    <w:rsid w:val="2B81BF8B"/>
    <w:rsid w:val="2B8851D6"/>
    <w:rsid w:val="2BC06635"/>
    <w:rsid w:val="2BD08C17"/>
    <w:rsid w:val="2BDE843F"/>
    <w:rsid w:val="2BFABCF5"/>
    <w:rsid w:val="2C3320F5"/>
    <w:rsid w:val="2C37209C"/>
    <w:rsid w:val="2C4CEC2D"/>
    <w:rsid w:val="2C4E4678"/>
    <w:rsid w:val="2C553E03"/>
    <w:rsid w:val="2C56A5FD"/>
    <w:rsid w:val="2C5FE723"/>
    <w:rsid w:val="2CB3B9D0"/>
    <w:rsid w:val="2CC4B2DE"/>
    <w:rsid w:val="2CC5BEB9"/>
    <w:rsid w:val="2CD44A7F"/>
    <w:rsid w:val="2CE694BC"/>
    <w:rsid w:val="2CED9109"/>
    <w:rsid w:val="2D11F2D7"/>
    <w:rsid w:val="2D2E5CE7"/>
    <w:rsid w:val="2D46FFAF"/>
    <w:rsid w:val="2D9E94AC"/>
    <w:rsid w:val="2DAE71C4"/>
    <w:rsid w:val="2DAED184"/>
    <w:rsid w:val="2DC4DEA4"/>
    <w:rsid w:val="2E327904"/>
    <w:rsid w:val="2E974CB5"/>
    <w:rsid w:val="2EBCEEBB"/>
    <w:rsid w:val="2EED1B6A"/>
    <w:rsid w:val="2EFED48F"/>
    <w:rsid w:val="2F0ED35D"/>
    <w:rsid w:val="2F196C6E"/>
    <w:rsid w:val="2F2170E7"/>
    <w:rsid w:val="2F2F40C8"/>
    <w:rsid w:val="2F317AE1"/>
    <w:rsid w:val="2F4E9377"/>
    <w:rsid w:val="2F7029DC"/>
    <w:rsid w:val="2F90DD0D"/>
    <w:rsid w:val="2F9B8F7C"/>
    <w:rsid w:val="2FB4AB24"/>
    <w:rsid w:val="2FCFFA93"/>
    <w:rsid w:val="2FD1371D"/>
    <w:rsid w:val="2FE049E6"/>
    <w:rsid w:val="2FFDAF5F"/>
    <w:rsid w:val="300B1C4E"/>
    <w:rsid w:val="300E2BDC"/>
    <w:rsid w:val="304A26DF"/>
    <w:rsid w:val="304C4301"/>
    <w:rsid w:val="3099521D"/>
    <w:rsid w:val="30B0A9A4"/>
    <w:rsid w:val="30B53CCF"/>
    <w:rsid w:val="30ED2B40"/>
    <w:rsid w:val="30F343AE"/>
    <w:rsid w:val="310E9CCD"/>
    <w:rsid w:val="311749E0"/>
    <w:rsid w:val="312BFA02"/>
    <w:rsid w:val="31560A30"/>
    <w:rsid w:val="31796618"/>
    <w:rsid w:val="317E437A"/>
    <w:rsid w:val="318940D1"/>
    <w:rsid w:val="31CF959A"/>
    <w:rsid w:val="31D6869E"/>
    <w:rsid w:val="31D75E67"/>
    <w:rsid w:val="31E72CFB"/>
    <w:rsid w:val="31EBAA01"/>
    <w:rsid w:val="31FC459F"/>
    <w:rsid w:val="32224DEE"/>
    <w:rsid w:val="322F18CF"/>
    <w:rsid w:val="32321170"/>
    <w:rsid w:val="324F6344"/>
    <w:rsid w:val="32984BAA"/>
    <w:rsid w:val="32C1EF2D"/>
    <w:rsid w:val="32CD46F9"/>
    <w:rsid w:val="331086E7"/>
    <w:rsid w:val="332DAB2A"/>
    <w:rsid w:val="33440465"/>
    <w:rsid w:val="334A52CD"/>
    <w:rsid w:val="33561598"/>
    <w:rsid w:val="3357E27F"/>
    <w:rsid w:val="3364FEE9"/>
    <w:rsid w:val="33925F25"/>
    <w:rsid w:val="33C6C2CF"/>
    <w:rsid w:val="33D39010"/>
    <w:rsid w:val="34008073"/>
    <w:rsid w:val="341E9F0D"/>
    <w:rsid w:val="3477DDAA"/>
    <w:rsid w:val="3479D5CD"/>
    <w:rsid w:val="349F8DFB"/>
    <w:rsid w:val="34BBC341"/>
    <w:rsid w:val="34CF2A49"/>
    <w:rsid w:val="34D20A69"/>
    <w:rsid w:val="34F4AAAE"/>
    <w:rsid w:val="350D7BCF"/>
    <w:rsid w:val="3554FCA4"/>
    <w:rsid w:val="355BF3F2"/>
    <w:rsid w:val="358BA34A"/>
    <w:rsid w:val="3590BB16"/>
    <w:rsid w:val="35A9539B"/>
    <w:rsid w:val="35CF4342"/>
    <w:rsid w:val="3608C6D7"/>
    <w:rsid w:val="369BEE9F"/>
    <w:rsid w:val="36AA6AE2"/>
    <w:rsid w:val="36C0066F"/>
    <w:rsid w:val="36C5651C"/>
    <w:rsid w:val="36ED686E"/>
    <w:rsid w:val="370289F2"/>
    <w:rsid w:val="37254AD4"/>
    <w:rsid w:val="3735EC17"/>
    <w:rsid w:val="3736A0F7"/>
    <w:rsid w:val="373A7EE3"/>
    <w:rsid w:val="37438E89"/>
    <w:rsid w:val="3743E112"/>
    <w:rsid w:val="37510C7F"/>
    <w:rsid w:val="3759349A"/>
    <w:rsid w:val="3779FADB"/>
    <w:rsid w:val="377C9DBF"/>
    <w:rsid w:val="378C2A3B"/>
    <w:rsid w:val="378CD164"/>
    <w:rsid w:val="378E5368"/>
    <w:rsid w:val="37DD2AA1"/>
    <w:rsid w:val="37FD7B16"/>
    <w:rsid w:val="3809887D"/>
    <w:rsid w:val="381027CD"/>
    <w:rsid w:val="388E10B6"/>
    <w:rsid w:val="38CA1E78"/>
    <w:rsid w:val="38F01AAF"/>
    <w:rsid w:val="38F80814"/>
    <w:rsid w:val="39328201"/>
    <w:rsid w:val="393320B2"/>
    <w:rsid w:val="3941E4DC"/>
    <w:rsid w:val="39807628"/>
    <w:rsid w:val="398E4C68"/>
    <w:rsid w:val="399957E7"/>
    <w:rsid w:val="39A80C38"/>
    <w:rsid w:val="39AA9ED7"/>
    <w:rsid w:val="39AF05EB"/>
    <w:rsid w:val="3A21D62A"/>
    <w:rsid w:val="3A2970BD"/>
    <w:rsid w:val="3A5F146D"/>
    <w:rsid w:val="3A630970"/>
    <w:rsid w:val="3A9B664E"/>
    <w:rsid w:val="3AA47033"/>
    <w:rsid w:val="3ADAA57C"/>
    <w:rsid w:val="3AE61136"/>
    <w:rsid w:val="3AF7EC0E"/>
    <w:rsid w:val="3B18BBC9"/>
    <w:rsid w:val="3B2C4C23"/>
    <w:rsid w:val="3B321B80"/>
    <w:rsid w:val="3B6DC2CD"/>
    <w:rsid w:val="3B95606F"/>
    <w:rsid w:val="3B98A0FD"/>
    <w:rsid w:val="3BD9A763"/>
    <w:rsid w:val="3BFF8D85"/>
    <w:rsid w:val="3C169125"/>
    <w:rsid w:val="3C3F1B9F"/>
    <w:rsid w:val="3C45CEEE"/>
    <w:rsid w:val="3C4C4758"/>
    <w:rsid w:val="3C530315"/>
    <w:rsid w:val="3C55A97C"/>
    <w:rsid w:val="3C6501BA"/>
    <w:rsid w:val="3CD449F0"/>
    <w:rsid w:val="3CFDB6C0"/>
    <w:rsid w:val="3D3A2D17"/>
    <w:rsid w:val="3D47B14F"/>
    <w:rsid w:val="3D7C076E"/>
    <w:rsid w:val="3D8A55E0"/>
    <w:rsid w:val="3DDA1ED6"/>
    <w:rsid w:val="3DF871D1"/>
    <w:rsid w:val="3E239B9B"/>
    <w:rsid w:val="3E39C643"/>
    <w:rsid w:val="3E81F4BC"/>
    <w:rsid w:val="3E97AF4A"/>
    <w:rsid w:val="3EAFC7BB"/>
    <w:rsid w:val="3EB0C3DA"/>
    <w:rsid w:val="3EBACC45"/>
    <w:rsid w:val="3ED390AA"/>
    <w:rsid w:val="3ED6D8ED"/>
    <w:rsid w:val="3EE32EE2"/>
    <w:rsid w:val="3EE9B37A"/>
    <w:rsid w:val="3F0767C2"/>
    <w:rsid w:val="3F09869C"/>
    <w:rsid w:val="3F1B9F2F"/>
    <w:rsid w:val="3F3200E2"/>
    <w:rsid w:val="3F6F247C"/>
    <w:rsid w:val="3F9E3FA4"/>
    <w:rsid w:val="3FBFEF97"/>
    <w:rsid w:val="400F5C70"/>
    <w:rsid w:val="409A32CC"/>
    <w:rsid w:val="409D8325"/>
    <w:rsid w:val="40AD8580"/>
    <w:rsid w:val="40D19AFB"/>
    <w:rsid w:val="40D98A43"/>
    <w:rsid w:val="40E9E3CC"/>
    <w:rsid w:val="40F43036"/>
    <w:rsid w:val="41062163"/>
    <w:rsid w:val="4131072A"/>
    <w:rsid w:val="415A98DD"/>
    <w:rsid w:val="41785BB0"/>
    <w:rsid w:val="41ACD382"/>
    <w:rsid w:val="41B02B94"/>
    <w:rsid w:val="41E0BFE4"/>
    <w:rsid w:val="420C7048"/>
    <w:rsid w:val="42221B5E"/>
    <w:rsid w:val="42243DB2"/>
    <w:rsid w:val="4263BBFA"/>
    <w:rsid w:val="42666839"/>
    <w:rsid w:val="42944AF8"/>
    <w:rsid w:val="429FD427"/>
    <w:rsid w:val="42A025BE"/>
    <w:rsid w:val="42A44589"/>
    <w:rsid w:val="42A9F1D3"/>
    <w:rsid w:val="42BDE3E3"/>
    <w:rsid w:val="42BDF21A"/>
    <w:rsid w:val="42D20260"/>
    <w:rsid w:val="42D4033A"/>
    <w:rsid w:val="430CF25F"/>
    <w:rsid w:val="4323422F"/>
    <w:rsid w:val="43295E09"/>
    <w:rsid w:val="4348E7D0"/>
    <w:rsid w:val="43536171"/>
    <w:rsid w:val="43591B24"/>
    <w:rsid w:val="436B7BE0"/>
    <w:rsid w:val="436FFD03"/>
    <w:rsid w:val="439B92BC"/>
    <w:rsid w:val="43C5888F"/>
    <w:rsid w:val="43FB5FFD"/>
    <w:rsid w:val="44114831"/>
    <w:rsid w:val="442DE4E6"/>
    <w:rsid w:val="444F3E3D"/>
    <w:rsid w:val="4461900D"/>
    <w:rsid w:val="449DA899"/>
    <w:rsid w:val="44B8522E"/>
    <w:rsid w:val="44BFCBD8"/>
    <w:rsid w:val="44F38C9E"/>
    <w:rsid w:val="45040372"/>
    <w:rsid w:val="4525240C"/>
    <w:rsid w:val="4528184A"/>
    <w:rsid w:val="45290D89"/>
    <w:rsid w:val="453A1968"/>
    <w:rsid w:val="453DA6D2"/>
    <w:rsid w:val="45407FD1"/>
    <w:rsid w:val="45508202"/>
    <w:rsid w:val="455362C2"/>
    <w:rsid w:val="45723752"/>
    <w:rsid w:val="4573C22C"/>
    <w:rsid w:val="4583CA7A"/>
    <w:rsid w:val="458AB2DA"/>
    <w:rsid w:val="45DF8581"/>
    <w:rsid w:val="460E245D"/>
    <w:rsid w:val="4615D357"/>
    <w:rsid w:val="461E42BA"/>
    <w:rsid w:val="46217E97"/>
    <w:rsid w:val="465E4DEB"/>
    <w:rsid w:val="466A83FE"/>
    <w:rsid w:val="4685637B"/>
    <w:rsid w:val="4689043C"/>
    <w:rsid w:val="468AA518"/>
    <w:rsid w:val="468D5873"/>
    <w:rsid w:val="46922269"/>
    <w:rsid w:val="46AD9383"/>
    <w:rsid w:val="46EE3FC6"/>
    <w:rsid w:val="46F2D279"/>
    <w:rsid w:val="470FDC76"/>
    <w:rsid w:val="47597D92"/>
    <w:rsid w:val="476354EA"/>
    <w:rsid w:val="476FA40C"/>
    <w:rsid w:val="47870689"/>
    <w:rsid w:val="47FA3746"/>
    <w:rsid w:val="48378A31"/>
    <w:rsid w:val="485EED71"/>
    <w:rsid w:val="486B7DFD"/>
    <w:rsid w:val="48765D28"/>
    <w:rsid w:val="488092B4"/>
    <w:rsid w:val="48AD8009"/>
    <w:rsid w:val="48C019A0"/>
    <w:rsid w:val="48D9FEAF"/>
    <w:rsid w:val="48FF37F7"/>
    <w:rsid w:val="491A29D9"/>
    <w:rsid w:val="4946D67B"/>
    <w:rsid w:val="495DB965"/>
    <w:rsid w:val="496121DA"/>
    <w:rsid w:val="4967A0DD"/>
    <w:rsid w:val="496B4524"/>
    <w:rsid w:val="4988B8A5"/>
    <w:rsid w:val="49931E73"/>
    <w:rsid w:val="49AFF0C1"/>
    <w:rsid w:val="49DF2331"/>
    <w:rsid w:val="4A01AF42"/>
    <w:rsid w:val="4A01E46C"/>
    <w:rsid w:val="4A3DC3F4"/>
    <w:rsid w:val="4A4BB452"/>
    <w:rsid w:val="4A583C04"/>
    <w:rsid w:val="4A62753D"/>
    <w:rsid w:val="4A736345"/>
    <w:rsid w:val="4AA6BC31"/>
    <w:rsid w:val="4AEE126C"/>
    <w:rsid w:val="4AF040C9"/>
    <w:rsid w:val="4AF25F09"/>
    <w:rsid w:val="4B07ADB2"/>
    <w:rsid w:val="4B33B7B8"/>
    <w:rsid w:val="4BB5ADFE"/>
    <w:rsid w:val="4BD90C63"/>
    <w:rsid w:val="4C41056B"/>
    <w:rsid w:val="4C764D63"/>
    <w:rsid w:val="4C9C9692"/>
    <w:rsid w:val="4CEBA32E"/>
    <w:rsid w:val="4D07CADC"/>
    <w:rsid w:val="4D18C8B1"/>
    <w:rsid w:val="4D4AE252"/>
    <w:rsid w:val="4D59D806"/>
    <w:rsid w:val="4D774441"/>
    <w:rsid w:val="4D84BC55"/>
    <w:rsid w:val="4D9FC4E6"/>
    <w:rsid w:val="4DAC4E4D"/>
    <w:rsid w:val="4DC1F98A"/>
    <w:rsid w:val="4E36117C"/>
    <w:rsid w:val="4E39839B"/>
    <w:rsid w:val="4E3E503C"/>
    <w:rsid w:val="4E504723"/>
    <w:rsid w:val="4E9A23E1"/>
    <w:rsid w:val="4EAFD2BA"/>
    <w:rsid w:val="4EF1D20E"/>
    <w:rsid w:val="4F0DE9D7"/>
    <w:rsid w:val="4F788F7C"/>
    <w:rsid w:val="4F842030"/>
    <w:rsid w:val="4F975D0B"/>
    <w:rsid w:val="4FB22599"/>
    <w:rsid w:val="4FE4F76A"/>
    <w:rsid w:val="4FEE2363"/>
    <w:rsid w:val="4FF3A230"/>
    <w:rsid w:val="50621CF7"/>
    <w:rsid w:val="506EDCFF"/>
    <w:rsid w:val="509B7F1D"/>
    <w:rsid w:val="50A312EF"/>
    <w:rsid w:val="50AE22DB"/>
    <w:rsid w:val="50B609D4"/>
    <w:rsid w:val="5103F485"/>
    <w:rsid w:val="511347B7"/>
    <w:rsid w:val="5143CF5F"/>
    <w:rsid w:val="515B3DF7"/>
    <w:rsid w:val="516F785E"/>
    <w:rsid w:val="517837B0"/>
    <w:rsid w:val="518FD966"/>
    <w:rsid w:val="519AE2A9"/>
    <w:rsid w:val="51D87978"/>
    <w:rsid w:val="51D98C6E"/>
    <w:rsid w:val="51DB81B8"/>
    <w:rsid w:val="5231D26C"/>
    <w:rsid w:val="526A35BA"/>
    <w:rsid w:val="527735F7"/>
    <w:rsid w:val="528A721F"/>
    <w:rsid w:val="52985CD9"/>
    <w:rsid w:val="52CA7CD9"/>
    <w:rsid w:val="52CFC840"/>
    <w:rsid w:val="53087F99"/>
    <w:rsid w:val="530B6EE6"/>
    <w:rsid w:val="5318FE98"/>
    <w:rsid w:val="5320C373"/>
    <w:rsid w:val="532680CA"/>
    <w:rsid w:val="53672984"/>
    <w:rsid w:val="53718F2A"/>
    <w:rsid w:val="5386F959"/>
    <w:rsid w:val="538C3234"/>
    <w:rsid w:val="539DDD7F"/>
    <w:rsid w:val="53BA0A16"/>
    <w:rsid w:val="53C1BFF8"/>
    <w:rsid w:val="53E3FF3B"/>
    <w:rsid w:val="53FB11A3"/>
    <w:rsid w:val="53FBDD37"/>
    <w:rsid w:val="5416FDF7"/>
    <w:rsid w:val="5425AFC9"/>
    <w:rsid w:val="5442B2DF"/>
    <w:rsid w:val="5470ADC1"/>
    <w:rsid w:val="5480CF87"/>
    <w:rsid w:val="54AA5619"/>
    <w:rsid w:val="54AB510D"/>
    <w:rsid w:val="54B0AFCD"/>
    <w:rsid w:val="54C1D3FC"/>
    <w:rsid w:val="54F9390C"/>
    <w:rsid w:val="5553CF47"/>
    <w:rsid w:val="5563D8A3"/>
    <w:rsid w:val="556D27D0"/>
    <w:rsid w:val="556E4E17"/>
    <w:rsid w:val="556F62D5"/>
    <w:rsid w:val="558EDDD8"/>
    <w:rsid w:val="55C538F9"/>
    <w:rsid w:val="55E54A25"/>
    <w:rsid w:val="55E74E00"/>
    <w:rsid w:val="55EE3C53"/>
    <w:rsid w:val="560BC630"/>
    <w:rsid w:val="5623827A"/>
    <w:rsid w:val="56623FE9"/>
    <w:rsid w:val="568790E2"/>
    <w:rsid w:val="56AC2A63"/>
    <w:rsid w:val="56F8CE15"/>
    <w:rsid w:val="5702AE26"/>
    <w:rsid w:val="57229786"/>
    <w:rsid w:val="572AAE39"/>
    <w:rsid w:val="576B844A"/>
    <w:rsid w:val="576D0CB5"/>
    <w:rsid w:val="57A3A4BF"/>
    <w:rsid w:val="57AB2D34"/>
    <w:rsid w:val="57C45ABB"/>
    <w:rsid w:val="57CF2415"/>
    <w:rsid w:val="57DB0217"/>
    <w:rsid w:val="58116F2E"/>
    <w:rsid w:val="581C088A"/>
    <w:rsid w:val="584C99FC"/>
    <w:rsid w:val="5864E373"/>
    <w:rsid w:val="58AD837A"/>
    <w:rsid w:val="58B9BE4F"/>
    <w:rsid w:val="58BDE85F"/>
    <w:rsid w:val="58EB0696"/>
    <w:rsid w:val="590178EB"/>
    <w:rsid w:val="592BF2D7"/>
    <w:rsid w:val="5941FF43"/>
    <w:rsid w:val="59596D76"/>
    <w:rsid w:val="595B05B3"/>
    <w:rsid w:val="596B2A59"/>
    <w:rsid w:val="59A66768"/>
    <w:rsid w:val="59E227C7"/>
    <w:rsid w:val="59F1B4D5"/>
    <w:rsid w:val="59F370E4"/>
    <w:rsid w:val="59F879E6"/>
    <w:rsid w:val="5A192AD8"/>
    <w:rsid w:val="5A345DD6"/>
    <w:rsid w:val="5A3A2F87"/>
    <w:rsid w:val="5A3D5769"/>
    <w:rsid w:val="5A41F89F"/>
    <w:rsid w:val="5A498083"/>
    <w:rsid w:val="5A58FAF4"/>
    <w:rsid w:val="5A84D42F"/>
    <w:rsid w:val="5A951CB9"/>
    <w:rsid w:val="5A9875D2"/>
    <w:rsid w:val="5AA027D4"/>
    <w:rsid w:val="5AAF81E4"/>
    <w:rsid w:val="5ABCBFEC"/>
    <w:rsid w:val="5AED77E2"/>
    <w:rsid w:val="5B41A4C1"/>
    <w:rsid w:val="5B8BE24E"/>
    <w:rsid w:val="5BA5BAE9"/>
    <w:rsid w:val="5BE0A1DC"/>
    <w:rsid w:val="5BEF0B6A"/>
    <w:rsid w:val="5BF805C7"/>
    <w:rsid w:val="5BFE1F5C"/>
    <w:rsid w:val="5C1FAE4D"/>
    <w:rsid w:val="5C30FD18"/>
    <w:rsid w:val="5C7FDC58"/>
    <w:rsid w:val="5C8866E6"/>
    <w:rsid w:val="5CD04F91"/>
    <w:rsid w:val="5CD99941"/>
    <w:rsid w:val="5CE3BF19"/>
    <w:rsid w:val="5CF0C474"/>
    <w:rsid w:val="5D0DF769"/>
    <w:rsid w:val="5D2A67B7"/>
    <w:rsid w:val="5D35837D"/>
    <w:rsid w:val="5D40A4E3"/>
    <w:rsid w:val="5D76F2B9"/>
    <w:rsid w:val="5DB3B292"/>
    <w:rsid w:val="5DBC1F04"/>
    <w:rsid w:val="5DD0ABB7"/>
    <w:rsid w:val="5E0779E7"/>
    <w:rsid w:val="5E31F7B8"/>
    <w:rsid w:val="5E4248DC"/>
    <w:rsid w:val="5E54AF4F"/>
    <w:rsid w:val="5E5EC788"/>
    <w:rsid w:val="5E8C7AEB"/>
    <w:rsid w:val="5E9A2B22"/>
    <w:rsid w:val="5EB18D17"/>
    <w:rsid w:val="5EC0480E"/>
    <w:rsid w:val="5EC9534A"/>
    <w:rsid w:val="5F0AB82D"/>
    <w:rsid w:val="5F21459C"/>
    <w:rsid w:val="5F2BFAF3"/>
    <w:rsid w:val="5F2E33D1"/>
    <w:rsid w:val="5F9554A6"/>
    <w:rsid w:val="5F98A495"/>
    <w:rsid w:val="5F9D081D"/>
    <w:rsid w:val="5FA68143"/>
    <w:rsid w:val="5FAC4C1D"/>
    <w:rsid w:val="5FC18A44"/>
    <w:rsid w:val="5FC98DA0"/>
    <w:rsid w:val="5FF1F61B"/>
    <w:rsid w:val="5FF23F6C"/>
    <w:rsid w:val="5FF8AA94"/>
    <w:rsid w:val="600234D3"/>
    <w:rsid w:val="600A542F"/>
    <w:rsid w:val="601B2562"/>
    <w:rsid w:val="60259C8E"/>
    <w:rsid w:val="605AE54F"/>
    <w:rsid w:val="6080CE6F"/>
    <w:rsid w:val="6093C1A6"/>
    <w:rsid w:val="60BC9702"/>
    <w:rsid w:val="60DCF4C7"/>
    <w:rsid w:val="60F91737"/>
    <w:rsid w:val="61110C8B"/>
    <w:rsid w:val="611FCCAC"/>
    <w:rsid w:val="615F0703"/>
    <w:rsid w:val="616861FC"/>
    <w:rsid w:val="61823752"/>
    <w:rsid w:val="618C87B8"/>
    <w:rsid w:val="61958131"/>
    <w:rsid w:val="619B6C2D"/>
    <w:rsid w:val="619D4261"/>
    <w:rsid w:val="61A3AB6C"/>
    <w:rsid w:val="61A3E931"/>
    <w:rsid w:val="61B88E57"/>
    <w:rsid w:val="61D29DCD"/>
    <w:rsid w:val="6219BEA2"/>
    <w:rsid w:val="621AA07D"/>
    <w:rsid w:val="62475F29"/>
    <w:rsid w:val="62533DBA"/>
    <w:rsid w:val="625B7F58"/>
    <w:rsid w:val="627FAD55"/>
    <w:rsid w:val="62C8F7EE"/>
    <w:rsid w:val="62C93340"/>
    <w:rsid w:val="62E06432"/>
    <w:rsid w:val="632D1736"/>
    <w:rsid w:val="637C7F13"/>
    <w:rsid w:val="63D558DF"/>
    <w:rsid w:val="6453AE60"/>
    <w:rsid w:val="649C9EC8"/>
    <w:rsid w:val="650C2495"/>
    <w:rsid w:val="6527B61D"/>
    <w:rsid w:val="653C074A"/>
    <w:rsid w:val="655879C1"/>
    <w:rsid w:val="6567B934"/>
    <w:rsid w:val="659F0668"/>
    <w:rsid w:val="65AF87F5"/>
    <w:rsid w:val="65C314A3"/>
    <w:rsid w:val="65D8BFBA"/>
    <w:rsid w:val="65E40D7A"/>
    <w:rsid w:val="660523C4"/>
    <w:rsid w:val="66058A5F"/>
    <w:rsid w:val="6613881A"/>
    <w:rsid w:val="666C7355"/>
    <w:rsid w:val="66779D75"/>
    <w:rsid w:val="66CD38E8"/>
    <w:rsid w:val="67034886"/>
    <w:rsid w:val="6713711D"/>
    <w:rsid w:val="67164FBB"/>
    <w:rsid w:val="672F69B1"/>
    <w:rsid w:val="67464253"/>
    <w:rsid w:val="6770E0EE"/>
    <w:rsid w:val="67786C1C"/>
    <w:rsid w:val="677A7AC8"/>
    <w:rsid w:val="677CAEAC"/>
    <w:rsid w:val="67929829"/>
    <w:rsid w:val="679B1A19"/>
    <w:rsid w:val="67AF587B"/>
    <w:rsid w:val="67BAF67C"/>
    <w:rsid w:val="67CB404C"/>
    <w:rsid w:val="67D5CB04"/>
    <w:rsid w:val="67D94459"/>
    <w:rsid w:val="680D7989"/>
    <w:rsid w:val="68331A60"/>
    <w:rsid w:val="6839CF51"/>
    <w:rsid w:val="686CE0BC"/>
    <w:rsid w:val="68753124"/>
    <w:rsid w:val="6876C4BB"/>
    <w:rsid w:val="6895468A"/>
    <w:rsid w:val="6897E93A"/>
    <w:rsid w:val="68AD81DD"/>
    <w:rsid w:val="68B9AB46"/>
    <w:rsid w:val="68B9E1D6"/>
    <w:rsid w:val="68D80B8A"/>
    <w:rsid w:val="69029952"/>
    <w:rsid w:val="6976D977"/>
    <w:rsid w:val="699A620B"/>
    <w:rsid w:val="69B4CD90"/>
    <w:rsid w:val="6A0980BE"/>
    <w:rsid w:val="6A374BEB"/>
    <w:rsid w:val="6A5E42AA"/>
    <w:rsid w:val="6A75557E"/>
    <w:rsid w:val="6A7F15EE"/>
    <w:rsid w:val="6A87690D"/>
    <w:rsid w:val="6AA7B6B3"/>
    <w:rsid w:val="6AABE6C7"/>
    <w:rsid w:val="6ABD5FCF"/>
    <w:rsid w:val="6AEED2E0"/>
    <w:rsid w:val="6AFBAA1B"/>
    <w:rsid w:val="6B0112AE"/>
    <w:rsid w:val="6B1C7209"/>
    <w:rsid w:val="6B4D1269"/>
    <w:rsid w:val="6B7E782F"/>
    <w:rsid w:val="6B862FD2"/>
    <w:rsid w:val="6B94AFF3"/>
    <w:rsid w:val="6C6B2395"/>
    <w:rsid w:val="6CADAF32"/>
    <w:rsid w:val="6CB7672C"/>
    <w:rsid w:val="6CE06347"/>
    <w:rsid w:val="6CE1C632"/>
    <w:rsid w:val="6CF08520"/>
    <w:rsid w:val="6D386F04"/>
    <w:rsid w:val="6D5006F1"/>
    <w:rsid w:val="6D6E2537"/>
    <w:rsid w:val="6D8B79E9"/>
    <w:rsid w:val="6DA64663"/>
    <w:rsid w:val="6DAED572"/>
    <w:rsid w:val="6DE0588D"/>
    <w:rsid w:val="6DEAF9FA"/>
    <w:rsid w:val="6E1E99FF"/>
    <w:rsid w:val="6E49B730"/>
    <w:rsid w:val="6E509155"/>
    <w:rsid w:val="6E76587F"/>
    <w:rsid w:val="6EF8931E"/>
    <w:rsid w:val="6F35038C"/>
    <w:rsid w:val="6F4B96A5"/>
    <w:rsid w:val="6F6261B0"/>
    <w:rsid w:val="6F7C28EE"/>
    <w:rsid w:val="6FA285E8"/>
    <w:rsid w:val="6FFD0CA7"/>
    <w:rsid w:val="701AE853"/>
    <w:rsid w:val="70271673"/>
    <w:rsid w:val="702CBAA2"/>
    <w:rsid w:val="702D5C4E"/>
    <w:rsid w:val="7059E0E3"/>
    <w:rsid w:val="70786FAA"/>
    <w:rsid w:val="7085CCBA"/>
    <w:rsid w:val="70A12F97"/>
    <w:rsid w:val="70B85DC9"/>
    <w:rsid w:val="70DA27A6"/>
    <w:rsid w:val="7107C0AA"/>
    <w:rsid w:val="710BDEF8"/>
    <w:rsid w:val="7132E353"/>
    <w:rsid w:val="718B6C94"/>
    <w:rsid w:val="718FB67D"/>
    <w:rsid w:val="71964B89"/>
    <w:rsid w:val="71A015D1"/>
    <w:rsid w:val="71AB0044"/>
    <w:rsid w:val="71C1BC6F"/>
    <w:rsid w:val="71CF5431"/>
    <w:rsid w:val="71F880D3"/>
    <w:rsid w:val="7219AEDD"/>
    <w:rsid w:val="7224C741"/>
    <w:rsid w:val="723F7BE0"/>
    <w:rsid w:val="729EE696"/>
    <w:rsid w:val="72AF2166"/>
    <w:rsid w:val="72B43512"/>
    <w:rsid w:val="72DB2DBD"/>
    <w:rsid w:val="72F90068"/>
    <w:rsid w:val="7301A2CF"/>
    <w:rsid w:val="730C297B"/>
    <w:rsid w:val="73205903"/>
    <w:rsid w:val="7346A598"/>
    <w:rsid w:val="735E1F40"/>
    <w:rsid w:val="73B99167"/>
    <w:rsid w:val="73C02D36"/>
    <w:rsid w:val="73CB57C8"/>
    <w:rsid w:val="73CBCE8F"/>
    <w:rsid w:val="73F4BA86"/>
    <w:rsid w:val="73F8693E"/>
    <w:rsid w:val="7411E273"/>
    <w:rsid w:val="741A53EA"/>
    <w:rsid w:val="7432F28E"/>
    <w:rsid w:val="74392FB5"/>
    <w:rsid w:val="743A6E06"/>
    <w:rsid w:val="745EF097"/>
    <w:rsid w:val="74D7B693"/>
    <w:rsid w:val="74FE92E8"/>
    <w:rsid w:val="751FC9C9"/>
    <w:rsid w:val="75401580"/>
    <w:rsid w:val="758D505E"/>
    <w:rsid w:val="75A0D4C1"/>
    <w:rsid w:val="75D629BD"/>
    <w:rsid w:val="75EAD600"/>
    <w:rsid w:val="764AA459"/>
    <w:rsid w:val="76754597"/>
    <w:rsid w:val="767B71A6"/>
    <w:rsid w:val="7684CA26"/>
    <w:rsid w:val="768B939A"/>
    <w:rsid w:val="76918079"/>
    <w:rsid w:val="769F61AE"/>
    <w:rsid w:val="76A3AD86"/>
    <w:rsid w:val="76B7D07B"/>
    <w:rsid w:val="76F26C75"/>
    <w:rsid w:val="7718904E"/>
    <w:rsid w:val="7723F7F9"/>
    <w:rsid w:val="775BB485"/>
    <w:rsid w:val="7791FD56"/>
    <w:rsid w:val="77976332"/>
    <w:rsid w:val="77F47A14"/>
    <w:rsid w:val="7825636B"/>
    <w:rsid w:val="785347A2"/>
    <w:rsid w:val="7871BFB0"/>
    <w:rsid w:val="787570ED"/>
    <w:rsid w:val="7877B642"/>
    <w:rsid w:val="788ED453"/>
    <w:rsid w:val="789B8021"/>
    <w:rsid w:val="78B75B90"/>
    <w:rsid w:val="78BC4B5E"/>
    <w:rsid w:val="78D398FA"/>
    <w:rsid w:val="792BD5C9"/>
    <w:rsid w:val="792DF1B8"/>
    <w:rsid w:val="7943BB19"/>
    <w:rsid w:val="7975F04A"/>
    <w:rsid w:val="798D1BC4"/>
    <w:rsid w:val="79E43635"/>
    <w:rsid w:val="79F9BDE4"/>
    <w:rsid w:val="7A18BD17"/>
    <w:rsid w:val="7A54ACB4"/>
    <w:rsid w:val="7AE908F4"/>
    <w:rsid w:val="7AF05830"/>
    <w:rsid w:val="7AF1EF89"/>
    <w:rsid w:val="7B22B647"/>
    <w:rsid w:val="7B2B627A"/>
    <w:rsid w:val="7B2D05A1"/>
    <w:rsid w:val="7B6D3FAF"/>
    <w:rsid w:val="7B91D415"/>
    <w:rsid w:val="7B9DD724"/>
    <w:rsid w:val="7BABAF39"/>
    <w:rsid w:val="7BAC16B8"/>
    <w:rsid w:val="7BDE4A46"/>
    <w:rsid w:val="7BE8FA15"/>
    <w:rsid w:val="7BFFE2EB"/>
    <w:rsid w:val="7C22BF20"/>
    <w:rsid w:val="7C662CF7"/>
    <w:rsid w:val="7C66D8B7"/>
    <w:rsid w:val="7C95C0D7"/>
    <w:rsid w:val="7CABFE61"/>
    <w:rsid w:val="7CBCAD11"/>
    <w:rsid w:val="7CC7B1F8"/>
    <w:rsid w:val="7CECFD57"/>
    <w:rsid w:val="7CF37987"/>
    <w:rsid w:val="7D2BB108"/>
    <w:rsid w:val="7D491CDC"/>
    <w:rsid w:val="7D4C9A90"/>
    <w:rsid w:val="7D7C5E5F"/>
    <w:rsid w:val="7D8051E9"/>
    <w:rsid w:val="7D8A0815"/>
    <w:rsid w:val="7D9A64BB"/>
    <w:rsid w:val="7DC2FA5B"/>
    <w:rsid w:val="7DCC75D3"/>
    <w:rsid w:val="7DDFD861"/>
    <w:rsid w:val="7DE5CE2E"/>
    <w:rsid w:val="7DEDAC5F"/>
    <w:rsid w:val="7E141450"/>
    <w:rsid w:val="7E1F89A0"/>
    <w:rsid w:val="7E24A936"/>
    <w:rsid w:val="7E25F17C"/>
    <w:rsid w:val="7E36ACEE"/>
    <w:rsid w:val="7E408887"/>
    <w:rsid w:val="7EA47FFA"/>
    <w:rsid w:val="7ED3544D"/>
    <w:rsid w:val="7EEE7B93"/>
    <w:rsid w:val="7EF2C34D"/>
    <w:rsid w:val="7EFA6EC9"/>
    <w:rsid w:val="7EFAC4E0"/>
    <w:rsid w:val="7F032E41"/>
    <w:rsid w:val="7F10E60E"/>
    <w:rsid w:val="7F115DF2"/>
    <w:rsid w:val="7F71DC0E"/>
    <w:rsid w:val="7FAA770B"/>
    <w:rsid w:val="7FC2A9F9"/>
    <w:rsid w:val="7FD27D4F"/>
    <w:rsid w:val="7FD28925"/>
    <w:rsid w:val="7FF065C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ADD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5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5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5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52"/>
      </w:numPr>
      <w:outlineLvl w:val="3"/>
    </w:pPr>
    <w:rPr>
      <w:rFonts w:eastAsiaTheme="majorEastAsia"/>
      <w:bCs/>
      <w:iCs/>
    </w:rPr>
  </w:style>
  <w:style w:type="paragraph" w:styleId="Heading5">
    <w:name w:val="heading 5"/>
    <w:basedOn w:val="Normal"/>
    <w:next w:val="Text2"/>
    <w:link w:val="Heading5Char"/>
    <w:uiPriority w:val="9"/>
    <w:semiHidden/>
    <w:unhideWhenUsed/>
    <w:qFormat/>
    <w:pPr>
      <w:keepNext/>
      <w:numPr>
        <w:ilvl w:val="4"/>
        <w:numId w:val="52"/>
      </w:numPr>
      <w:outlineLvl w:val="4"/>
    </w:pPr>
    <w:rPr>
      <w:rFonts w:eastAsiaTheme="majorEastAsia"/>
    </w:rPr>
  </w:style>
  <w:style w:type="paragraph" w:styleId="Heading6">
    <w:name w:val="heading 6"/>
    <w:basedOn w:val="Normal"/>
    <w:next w:val="Text2"/>
    <w:link w:val="Heading6Char"/>
    <w:uiPriority w:val="9"/>
    <w:semiHidden/>
    <w:unhideWhenUsed/>
    <w:qFormat/>
    <w:pPr>
      <w:keepNext/>
      <w:numPr>
        <w:ilvl w:val="5"/>
        <w:numId w:val="52"/>
      </w:numPr>
      <w:outlineLvl w:val="5"/>
    </w:pPr>
    <w:rPr>
      <w:rFonts w:eastAsiaTheme="majorEastAsia"/>
      <w:iCs/>
    </w:rPr>
  </w:style>
  <w:style w:type="paragraph" w:styleId="Heading7">
    <w:name w:val="heading 7"/>
    <w:basedOn w:val="Normal"/>
    <w:next w:val="Text2"/>
    <w:link w:val="Heading7Char"/>
    <w:uiPriority w:val="9"/>
    <w:semiHidden/>
    <w:unhideWhenUsed/>
    <w:qFormat/>
    <w:pPr>
      <w:keepNext/>
      <w:numPr>
        <w:ilvl w:val="6"/>
        <w:numId w:val="52"/>
      </w:numPr>
      <w:outlineLvl w:val="6"/>
    </w:pPr>
    <w:rPr>
      <w:rFonts w:eastAsiaTheme="majorEastAsia"/>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D152F"/>
    <w:rPr>
      <w:color w:val="0000FF"/>
      <w:u w:val="single"/>
      <w:shd w:val="clear" w:color="auto" w:fill="auto"/>
    </w:rPr>
  </w:style>
  <w:style w:type="paragraph" w:styleId="ListBullet4">
    <w:name w:val="List Bullet 4"/>
    <w:basedOn w:val="Normal"/>
    <w:rsid w:val="00BD152F"/>
    <w:pPr>
      <w:numPr>
        <w:numId w:val="7"/>
      </w:numPr>
    </w:pPr>
    <w:rPr>
      <w:rFonts w:eastAsia="Times New Roman"/>
      <w:lang w:eastAsia="de-DE"/>
    </w:rPr>
  </w:style>
  <w:style w:type="paragraph" w:styleId="ListNumber">
    <w:name w:val="List Number"/>
    <w:basedOn w:val="Normal"/>
    <w:rsid w:val="00BD152F"/>
    <w:pPr>
      <w:tabs>
        <w:tab w:val="num" w:pos="360"/>
      </w:tabs>
      <w:ind w:left="360" w:hanging="360"/>
    </w:pPr>
    <w:rPr>
      <w:rFonts w:eastAsia="Times New Roman"/>
      <w:lang w:eastAsia="de-DE"/>
    </w:rPr>
  </w:style>
  <w:style w:type="paragraph" w:customStyle="1" w:styleId="ListBullet1">
    <w:name w:val="List Bullet 1"/>
    <w:basedOn w:val="Normal"/>
    <w:rsid w:val="00BD152F"/>
    <w:pPr>
      <w:numPr>
        <w:numId w:val="6"/>
      </w:numPr>
    </w:pPr>
    <w:rPr>
      <w:rFonts w:eastAsia="Times New Roman"/>
      <w:lang w:eastAsia="de-DE"/>
    </w:rPr>
  </w:style>
  <w:style w:type="paragraph" w:customStyle="1" w:styleId="ListDash">
    <w:name w:val="List Dash"/>
    <w:basedOn w:val="Normal"/>
    <w:rsid w:val="00BD152F"/>
    <w:pPr>
      <w:numPr>
        <w:numId w:val="8"/>
      </w:numPr>
    </w:pPr>
    <w:rPr>
      <w:rFonts w:eastAsia="Times New Roman"/>
      <w:lang w:eastAsia="de-DE"/>
    </w:rPr>
  </w:style>
  <w:style w:type="paragraph" w:customStyle="1" w:styleId="ListDash1">
    <w:name w:val="List Dash 1"/>
    <w:basedOn w:val="Normal"/>
    <w:rsid w:val="00BD152F"/>
    <w:pPr>
      <w:numPr>
        <w:numId w:val="9"/>
      </w:numPr>
    </w:pPr>
    <w:rPr>
      <w:rFonts w:eastAsia="Times New Roman"/>
      <w:lang w:eastAsia="de-DE"/>
    </w:rPr>
  </w:style>
  <w:style w:type="paragraph" w:customStyle="1" w:styleId="ListDash2">
    <w:name w:val="List Dash 2"/>
    <w:basedOn w:val="Normal"/>
    <w:rsid w:val="00BD152F"/>
    <w:pPr>
      <w:numPr>
        <w:numId w:val="10"/>
      </w:numPr>
    </w:pPr>
    <w:rPr>
      <w:rFonts w:eastAsia="Times New Roman"/>
      <w:lang w:eastAsia="de-DE"/>
    </w:rPr>
  </w:style>
  <w:style w:type="paragraph" w:customStyle="1" w:styleId="ListNumberLevel2">
    <w:name w:val="List Number (Level 2)"/>
    <w:basedOn w:val="Normal"/>
    <w:rsid w:val="00BD152F"/>
    <w:rPr>
      <w:rFonts w:eastAsia="Times New Roman"/>
      <w:lang w:eastAsia="de-DE"/>
    </w:rPr>
  </w:style>
  <w:style w:type="paragraph" w:customStyle="1" w:styleId="ListNumberLevel3">
    <w:name w:val="List Number (Level 3)"/>
    <w:basedOn w:val="Normal"/>
    <w:rsid w:val="00BD152F"/>
    <w:rPr>
      <w:rFonts w:eastAsia="Times New Roman"/>
      <w:lang w:eastAsia="de-DE"/>
    </w:rPr>
  </w:style>
  <w:style w:type="paragraph" w:customStyle="1" w:styleId="ListNumberLevel4">
    <w:name w:val="List Number (Level 4)"/>
    <w:basedOn w:val="Normal"/>
    <w:rsid w:val="00BD152F"/>
    <w:rPr>
      <w:rFonts w:eastAsia="Times New Roman"/>
      <w:lang w:eastAsia="de-DE"/>
    </w:rPr>
  </w:style>
  <w:style w:type="table" w:styleId="TableGrid">
    <w:name w:val="Table Grid"/>
    <w:aliases w:val="Document Table,CV1,Tabellengitternetz,Gena,Deloitte,HTG"/>
    <w:basedOn w:val="TableNormal"/>
    <w:uiPriority w:val="39"/>
    <w:rsid w:val="00BD152F"/>
    <w:pPr>
      <w:spacing w:before="120" w:after="120" w:line="240" w:lineRule="auto"/>
      <w:jc w:val="both"/>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BD152F"/>
    <w:pPr>
      <w:numPr>
        <w:numId w:val="11"/>
      </w:numPr>
    </w:pPr>
    <w:rPr>
      <w:rFonts w:eastAsia="Times New Roman"/>
      <w:lang w:val="fr-FR" w:eastAsia="en-GB"/>
    </w:rPr>
  </w:style>
  <w:style w:type="paragraph" w:styleId="ListBullet2">
    <w:name w:val="List Bullet 2"/>
    <w:basedOn w:val="Normal"/>
    <w:rsid w:val="00BD152F"/>
    <w:pPr>
      <w:numPr>
        <w:numId w:val="12"/>
      </w:numPr>
    </w:pPr>
    <w:rPr>
      <w:rFonts w:eastAsia="Times New Roman"/>
      <w:lang w:val="fr-FR" w:eastAsia="en-GB"/>
    </w:rPr>
  </w:style>
  <w:style w:type="paragraph" w:styleId="ListBullet3">
    <w:name w:val="List Bullet 3"/>
    <w:basedOn w:val="Normal"/>
    <w:rsid w:val="00BD152F"/>
    <w:pPr>
      <w:numPr>
        <w:numId w:val="13"/>
      </w:numPr>
    </w:pPr>
    <w:rPr>
      <w:rFonts w:eastAsia="Times New Roman"/>
      <w:lang w:val="fr-FR" w:eastAsia="en-GB"/>
    </w:rPr>
  </w:style>
  <w:style w:type="paragraph" w:styleId="ListNumber2">
    <w:name w:val="List Number 2"/>
    <w:basedOn w:val="Normal"/>
    <w:rsid w:val="00BD152F"/>
    <w:pPr>
      <w:numPr>
        <w:numId w:val="17"/>
      </w:numPr>
    </w:pPr>
    <w:rPr>
      <w:rFonts w:eastAsia="Times New Roman"/>
      <w:lang w:val="fr-FR" w:eastAsia="en-GB"/>
    </w:rPr>
  </w:style>
  <w:style w:type="paragraph" w:styleId="ListNumber3">
    <w:name w:val="List Number 3"/>
    <w:basedOn w:val="Normal"/>
    <w:rsid w:val="00BD152F"/>
    <w:pPr>
      <w:numPr>
        <w:numId w:val="18"/>
      </w:numPr>
    </w:pPr>
    <w:rPr>
      <w:rFonts w:eastAsia="Times New Roman"/>
      <w:lang w:val="fr-FR" w:eastAsia="en-GB"/>
    </w:rPr>
  </w:style>
  <w:style w:type="paragraph" w:styleId="ListNumber4">
    <w:name w:val="List Number 4"/>
    <w:basedOn w:val="Normal"/>
    <w:rsid w:val="00BD152F"/>
    <w:pPr>
      <w:numPr>
        <w:numId w:val="19"/>
      </w:numPr>
    </w:pPr>
    <w:rPr>
      <w:rFonts w:eastAsia="Times New Roman"/>
      <w:lang w:val="fr-FR" w:eastAsia="en-GB"/>
    </w:rPr>
  </w:style>
  <w:style w:type="paragraph" w:customStyle="1" w:styleId="ListDash3">
    <w:name w:val="List Dash 3"/>
    <w:basedOn w:val="Normal"/>
    <w:rsid w:val="00BD152F"/>
    <w:pPr>
      <w:numPr>
        <w:numId w:val="14"/>
      </w:numPr>
    </w:pPr>
    <w:rPr>
      <w:rFonts w:eastAsia="Times New Roman"/>
      <w:lang w:val="fr-FR" w:eastAsia="en-GB"/>
    </w:rPr>
  </w:style>
  <w:style w:type="paragraph" w:customStyle="1" w:styleId="ListDash4">
    <w:name w:val="List Dash 4"/>
    <w:basedOn w:val="Normal"/>
    <w:rsid w:val="00BD152F"/>
    <w:pPr>
      <w:numPr>
        <w:numId w:val="15"/>
      </w:numPr>
    </w:pPr>
    <w:rPr>
      <w:rFonts w:eastAsia="Times New Roman"/>
      <w:lang w:val="fr-FR" w:eastAsia="en-GB"/>
    </w:rPr>
  </w:style>
  <w:style w:type="paragraph" w:customStyle="1" w:styleId="ListNumber1">
    <w:name w:val="List Number 1"/>
    <w:basedOn w:val="Text1"/>
    <w:rsid w:val="00BD152F"/>
    <w:pPr>
      <w:numPr>
        <w:numId w:val="16"/>
      </w:numPr>
    </w:pPr>
    <w:rPr>
      <w:rFonts w:eastAsia="Times New Roman"/>
      <w:lang w:val="fr-FR" w:eastAsia="en-GB"/>
    </w:rPr>
  </w:style>
  <w:style w:type="paragraph" w:customStyle="1" w:styleId="ListNumber1Level2">
    <w:name w:val="List Number 1 (Level 2)"/>
    <w:basedOn w:val="Text1"/>
    <w:rsid w:val="00BD152F"/>
    <w:pPr>
      <w:numPr>
        <w:ilvl w:val="1"/>
        <w:numId w:val="16"/>
      </w:numPr>
    </w:pPr>
    <w:rPr>
      <w:rFonts w:eastAsia="Times New Roman"/>
      <w:lang w:val="fr-FR" w:eastAsia="en-GB"/>
    </w:rPr>
  </w:style>
  <w:style w:type="paragraph" w:customStyle="1" w:styleId="ListNumber2Level2">
    <w:name w:val="List Number 2 (Level 2)"/>
    <w:basedOn w:val="Text2"/>
    <w:rsid w:val="00BD152F"/>
    <w:pPr>
      <w:numPr>
        <w:ilvl w:val="1"/>
        <w:numId w:val="17"/>
      </w:numPr>
    </w:pPr>
    <w:rPr>
      <w:rFonts w:eastAsia="Times New Roman"/>
      <w:lang w:val="fr-FR" w:eastAsia="en-GB"/>
    </w:rPr>
  </w:style>
  <w:style w:type="paragraph" w:customStyle="1" w:styleId="ListNumber3Level2">
    <w:name w:val="List Number 3 (Level 2)"/>
    <w:basedOn w:val="Text3"/>
    <w:rsid w:val="00BD152F"/>
    <w:pPr>
      <w:numPr>
        <w:ilvl w:val="1"/>
        <w:numId w:val="18"/>
      </w:numPr>
    </w:pPr>
    <w:rPr>
      <w:rFonts w:eastAsia="Times New Roman"/>
      <w:lang w:val="fr-FR" w:eastAsia="en-GB"/>
    </w:rPr>
  </w:style>
  <w:style w:type="paragraph" w:customStyle="1" w:styleId="ListNumber4Level2">
    <w:name w:val="List Number 4 (Level 2)"/>
    <w:basedOn w:val="Text4"/>
    <w:rsid w:val="00BD152F"/>
    <w:pPr>
      <w:numPr>
        <w:ilvl w:val="1"/>
        <w:numId w:val="19"/>
      </w:numPr>
    </w:pPr>
    <w:rPr>
      <w:rFonts w:eastAsia="Times New Roman"/>
      <w:lang w:val="fr-FR" w:eastAsia="en-GB"/>
    </w:rPr>
  </w:style>
  <w:style w:type="paragraph" w:customStyle="1" w:styleId="ListNumber1Level3">
    <w:name w:val="List Number 1 (Level 3)"/>
    <w:basedOn w:val="Text1"/>
    <w:rsid w:val="00BD152F"/>
    <w:pPr>
      <w:numPr>
        <w:ilvl w:val="2"/>
        <w:numId w:val="16"/>
      </w:numPr>
    </w:pPr>
    <w:rPr>
      <w:rFonts w:eastAsia="Times New Roman"/>
      <w:lang w:val="fr-FR" w:eastAsia="en-GB"/>
    </w:rPr>
  </w:style>
  <w:style w:type="paragraph" w:customStyle="1" w:styleId="ListNumber2Level3">
    <w:name w:val="List Number 2 (Level 3)"/>
    <w:basedOn w:val="Text2"/>
    <w:rsid w:val="00BD152F"/>
    <w:pPr>
      <w:numPr>
        <w:ilvl w:val="2"/>
        <w:numId w:val="17"/>
      </w:numPr>
    </w:pPr>
    <w:rPr>
      <w:rFonts w:eastAsia="Times New Roman"/>
      <w:lang w:val="fr-FR" w:eastAsia="en-GB"/>
    </w:rPr>
  </w:style>
  <w:style w:type="paragraph" w:customStyle="1" w:styleId="ListNumber3Level3">
    <w:name w:val="List Number 3 (Level 3)"/>
    <w:basedOn w:val="Text3"/>
    <w:rsid w:val="00BD152F"/>
    <w:pPr>
      <w:numPr>
        <w:ilvl w:val="2"/>
        <w:numId w:val="18"/>
      </w:numPr>
    </w:pPr>
    <w:rPr>
      <w:rFonts w:eastAsia="Times New Roman"/>
      <w:lang w:val="fr-FR" w:eastAsia="en-GB"/>
    </w:rPr>
  </w:style>
  <w:style w:type="paragraph" w:customStyle="1" w:styleId="ListNumber4Level3">
    <w:name w:val="List Number 4 (Level 3)"/>
    <w:basedOn w:val="Text4"/>
    <w:rsid w:val="00BD152F"/>
    <w:pPr>
      <w:numPr>
        <w:ilvl w:val="2"/>
        <w:numId w:val="19"/>
      </w:numPr>
    </w:pPr>
    <w:rPr>
      <w:rFonts w:eastAsia="Times New Roman"/>
      <w:lang w:val="fr-FR" w:eastAsia="en-GB"/>
    </w:rPr>
  </w:style>
  <w:style w:type="paragraph" w:customStyle="1" w:styleId="ListNumber1Level4">
    <w:name w:val="List Number 1 (Level 4)"/>
    <w:basedOn w:val="Text1"/>
    <w:rsid w:val="00BD152F"/>
    <w:pPr>
      <w:numPr>
        <w:ilvl w:val="3"/>
        <w:numId w:val="16"/>
      </w:numPr>
    </w:pPr>
    <w:rPr>
      <w:rFonts w:eastAsia="Times New Roman"/>
      <w:lang w:val="fr-FR" w:eastAsia="en-GB"/>
    </w:rPr>
  </w:style>
  <w:style w:type="paragraph" w:customStyle="1" w:styleId="ListNumber2Level4">
    <w:name w:val="List Number 2 (Level 4)"/>
    <w:basedOn w:val="Text2"/>
    <w:rsid w:val="00BD152F"/>
    <w:pPr>
      <w:numPr>
        <w:ilvl w:val="3"/>
        <w:numId w:val="17"/>
      </w:numPr>
    </w:pPr>
    <w:rPr>
      <w:rFonts w:eastAsia="Times New Roman"/>
      <w:lang w:val="fr-FR" w:eastAsia="en-GB"/>
    </w:rPr>
  </w:style>
  <w:style w:type="paragraph" w:customStyle="1" w:styleId="ListNumber3Level4">
    <w:name w:val="List Number 3 (Level 4)"/>
    <w:basedOn w:val="Text3"/>
    <w:rsid w:val="00BD152F"/>
    <w:pPr>
      <w:numPr>
        <w:ilvl w:val="3"/>
        <w:numId w:val="18"/>
      </w:numPr>
    </w:pPr>
    <w:rPr>
      <w:rFonts w:eastAsia="Times New Roman"/>
      <w:lang w:val="fr-FR" w:eastAsia="en-GB"/>
    </w:rPr>
  </w:style>
  <w:style w:type="paragraph" w:customStyle="1" w:styleId="ListNumber4Level4">
    <w:name w:val="List Number 4 (Level 4)"/>
    <w:basedOn w:val="Text4"/>
    <w:rsid w:val="00BD152F"/>
    <w:pPr>
      <w:numPr>
        <w:ilvl w:val="3"/>
        <w:numId w:val="19"/>
      </w:numPr>
    </w:pPr>
    <w:rPr>
      <w:rFonts w:eastAsia="Times New Roman"/>
      <w:lang w:val="fr-FR" w:eastAsia="en-GB"/>
    </w:rPr>
  </w:style>
  <w:style w:type="paragraph" w:customStyle="1" w:styleId="Annexetitreacte">
    <w:name w:val="Annexe titre (acte)"/>
    <w:basedOn w:val="Normal"/>
    <w:next w:val="Normal"/>
    <w:rsid w:val="00BD152F"/>
    <w:pPr>
      <w:jc w:val="center"/>
    </w:pPr>
    <w:rPr>
      <w:rFonts w:eastAsia="Times New Roman"/>
      <w:b/>
      <w:u w:val="single"/>
      <w:lang w:val="fr-FR" w:eastAsia="en-GB"/>
    </w:rPr>
  </w:style>
  <w:style w:type="paragraph" w:customStyle="1" w:styleId="Annexetitreexposglobal">
    <w:name w:val="Annexe titre (exposé global)"/>
    <w:basedOn w:val="Normal"/>
    <w:next w:val="Normal"/>
    <w:rsid w:val="00BD152F"/>
    <w:pPr>
      <w:jc w:val="center"/>
    </w:pPr>
    <w:rPr>
      <w:rFonts w:eastAsia="Times New Roman"/>
      <w:b/>
      <w:u w:val="single"/>
      <w:lang w:val="fr-FR" w:eastAsia="en-GB"/>
    </w:rPr>
  </w:style>
  <w:style w:type="paragraph" w:customStyle="1" w:styleId="Annexetitrefichefinacte">
    <w:name w:val="Annexe titre (fiche fin. acte)"/>
    <w:basedOn w:val="Normal"/>
    <w:next w:val="Normal"/>
    <w:rsid w:val="00BD152F"/>
    <w:pPr>
      <w:jc w:val="center"/>
    </w:pPr>
    <w:rPr>
      <w:rFonts w:eastAsia="Times New Roman"/>
      <w:b/>
      <w:u w:val="single"/>
      <w:lang w:val="fr-FR" w:eastAsia="en-GB"/>
    </w:rPr>
  </w:style>
  <w:style w:type="paragraph" w:customStyle="1" w:styleId="Annexetitrefichefinglobale">
    <w:name w:val="Annexe titre (fiche fin. globale)"/>
    <w:basedOn w:val="Normal"/>
    <w:next w:val="Normal"/>
    <w:rsid w:val="00BD152F"/>
    <w:pPr>
      <w:jc w:val="center"/>
    </w:pPr>
    <w:rPr>
      <w:rFonts w:eastAsia="Times New Roman"/>
      <w:b/>
      <w:u w:val="single"/>
      <w:lang w:val="fr-FR" w:eastAsia="en-GB"/>
    </w:rPr>
  </w:style>
  <w:style w:type="paragraph" w:customStyle="1" w:styleId="Annexetitreglobale">
    <w:name w:val="Annexe titre (globale)"/>
    <w:basedOn w:val="Normal"/>
    <w:next w:val="Normal"/>
    <w:rsid w:val="00BD152F"/>
    <w:pPr>
      <w:jc w:val="center"/>
    </w:pPr>
    <w:rPr>
      <w:rFonts w:eastAsia="Times New Roman"/>
      <w:b/>
      <w:u w:val="single"/>
      <w:lang w:val="fr-FR" w:eastAsia="en-GB"/>
    </w:rPr>
  </w:style>
  <w:style w:type="paragraph" w:customStyle="1" w:styleId="Exposdesmotifstitreglobal">
    <w:name w:val="Exposé des motifs titre (global)"/>
    <w:basedOn w:val="Normal"/>
    <w:next w:val="Normal"/>
    <w:rsid w:val="00BD152F"/>
    <w:pPr>
      <w:jc w:val="center"/>
    </w:pPr>
    <w:rPr>
      <w:rFonts w:eastAsia="Times New Roman"/>
      <w:b/>
      <w:u w:val="single"/>
      <w:lang w:val="fr-FR" w:eastAsia="en-GB"/>
    </w:rPr>
  </w:style>
  <w:style w:type="paragraph" w:customStyle="1" w:styleId="Langueoriginale">
    <w:name w:val="Langue originale"/>
    <w:basedOn w:val="Normal"/>
    <w:rsid w:val="00BD152F"/>
    <w:pPr>
      <w:spacing w:before="360"/>
      <w:jc w:val="center"/>
    </w:pPr>
    <w:rPr>
      <w:rFonts w:eastAsia="Times New Roman"/>
      <w:caps/>
      <w:lang w:val="fr-FR" w:eastAsia="en-GB"/>
    </w:rPr>
  </w:style>
  <w:style w:type="paragraph" w:customStyle="1" w:styleId="Phrasefinale">
    <w:name w:val="Phrase finale"/>
    <w:basedOn w:val="Normal"/>
    <w:next w:val="Normal"/>
    <w:rsid w:val="00BD152F"/>
    <w:pPr>
      <w:spacing w:before="360" w:after="0"/>
      <w:jc w:val="center"/>
    </w:pPr>
    <w:rPr>
      <w:rFonts w:eastAsia="Times New Roman"/>
      <w:lang w:val="fr-FR" w:eastAsia="en-GB"/>
    </w:rPr>
  </w:style>
  <w:style w:type="paragraph" w:customStyle="1" w:styleId="Prliminairetitre">
    <w:name w:val="Préliminaire titre"/>
    <w:basedOn w:val="Normal"/>
    <w:next w:val="Normal"/>
    <w:rsid w:val="00BD152F"/>
    <w:pPr>
      <w:spacing w:before="360" w:after="360"/>
      <w:jc w:val="center"/>
    </w:pPr>
    <w:rPr>
      <w:rFonts w:eastAsia="Times New Roman"/>
      <w:b/>
      <w:lang w:val="fr-FR" w:eastAsia="en-GB"/>
    </w:rPr>
  </w:style>
  <w:style w:type="paragraph" w:customStyle="1" w:styleId="Prliminairetype">
    <w:name w:val="Préliminaire type"/>
    <w:basedOn w:val="Normal"/>
    <w:next w:val="Normal"/>
    <w:rsid w:val="00BD152F"/>
    <w:pPr>
      <w:spacing w:before="360" w:after="0"/>
      <w:jc w:val="center"/>
    </w:pPr>
    <w:rPr>
      <w:rFonts w:eastAsia="Times New Roman"/>
      <w:b/>
      <w:lang w:val="fr-FR" w:eastAsia="en-GB"/>
    </w:rPr>
  </w:style>
  <w:style w:type="paragraph" w:customStyle="1" w:styleId="Rfrenceinstitutionelle">
    <w:name w:val="Référence institutionelle"/>
    <w:basedOn w:val="Normal"/>
    <w:next w:val="Statut"/>
    <w:rsid w:val="00BD152F"/>
    <w:pPr>
      <w:spacing w:before="0" w:after="240"/>
      <w:ind w:left="5103"/>
      <w:jc w:val="left"/>
    </w:pPr>
    <w:rPr>
      <w:rFonts w:eastAsia="Times New Roman"/>
      <w:lang w:val="fr-FR" w:eastAsia="en-GB"/>
    </w:rPr>
  </w:style>
  <w:style w:type="paragraph" w:customStyle="1" w:styleId="Rfrenceinterinstitutionelle">
    <w:name w:val="Référence interinstitutionelle"/>
    <w:basedOn w:val="Normal"/>
    <w:next w:val="Statut"/>
    <w:rsid w:val="00BD152F"/>
    <w:pPr>
      <w:spacing w:before="0" w:after="0"/>
      <w:ind w:left="5103"/>
      <w:jc w:val="left"/>
    </w:pPr>
    <w:rPr>
      <w:rFonts w:eastAsia="Times New Roman"/>
      <w:lang w:val="fr-FR" w:eastAsia="en-GB"/>
    </w:rPr>
  </w:style>
  <w:style w:type="paragraph" w:customStyle="1" w:styleId="Rfrenceinterinstitutionelleprliminaire">
    <w:name w:val="Référence interinstitutionelle (préliminaire)"/>
    <w:basedOn w:val="Normal"/>
    <w:next w:val="Normal"/>
    <w:rsid w:val="00BD152F"/>
    <w:pPr>
      <w:spacing w:before="0" w:after="0"/>
      <w:ind w:left="5103"/>
      <w:jc w:val="left"/>
    </w:pPr>
    <w:rPr>
      <w:rFonts w:eastAsia="Times New Roman"/>
      <w:lang w:val="fr-FR" w:eastAsia="en-GB"/>
    </w:rPr>
  </w:style>
  <w:style w:type="paragraph" w:customStyle="1" w:styleId="Sous-titreobjetprliminaire">
    <w:name w:val="Sous-titre objet (préliminaire)"/>
    <w:basedOn w:val="Normal"/>
    <w:rsid w:val="00BD152F"/>
    <w:pPr>
      <w:spacing w:before="0" w:after="0"/>
      <w:jc w:val="center"/>
    </w:pPr>
    <w:rPr>
      <w:rFonts w:eastAsia="Times New Roman"/>
      <w:b/>
      <w:lang w:val="fr-FR" w:eastAsia="en-GB"/>
    </w:rPr>
  </w:style>
  <w:style w:type="paragraph" w:customStyle="1" w:styleId="Statutprliminaire">
    <w:name w:val="Statut (préliminaire)"/>
    <w:basedOn w:val="Normal"/>
    <w:next w:val="Normal"/>
    <w:rsid w:val="00BD152F"/>
    <w:pPr>
      <w:spacing w:before="360" w:after="0"/>
      <w:jc w:val="center"/>
    </w:pPr>
    <w:rPr>
      <w:rFonts w:eastAsia="Times New Roman"/>
      <w:lang w:val="fr-FR" w:eastAsia="en-GB"/>
    </w:rPr>
  </w:style>
  <w:style w:type="paragraph" w:customStyle="1" w:styleId="Titreobjetprliminaire">
    <w:name w:val="Titre objet (préliminaire)"/>
    <w:basedOn w:val="Normal"/>
    <w:next w:val="Normal"/>
    <w:rsid w:val="00BD152F"/>
    <w:pPr>
      <w:spacing w:before="360" w:after="360"/>
      <w:jc w:val="center"/>
    </w:pPr>
    <w:rPr>
      <w:rFonts w:eastAsia="Times New Roman"/>
      <w:b/>
      <w:lang w:val="fr-FR" w:eastAsia="en-GB"/>
    </w:rPr>
  </w:style>
  <w:style w:type="paragraph" w:customStyle="1" w:styleId="Typedudocumentprliminaire">
    <w:name w:val="Type du document (préliminaire)"/>
    <w:basedOn w:val="Normal"/>
    <w:next w:val="Normal"/>
    <w:rsid w:val="00BD152F"/>
    <w:pPr>
      <w:spacing w:before="360" w:after="0"/>
      <w:jc w:val="center"/>
    </w:pPr>
    <w:rPr>
      <w:rFonts w:eastAsia="Times New Roman"/>
      <w:b/>
      <w:lang w:val="fr-FR" w:eastAsia="en-GB"/>
    </w:rPr>
  </w:style>
  <w:style w:type="paragraph" w:customStyle="1" w:styleId="Fichefinancirestandardtitre">
    <w:name w:val="Fiche financière (standard) titre"/>
    <w:basedOn w:val="Normal"/>
    <w:next w:val="Normal"/>
    <w:rsid w:val="00BD152F"/>
    <w:pPr>
      <w:jc w:val="center"/>
    </w:pPr>
    <w:rPr>
      <w:rFonts w:eastAsia="Times New Roman"/>
      <w:b/>
      <w:u w:val="single"/>
      <w:lang w:val="fr-FR" w:eastAsia="en-GB"/>
    </w:rPr>
  </w:style>
  <w:style w:type="paragraph" w:customStyle="1" w:styleId="Fichefinancirestandardtitreacte">
    <w:name w:val="Fiche financière (standard) titre (acte)"/>
    <w:basedOn w:val="Normal"/>
    <w:next w:val="Normal"/>
    <w:rsid w:val="00BD152F"/>
    <w:pPr>
      <w:jc w:val="center"/>
    </w:pPr>
    <w:rPr>
      <w:rFonts w:eastAsia="Times New Roman"/>
      <w:b/>
      <w:u w:val="single"/>
      <w:lang w:val="fr-FR" w:eastAsia="en-GB"/>
    </w:rPr>
  </w:style>
  <w:style w:type="paragraph" w:customStyle="1" w:styleId="Fichefinanciretravailtitre">
    <w:name w:val="Fiche financière (travail) titre"/>
    <w:basedOn w:val="Normal"/>
    <w:next w:val="Normal"/>
    <w:rsid w:val="00BD152F"/>
    <w:pPr>
      <w:jc w:val="center"/>
    </w:pPr>
    <w:rPr>
      <w:rFonts w:eastAsia="Times New Roman"/>
      <w:b/>
      <w:u w:val="single"/>
      <w:lang w:val="fr-FR" w:eastAsia="en-GB"/>
    </w:rPr>
  </w:style>
  <w:style w:type="paragraph" w:customStyle="1" w:styleId="Fichefinanciretravailtitreacte">
    <w:name w:val="Fiche financière (travail) titre (acte)"/>
    <w:basedOn w:val="Normal"/>
    <w:next w:val="Normal"/>
    <w:rsid w:val="00BD152F"/>
    <w:pPr>
      <w:jc w:val="center"/>
    </w:pPr>
    <w:rPr>
      <w:rFonts w:eastAsia="Times New Roman"/>
      <w:b/>
      <w:u w:val="single"/>
      <w:lang w:val="fr-FR" w:eastAsia="en-GB"/>
    </w:rPr>
  </w:style>
  <w:style w:type="paragraph" w:customStyle="1" w:styleId="Fichefinancireattributiontitre">
    <w:name w:val="Fiche financière (attribution) titre"/>
    <w:basedOn w:val="Normal"/>
    <w:next w:val="Normal"/>
    <w:rsid w:val="00BD152F"/>
    <w:pPr>
      <w:jc w:val="center"/>
    </w:pPr>
    <w:rPr>
      <w:rFonts w:eastAsia="Times New Roman"/>
      <w:b/>
      <w:u w:val="single"/>
      <w:lang w:val="fr-FR" w:eastAsia="en-GB"/>
    </w:rPr>
  </w:style>
  <w:style w:type="paragraph" w:customStyle="1" w:styleId="Fichefinancireattributiontitreacte">
    <w:name w:val="Fiche financière (attribution) titre (acte)"/>
    <w:basedOn w:val="Normal"/>
    <w:next w:val="Normal"/>
    <w:rsid w:val="00BD152F"/>
    <w:pPr>
      <w:jc w:val="center"/>
    </w:pPr>
    <w:rPr>
      <w:rFonts w:eastAsia="Times New Roman"/>
      <w:b/>
      <w:u w:val="single"/>
      <w:lang w:val="fr-FR" w:eastAsia="en-GB"/>
    </w:rPr>
  </w:style>
  <w:style w:type="character" w:styleId="CommentReference">
    <w:name w:val="annotation reference"/>
    <w:uiPriority w:val="99"/>
    <w:rsid w:val="00BD152F"/>
    <w:rPr>
      <w:rFonts w:cs="Times New Roman"/>
      <w:sz w:val="16"/>
      <w:szCs w:val="16"/>
    </w:rPr>
  </w:style>
  <w:style w:type="paragraph" w:styleId="CommentText">
    <w:name w:val="annotation text"/>
    <w:basedOn w:val="Normal"/>
    <w:link w:val="CommentTextChar"/>
    <w:uiPriority w:val="99"/>
    <w:rsid w:val="00BD152F"/>
    <w:rPr>
      <w:rFonts w:eastAsia="Times New Roman"/>
      <w:sz w:val="20"/>
      <w:szCs w:val="20"/>
      <w:lang w:val="fr-FR" w:eastAsia="en-GB"/>
    </w:rPr>
  </w:style>
  <w:style w:type="character" w:customStyle="1" w:styleId="CommentTextChar">
    <w:name w:val="Comment Text Char"/>
    <w:basedOn w:val="DefaultParagraphFont"/>
    <w:link w:val="CommentText"/>
    <w:uiPriority w:val="99"/>
    <w:rsid w:val="00BD152F"/>
    <w:rPr>
      <w:rFonts w:ascii="Times New Roman" w:eastAsia="Times New Roman" w:hAnsi="Times New Roman" w:cs="Times New Roman"/>
      <w:sz w:val="20"/>
      <w:szCs w:val="20"/>
      <w:lang w:val="fr-FR" w:eastAsia="en-GB"/>
    </w:rPr>
  </w:style>
  <w:style w:type="paragraph" w:styleId="CommentSubject">
    <w:name w:val="annotation subject"/>
    <w:basedOn w:val="CommentText"/>
    <w:next w:val="CommentText"/>
    <w:link w:val="CommentSubjectChar"/>
    <w:rsid w:val="00BD152F"/>
    <w:rPr>
      <w:b/>
      <w:bCs/>
    </w:rPr>
  </w:style>
  <w:style w:type="character" w:customStyle="1" w:styleId="CommentSubjectChar">
    <w:name w:val="Comment Subject Char"/>
    <w:basedOn w:val="CommentTextChar"/>
    <w:link w:val="CommentSubject"/>
    <w:rsid w:val="00BD152F"/>
    <w:rPr>
      <w:rFonts w:ascii="Times New Roman" w:eastAsia="Times New Roman" w:hAnsi="Times New Roman" w:cs="Times New Roman"/>
      <w:b/>
      <w:bCs/>
      <w:sz w:val="20"/>
      <w:szCs w:val="20"/>
      <w:lang w:val="fr-FR" w:eastAsia="en-GB"/>
    </w:rPr>
  </w:style>
  <w:style w:type="paragraph" w:styleId="BalloonText">
    <w:name w:val="Balloon Text"/>
    <w:basedOn w:val="Normal"/>
    <w:link w:val="BalloonTextChar"/>
    <w:rsid w:val="00BD152F"/>
    <w:rPr>
      <w:rFonts w:ascii="Tahoma" w:eastAsia="Times New Roman" w:hAnsi="Tahoma" w:cs="Tahoma"/>
      <w:sz w:val="16"/>
      <w:szCs w:val="16"/>
      <w:lang w:val="fr-FR" w:eastAsia="en-GB"/>
    </w:rPr>
  </w:style>
  <w:style w:type="character" w:customStyle="1" w:styleId="BalloonTextChar">
    <w:name w:val="Balloon Text Char"/>
    <w:basedOn w:val="DefaultParagraphFont"/>
    <w:link w:val="BalloonText"/>
    <w:rsid w:val="00BD152F"/>
    <w:rPr>
      <w:rFonts w:ascii="Tahoma" w:eastAsia="Times New Roman" w:hAnsi="Tahoma" w:cs="Tahoma"/>
      <w:sz w:val="16"/>
      <w:szCs w:val="16"/>
      <w:lang w:val="fr-FR" w:eastAsia="en-GB"/>
    </w:rPr>
  </w:style>
  <w:style w:type="paragraph" w:styleId="Caption">
    <w:name w:val="caption"/>
    <w:basedOn w:val="Normal"/>
    <w:next w:val="Normal"/>
    <w:qFormat/>
    <w:rsid w:val="00BD152F"/>
    <w:rPr>
      <w:rFonts w:eastAsia="Times New Roman"/>
      <w:b/>
      <w:bCs/>
      <w:sz w:val="20"/>
      <w:szCs w:val="20"/>
      <w:lang w:val="fr-FR" w:eastAsia="en-GB"/>
    </w:rPr>
  </w:style>
  <w:style w:type="paragraph" w:styleId="TableofFigures">
    <w:name w:val="table of figures"/>
    <w:basedOn w:val="Normal"/>
    <w:next w:val="Normal"/>
    <w:rsid w:val="00BD152F"/>
    <w:rPr>
      <w:rFonts w:eastAsia="Times New Roman"/>
      <w:lang w:val="fr-FR" w:eastAsia="en-GB"/>
    </w:rPr>
  </w:style>
  <w:style w:type="character" w:styleId="PageNumber">
    <w:name w:val="page number"/>
    <w:rsid w:val="00BD152F"/>
  </w:style>
  <w:style w:type="character" w:customStyle="1" w:styleId="tw4winMark">
    <w:name w:val="tw4winMark"/>
    <w:rsid w:val="00BD152F"/>
    <w:rPr>
      <w:vanish/>
      <w:color w:val="800080"/>
      <w:vertAlign w:val="subscript"/>
    </w:rPr>
  </w:style>
  <w:style w:type="character" w:styleId="FollowedHyperlink">
    <w:name w:val="FollowedHyperlink"/>
    <w:rsid w:val="00BD152F"/>
    <w:rPr>
      <w:color w:val="800080"/>
      <w:u w:val="single"/>
    </w:rPr>
  </w:style>
  <w:style w:type="paragraph" w:customStyle="1" w:styleId="Sous-titreobjet">
    <w:name w:val="Sous-titre objet"/>
    <w:basedOn w:val="Normal"/>
    <w:rsid w:val="00BD152F"/>
    <w:pPr>
      <w:spacing w:before="0" w:after="0"/>
      <w:jc w:val="center"/>
    </w:pPr>
    <w:rPr>
      <w:rFonts w:eastAsia="Times New Roman"/>
      <w:b/>
      <w:lang w:eastAsia="en-GB"/>
    </w:rPr>
  </w:style>
  <w:style w:type="paragraph" w:customStyle="1" w:styleId="Sous-titreobjetPagedecouverture">
    <w:name w:val="Sous-titre objet (Page de couverture)"/>
    <w:basedOn w:val="Sous-titreobjet"/>
    <w:rsid w:val="00BD152F"/>
  </w:style>
  <w:style w:type="paragraph" w:styleId="Revision">
    <w:name w:val="Revision"/>
    <w:hidden/>
    <w:uiPriority w:val="99"/>
    <w:semiHidden/>
    <w:rsid w:val="00BD152F"/>
    <w:rPr>
      <w:rFonts w:ascii="Calibri" w:eastAsia="Calibri" w:hAnsi="Calibri" w:cs="Times New Roman"/>
      <w:sz w:val="24"/>
      <w:lang w:val="en-GB" w:eastAsia="en-GB"/>
    </w:rPr>
  </w:style>
  <w:style w:type="paragraph" w:customStyle="1" w:styleId="FooterCoverPage">
    <w:name w:val="Footer Cover Page"/>
    <w:basedOn w:val="Normal"/>
    <w:link w:val="FooterCoverPageChar"/>
    <w:rsid w:val="00BD152F"/>
    <w:pPr>
      <w:tabs>
        <w:tab w:val="center" w:pos="4535"/>
        <w:tab w:val="right" w:pos="9071"/>
        <w:tab w:val="right" w:pos="9921"/>
      </w:tabs>
      <w:spacing w:before="360" w:after="0"/>
      <w:ind w:left="-850" w:right="-850"/>
      <w:jc w:val="left"/>
    </w:pPr>
    <w:rPr>
      <w:rFonts w:eastAsia="Calibri"/>
      <w:lang w:eastAsia="en-GB"/>
    </w:rPr>
  </w:style>
  <w:style w:type="character" w:customStyle="1" w:styleId="TOCHeadingChar">
    <w:name w:val="TOC Heading Char"/>
    <w:uiPriority w:val="39"/>
    <w:rsid w:val="00BD152F"/>
    <w:rPr>
      <w:rFonts w:ascii="Times New Roman" w:hAnsi="Times New Roman" w:cs="Times New Roman"/>
      <w:b/>
      <w:sz w:val="28"/>
      <w:lang w:val="en-GB"/>
    </w:rPr>
  </w:style>
  <w:style w:type="character" w:customStyle="1" w:styleId="FooterCoverPageChar">
    <w:name w:val="Footer Cover Page Char"/>
    <w:link w:val="FooterCoverPage"/>
    <w:rsid w:val="00BD152F"/>
    <w:rPr>
      <w:rFonts w:ascii="Times New Roman" w:eastAsia="Calibri" w:hAnsi="Times New Roman" w:cs="Times New Roman"/>
      <w:sz w:val="24"/>
      <w:lang w:val="en-GB" w:eastAsia="en-GB"/>
    </w:rPr>
  </w:style>
  <w:style w:type="paragraph" w:customStyle="1" w:styleId="HeaderCoverPage">
    <w:name w:val="Header Cover Page"/>
    <w:basedOn w:val="Normal"/>
    <w:link w:val="HeaderCoverPageChar"/>
    <w:rsid w:val="00BD152F"/>
    <w:pPr>
      <w:tabs>
        <w:tab w:val="center" w:pos="4535"/>
        <w:tab w:val="right" w:pos="9071"/>
      </w:tabs>
      <w:spacing w:before="0"/>
    </w:pPr>
    <w:rPr>
      <w:rFonts w:eastAsia="Calibri"/>
      <w:lang w:eastAsia="en-GB"/>
    </w:rPr>
  </w:style>
  <w:style w:type="character" w:customStyle="1" w:styleId="HeaderCoverPageChar">
    <w:name w:val="Header Cover Page Char"/>
    <w:link w:val="HeaderCoverPage"/>
    <w:rsid w:val="00BD152F"/>
    <w:rPr>
      <w:rFonts w:ascii="Times New Roman" w:eastAsia="Calibri" w:hAnsi="Times New Roman" w:cs="Times New Roman"/>
      <w:sz w:val="24"/>
      <w:lang w:val="en-GB" w:eastAsia="en-GB"/>
    </w:rPr>
  </w:style>
  <w:style w:type="character" w:customStyle="1" w:styleId="FooterSensitivityChar">
    <w:name w:val="Footer Sensitivity Char"/>
    <w:rsid w:val="00BD152F"/>
    <w:rPr>
      <w:rFonts w:ascii="Times New Roman" w:hAnsi="Times New Roman" w:cs="Times New Roman"/>
      <w:b/>
      <w:sz w:val="32"/>
      <w:lang w:val="en-GB"/>
    </w:rPr>
  </w:style>
  <w:style w:type="character" w:customStyle="1" w:styleId="HeaderSensitivityChar">
    <w:name w:val="Header Sensitivity Char"/>
    <w:rsid w:val="00BD152F"/>
    <w:rPr>
      <w:rFonts w:ascii="Times New Roman" w:hAnsi="Times New Roman" w:cs="Times New Roman"/>
      <w:b/>
      <w:sz w:val="32"/>
      <w:lang w:val="en-GB"/>
    </w:rPr>
  </w:style>
  <w:style w:type="character" w:customStyle="1" w:styleId="HeaderSensitivityRightChar">
    <w:name w:val="Header Sensitivity Right Char"/>
    <w:rsid w:val="00BD152F"/>
    <w:rPr>
      <w:rFonts w:ascii="Times New Roman" w:hAnsi="Times New Roman" w:cs="Times New Roman"/>
      <w:sz w:val="28"/>
      <w:lang w:val="en-GB"/>
    </w:rPr>
  </w:style>
  <w:style w:type="paragraph" w:styleId="ListParagraph">
    <w:name w:val="List Paragraph"/>
    <w:aliases w:val="1st level - Bullet List Paragraph,Lettre d'introduction,Paragrafo elenco,List Paragraph1,Medium Grid 1 - Accent 21,FooterText,Paragraphe de liste1,Heading 2_sj,Numbered Para 1,Dot pt,No Spacing1,List Paragraph Char Char Char,lp1"/>
    <w:basedOn w:val="Normal"/>
    <w:link w:val="ListParagraphChar"/>
    <w:uiPriority w:val="34"/>
    <w:qFormat/>
    <w:rsid w:val="00D60020"/>
    <w:pPr>
      <w:ind w:left="720"/>
      <w:contextualSpacing/>
    </w:pPr>
  </w:style>
  <w:style w:type="paragraph" w:customStyle="1" w:styleId="norm">
    <w:name w:val="norm"/>
    <w:basedOn w:val="Normal"/>
    <w:rsid w:val="008B77BD"/>
    <w:pPr>
      <w:spacing w:before="100" w:beforeAutospacing="1" w:after="100" w:afterAutospacing="1"/>
      <w:jc w:val="left"/>
    </w:pPr>
    <w:rPr>
      <w:rFonts w:eastAsia="Times New Roman"/>
      <w:szCs w:val="24"/>
      <w:lang w:val="en-IE" w:eastAsia="en-IE"/>
    </w:rPr>
  </w:style>
  <w:style w:type="paragraph" w:customStyle="1" w:styleId="sti-art">
    <w:name w:val="sti-art"/>
    <w:basedOn w:val="Normal"/>
    <w:rsid w:val="008B77BD"/>
    <w:pPr>
      <w:spacing w:before="100" w:beforeAutospacing="1" w:after="100" w:afterAutospacing="1"/>
      <w:jc w:val="left"/>
    </w:pPr>
    <w:rPr>
      <w:rFonts w:eastAsia="Times New Roman"/>
      <w:szCs w:val="24"/>
      <w:lang w:val="en-IE" w:eastAsia="en-IE"/>
    </w:rPr>
  </w:style>
  <w:style w:type="character" w:customStyle="1" w:styleId="ListParagraphChar">
    <w:name w:val="List Paragraph Char"/>
    <w:aliases w:val="1st level - Bullet List Paragraph Char,Lettre d'introduction Char,Paragrafo elenco Char,List Paragraph1 Char,Medium Grid 1 - Accent 21 Char,FooterText Char,Paragraphe de liste1 Char,Heading 2_sj Char,Numbered Para 1 Char,Dot pt Char"/>
    <w:link w:val="ListParagraph"/>
    <w:uiPriority w:val="34"/>
    <w:qFormat/>
    <w:locked/>
    <w:rsid w:val="008B77BD"/>
    <w:rPr>
      <w:rFonts w:ascii="Times New Roman" w:hAnsi="Times New Roman" w:cs="Times New Roman"/>
      <w:sz w:val="24"/>
      <w:lang w:val="en-GB"/>
    </w:rPr>
  </w:style>
  <w:style w:type="paragraph" w:customStyle="1" w:styleId="stitle-article-norm">
    <w:name w:val="stitle-article-norm"/>
    <w:basedOn w:val="Normal"/>
    <w:rsid w:val="00EF684D"/>
    <w:pPr>
      <w:spacing w:before="100" w:beforeAutospacing="1" w:after="100" w:afterAutospacing="1"/>
      <w:jc w:val="left"/>
    </w:pPr>
    <w:rPr>
      <w:rFonts w:eastAsia="Times New Roman"/>
      <w:szCs w:val="24"/>
      <w:lang w:val="en-IE" w:eastAsia="en-IE"/>
    </w:rPr>
  </w:style>
  <w:style w:type="character" w:customStyle="1" w:styleId="UnresolvedMention1">
    <w:name w:val="Unresolved Mention1"/>
    <w:basedOn w:val="DefaultParagraphFont"/>
    <w:uiPriority w:val="99"/>
    <w:unhideWhenUsed/>
    <w:rsid w:val="00630070"/>
    <w:rPr>
      <w:color w:val="605E5C"/>
      <w:shd w:val="clear" w:color="auto" w:fill="E1DFDD"/>
    </w:rPr>
  </w:style>
  <w:style w:type="paragraph" w:customStyle="1" w:styleId="paragraph">
    <w:name w:val="paragraph"/>
    <w:basedOn w:val="Normal"/>
    <w:rsid w:val="0050683A"/>
    <w:pPr>
      <w:spacing w:before="100" w:beforeAutospacing="1" w:after="100" w:afterAutospacing="1"/>
      <w:jc w:val="left"/>
    </w:pPr>
    <w:rPr>
      <w:rFonts w:eastAsia="Times New Roman"/>
      <w:szCs w:val="24"/>
      <w:lang w:val="en-IE" w:eastAsia="en-IE"/>
    </w:rPr>
  </w:style>
  <w:style w:type="character" w:customStyle="1" w:styleId="normaltextrun">
    <w:name w:val="normaltextrun"/>
    <w:basedOn w:val="DefaultParagraphFont"/>
    <w:rsid w:val="0050683A"/>
  </w:style>
  <w:style w:type="character" w:customStyle="1" w:styleId="superscript">
    <w:name w:val="superscript"/>
    <w:basedOn w:val="DefaultParagraphFont"/>
    <w:rsid w:val="0050683A"/>
  </w:style>
  <w:style w:type="character" w:customStyle="1" w:styleId="eop">
    <w:name w:val="eop"/>
    <w:basedOn w:val="DefaultParagraphFont"/>
    <w:rsid w:val="0050683A"/>
  </w:style>
  <w:style w:type="character" w:customStyle="1" w:styleId="scxw40243477">
    <w:name w:val="scxw40243477"/>
    <w:basedOn w:val="DefaultParagraphFont"/>
    <w:rsid w:val="0079610B"/>
  </w:style>
  <w:style w:type="character" w:customStyle="1" w:styleId="tabchar">
    <w:name w:val="tabchar"/>
    <w:basedOn w:val="DefaultParagraphFont"/>
    <w:rsid w:val="00EC18A5"/>
  </w:style>
  <w:style w:type="character" w:customStyle="1" w:styleId="scxw109959220">
    <w:name w:val="scxw109959220"/>
    <w:basedOn w:val="DefaultParagraphFont"/>
    <w:rsid w:val="00682C4D"/>
  </w:style>
  <w:style w:type="character" w:customStyle="1" w:styleId="Mention1">
    <w:name w:val="Mention1"/>
    <w:basedOn w:val="DefaultParagraphFont"/>
    <w:uiPriority w:val="99"/>
    <w:unhideWhenUsed/>
    <w:rsid w:val="00201CC4"/>
    <w:rPr>
      <w:color w:val="2B579A"/>
      <w:shd w:val="clear" w:color="auto" w:fill="E1DFDD"/>
    </w:rPr>
  </w:style>
  <w:style w:type="table" w:customStyle="1" w:styleId="HTG1">
    <w:name w:val="HTG1"/>
    <w:basedOn w:val="TableNormal"/>
    <w:next w:val="TableGrid"/>
    <w:uiPriority w:val="39"/>
    <w:rsid w:val="00237D17"/>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ree-title">
    <w:name w:val="tree-title"/>
    <w:basedOn w:val="DefaultParagraphFont"/>
    <w:rsid w:val="003E7DDB"/>
  </w:style>
  <w:style w:type="paragraph" w:styleId="NormalWeb">
    <w:name w:val="Normal (Web)"/>
    <w:basedOn w:val="Normal"/>
    <w:uiPriority w:val="99"/>
    <w:unhideWhenUsed/>
    <w:rsid w:val="004A2FD7"/>
    <w:pPr>
      <w:spacing w:before="100" w:beforeAutospacing="1" w:after="100" w:afterAutospacing="1"/>
      <w:jc w:val="left"/>
    </w:pPr>
    <w:rPr>
      <w:rFonts w:eastAsia="Times New Roman"/>
      <w:szCs w:val="24"/>
      <w:lang w:val="fr-FR" w:eastAsia="fr-FR"/>
    </w:rPr>
  </w:style>
  <w:style w:type="paragraph" w:styleId="Header">
    <w:name w:val="header"/>
    <w:basedOn w:val="Normal"/>
    <w:link w:val="HeaderChar"/>
    <w:uiPriority w:val="99"/>
    <w:unhideWhenUsed/>
    <w:rsid w:val="001F75A6"/>
    <w:pPr>
      <w:tabs>
        <w:tab w:val="center" w:pos="4535"/>
        <w:tab w:val="right" w:pos="9071"/>
      </w:tabs>
      <w:spacing w:before="0"/>
    </w:pPr>
  </w:style>
  <w:style w:type="character" w:customStyle="1" w:styleId="HeaderChar">
    <w:name w:val="Header Char"/>
    <w:basedOn w:val="DefaultParagraphFont"/>
    <w:link w:val="Header"/>
    <w:uiPriority w:val="99"/>
    <w:rsid w:val="001F75A6"/>
    <w:rPr>
      <w:rFonts w:ascii="Times New Roman" w:hAnsi="Times New Roman" w:cs="Times New Roman"/>
      <w:sz w:val="24"/>
      <w:lang w:val="en-GB"/>
    </w:rPr>
  </w:style>
  <w:style w:type="paragraph" w:styleId="Footer">
    <w:name w:val="footer"/>
    <w:basedOn w:val="Normal"/>
    <w:link w:val="FooterChar"/>
    <w:uiPriority w:val="99"/>
    <w:unhideWhenUsed/>
    <w:rsid w:val="001F75A6"/>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1F75A6"/>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character" w:customStyle="1" w:styleId="Heading5Char">
    <w:name w:val="Heading 5 Char"/>
    <w:basedOn w:val="DefaultParagraphFont"/>
    <w:link w:val="Heading5"/>
    <w:uiPriority w:val="9"/>
    <w:semiHidden/>
    <w:rPr>
      <w:rFonts w:ascii="Times New Roman" w:eastAsiaTheme="majorEastAsia" w:hAnsi="Times New Roman" w:cs="Times New Roman"/>
      <w:sz w:val="24"/>
      <w:lang w:val="en-GB"/>
    </w:rPr>
  </w:style>
  <w:style w:type="character" w:customStyle="1" w:styleId="Heading6Char">
    <w:name w:val="Heading 6 Char"/>
    <w:basedOn w:val="DefaultParagraphFont"/>
    <w:link w:val="Heading6"/>
    <w:uiPriority w:val="9"/>
    <w:semiHidden/>
    <w:rPr>
      <w:rFonts w:ascii="Times New Roman" w:eastAsiaTheme="majorEastAsia" w:hAnsi="Times New Roman" w:cs="Times New Roman"/>
      <w:iCs/>
      <w:sz w:val="24"/>
      <w:lang w:val="en-GB"/>
    </w:rPr>
  </w:style>
  <w:style w:type="character" w:customStyle="1" w:styleId="Heading7Char">
    <w:name w:val="Heading 7 Char"/>
    <w:basedOn w:val="DefaultParagraphFont"/>
    <w:link w:val="Heading7"/>
    <w:uiPriority w:val="9"/>
    <w:semiHidden/>
    <w:rPr>
      <w:rFonts w:ascii="Times New Roman" w:eastAsiaTheme="majorEastAsia" w:hAnsi="Times New Roman" w:cs="Times New Roman"/>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ind w:left="1417" w:hanging="1417"/>
      <w:jc w:val="left"/>
    </w:pPr>
  </w:style>
  <w:style w:type="paragraph" w:customStyle="1" w:styleId="HeaderLandscape">
    <w:name w:val="HeaderLandscape"/>
    <w:basedOn w:val="Normal"/>
    <w:rsid w:val="001F75A6"/>
    <w:pPr>
      <w:tabs>
        <w:tab w:val="center" w:pos="7285"/>
        <w:tab w:val="right" w:pos="14003"/>
      </w:tabs>
      <w:spacing w:before="0"/>
    </w:pPr>
  </w:style>
  <w:style w:type="paragraph" w:customStyle="1" w:styleId="FooterLandscape">
    <w:name w:val="FooterLandscape"/>
    <w:basedOn w:val="Normal"/>
    <w:rsid w:val="001F75A6"/>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1F75A6"/>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rsid w:val="001F75A6"/>
    <w:pPr>
      <w:spacing w:before="0"/>
      <w:jc w:val="right"/>
    </w:pPr>
    <w:rPr>
      <w:sz w:val="28"/>
    </w:rPr>
  </w:style>
  <w:style w:type="paragraph" w:customStyle="1" w:styleId="FooterSensitivity">
    <w:name w:val="Footer Sensitivity"/>
    <w:basedOn w:val="Normal"/>
    <w:rsid w:val="001F75A6"/>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Text5">
    <w:name w:val="Text 5"/>
    <w:basedOn w:val="Normal"/>
    <w:pPr>
      <w:ind w:left="3118"/>
    </w:pPr>
  </w:style>
  <w:style w:type="paragraph" w:customStyle="1" w:styleId="Text6">
    <w:name w:val="Text 6"/>
    <w:basedOn w:val="Normal"/>
    <w:pPr>
      <w:ind w:left="3685"/>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Point5">
    <w:name w:val="Point 5"/>
    <w:basedOn w:val="Normal"/>
    <w:pPr>
      <w:ind w:left="3685" w:hanging="567"/>
    </w:pPr>
  </w:style>
  <w:style w:type="paragraph" w:customStyle="1" w:styleId="Tiret0">
    <w:name w:val="Tiret 0"/>
    <w:basedOn w:val="Point0"/>
    <w:pPr>
      <w:numPr>
        <w:numId w:val="45"/>
      </w:numPr>
    </w:pPr>
  </w:style>
  <w:style w:type="paragraph" w:customStyle="1" w:styleId="Tiret1">
    <w:name w:val="Tiret 1"/>
    <w:basedOn w:val="Point1"/>
    <w:pPr>
      <w:numPr>
        <w:numId w:val="46"/>
      </w:numPr>
    </w:pPr>
  </w:style>
  <w:style w:type="paragraph" w:customStyle="1" w:styleId="Tiret2">
    <w:name w:val="Tiret 2"/>
    <w:basedOn w:val="Point2"/>
    <w:pPr>
      <w:numPr>
        <w:numId w:val="47"/>
      </w:numPr>
    </w:pPr>
  </w:style>
  <w:style w:type="paragraph" w:customStyle="1" w:styleId="Tiret3">
    <w:name w:val="Tiret 3"/>
    <w:basedOn w:val="Point3"/>
    <w:pPr>
      <w:numPr>
        <w:numId w:val="48"/>
      </w:numPr>
    </w:pPr>
  </w:style>
  <w:style w:type="paragraph" w:customStyle="1" w:styleId="Tiret4">
    <w:name w:val="Tiret 4"/>
    <w:basedOn w:val="Point4"/>
    <w:pPr>
      <w:numPr>
        <w:numId w:val="49"/>
      </w:numPr>
    </w:pPr>
  </w:style>
  <w:style w:type="paragraph" w:customStyle="1" w:styleId="Tiret5">
    <w:name w:val="Tiret 5"/>
    <w:basedOn w:val="Point5"/>
    <w:pPr>
      <w:numPr>
        <w:numId w:val="5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51"/>
      </w:numPr>
    </w:pPr>
  </w:style>
  <w:style w:type="paragraph" w:customStyle="1" w:styleId="NumPar2">
    <w:name w:val="NumPar 2"/>
    <w:basedOn w:val="Normal"/>
    <w:next w:val="Text1"/>
    <w:pPr>
      <w:numPr>
        <w:ilvl w:val="1"/>
        <w:numId w:val="51"/>
      </w:numPr>
    </w:pPr>
  </w:style>
  <w:style w:type="paragraph" w:customStyle="1" w:styleId="NumPar3">
    <w:name w:val="NumPar 3"/>
    <w:basedOn w:val="Normal"/>
    <w:next w:val="Text1"/>
    <w:pPr>
      <w:numPr>
        <w:ilvl w:val="2"/>
        <w:numId w:val="51"/>
      </w:numPr>
    </w:pPr>
  </w:style>
  <w:style w:type="paragraph" w:customStyle="1" w:styleId="NumPar4">
    <w:name w:val="NumPar 4"/>
    <w:basedOn w:val="Normal"/>
    <w:next w:val="Text1"/>
    <w:pPr>
      <w:numPr>
        <w:ilvl w:val="3"/>
        <w:numId w:val="51"/>
      </w:numPr>
    </w:pPr>
  </w:style>
  <w:style w:type="paragraph" w:customStyle="1" w:styleId="NumPar5">
    <w:name w:val="NumPar 5"/>
    <w:basedOn w:val="Normal"/>
    <w:next w:val="Text2"/>
    <w:pPr>
      <w:numPr>
        <w:ilvl w:val="4"/>
        <w:numId w:val="51"/>
      </w:numPr>
    </w:pPr>
  </w:style>
  <w:style w:type="paragraph" w:customStyle="1" w:styleId="NumPar6">
    <w:name w:val="NumPar 6"/>
    <w:basedOn w:val="Normal"/>
    <w:next w:val="Text2"/>
    <w:pPr>
      <w:numPr>
        <w:ilvl w:val="5"/>
        <w:numId w:val="51"/>
      </w:numPr>
    </w:pPr>
  </w:style>
  <w:style w:type="paragraph" w:customStyle="1" w:styleId="NumPar7">
    <w:name w:val="NumPar 7"/>
    <w:basedOn w:val="Normal"/>
    <w:next w:val="Text2"/>
    <w:pPr>
      <w:numPr>
        <w:ilvl w:val="6"/>
        <w:numId w:val="5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ManualNumPar5">
    <w:name w:val="Manual NumPar 5"/>
    <w:basedOn w:val="Normal"/>
    <w:next w:val="Text2"/>
    <w:pPr>
      <w:ind w:left="1417" w:hanging="1417"/>
    </w:pPr>
  </w:style>
  <w:style w:type="paragraph" w:customStyle="1" w:styleId="ManualNumPar6">
    <w:name w:val="Manual NumPar 6"/>
    <w:basedOn w:val="Normal"/>
    <w:next w:val="Text2"/>
    <w:pPr>
      <w:ind w:left="1417" w:hanging="1417"/>
    </w:pPr>
  </w:style>
  <w:style w:type="paragraph" w:customStyle="1" w:styleId="ManualNumPar7">
    <w:name w:val="Manual NumPar 7"/>
    <w:basedOn w:val="Normal"/>
    <w:next w:val="Text2"/>
    <w:pPr>
      <w:ind w:left="1417" w:hanging="1417"/>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ManualHeading5">
    <w:name w:val="Manual Heading 5"/>
    <w:basedOn w:val="Normal"/>
    <w:next w:val="Text2"/>
    <w:pPr>
      <w:keepNext/>
      <w:tabs>
        <w:tab w:val="left" w:pos="1417"/>
      </w:tabs>
      <w:ind w:left="1417" w:hanging="1417"/>
      <w:outlineLvl w:val="4"/>
    </w:pPr>
  </w:style>
  <w:style w:type="paragraph" w:customStyle="1" w:styleId="ManualHeading6">
    <w:name w:val="Manual Heading 6"/>
    <w:basedOn w:val="Normal"/>
    <w:next w:val="Text2"/>
    <w:pPr>
      <w:keepNext/>
      <w:tabs>
        <w:tab w:val="left" w:pos="1417"/>
      </w:tabs>
      <w:ind w:left="1417" w:hanging="1417"/>
      <w:outlineLvl w:val="5"/>
    </w:pPr>
  </w:style>
  <w:style w:type="paragraph" w:customStyle="1" w:styleId="ManualHeading7">
    <w:name w:val="Manual Heading 7"/>
    <w:basedOn w:val="Normal"/>
    <w:next w:val="Text2"/>
    <w:pPr>
      <w:keepNext/>
      <w:tabs>
        <w:tab w:val="left" w:pos="1417"/>
      </w:tabs>
      <w:ind w:left="1417" w:hanging="1417"/>
      <w:outlineLvl w:val="6"/>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sid w:val="00AB0BA0"/>
    <w:rPr>
      <w:color w:val="0000FF"/>
      <w:bdr w:val="none" w:sz="0" w:space="0" w:color="auto"/>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53"/>
      </w:numPr>
    </w:pPr>
  </w:style>
  <w:style w:type="paragraph" w:customStyle="1" w:styleId="Point1number">
    <w:name w:val="Point 1 (number)"/>
    <w:basedOn w:val="Normal"/>
    <w:pPr>
      <w:numPr>
        <w:ilvl w:val="2"/>
        <w:numId w:val="53"/>
      </w:numPr>
    </w:pPr>
  </w:style>
  <w:style w:type="paragraph" w:customStyle="1" w:styleId="Point2number">
    <w:name w:val="Point 2 (number)"/>
    <w:basedOn w:val="Normal"/>
    <w:pPr>
      <w:numPr>
        <w:ilvl w:val="4"/>
        <w:numId w:val="53"/>
      </w:numPr>
    </w:pPr>
  </w:style>
  <w:style w:type="paragraph" w:customStyle="1" w:styleId="Point3number">
    <w:name w:val="Point 3 (number)"/>
    <w:basedOn w:val="Normal"/>
    <w:pPr>
      <w:numPr>
        <w:ilvl w:val="6"/>
        <w:numId w:val="53"/>
      </w:numPr>
    </w:pPr>
  </w:style>
  <w:style w:type="paragraph" w:customStyle="1" w:styleId="Point0letter">
    <w:name w:val="Point 0 (letter)"/>
    <w:basedOn w:val="Normal"/>
    <w:pPr>
      <w:numPr>
        <w:ilvl w:val="1"/>
        <w:numId w:val="53"/>
      </w:numPr>
    </w:pPr>
  </w:style>
  <w:style w:type="paragraph" w:customStyle="1" w:styleId="Point1letter">
    <w:name w:val="Point 1 (letter)"/>
    <w:basedOn w:val="Normal"/>
    <w:pPr>
      <w:numPr>
        <w:ilvl w:val="3"/>
        <w:numId w:val="53"/>
      </w:numPr>
    </w:pPr>
  </w:style>
  <w:style w:type="paragraph" w:customStyle="1" w:styleId="Point2letter">
    <w:name w:val="Point 2 (letter)"/>
    <w:basedOn w:val="Normal"/>
    <w:pPr>
      <w:numPr>
        <w:ilvl w:val="5"/>
        <w:numId w:val="53"/>
      </w:numPr>
    </w:pPr>
  </w:style>
  <w:style w:type="paragraph" w:customStyle="1" w:styleId="Point3letter">
    <w:name w:val="Point 3 (letter)"/>
    <w:basedOn w:val="Normal"/>
    <w:pPr>
      <w:numPr>
        <w:ilvl w:val="7"/>
        <w:numId w:val="53"/>
      </w:numPr>
    </w:pPr>
  </w:style>
  <w:style w:type="paragraph" w:customStyle="1" w:styleId="Point4letter">
    <w:name w:val="Point 4 (letter)"/>
    <w:basedOn w:val="Normal"/>
    <w:pPr>
      <w:numPr>
        <w:ilvl w:val="8"/>
        <w:numId w:val="53"/>
      </w:numPr>
    </w:pPr>
  </w:style>
  <w:style w:type="paragraph" w:customStyle="1" w:styleId="Bullet0">
    <w:name w:val="Bullet 0"/>
    <w:basedOn w:val="Normal"/>
    <w:pPr>
      <w:numPr>
        <w:numId w:val="54"/>
      </w:numPr>
    </w:pPr>
  </w:style>
  <w:style w:type="paragraph" w:customStyle="1" w:styleId="Bullet1">
    <w:name w:val="Bullet 1"/>
    <w:basedOn w:val="Normal"/>
    <w:pPr>
      <w:numPr>
        <w:numId w:val="55"/>
      </w:numPr>
    </w:pPr>
  </w:style>
  <w:style w:type="paragraph" w:customStyle="1" w:styleId="Bullet2">
    <w:name w:val="Bullet 2"/>
    <w:basedOn w:val="Normal"/>
    <w:pPr>
      <w:numPr>
        <w:numId w:val="56"/>
      </w:numPr>
    </w:pPr>
  </w:style>
  <w:style w:type="paragraph" w:customStyle="1" w:styleId="Bullet3">
    <w:name w:val="Bullet 3"/>
    <w:basedOn w:val="Normal"/>
    <w:pPr>
      <w:numPr>
        <w:numId w:val="57"/>
      </w:numPr>
    </w:pPr>
  </w:style>
  <w:style w:type="paragraph" w:customStyle="1" w:styleId="Bullet4">
    <w:name w:val="Bullet 4"/>
    <w:basedOn w:val="Normal"/>
    <w:pPr>
      <w:numPr>
        <w:numId w:val="5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link w:val="StatutChar"/>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 w:type="paragraph" w:customStyle="1" w:styleId="TechnicalBlock">
    <w:name w:val="Technical Block"/>
    <w:basedOn w:val="Normal"/>
    <w:link w:val="TechnicalBlockChar"/>
    <w:rsid w:val="00AB0BA0"/>
    <w:pPr>
      <w:spacing w:before="0" w:after="240"/>
      <w:jc w:val="center"/>
    </w:pPr>
    <w:rPr>
      <w:noProof/>
    </w:rPr>
  </w:style>
  <w:style w:type="character" w:customStyle="1" w:styleId="StatutChar">
    <w:name w:val="Statut Char"/>
    <w:basedOn w:val="DefaultParagraphFont"/>
    <w:link w:val="Statut"/>
    <w:rsid w:val="00AB0BA0"/>
    <w:rPr>
      <w:rFonts w:ascii="Times New Roman" w:hAnsi="Times New Roman" w:cs="Times New Roman"/>
      <w:sz w:val="24"/>
      <w:lang w:val="en-GB"/>
    </w:rPr>
  </w:style>
  <w:style w:type="character" w:customStyle="1" w:styleId="TechnicalBlockChar">
    <w:name w:val="Technical Block Char"/>
    <w:basedOn w:val="StatutChar"/>
    <w:link w:val="TechnicalBlock"/>
    <w:rsid w:val="00AB0BA0"/>
    <w:rPr>
      <w:rFonts w:ascii="Times New Roman" w:hAnsi="Times New Roman" w:cs="Times New Roman"/>
      <w:noProof/>
      <w:sz w:val="24"/>
      <w:lang w:val="en-GB"/>
    </w:rPr>
  </w:style>
  <w:style w:type="paragraph" w:customStyle="1" w:styleId="Lignefinal">
    <w:name w:val="Ligne final"/>
    <w:basedOn w:val="Normal"/>
    <w:next w:val="Normal"/>
    <w:rsid w:val="00AB0BA0"/>
    <w:pPr>
      <w:pBdr>
        <w:bottom w:val="single" w:sz="4" w:space="0" w:color="000000"/>
      </w:pBdr>
      <w:spacing w:before="360" w:line="360" w:lineRule="auto"/>
      <w:ind w:left="3400" w:right="3400"/>
      <w:jc w:val="center"/>
    </w:pPr>
    <w:rPr>
      <w:b/>
    </w:rPr>
  </w:style>
  <w:style w:type="paragraph" w:customStyle="1" w:styleId="EntText">
    <w:name w:val="EntText"/>
    <w:basedOn w:val="Normal"/>
    <w:rsid w:val="00AB0BA0"/>
    <w:pPr>
      <w:spacing w:line="360" w:lineRule="auto"/>
      <w:jc w:val="left"/>
    </w:pPr>
  </w:style>
  <w:style w:type="paragraph" w:customStyle="1" w:styleId="pj">
    <w:name w:val="p.j."/>
    <w:basedOn w:val="Normal"/>
    <w:link w:val="pjChar"/>
    <w:rsid w:val="00AB0BA0"/>
    <w:pPr>
      <w:spacing w:before="1200"/>
      <w:ind w:left="1440" w:hanging="1440"/>
      <w:jc w:val="left"/>
    </w:pPr>
  </w:style>
  <w:style w:type="character" w:customStyle="1" w:styleId="pjChar">
    <w:name w:val="p.j. Char"/>
    <w:basedOn w:val="StatutChar"/>
    <w:link w:val="pj"/>
    <w:rsid w:val="00AB0BA0"/>
    <w:rPr>
      <w:rFonts w:ascii="Times New Roman" w:hAnsi="Times New Roman" w:cs="Times New Roman"/>
      <w:sz w:val="24"/>
      <w:lang w:val="en-GB"/>
    </w:rPr>
  </w:style>
  <w:style w:type="paragraph" w:customStyle="1" w:styleId="nbbordered">
    <w:name w:val="nb bordered"/>
    <w:basedOn w:val="Normal"/>
    <w:link w:val="nbborderedChar"/>
    <w:rsid w:val="00AB0BA0"/>
    <w:pPr>
      <w:pBdr>
        <w:top w:val="single" w:sz="4" w:space="1" w:color="auto"/>
        <w:left w:val="single" w:sz="4" w:space="4" w:color="auto"/>
        <w:bottom w:val="single" w:sz="4" w:space="1" w:color="auto"/>
        <w:right w:val="single" w:sz="4" w:space="4" w:color="auto"/>
        <w:between w:val="single" w:sz="4" w:space="0" w:color="auto"/>
      </w:pBdr>
      <w:spacing w:after="160"/>
      <w:ind w:left="480" w:hanging="480"/>
    </w:pPr>
    <w:rPr>
      <w:b/>
    </w:rPr>
  </w:style>
  <w:style w:type="character" w:customStyle="1" w:styleId="nbborderedChar">
    <w:name w:val="nb bordered Char"/>
    <w:basedOn w:val="StatutChar"/>
    <w:link w:val="nbbordered"/>
    <w:rsid w:val="00AB0BA0"/>
    <w:rPr>
      <w:rFonts w:ascii="Times New Roman" w:hAnsi="Times New Roman" w:cs="Times New Roman"/>
      <w:b/>
      <w:sz w:val="24"/>
      <w:lang w:val="en-GB"/>
    </w:rPr>
  </w:style>
  <w:style w:type="paragraph" w:customStyle="1" w:styleId="HeaderCouncil">
    <w:name w:val="Header Council"/>
    <w:basedOn w:val="Normal"/>
    <w:link w:val="HeaderCouncilChar"/>
    <w:rsid w:val="00AB0BA0"/>
    <w:pPr>
      <w:spacing w:before="0" w:after="0"/>
    </w:pPr>
    <w:rPr>
      <w:sz w:val="2"/>
    </w:rPr>
  </w:style>
  <w:style w:type="character" w:customStyle="1" w:styleId="HeaderCouncilChar">
    <w:name w:val="Header Council Char"/>
    <w:basedOn w:val="DefaultParagraphFont"/>
    <w:link w:val="HeaderCouncil"/>
    <w:rsid w:val="00AB0BA0"/>
    <w:rPr>
      <w:rFonts w:ascii="Times New Roman" w:hAnsi="Times New Roman" w:cs="Times New Roman"/>
      <w:sz w:val="2"/>
      <w:lang w:val="en-GB"/>
    </w:rPr>
  </w:style>
  <w:style w:type="paragraph" w:customStyle="1" w:styleId="HeaderCouncilLarge">
    <w:name w:val="Header Council Large"/>
    <w:basedOn w:val="Normal"/>
    <w:link w:val="HeaderCouncilLargeChar"/>
    <w:rsid w:val="00AB0BA0"/>
    <w:pPr>
      <w:spacing w:before="0" w:after="440"/>
    </w:pPr>
    <w:rPr>
      <w:sz w:val="2"/>
    </w:rPr>
  </w:style>
  <w:style w:type="character" w:customStyle="1" w:styleId="HeaderCouncilLargeChar">
    <w:name w:val="Header Council Large Char"/>
    <w:basedOn w:val="DefaultParagraphFont"/>
    <w:link w:val="HeaderCouncilLarge"/>
    <w:rsid w:val="00AB0BA0"/>
    <w:rPr>
      <w:rFonts w:ascii="Times New Roman" w:hAnsi="Times New Roman" w:cs="Times New Roman"/>
      <w:sz w:val="2"/>
      <w:lang w:val="en-GB"/>
    </w:rPr>
  </w:style>
  <w:style w:type="paragraph" w:customStyle="1" w:styleId="FooterCouncil">
    <w:name w:val="Footer Council"/>
    <w:basedOn w:val="Normal"/>
    <w:link w:val="FooterCouncilChar"/>
    <w:rsid w:val="00AB0BA0"/>
    <w:pPr>
      <w:spacing w:before="0" w:after="0"/>
    </w:pPr>
    <w:rPr>
      <w:sz w:val="2"/>
    </w:rPr>
  </w:style>
  <w:style w:type="character" w:customStyle="1" w:styleId="FooterCouncilChar">
    <w:name w:val="Footer Council Char"/>
    <w:basedOn w:val="DefaultParagraphFont"/>
    <w:link w:val="FooterCouncil"/>
    <w:rsid w:val="00AB0BA0"/>
    <w:rPr>
      <w:rFonts w:ascii="Times New Roman" w:hAnsi="Times New Roman" w:cs="Times New Roman"/>
      <w:sz w:val="2"/>
      <w:lang w:val="en-GB"/>
    </w:rPr>
  </w:style>
  <w:style w:type="paragraph" w:customStyle="1" w:styleId="FooterText">
    <w:name w:val="Footer Text"/>
    <w:basedOn w:val="Normal"/>
    <w:rsid w:val="00AB0BA0"/>
    <w:pPr>
      <w:spacing w:before="0" w:after="0"/>
      <w:jc w:val="left"/>
    </w:pPr>
    <w:rPr>
      <w:rFonts w:eastAsia="Times New Roman"/>
      <w:szCs w:val="24"/>
    </w:rPr>
  </w:style>
  <w:style w:type="character" w:styleId="PlaceholderText">
    <w:name w:val="Placeholder Text"/>
    <w:basedOn w:val="DefaultParagraphFont"/>
    <w:uiPriority w:val="99"/>
    <w:semiHidden/>
    <w:rsid w:val="00AB0BA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37741">
      <w:bodyDiv w:val="1"/>
      <w:marLeft w:val="0"/>
      <w:marRight w:val="0"/>
      <w:marTop w:val="0"/>
      <w:marBottom w:val="0"/>
      <w:divBdr>
        <w:top w:val="none" w:sz="0" w:space="0" w:color="auto"/>
        <w:left w:val="none" w:sz="0" w:space="0" w:color="auto"/>
        <w:bottom w:val="none" w:sz="0" w:space="0" w:color="auto"/>
        <w:right w:val="none" w:sz="0" w:space="0" w:color="auto"/>
      </w:divBdr>
    </w:div>
    <w:div w:id="146943981">
      <w:bodyDiv w:val="1"/>
      <w:marLeft w:val="0"/>
      <w:marRight w:val="0"/>
      <w:marTop w:val="0"/>
      <w:marBottom w:val="0"/>
      <w:divBdr>
        <w:top w:val="none" w:sz="0" w:space="0" w:color="auto"/>
        <w:left w:val="none" w:sz="0" w:space="0" w:color="auto"/>
        <w:bottom w:val="none" w:sz="0" w:space="0" w:color="auto"/>
        <w:right w:val="none" w:sz="0" w:space="0" w:color="auto"/>
      </w:divBdr>
    </w:div>
    <w:div w:id="156306681">
      <w:bodyDiv w:val="1"/>
      <w:marLeft w:val="0"/>
      <w:marRight w:val="0"/>
      <w:marTop w:val="0"/>
      <w:marBottom w:val="0"/>
      <w:divBdr>
        <w:top w:val="none" w:sz="0" w:space="0" w:color="auto"/>
        <w:left w:val="none" w:sz="0" w:space="0" w:color="auto"/>
        <w:bottom w:val="none" w:sz="0" w:space="0" w:color="auto"/>
        <w:right w:val="none" w:sz="0" w:space="0" w:color="auto"/>
      </w:divBdr>
      <w:divsChild>
        <w:div w:id="1057923">
          <w:marLeft w:val="0"/>
          <w:marRight w:val="0"/>
          <w:marTop w:val="0"/>
          <w:marBottom w:val="0"/>
          <w:divBdr>
            <w:top w:val="none" w:sz="0" w:space="0" w:color="auto"/>
            <w:left w:val="none" w:sz="0" w:space="0" w:color="auto"/>
            <w:bottom w:val="none" w:sz="0" w:space="0" w:color="auto"/>
            <w:right w:val="none" w:sz="0" w:space="0" w:color="auto"/>
          </w:divBdr>
        </w:div>
        <w:div w:id="72362354">
          <w:marLeft w:val="0"/>
          <w:marRight w:val="0"/>
          <w:marTop w:val="0"/>
          <w:marBottom w:val="0"/>
          <w:divBdr>
            <w:top w:val="none" w:sz="0" w:space="0" w:color="auto"/>
            <w:left w:val="none" w:sz="0" w:space="0" w:color="auto"/>
            <w:bottom w:val="none" w:sz="0" w:space="0" w:color="auto"/>
            <w:right w:val="none" w:sz="0" w:space="0" w:color="auto"/>
          </w:divBdr>
          <w:divsChild>
            <w:div w:id="377238789">
              <w:marLeft w:val="0"/>
              <w:marRight w:val="0"/>
              <w:marTop w:val="0"/>
              <w:marBottom w:val="0"/>
              <w:divBdr>
                <w:top w:val="none" w:sz="0" w:space="0" w:color="auto"/>
                <w:left w:val="none" w:sz="0" w:space="0" w:color="auto"/>
                <w:bottom w:val="none" w:sz="0" w:space="0" w:color="auto"/>
                <w:right w:val="none" w:sz="0" w:space="0" w:color="auto"/>
              </w:divBdr>
            </w:div>
            <w:div w:id="2064676435">
              <w:marLeft w:val="0"/>
              <w:marRight w:val="0"/>
              <w:marTop w:val="0"/>
              <w:marBottom w:val="0"/>
              <w:divBdr>
                <w:top w:val="none" w:sz="0" w:space="0" w:color="auto"/>
                <w:left w:val="none" w:sz="0" w:space="0" w:color="auto"/>
                <w:bottom w:val="none" w:sz="0" w:space="0" w:color="auto"/>
                <w:right w:val="none" w:sz="0" w:space="0" w:color="auto"/>
              </w:divBdr>
            </w:div>
            <w:div w:id="2077118196">
              <w:marLeft w:val="0"/>
              <w:marRight w:val="0"/>
              <w:marTop w:val="0"/>
              <w:marBottom w:val="0"/>
              <w:divBdr>
                <w:top w:val="none" w:sz="0" w:space="0" w:color="auto"/>
                <w:left w:val="none" w:sz="0" w:space="0" w:color="auto"/>
                <w:bottom w:val="none" w:sz="0" w:space="0" w:color="auto"/>
                <w:right w:val="none" w:sz="0" w:space="0" w:color="auto"/>
              </w:divBdr>
            </w:div>
          </w:divsChild>
        </w:div>
        <w:div w:id="160587096">
          <w:marLeft w:val="0"/>
          <w:marRight w:val="0"/>
          <w:marTop w:val="0"/>
          <w:marBottom w:val="0"/>
          <w:divBdr>
            <w:top w:val="none" w:sz="0" w:space="0" w:color="auto"/>
            <w:left w:val="none" w:sz="0" w:space="0" w:color="auto"/>
            <w:bottom w:val="none" w:sz="0" w:space="0" w:color="auto"/>
            <w:right w:val="none" w:sz="0" w:space="0" w:color="auto"/>
          </w:divBdr>
        </w:div>
        <w:div w:id="171648243">
          <w:marLeft w:val="0"/>
          <w:marRight w:val="0"/>
          <w:marTop w:val="0"/>
          <w:marBottom w:val="0"/>
          <w:divBdr>
            <w:top w:val="none" w:sz="0" w:space="0" w:color="auto"/>
            <w:left w:val="none" w:sz="0" w:space="0" w:color="auto"/>
            <w:bottom w:val="none" w:sz="0" w:space="0" w:color="auto"/>
            <w:right w:val="none" w:sz="0" w:space="0" w:color="auto"/>
          </w:divBdr>
        </w:div>
        <w:div w:id="286742914">
          <w:marLeft w:val="0"/>
          <w:marRight w:val="0"/>
          <w:marTop w:val="0"/>
          <w:marBottom w:val="0"/>
          <w:divBdr>
            <w:top w:val="none" w:sz="0" w:space="0" w:color="auto"/>
            <w:left w:val="none" w:sz="0" w:space="0" w:color="auto"/>
            <w:bottom w:val="none" w:sz="0" w:space="0" w:color="auto"/>
            <w:right w:val="none" w:sz="0" w:space="0" w:color="auto"/>
          </w:divBdr>
        </w:div>
        <w:div w:id="655063423">
          <w:marLeft w:val="0"/>
          <w:marRight w:val="0"/>
          <w:marTop w:val="0"/>
          <w:marBottom w:val="0"/>
          <w:divBdr>
            <w:top w:val="none" w:sz="0" w:space="0" w:color="auto"/>
            <w:left w:val="none" w:sz="0" w:space="0" w:color="auto"/>
            <w:bottom w:val="none" w:sz="0" w:space="0" w:color="auto"/>
            <w:right w:val="none" w:sz="0" w:space="0" w:color="auto"/>
          </w:divBdr>
          <w:divsChild>
            <w:div w:id="361906414">
              <w:marLeft w:val="0"/>
              <w:marRight w:val="0"/>
              <w:marTop w:val="0"/>
              <w:marBottom w:val="0"/>
              <w:divBdr>
                <w:top w:val="none" w:sz="0" w:space="0" w:color="auto"/>
                <w:left w:val="none" w:sz="0" w:space="0" w:color="auto"/>
                <w:bottom w:val="none" w:sz="0" w:space="0" w:color="auto"/>
                <w:right w:val="none" w:sz="0" w:space="0" w:color="auto"/>
              </w:divBdr>
            </w:div>
            <w:div w:id="412973955">
              <w:marLeft w:val="0"/>
              <w:marRight w:val="0"/>
              <w:marTop w:val="0"/>
              <w:marBottom w:val="0"/>
              <w:divBdr>
                <w:top w:val="none" w:sz="0" w:space="0" w:color="auto"/>
                <w:left w:val="none" w:sz="0" w:space="0" w:color="auto"/>
                <w:bottom w:val="none" w:sz="0" w:space="0" w:color="auto"/>
                <w:right w:val="none" w:sz="0" w:space="0" w:color="auto"/>
              </w:divBdr>
            </w:div>
            <w:div w:id="1765953456">
              <w:marLeft w:val="0"/>
              <w:marRight w:val="0"/>
              <w:marTop w:val="0"/>
              <w:marBottom w:val="0"/>
              <w:divBdr>
                <w:top w:val="none" w:sz="0" w:space="0" w:color="auto"/>
                <w:left w:val="none" w:sz="0" w:space="0" w:color="auto"/>
                <w:bottom w:val="none" w:sz="0" w:space="0" w:color="auto"/>
                <w:right w:val="none" w:sz="0" w:space="0" w:color="auto"/>
              </w:divBdr>
            </w:div>
            <w:div w:id="1961497182">
              <w:marLeft w:val="0"/>
              <w:marRight w:val="0"/>
              <w:marTop w:val="0"/>
              <w:marBottom w:val="0"/>
              <w:divBdr>
                <w:top w:val="none" w:sz="0" w:space="0" w:color="auto"/>
                <w:left w:val="none" w:sz="0" w:space="0" w:color="auto"/>
                <w:bottom w:val="none" w:sz="0" w:space="0" w:color="auto"/>
                <w:right w:val="none" w:sz="0" w:space="0" w:color="auto"/>
              </w:divBdr>
            </w:div>
          </w:divsChild>
        </w:div>
        <w:div w:id="903300231">
          <w:marLeft w:val="0"/>
          <w:marRight w:val="0"/>
          <w:marTop w:val="0"/>
          <w:marBottom w:val="0"/>
          <w:divBdr>
            <w:top w:val="none" w:sz="0" w:space="0" w:color="auto"/>
            <w:left w:val="none" w:sz="0" w:space="0" w:color="auto"/>
            <w:bottom w:val="none" w:sz="0" w:space="0" w:color="auto"/>
            <w:right w:val="none" w:sz="0" w:space="0" w:color="auto"/>
          </w:divBdr>
          <w:divsChild>
            <w:div w:id="63182941">
              <w:marLeft w:val="0"/>
              <w:marRight w:val="0"/>
              <w:marTop w:val="0"/>
              <w:marBottom w:val="0"/>
              <w:divBdr>
                <w:top w:val="none" w:sz="0" w:space="0" w:color="auto"/>
                <w:left w:val="none" w:sz="0" w:space="0" w:color="auto"/>
                <w:bottom w:val="none" w:sz="0" w:space="0" w:color="auto"/>
                <w:right w:val="none" w:sz="0" w:space="0" w:color="auto"/>
              </w:divBdr>
            </w:div>
            <w:div w:id="281768049">
              <w:marLeft w:val="0"/>
              <w:marRight w:val="0"/>
              <w:marTop w:val="0"/>
              <w:marBottom w:val="0"/>
              <w:divBdr>
                <w:top w:val="none" w:sz="0" w:space="0" w:color="auto"/>
                <w:left w:val="none" w:sz="0" w:space="0" w:color="auto"/>
                <w:bottom w:val="none" w:sz="0" w:space="0" w:color="auto"/>
                <w:right w:val="none" w:sz="0" w:space="0" w:color="auto"/>
              </w:divBdr>
            </w:div>
            <w:div w:id="661468271">
              <w:marLeft w:val="0"/>
              <w:marRight w:val="0"/>
              <w:marTop w:val="0"/>
              <w:marBottom w:val="0"/>
              <w:divBdr>
                <w:top w:val="none" w:sz="0" w:space="0" w:color="auto"/>
                <w:left w:val="none" w:sz="0" w:space="0" w:color="auto"/>
                <w:bottom w:val="none" w:sz="0" w:space="0" w:color="auto"/>
                <w:right w:val="none" w:sz="0" w:space="0" w:color="auto"/>
              </w:divBdr>
            </w:div>
          </w:divsChild>
        </w:div>
        <w:div w:id="917861554">
          <w:marLeft w:val="0"/>
          <w:marRight w:val="0"/>
          <w:marTop w:val="0"/>
          <w:marBottom w:val="0"/>
          <w:divBdr>
            <w:top w:val="none" w:sz="0" w:space="0" w:color="auto"/>
            <w:left w:val="none" w:sz="0" w:space="0" w:color="auto"/>
            <w:bottom w:val="none" w:sz="0" w:space="0" w:color="auto"/>
            <w:right w:val="none" w:sz="0" w:space="0" w:color="auto"/>
          </w:divBdr>
        </w:div>
        <w:div w:id="1109468921">
          <w:marLeft w:val="0"/>
          <w:marRight w:val="0"/>
          <w:marTop w:val="0"/>
          <w:marBottom w:val="0"/>
          <w:divBdr>
            <w:top w:val="none" w:sz="0" w:space="0" w:color="auto"/>
            <w:left w:val="none" w:sz="0" w:space="0" w:color="auto"/>
            <w:bottom w:val="none" w:sz="0" w:space="0" w:color="auto"/>
            <w:right w:val="none" w:sz="0" w:space="0" w:color="auto"/>
          </w:divBdr>
        </w:div>
        <w:div w:id="1827428245">
          <w:marLeft w:val="0"/>
          <w:marRight w:val="0"/>
          <w:marTop w:val="0"/>
          <w:marBottom w:val="0"/>
          <w:divBdr>
            <w:top w:val="none" w:sz="0" w:space="0" w:color="auto"/>
            <w:left w:val="none" w:sz="0" w:space="0" w:color="auto"/>
            <w:bottom w:val="none" w:sz="0" w:space="0" w:color="auto"/>
            <w:right w:val="none" w:sz="0" w:space="0" w:color="auto"/>
          </w:divBdr>
          <w:divsChild>
            <w:div w:id="1680424914">
              <w:marLeft w:val="0"/>
              <w:marRight w:val="0"/>
              <w:marTop w:val="0"/>
              <w:marBottom w:val="0"/>
              <w:divBdr>
                <w:top w:val="none" w:sz="0" w:space="0" w:color="auto"/>
                <w:left w:val="none" w:sz="0" w:space="0" w:color="auto"/>
                <w:bottom w:val="none" w:sz="0" w:space="0" w:color="auto"/>
                <w:right w:val="none" w:sz="0" w:space="0" w:color="auto"/>
              </w:divBdr>
            </w:div>
            <w:div w:id="2142771225">
              <w:marLeft w:val="0"/>
              <w:marRight w:val="0"/>
              <w:marTop w:val="0"/>
              <w:marBottom w:val="0"/>
              <w:divBdr>
                <w:top w:val="none" w:sz="0" w:space="0" w:color="auto"/>
                <w:left w:val="none" w:sz="0" w:space="0" w:color="auto"/>
                <w:bottom w:val="none" w:sz="0" w:space="0" w:color="auto"/>
                <w:right w:val="none" w:sz="0" w:space="0" w:color="auto"/>
              </w:divBdr>
            </w:div>
          </w:divsChild>
        </w:div>
        <w:div w:id="2091465699">
          <w:marLeft w:val="0"/>
          <w:marRight w:val="0"/>
          <w:marTop w:val="0"/>
          <w:marBottom w:val="0"/>
          <w:divBdr>
            <w:top w:val="none" w:sz="0" w:space="0" w:color="auto"/>
            <w:left w:val="none" w:sz="0" w:space="0" w:color="auto"/>
            <w:bottom w:val="none" w:sz="0" w:space="0" w:color="auto"/>
            <w:right w:val="none" w:sz="0" w:space="0" w:color="auto"/>
          </w:divBdr>
        </w:div>
      </w:divsChild>
    </w:div>
    <w:div w:id="253704319">
      <w:bodyDiv w:val="1"/>
      <w:marLeft w:val="0"/>
      <w:marRight w:val="0"/>
      <w:marTop w:val="0"/>
      <w:marBottom w:val="0"/>
      <w:divBdr>
        <w:top w:val="none" w:sz="0" w:space="0" w:color="auto"/>
        <w:left w:val="none" w:sz="0" w:space="0" w:color="auto"/>
        <w:bottom w:val="none" w:sz="0" w:space="0" w:color="auto"/>
        <w:right w:val="none" w:sz="0" w:space="0" w:color="auto"/>
      </w:divBdr>
      <w:divsChild>
        <w:div w:id="405078934">
          <w:marLeft w:val="0"/>
          <w:marRight w:val="0"/>
          <w:marTop w:val="0"/>
          <w:marBottom w:val="0"/>
          <w:divBdr>
            <w:top w:val="none" w:sz="0" w:space="0" w:color="auto"/>
            <w:left w:val="none" w:sz="0" w:space="0" w:color="auto"/>
            <w:bottom w:val="none" w:sz="0" w:space="0" w:color="auto"/>
            <w:right w:val="none" w:sz="0" w:space="0" w:color="auto"/>
          </w:divBdr>
        </w:div>
        <w:div w:id="1062605283">
          <w:marLeft w:val="0"/>
          <w:marRight w:val="0"/>
          <w:marTop w:val="0"/>
          <w:marBottom w:val="0"/>
          <w:divBdr>
            <w:top w:val="none" w:sz="0" w:space="0" w:color="auto"/>
            <w:left w:val="none" w:sz="0" w:space="0" w:color="auto"/>
            <w:bottom w:val="none" w:sz="0" w:space="0" w:color="auto"/>
            <w:right w:val="none" w:sz="0" w:space="0" w:color="auto"/>
          </w:divBdr>
        </w:div>
      </w:divsChild>
    </w:div>
    <w:div w:id="263922702">
      <w:bodyDiv w:val="1"/>
      <w:marLeft w:val="0"/>
      <w:marRight w:val="0"/>
      <w:marTop w:val="0"/>
      <w:marBottom w:val="0"/>
      <w:divBdr>
        <w:top w:val="none" w:sz="0" w:space="0" w:color="auto"/>
        <w:left w:val="none" w:sz="0" w:space="0" w:color="auto"/>
        <w:bottom w:val="none" w:sz="0" w:space="0" w:color="auto"/>
        <w:right w:val="none" w:sz="0" w:space="0" w:color="auto"/>
      </w:divBdr>
    </w:div>
    <w:div w:id="281155902">
      <w:bodyDiv w:val="1"/>
      <w:marLeft w:val="0"/>
      <w:marRight w:val="0"/>
      <w:marTop w:val="0"/>
      <w:marBottom w:val="0"/>
      <w:divBdr>
        <w:top w:val="none" w:sz="0" w:space="0" w:color="auto"/>
        <w:left w:val="none" w:sz="0" w:space="0" w:color="auto"/>
        <w:bottom w:val="none" w:sz="0" w:space="0" w:color="auto"/>
        <w:right w:val="none" w:sz="0" w:space="0" w:color="auto"/>
      </w:divBdr>
      <w:divsChild>
        <w:div w:id="691420259">
          <w:marLeft w:val="0"/>
          <w:marRight w:val="0"/>
          <w:marTop w:val="0"/>
          <w:marBottom w:val="0"/>
          <w:divBdr>
            <w:top w:val="none" w:sz="0" w:space="0" w:color="auto"/>
            <w:left w:val="none" w:sz="0" w:space="0" w:color="auto"/>
            <w:bottom w:val="none" w:sz="0" w:space="0" w:color="auto"/>
            <w:right w:val="none" w:sz="0" w:space="0" w:color="auto"/>
          </w:divBdr>
          <w:divsChild>
            <w:div w:id="1641611373">
              <w:marLeft w:val="0"/>
              <w:marRight w:val="0"/>
              <w:marTop w:val="0"/>
              <w:marBottom w:val="0"/>
              <w:divBdr>
                <w:top w:val="none" w:sz="0" w:space="0" w:color="auto"/>
                <w:left w:val="none" w:sz="0" w:space="0" w:color="auto"/>
                <w:bottom w:val="none" w:sz="0" w:space="0" w:color="auto"/>
                <w:right w:val="none" w:sz="0" w:space="0" w:color="auto"/>
              </w:divBdr>
            </w:div>
            <w:div w:id="1788348391">
              <w:marLeft w:val="0"/>
              <w:marRight w:val="0"/>
              <w:marTop w:val="0"/>
              <w:marBottom w:val="0"/>
              <w:divBdr>
                <w:top w:val="none" w:sz="0" w:space="0" w:color="auto"/>
                <w:left w:val="none" w:sz="0" w:space="0" w:color="auto"/>
                <w:bottom w:val="none" w:sz="0" w:space="0" w:color="auto"/>
                <w:right w:val="none" w:sz="0" w:space="0" w:color="auto"/>
              </w:divBdr>
            </w:div>
          </w:divsChild>
        </w:div>
        <w:div w:id="800878984">
          <w:marLeft w:val="0"/>
          <w:marRight w:val="0"/>
          <w:marTop w:val="0"/>
          <w:marBottom w:val="0"/>
          <w:divBdr>
            <w:top w:val="none" w:sz="0" w:space="0" w:color="auto"/>
            <w:left w:val="none" w:sz="0" w:space="0" w:color="auto"/>
            <w:bottom w:val="none" w:sz="0" w:space="0" w:color="auto"/>
            <w:right w:val="none" w:sz="0" w:space="0" w:color="auto"/>
          </w:divBdr>
        </w:div>
        <w:div w:id="370305245">
          <w:marLeft w:val="0"/>
          <w:marRight w:val="0"/>
          <w:marTop w:val="0"/>
          <w:marBottom w:val="0"/>
          <w:divBdr>
            <w:top w:val="none" w:sz="0" w:space="0" w:color="auto"/>
            <w:left w:val="none" w:sz="0" w:space="0" w:color="auto"/>
            <w:bottom w:val="none" w:sz="0" w:space="0" w:color="auto"/>
            <w:right w:val="none" w:sz="0" w:space="0" w:color="auto"/>
          </w:divBdr>
        </w:div>
        <w:div w:id="139854010">
          <w:marLeft w:val="0"/>
          <w:marRight w:val="0"/>
          <w:marTop w:val="0"/>
          <w:marBottom w:val="0"/>
          <w:divBdr>
            <w:top w:val="none" w:sz="0" w:space="0" w:color="auto"/>
            <w:left w:val="none" w:sz="0" w:space="0" w:color="auto"/>
            <w:bottom w:val="none" w:sz="0" w:space="0" w:color="auto"/>
            <w:right w:val="none" w:sz="0" w:space="0" w:color="auto"/>
          </w:divBdr>
        </w:div>
        <w:div w:id="1455518182">
          <w:marLeft w:val="0"/>
          <w:marRight w:val="0"/>
          <w:marTop w:val="0"/>
          <w:marBottom w:val="0"/>
          <w:divBdr>
            <w:top w:val="none" w:sz="0" w:space="0" w:color="auto"/>
            <w:left w:val="none" w:sz="0" w:space="0" w:color="auto"/>
            <w:bottom w:val="none" w:sz="0" w:space="0" w:color="auto"/>
            <w:right w:val="none" w:sz="0" w:space="0" w:color="auto"/>
          </w:divBdr>
        </w:div>
        <w:div w:id="571549085">
          <w:marLeft w:val="0"/>
          <w:marRight w:val="0"/>
          <w:marTop w:val="0"/>
          <w:marBottom w:val="0"/>
          <w:divBdr>
            <w:top w:val="none" w:sz="0" w:space="0" w:color="auto"/>
            <w:left w:val="none" w:sz="0" w:space="0" w:color="auto"/>
            <w:bottom w:val="none" w:sz="0" w:space="0" w:color="auto"/>
            <w:right w:val="none" w:sz="0" w:space="0" w:color="auto"/>
          </w:divBdr>
        </w:div>
        <w:div w:id="62216162">
          <w:marLeft w:val="0"/>
          <w:marRight w:val="0"/>
          <w:marTop w:val="0"/>
          <w:marBottom w:val="0"/>
          <w:divBdr>
            <w:top w:val="none" w:sz="0" w:space="0" w:color="auto"/>
            <w:left w:val="none" w:sz="0" w:space="0" w:color="auto"/>
            <w:bottom w:val="none" w:sz="0" w:space="0" w:color="auto"/>
            <w:right w:val="none" w:sz="0" w:space="0" w:color="auto"/>
          </w:divBdr>
        </w:div>
        <w:div w:id="150145249">
          <w:marLeft w:val="0"/>
          <w:marRight w:val="0"/>
          <w:marTop w:val="0"/>
          <w:marBottom w:val="0"/>
          <w:divBdr>
            <w:top w:val="none" w:sz="0" w:space="0" w:color="auto"/>
            <w:left w:val="none" w:sz="0" w:space="0" w:color="auto"/>
            <w:bottom w:val="none" w:sz="0" w:space="0" w:color="auto"/>
            <w:right w:val="none" w:sz="0" w:space="0" w:color="auto"/>
          </w:divBdr>
        </w:div>
        <w:div w:id="602037791">
          <w:marLeft w:val="0"/>
          <w:marRight w:val="0"/>
          <w:marTop w:val="0"/>
          <w:marBottom w:val="0"/>
          <w:divBdr>
            <w:top w:val="none" w:sz="0" w:space="0" w:color="auto"/>
            <w:left w:val="none" w:sz="0" w:space="0" w:color="auto"/>
            <w:bottom w:val="none" w:sz="0" w:space="0" w:color="auto"/>
            <w:right w:val="none" w:sz="0" w:space="0" w:color="auto"/>
          </w:divBdr>
        </w:div>
        <w:div w:id="1977905908">
          <w:marLeft w:val="0"/>
          <w:marRight w:val="0"/>
          <w:marTop w:val="0"/>
          <w:marBottom w:val="0"/>
          <w:divBdr>
            <w:top w:val="none" w:sz="0" w:space="0" w:color="auto"/>
            <w:left w:val="none" w:sz="0" w:space="0" w:color="auto"/>
            <w:bottom w:val="none" w:sz="0" w:space="0" w:color="auto"/>
            <w:right w:val="none" w:sz="0" w:space="0" w:color="auto"/>
          </w:divBdr>
        </w:div>
        <w:div w:id="837303592">
          <w:marLeft w:val="0"/>
          <w:marRight w:val="0"/>
          <w:marTop w:val="0"/>
          <w:marBottom w:val="0"/>
          <w:divBdr>
            <w:top w:val="none" w:sz="0" w:space="0" w:color="auto"/>
            <w:left w:val="none" w:sz="0" w:space="0" w:color="auto"/>
            <w:bottom w:val="none" w:sz="0" w:space="0" w:color="auto"/>
            <w:right w:val="none" w:sz="0" w:space="0" w:color="auto"/>
          </w:divBdr>
        </w:div>
        <w:div w:id="1111900928">
          <w:marLeft w:val="0"/>
          <w:marRight w:val="0"/>
          <w:marTop w:val="0"/>
          <w:marBottom w:val="0"/>
          <w:divBdr>
            <w:top w:val="none" w:sz="0" w:space="0" w:color="auto"/>
            <w:left w:val="none" w:sz="0" w:space="0" w:color="auto"/>
            <w:bottom w:val="none" w:sz="0" w:space="0" w:color="auto"/>
            <w:right w:val="none" w:sz="0" w:space="0" w:color="auto"/>
          </w:divBdr>
        </w:div>
        <w:div w:id="1854567974">
          <w:marLeft w:val="0"/>
          <w:marRight w:val="0"/>
          <w:marTop w:val="0"/>
          <w:marBottom w:val="0"/>
          <w:divBdr>
            <w:top w:val="none" w:sz="0" w:space="0" w:color="auto"/>
            <w:left w:val="none" w:sz="0" w:space="0" w:color="auto"/>
            <w:bottom w:val="none" w:sz="0" w:space="0" w:color="auto"/>
            <w:right w:val="none" w:sz="0" w:space="0" w:color="auto"/>
          </w:divBdr>
        </w:div>
        <w:div w:id="1159614322">
          <w:marLeft w:val="0"/>
          <w:marRight w:val="0"/>
          <w:marTop w:val="0"/>
          <w:marBottom w:val="0"/>
          <w:divBdr>
            <w:top w:val="none" w:sz="0" w:space="0" w:color="auto"/>
            <w:left w:val="none" w:sz="0" w:space="0" w:color="auto"/>
            <w:bottom w:val="none" w:sz="0" w:space="0" w:color="auto"/>
            <w:right w:val="none" w:sz="0" w:space="0" w:color="auto"/>
          </w:divBdr>
        </w:div>
        <w:div w:id="2057777386">
          <w:marLeft w:val="0"/>
          <w:marRight w:val="0"/>
          <w:marTop w:val="0"/>
          <w:marBottom w:val="0"/>
          <w:divBdr>
            <w:top w:val="none" w:sz="0" w:space="0" w:color="auto"/>
            <w:left w:val="none" w:sz="0" w:space="0" w:color="auto"/>
            <w:bottom w:val="none" w:sz="0" w:space="0" w:color="auto"/>
            <w:right w:val="none" w:sz="0" w:space="0" w:color="auto"/>
          </w:divBdr>
        </w:div>
        <w:div w:id="455567127">
          <w:marLeft w:val="0"/>
          <w:marRight w:val="0"/>
          <w:marTop w:val="0"/>
          <w:marBottom w:val="0"/>
          <w:divBdr>
            <w:top w:val="none" w:sz="0" w:space="0" w:color="auto"/>
            <w:left w:val="none" w:sz="0" w:space="0" w:color="auto"/>
            <w:bottom w:val="none" w:sz="0" w:space="0" w:color="auto"/>
            <w:right w:val="none" w:sz="0" w:space="0" w:color="auto"/>
          </w:divBdr>
        </w:div>
      </w:divsChild>
    </w:div>
    <w:div w:id="520824916">
      <w:bodyDiv w:val="1"/>
      <w:marLeft w:val="0"/>
      <w:marRight w:val="0"/>
      <w:marTop w:val="0"/>
      <w:marBottom w:val="0"/>
      <w:divBdr>
        <w:top w:val="none" w:sz="0" w:space="0" w:color="auto"/>
        <w:left w:val="none" w:sz="0" w:space="0" w:color="auto"/>
        <w:bottom w:val="none" w:sz="0" w:space="0" w:color="auto"/>
        <w:right w:val="none" w:sz="0" w:space="0" w:color="auto"/>
      </w:divBdr>
      <w:divsChild>
        <w:div w:id="31468494">
          <w:marLeft w:val="0"/>
          <w:marRight w:val="0"/>
          <w:marTop w:val="0"/>
          <w:marBottom w:val="0"/>
          <w:divBdr>
            <w:top w:val="none" w:sz="0" w:space="0" w:color="auto"/>
            <w:left w:val="none" w:sz="0" w:space="0" w:color="auto"/>
            <w:bottom w:val="none" w:sz="0" w:space="0" w:color="auto"/>
            <w:right w:val="none" w:sz="0" w:space="0" w:color="auto"/>
          </w:divBdr>
        </w:div>
        <w:div w:id="388722573">
          <w:marLeft w:val="0"/>
          <w:marRight w:val="0"/>
          <w:marTop w:val="0"/>
          <w:marBottom w:val="0"/>
          <w:divBdr>
            <w:top w:val="none" w:sz="0" w:space="0" w:color="auto"/>
            <w:left w:val="none" w:sz="0" w:space="0" w:color="auto"/>
            <w:bottom w:val="none" w:sz="0" w:space="0" w:color="auto"/>
            <w:right w:val="none" w:sz="0" w:space="0" w:color="auto"/>
          </w:divBdr>
        </w:div>
        <w:div w:id="1003167455">
          <w:marLeft w:val="0"/>
          <w:marRight w:val="0"/>
          <w:marTop w:val="0"/>
          <w:marBottom w:val="0"/>
          <w:divBdr>
            <w:top w:val="none" w:sz="0" w:space="0" w:color="auto"/>
            <w:left w:val="none" w:sz="0" w:space="0" w:color="auto"/>
            <w:bottom w:val="none" w:sz="0" w:space="0" w:color="auto"/>
            <w:right w:val="none" w:sz="0" w:space="0" w:color="auto"/>
          </w:divBdr>
        </w:div>
        <w:div w:id="1628730550">
          <w:marLeft w:val="0"/>
          <w:marRight w:val="0"/>
          <w:marTop w:val="0"/>
          <w:marBottom w:val="0"/>
          <w:divBdr>
            <w:top w:val="none" w:sz="0" w:space="0" w:color="auto"/>
            <w:left w:val="none" w:sz="0" w:space="0" w:color="auto"/>
            <w:bottom w:val="none" w:sz="0" w:space="0" w:color="auto"/>
            <w:right w:val="none" w:sz="0" w:space="0" w:color="auto"/>
          </w:divBdr>
        </w:div>
      </w:divsChild>
    </w:div>
    <w:div w:id="534197088">
      <w:bodyDiv w:val="1"/>
      <w:marLeft w:val="0"/>
      <w:marRight w:val="0"/>
      <w:marTop w:val="0"/>
      <w:marBottom w:val="0"/>
      <w:divBdr>
        <w:top w:val="none" w:sz="0" w:space="0" w:color="auto"/>
        <w:left w:val="none" w:sz="0" w:space="0" w:color="auto"/>
        <w:bottom w:val="none" w:sz="0" w:space="0" w:color="auto"/>
        <w:right w:val="none" w:sz="0" w:space="0" w:color="auto"/>
      </w:divBdr>
      <w:divsChild>
        <w:div w:id="199587311">
          <w:marLeft w:val="0"/>
          <w:marRight w:val="0"/>
          <w:marTop w:val="0"/>
          <w:marBottom w:val="0"/>
          <w:divBdr>
            <w:top w:val="none" w:sz="0" w:space="0" w:color="auto"/>
            <w:left w:val="none" w:sz="0" w:space="0" w:color="auto"/>
            <w:bottom w:val="none" w:sz="0" w:space="0" w:color="auto"/>
            <w:right w:val="none" w:sz="0" w:space="0" w:color="auto"/>
          </w:divBdr>
        </w:div>
        <w:div w:id="562523944">
          <w:marLeft w:val="0"/>
          <w:marRight w:val="0"/>
          <w:marTop w:val="0"/>
          <w:marBottom w:val="0"/>
          <w:divBdr>
            <w:top w:val="none" w:sz="0" w:space="0" w:color="auto"/>
            <w:left w:val="none" w:sz="0" w:space="0" w:color="auto"/>
            <w:bottom w:val="none" w:sz="0" w:space="0" w:color="auto"/>
            <w:right w:val="none" w:sz="0" w:space="0" w:color="auto"/>
          </w:divBdr>
        </w:div>
        <w:div w:id="720977155">
          <w:marLeft w:val="0"/>
          <w:marRight w:val="0"/>
          <w:marTop w:val="0"/>
          <w:marBottom w:val="0"/>
          <w:divBdr>
            <w:top w:val="none" w:sz="0" w:space="0" w:color="auto"/>
            <w:left w:val="none" w:sz="0" w:space="0" w:color="auto"/>
            <w:bottom w:val="none" w:sz="0" w:space="0" w:color="auto"/>
            <w:right w:val="none" w:sz="0" w:space="0" w:color="auto"/>
          </w:divBdr>
        </w:div>
        <w:div w:id="837157047">
          <w:marLeft w:val="0"/>
          <w:marRight w:val="0"/>
          <w:marTop w:val="0"/>
          <w:marBottom w:val="0"/>
          <w:divBdr>
            <w:top w:val="none" w:sz="0" w:space="0" w:color="auto"/>
            <w:left w:val="none" w:sz="0" w:space="0" w:color="auto"/>
            <w:bottom w:val="none" w:sz="0" w:space="0" w:color="auto"/>
            <w:right w:val="none" w:sz="0" w:space="0" w:color="auto"/>
          </w:divBdr>
        </w:div>
        <w:div w:id="1151480791">
          <w:marLeft w:val="0"/>
          <w:marRight w:val="0"/>
          <w:marTop w:val="0"/>
          <w:marBottom w:val="0"/>
          <w:divBdr>
            <w:top w:val="none" w:sz="0" w:space="0" w:color="auto"/>
            <w:left w:val="none" w:sz="0" w:space="0" w:color="auto"/>
            <w:bottom w:val="none" w:sz="0" w:space="0" w:color="auto"/>
            <w:right w:val="none" w:sz="0" w:space="0" w:color="auto"/>
          </w:divBdr>
        </w:div>
        <w:div w:id="1224951592">
          <w:marLeft w:val="0"/>
          <w:marRight w:val="0"/>
          <w:marTop w:val="0"/>
          <w:marBottom w:val="0"/>
          <w:divBdr>
            <w:top w:val="none" w:sz="0" w:space="0" w:color="auto"/>
            <w:left w:val="none" w:sz="0" w:space="0" w:color="auto"/>
            <w:bottom w:val="none" w:sz="0" w:space="0" w:color="auto"/>
            <w:right w:val="none" w:sz="0" w:space="0" w:color="auto"/>
          </w:divBdr>
        </w:div>
        <w:div w:id="1413509346">
          <w:marLeft w:val="0"/>
          <w:marRight w:val="0"/>
          <w:marTop w:val="0"/>
          <w:marBottom w:val="0"/>
          <w:divBdr>
            <w:top w:val="none" w:sz="0" w:space="0" w:color="auto"/>
            <w:left w:val="none" w:sz="0" w:space="0" w:color="auto"/>
            <w:bottom w:val="none" w:sz="0" w:space="0" w:color="auto"/>
            <w:right w:val="none" w:sz="0" w:space="0" w:color="auto"/>
          </w:divBdr>
        </w:div>
        <w:div w:id="1831286754">
          <w:marLeft w:val="0"/>
          <w:marRight w:val="0"/>
          <w:marTop w:val="0"/>
          <w:marBottom w:val="0"/>
          <w:divBdr>
            <w:top w:val="none" w:sz="0" w:space="0" w:color="auto"/>
            <w:left w:val="none" w:sz="0" w:space="0" w:color="auto"/>
            <w:bottom w:val="none" w:sz="0" w:space="0" w:color="auto"/>
            <w:right w:val="none" w:sz="0" w:space="0" w:color="auto"/>
          </w:divBdr>
        </w:div>
        <w:div w:id="1874731234">
          <w:marLeft w:val="0"/>
          <w:marRight w:val="0"/>
          <w:marTop w:val="0"/>
          <w:marBottom w:val="0"/>
          <w:divBdr>
            <w:top w:val="none" w:sz="0" w:space="0" w:color="auto"/>
            <w:left w:val="none" w:sz="0" w:space="0" w:color="auto"/>
            <w:bottom w:val="none" w:sz="0" w:space="0" w:color="auto"/>
            <w:right w:val="none" w:sz="0" w:space="0" w:color="auto"/>
          </w:divBdr>
        </w:div>
        <w:div w:id="2022003415">
          <w:marLeft w:val="0"/>
          <w:marRight w:val="0"/>
          <w:marTop w:val="0"/>
          <w:marBottom w:val="0"/>
          <w:divBdr>
            <w:top w:val="none" w:sz="0" w:space="0" w:color="auto"/>
            <w:left w:val="none" w:sz="0" w:space="0" w:color="auto"/>
            <w:bottom w:val="none" w:sz="0" w:space="0" w:color="auto"/>
            <w:right w:val="none" w:sz="0" w:space="0" w:color="auto"/>
          </w:divBdr>
        </w:div>
        <w:div w:id="2138332549">
          <w:marLeft w:val="0"/>
          <w:marRight w:val="0"/>
          <w:marTop w:val="0"/>
          <w:marBottom w:val="0"/>
          <w:divBdr>
            <w:top w:val="none" w:sz="0" w:space="0" w:color="auto"/>
            <w:left w:val="none" w:sz="0" w:space="0" w:color="auto"/>
            <w:bottom w:val="none" w:sz="0" w:space="0" w:color="auto"/>
            <w:right w:val="none" w:sz="0" w:space="0" w:color="auto"/>
          </w:divBdr>
        </w:div>
      </w:divsChild>
    </w:div>
    <w:div w:id="546725525">
      <w:bodyDiv w:val="1"/>
      <w:marLeft w:val="0"/>
      <w:marRight w:val="0"/>
      <w:marTop w:val="0"/>
      <w:marBottom w:val="0"/>
      <w:divBdr>
        <w:top w:val="none" w:sz="0" w:space="0" w:color="auto"/>
        <w:left w:val="none" w:sz="0" w:space="0" w:color="auto"/>
        <w:bottom w:val="none" w:sz="0" w:space="0" w:color="auto"/>
        <w:right w:val="none" w:sz="0" w:space="0" w:color="auto"/>
      </w:divBdr>
      <w:divsChild>
        <w:div w:id="792552457">
          <w:marLeft w:val="-75"/>
          <w:marRight w:val="0"/>
          <w:marTop w:val="30"/>
          <w:marBottom w:val="30"/>
          <w:divBdr>
            <w:top w:val="none" w:sz="0" w:space="0" w:color="auto"/>
            <w:left w:val="none" w:sz="0" w:space="0" w:color="auto"/>
            <w:bottom w:val="none" w:sz="0" w:space="0" w:color="auto"/>
            <w:right w:val="none" w:sz="0" w:space="0" w:color="auto"/>
          </w:divBdr>
        </w:div>
        <w:div w:id="1389307373">
          <w:marLeft w:val="-75"/>
          <w:marRight w:val="0"/>
          <w:marTop w:val="30"/>
          <w:marBottom w:val="30"/>
          <w:divBdr>
            <w:top w:val="none" w:sz="0" w:space="0" w:color="auto"/>
            <w:left w:val="none" w:sz="0" w:space="0" w:color="auto"/>
            <w:bottom w:val="none" w:sz="0" w:space="0" w:color="auto"/>
            <w:right w:val="none" w:sz="0" w:space="0" w:color="auto"/>
          </w:divBdr>
        </w:div>
      </w:divsChild>
    </w:div>
    <w:div w:id="628053083">
      <w:bodyDiv w:val="1"/>
      <w:marLeft w:val="0"/>
      <w:marRight w:val="0"/>
      <w:marTop w:val="0"/>
      <w:marBottom w:val="0"/>
      <w:divBdr>
        <w:top w:val="none" w:sz="0" w:space="0" w:color="auto"/>
        <w:left w:val="none" w:sz="0" w:space="0" w:color="auto"/>
        <w:bottom w:val="none" w:sz="0" w:space="0" w:color="auto"/>
        <w:right w:val="none" w:sz="0" w:space="0" w:color="auto"/>
      </w:divBdr>
      <w:divsChild>
        <w:div w:id="9531587">
          <w:marLeft w:val="0"/>
          <w:marRight w:val="0"/>
          <w:marTop w:val="0"/>
          <w:marBottom w:val="0"/>
          <w:divBdr>
            <w:top w:val="none" w:sz="0" w:space="0" w:color="auto"/>
            <w:left w:val="none" w:sz="0" w:space="0" w:color="auto"/>
            <w:bottom w:val="none" w:sz="0" w:space="0" w:color="auto"/>
            <w:right w:val="none" w:sz="0" w:space="0" w:color="auto"/>
          </w:divBdr>
        </w:div>
        <w:div w:id="605891750">
          <w:marLeft w:val="0"/>
          <w:marRight w:val="0"/>
          <w:marTop w:val="0"/>
          <w:marBottom w:val="0"/>
          <w:divBdr>
            <w:top w:val="none" w:sz="0" w:space="0" w:color="auto"/>
            <w:left w:val="none" w:sz="0" w:space="0" w:color="auto"/>
            <w:bottom w:val="none" w:sz="0" w:space="0" w:color="auto"/>
            <w:right w:val="none" w:sz="0" w:space="0" w:color="auto"/>
          </w:divBdr>
        </w:div>
      </w:divsChild>
    </w:div>
    <w:div w:id="681737115">
      <w:bodyDiv w:val="1"/>
      <w:marLeft w:val="0"/>
      <w:marRight w:val="0"/>
      <w:marTop w:val="0"/>
      <w:marBottom w:val="0"/>
      <w:divBdr>
        <w:top w:val="none" w:sz="0" w:space="0" w:color="auto"/>
        <w:left w:val="none" w:sz="0" w:space="0" w:color="auto"/>
        <w:bottom w:val="none" w:sz="0" w:space="0" w:color="auto"/>
        <w:right w:val="none" w:sz="0" w:space="0" w:color="auto"/>
      </w:divBdr>
      <w:divsChild>
        <w:div w:id="203949804">
          <w:marLeft w:val="0"/>
          <w:marRight w:val="0"/>
          <w:marTop w:val="0"/>
          <w:marBottom w:val="0"/>
          <w:divBdr>
            <w:top w:val="none" w:sz="0" w:space="0" w:color="auto"/>
            <w:left w:val="none" w:sz="0" w:space="0" w:color="auto"/>
            <w:bottom w:val="none" w:sz="0" w:space="0" w:color="auto"/>
            <w:right w:val="none" w:sz="0" w:space="0" w:color="auto"/>
          </w:divBdr>
        </w:div>
        <w:div w:id="545530075">
          <w:marLeft w:val="0"/>
          <w:marRight w:val="0"/>
          <w:marTop w:val="0"/>
          <w:marBottom w:val="0"/>
          <w:divBdr>
            <w:top w:val="none" w:sz="0" w:space="0" w:color="auto"/>
            <w:left w:val="none" w:sz="0" w:space="0" w:color="auto"/>
            <w:bottom w:val="none" w:sz="0" w:space="0" w:color="auto"/>
            <w:right w:val="none" w:sz="0" w:space="0" w:color="auto"/>
          </w:divBdr>
          <w:divsChild>
            <w:div w:id="2039042631">
              <w:marLeft w:val="-75"/>
              <w:marRight w:val="0"/>
              <w:marTop w:val="30"/>
              <w:marBottom w:val="30"/>
              <w:divBdr>
                <w:top w:val="none" w:sz="0" w:space="0" w:color="auto"/>
                <w:left w:val="none" w:sz="0" w:space="0" w:color="auto"/>
                <w:bottom w:val="none" w:sz="0" w:space="0" w:color="auto"/>
                <w:right w:val="none" w:sz="0" w:space="0" w:color="auto"/>
              </w:divBdr>
              <w:divsChild>
                <w:div w:id="1281959285">
                  <w:marLeft w:val="0"/>
                  <w:marRight w:val="0"/>
                  <w:marTop w:val="0"/>
                  <w:marBottom w:val="0"/>
                  <w:divBdr>
                    <w:top w:val="none" w:sz="0" w:space="0" w:color="auto"/>
                    <w:left w:val="none" w:sz="0" w:space="0" w:color="auto"/>
                    <w:bottom w:val="none" w:sz="0" w:space="0" w:color="auto"/>
                    <w:right w:val="none" w:sz="0" w:space="0" w:color="auto"/>
                  </w:divBdr>
                  <w:divsChild>
                    <w:div w:id="1513833412">
                      <w:marLeft w:val="0"/>
                      <w:marRight w:val="0"/>
                      <w:marTop w:val="0"/>
                      <w:marBottom w:val="0"/>
                      <w:divBdr>
                        <w:top w:val="none" w:sz="0" w:space="0" w:color="auto"/>
                        <w:left w:val="none" w:sz="0" w:space="0" w:color="auto"/>
                        <w:bottom w:val="none" w:sz="0" w:space="0" w:color="auto"/>
                        <w:right w:val="none" w:sz="0" w:space="0" w:color="auto"/>
                      </w:divBdr>
                    </w:div>
                  </w:divsChild>
                </w:div>
                <w:div w:id="1656568244">
                  <w:marLeft w:val="0"/>
                  <w:marRight w:val="0"/>
                  <w:marTop w:val="0"/>
                  <w:marBottom w:val="0"/>
                  <w:divBdr>
                    <w:top w:val="none" w:sz="0" w:space="0" w:color="auto"/>
                    <w:left w:val="none" w:sz="0" w:space="0" w:color="auto"/>
                    <w:bottom w:val="none" w:sz="0" w:space="0" w:color="auto"/>
                    <w:right w:val="none" w:sz="0" w:space="0" w:color="auto"/>
                  </w:divBdr>
                  <w:divsChild>
                    <w:div w:id="2145267524">
                      <w:marLeft w:val="0"/>
                      <w:marRight w:val="0"/>
                      <w:marTop w:val="0"/>
                      <w:marBottom w:val="0"/>
                      <w:divBdr>
                        <w:top w:val="none" w:sz="0" w:space="0" w:color="auto"/>
                        <w:left w:val="none" w:sz="0" w:space="0" w:color="auto"/>
                        <w:bottom w:val="none" w:sz="0" w:space="0" w:color="auto"/>
                        <w:right w:val="none" w:sz="0" w:space="0" w:color="auto"/>
                      </w:divBdr>
                    </w:div>
                  </w:divsChild>
                </w:div>
                <w:div w:id="1769503214">
                  <w:marLeft w:val="0"/>
                  <w:marRight w:val="0"/>
                  <w:marTop w:val="0"/>
                  <w:marBottom w:val="0"/>
                  <w:divBdr>
                    <w:top w:val="none" w:sz="0" w:space="0" w:color="auto"/>
                    <w:left w:val="none" w:sz="0" w:space="0" w:color="auto"/>
                    <w:bottom w:val="none" w:sz="0" w:space="0" w:color="auto"/>
                    <w:right w:val="none" w:sz="0" w:space="0" w:color="auto"/>
                  </w:divBdr>
                  <w:divsChild>
                    <w:div w:id="36687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751232">
      <w:bodyDiv w:val="1"/>
      <w:marLeft w:val="0"/>
      <w:marRight w:val="0"/>
      <w:marTop w:val="0"/>
      <w:marBottom w:val="0"/>
      <w:divBdr>
        <w:top w:val="none" w:sz="0" w:space="0" w:color="auto"/>
        <w:left w:val="none" w:sz="0" w:space="0" w:color="auto"/>
        <w:bottom w:val="none" w:sz="0" w:space="0" w:color="auto"/>
        <w:right w:val="none" w:sz="0" w:space="0" w:color="auto"/>
      </w:divBdr>
      <w:divsChild>
        <w:div w:id="17121577">
          <w:marLeft w:val="0"/>
          <w:marRight w:val="0"/>
          <w:marTop w:val="0"/>
          <w:marBottom w:val="0"/>
          <w:divBdr>
            <w:top w:val="none" w:sz="0" w:space="0" w:color="auto"/>
            <w:left w:val="none" w:sz="0" w:space="0" w:color="auto"/>
            <w:bottom w:val="none" w:sz="0" w:space="0" w:color="auto"/>
            <w:right w:val="none" w:sz="0" w:space="0" w:color="auto"/>
          </w:divBdr>
          <w:divsChild>
            <w:div w:id="156921200">
              <w:marLeft w:val="-75"/>
              <w:marRight w:val="0"/>
              <w:marTop w:val="30"/>
              <w:marBottom w:val="30"/>
              <w:divBdr>
                <w:top w:val="none" w:sz="0" w:space="0" w:color="auto"/>
                <w:left w:val="none" w:sz="0" w:space="0" w:color="auto"/>
                <w:bottom w:val="none" w:sz="0" w:space="0" w:color="auto"/>
                <w:right w:val="none" w:sz="0" w:space="0" w:color="auto"/>
              </w:divBdr>
              <w:divsChild>
                <w:div w:id="322130307">
                  <w:marLeft w:val="0"/>
                  <w:marRight w:val="0"/>
                  <w:marTop w:val="0"/>
                  <w:marBottom w:val="0"/>
                  <w:divBdr>
                    <w:top w:val="none" w:sz="0" w:space="0" w:color="auto"/>
                    <w:left w:val="none" w:sz="0" w:space="0" w:color="auto"/>
                    <w:bottom w:val="none" w:sz="0" w:space="0" w:color="auto"/>
                    <w:right w:val="none" w:sz="0" w:space="0" w:color="auto"/>
                  </w:divBdr>
                  <w:divsChild>
                    <w:div w:id="1723140424">
                      <w:marLeft w:val="0"/>
                      <w:marRight w:val="0"/>
                      <w:marTop w:val="0"/>
                      <w:marBottom w:val="0"/>
                      <w:divBdr>
                        <w:top w:val="none" w:sz="0" w:space="0" w:color="auto"/>
                        <w:left w:val="none" w:sz="0" w:space="0" w:color="auto"/>
                        <w:bottom w:val="none" w:sz="0" w:space="0" w:color="auto"/>
                        <w:right w:val="none" w:sz="0" w:space="0" w:color="auto"/>
                      </w:divBdr>
                    </w:div>
                  </w:divsChild>
                </w:div>
                <w:div w:id="482283763">
                  <w:marLeft w:val="0"/>
                  <w:marRight w:val="0"/>
                  <w:marTop w:val="0"/>
                  <w:marBottom w:val="0"/>
                  <w:divBdr>
                    <w:top w:val="none" w:sz="0" w:space="0" w:color="auto"/>
                    <w:left w:val="none" w:sz="0" w:space="0" w:color="auto"/>
                    <w:bottom w:val="none" w:sz="0" w:space="0" w:color="auto"/>
                    <w:right w:val="none" w:sz="0" w:space="0" w:color="auto"/>
                  </w:divBdr>
                  <w:divsChild>
                    <w:div w:id="1231692453">
                      <w:marLeft w:val="0"/>
                      <w:marRight w:val="0"/>
                      <w:marTop w:val="0"/>
                      <w:marBottom w:val="0"/>
                      <w:divBdr>
                        <w:top w:val="none" w:sz="0" w:space="0" w:color="auto"/>
                        <w:left w:val="none" w:sz="0" w:space="0" w:color="auto"/>
                        <w:bottom w:val="none" w:sz="0" w:space="0" w:color="auto"/>
                        <w:right w:val="none" w:sz="0" w:space="0" w:color="auto"/>
                      </w:divBdr>
                    </w:div>
                  </w:divsChild>
                </w:div>
                <w:div w:id="561525489">
                  <w:marLeft w:val="0"/>
                  <w:marRight w:val="0"/>
                  <w:marTop w:val="0"/>
                  <w:marBottom w:val="0"/>
                  <w:divBdr>
                    <w:top w:val="none" w:sz="0" w:space="0" w:color="auto"/>
                    <w:left w:val="none" w:sz="0" w:space="0" w:color="auto"/>
                    <w:bottom w:val="none" w:sz="0" w:space="0" w:color="auto"/>
                    <w:right w:val="none" w:sz="0" w:space="0" w:color="auto"/>
                  </w:divBdr>
                  <w:divsChild>
                    <w:div w:id="890769480">
                      <w:marLeft w:val="0"/>
                      <w:marRight w:val="0"/>
                      <w:marTop w:val="0"/>
                      <w:marBottom w:val="0"/>
                      <w:divBdr>
                        <w:top w:val="none" w:sz="0" w:space="0" w:color="auto"/>
                        <w:left w:val="none" w:sz="0" w:space="0" w:color="auto"/>
                        <w:bottom w:val="none" w:sz="0" w:space="0" w:color="auto"/>
                        <w:right w:val="none" w:sz="0" w:space="0" w:color="auto"/>
                      </w:divBdr>
                    </w:div>
                  </w:divsChild>
                </w:div>
                <w:div w:id="733816692">
                  <w:marLeft w:val="0"/>
                  <w:marRight w:val="0"/>
                  <w:marTop w:val="0"/>
                  <w:marBottom w:val="0"/>
                  <w:divBdr>
                    <w:top w:val="none" w:sz="0" w:space="0" w:color="auto"/>
                    <w:left w:val="none" w:sz="0" w:space="0" w:color="auto"/>
                    <w:bottom w:val="none" w:sz="0" w:space="0" w:color="auto"/>
                    <w:right w:val="none" w:sz="0" w:space="0" w:color="auto"/>
                  </w:divBdr>
                  <w:divsChild>
                    <w:div w:id="2029015584">
                      <w:marLeft w:val="0"/>
                      <w:marRight w:val="0"/>
                      <w:marTop w:val="0"/>
                      <w:marBottom w:val="0"/>
                      <w:divBdr>
                        <w:top w:val="none" w:sz="0" w:space="0" w:color="auto"/>
                        <w:left w:val="none" w:sz="0" w:space="0" w:color="auto"/>
                        <w:bottom w:val="none" w:sz="0" w:space="0" w:color="auto"/>
                        <w:right w:val="none" w:sz="0" w:space="0" w:color="auto"/>
                      </w:divBdr>
                    </w:div>
                  </w:divsChild>
                </w:div>
                <w:div w:id="867335849">
                  <w:marLeft w:val="0"/>
                  <w:marRight w:val="0"/>
                  <w:marTop w:val="0"/>
                  <w:marBottom w:val="0"/>
                  <w:divBdr>
                    <w:top w:val="none" w:sz="0" w:space="0" w:color="auto"/>
                    <w:left w:val="none" w:sz="0" w:space="0" w:color="auto"/>
                    <w:bottom w:val="none" w:sz="0" w:space="0" w:color="auto"/>
                    <w:right w:val="none" w:sz="0" w:space="0" w:color="auto"/>
                  </w:divBdr>
                  <w:divsChild>
                    <w:div w:id="807161049">
                      <w:marLeft w:val="0"/>
                      <w:marRight w:val="0"/>
                      <w:marTop w:val="0"/>
                      <w:marBottom w:val="0"/>
                      <w:divBdr>
                        <w:top w:val="none" w:sz="0" w:space="0" w:color="auto"/>
                        <w:left w:val="none" w:sz="0" w:space="0" w:color="auto"/>
                        <w:bottom w:val="none" w:sz="0" w:space="0" w:color="auto"/>
                        <w:right w:val="none" w:sz="0" w:space="0" w:color="auto"/>
                      </w:divBdr>
                    </w:div>
                  </w:divsChild>
                </w:div>
                <w:div w:id="1380276388">
                  <w:marLeft w:val="0"/>
                  <w:marRight w:val="0"/>
                  <w:marTop w:val="0"/>
                  <w:marBottom w:val="0"/>
                  <w:divBdr>
                    <w:top w:val="none" w:sz="0" w:space="0" w:color="auto"/>
                    <w:left w:val="none" w:sz="0" w:space="0" w:color="auto"/>
                    <w:bottom w:val="none" w:sz="0" w:space="0" w:color="auto"/>
                    <w:right w:val="none" w:sz="0" w:space="0" w:color="auto"/>
                  </w:divBdr>
                  <w:divsChild>
                    <w:div w:id="1515269212">
                      <w:marLeft w:val="0"/>
                      <w:marRight w:val="0"/>
                      <w:marTop w:val="0"/>
                      <w:marBottom w:val="0"/>
                      <w:divBdr>
                        <w:top w:val="none" w:sz="0" w:space="0" w:color="auto"/>
                        <w:left w:val="none" w:sz="0" w:space="0" w:color="auto"/>
                        <w:bottom w:val="none" w:sz="0" w:space="0" w:color="auto"/>
                        <w:right w:val="none" w:sz="0" w:space="0" w:color="auto"/>
                      </w:divBdr>
                    </w:div>
                  </w:divsChild>
                </w:div>
                <w:div w:id="1546790998">
                  <w:marLeft w:val="0"/>
                  <w:marRight w:val="0"/>
                  <w:marTop w:val="0"/>
                  <w:marBottom w:val="0"/>
                  <w:divBdr>
                    <w:top w:val="none" w:sz="0" w:space="0" w:color="auto"/>
                    <w:left w:val="none" w:sz="0" w:space="0" w:color="auto"/>
                    <w:bottom w:val="none" w:sz="0" w:space="0" w:color="auto"/>
                    <w:right w:val="none" w:sz="0" w:space="0" w:color="auto"/>
                  </w:divBdr>
                  <w:divsChild>
                    <w:div w:id="1077172236">
                      <w:marLeft w:val="0"/>
                      <w:marRight w:val="0"/>
                      <w:marTop w:val="0"/>
                      <w:marBottom w:val="0"/>
                      <w:divBdr>
                        <w:top w:val="none" w:sz="0" w:space="0" w:color="auto"/>
                        <w:left w:val="none" w:sz="0" w:space="0" w:color="auto"/>
                        <w:bottom w:val="none" w:sz="0" w:space="0" w:color="auto"/>
                        <w:right w:val="none" w:sz="0" w:space="0" w:color="auto"/>
                      </w:divBdr>
                    </w:div>
                  </w:divsChild>
                </w:div>
                <w:div w:id="1717462815">
                  <w:marLeft w:val="0"/>
                  <w:marRight w:val="0"/>
                  <w:marTop w:val="0"/>
                  <w:marBottom w:val="0"/>
                  <w:divBdr>
                    <w:top w:val="none" w:sz="0" w:space="0" w:color="auto"/>
                    <w:left w:val="none" w:sz="0" w:space="0" w:color="auto"/>
                    <w:bottom w:val="none" w:sz="0" w:space="0" w:color="auto"/>
                    <w:right w:val="none" w:sz="0" w:space="0" w:color="auto"/>
                  </w:divBdr>
                  <w:divsChild>
                    <w:div w:id="108148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962066">
          <w:marLeft w:val="0"/>
          <w:marRight w:val="0"/>
          <w:marTop w:val="0"/>
          <w:marBottom w:val="0"/>
          <w:divBdr>
            <w:top w:val="none" w:sz="0" w:space="0" w:color="auto"/>
            <w:left w:val="none" w:sz="0" w:space="0" w:color="auto"/>
            <w:bottom w:val="none" w:sz="0" w:space="0" w:color="auto"/>
            <w:right w:val="none" w:sz="0" w:space="0" w:color="auto"/>
          </w:divBdr>
        </w:div>
        <w:div w:id="671834884">
          <w:marLeft w:val="0"/>
          <w:marRight w:val="0"/>
          <w:marTop w:val="0"/>
          <w:marBottom w:val="0"/>
          <w:divBdr>
            <w:top w:val="none" w:sz="0" w:space="0" w:color="auto"/>
            <w:left w:val="none" w:sz="0" w:space="0" w:color="auto"/>
            <w:bottom w:val="none" w:sz="0" w:space="0" w:color="auto"/>
            <w:right w:val="none" w:sz="0" w:space="0" w:color="auto"/>
          </w:divBdr>
          <w:divsChild>
            <w:div w:id="518278380">
              <w:marLeft w:val="-75"/>
              <w:marRight w:val="0"/>
              <w:marTop w:val="30"/>
              <w:marBottom w:val="30"/>
              <w:divBdr>
                <w:top w:val="none" w:sz="0" w:space="0" w:color="auto"/>
                <w:left w:val="none" w:sz="0" w:space="0" w:color="auto"/>
                <w:bottom w:val="none" w:sz="0" w:space="0" w:color="auto"/>
                <w:right w:val="none" w:sz="0" w:space="0" w:color="auto"/>
              </w:divBdr>
              <w:divsChild>
                <w:div w:id="57635420">
                  <w:marLeft w:val="0"/>
                  <w:marRight w:val="0"/>
                  <w:marTop w:val="0"/>
                  <w:marBottom w:val="0"/>
                  <w:divBdr>
                    <w:top w:val="none" w:sz="0" w:space="0" w:color="auto"/>
                    <w:left w:val="none" w:sz="0" w:space="0" w:color="auto"/>
                    <w:bottom w:val="none" w:sz="0" w:space="0" w:color="auto"/>
                    <w:right w:val="none" w:sz="0" w:space="0" w:color="auto"/>
                  </w:divBdr>
                  <w:divsChild>
                    <w:div w:id="2005012217">
                      <w:marLeft w:val="0"/>
                      <w:marRight w:val="0"/>
                      <w:marTop w:val="0"/>
                      <w:marBottom w:val="0"/>
                      <w:divBdr>
                        <w:top w:val="none" w:sz="0" w:space="0" w:color="auto"/>
                        <w:left w:val="none" w:sz="0" w:space="0" w:color="auto"/>
                        <w:bottom w:val="none" w:sz="0" w:space="0" w:color="auto"/>
                        <w:right w:val="none" w:sz="0" w:space="0" w:color="auto"/>
                      </w:divBdr>
                    </w:div>
                  </w:divsChild>
                </w:div>
                <w:div w:id="124665242">
                  <w:marLeft w:val="0"/>
                  <w:marRight w:val="0"/>
                  <w:marTop w:val="0"/>
                  <w:marBottom w:val="0"/>
                  <w:divBdr>
                    <w:top w:val="none" w:sz="0" w:space="0" w:color="auto"/>
                    <w:left w:val="none" w:sz="0" w:space="0" w:color="auto"/>
                    <w:bottom w:val="none" w:sz="0" w:space="0" w:color="auto"/>
                    <w:right w:val="none" w:sz="0" w:space="0" w:color="auto"/>
                  </w:divBdr>
                  <w:divsChild>
                    <w:div w:id="1509901404">
                      <w:marLeft w:val="0"/>
                      <w:marRight w:val="0"/>
                      <w:marTop w:val="0"/>
                      <w:marBottom w:val="0"/>
                      <w:divBdr>
                        <w:top w:val="none" w:sz="0" w:space="0" w:color="auto"/>
                        <w:left w:val="none" w:sz="0" w:space="0" w:color="auto"/>
                        <w:bottom w:val="none" w:sz="0" w:space="0" w:color="auto"/>
                        <w:right w:val="none" w:sz="0" w:space="0" w:color="auto"/>
                      </w:divBdr>
                    </w:div>
                  </w:divsChild>
                </w:div>
                <w:div w:id="138574888">
                  <w:marLeft w:val="0"/>
                  <w:marRight w:val="0"/>
                  <w:marTop w:val="0"/>
                  <w:marBottom w:val="0"/>
                  <w:divBdr>
                    <w:top w:val="none" w:sz="0" w:space="0" w:color="auto"/>
                    <w:left w:val="none" w:sz="0" w:space="0" w:color="auto"/>
                    <w:bottom w:val="none" w:sz="0" w:space="0" w:color="auto"/>
                    <w:right w:val="none" w:sz="0" w:space="0" w:color="auto"/>
                  </w:divBdr>
                  <w:divsChild>
                    <w:div w:id="1716852354">
                      <w:marLeft w:val="0"/>
                      <w:marRight w:val="0"/>
                      <w:marTop w:val="0"/>
                      <w:marBottom w:val="0"/>
                      <w:divBdr>
                        <w:top w:val="none" w:sz="0" w:space="0" w:color="auto"/>
                        <w:left w:val="none" w:sz="0" w:space="0" w:color="auto"/>
                        <w:bottom w:val="none" w:sz="0" w:space="0" w:color="auto"/>
                        <w:right w:val="none" w:sz="0" w:space="0" w:color="auto"/>
                      </w:divBdr>
                    </w:div>
                  </w:divsChild>
                </w:div>
                <w:div w:id="364913366">
                  <w:marLeft w:val="0"/>
                  <w:marRight w:val="0"/>
                  <w:marTop w:val="0"/>
                  <w:marBottom w:val="0"/>
                  <w:divBdr>
                    <w:top w:val="none" w:sz="0" w:space="0" w:color="auto"/>
                    <w:left w:val="none" w:sz="0" w:space="0" w:color="auto"/>
                    <w:bottom w:val="none" w:sz="0" w:space="0" w:color="auto"/>
                    <w:right w:val="none" w:sz="0" w:space="0" w:color="auto"/>
                  </w:divBdr>
                  <w:divsChild>
                    <w:div w:id="1097558958">
                      <w:marLeft w:val="0"/>
                      <w:marRight w:val="0"/>
                      <w:marTop w:val="0"/>
                      <w:marBottom w:val="0"/>
                      <w:divBdr>
                        <w:top w:val="none" w:sz="0" w:space="0" w:color="auto"/>
                        <w:left w:val="none" w:sz="0" w:space="0" w:color="auto"/>
                        <w:bottom w:val="none" w:sz="0" w:space="0" w:color="auto"/>
                        <w:right w:val="none" w:sz="0" w:space="0" w:color="auto"/>
                      </w:divBdr>
                    </w:div>
                  </w:divsChild>
                </w:div>
                <w:div w:id="401951341">
                  <w:marLeft w:val="0"/>
                  <w:marRight w:val="0"/>
                  <w:marTop w:val="0"/>
                  <w:marBottom w:val="0"/>
                  <w:divBdr>
                    <w:top w:val="none" w:sz="0" w:space="0" w:color="auto"/>
                    <w:left w:val="none" w:sz="0" w:space="0" w:color="auto"/>
                    <w:bottom w:val="none" w:sz="0" w:space="0" w:color="auto"/>
                    <w:right w:val="none" w:sz="0" w:space="0" w:color="auto"/>
                  </w:divBdr>
                  <w:divsChild>
                    <w:div w:id="1691368946">
                      <w:marLeft w:val="0"/>
                      <w:marRight w:val="0"/>
                      <w:marTop w:val="0"/>
                      <w:marBottom w:val="0"/>
                      <w:divBdr>
                        <w:top w:val="none" w:sz="0" w:space="0" w:color="auto"/>
                        <w:left w:val="none" w:sz="0" w:space="0" w:color="auto"/>
                        <w:bottom w:val="none" w:sz="0" w:space="0" w:color="auto"/>
                        <w:right w:val="none" w:sz="0" w:space="0" w:color="auto"/>
                      </w:divBdr>
                    </w:div>
                  </w:divsChild>
                </w:div>
                <w:div w:id="585505152">
                  <w:marLeft w:val="0"/>
                  <w:marRight w:val="0"/>
                  <w:marTop w:val="0"/>
                  <w:marBottom w:val="0"/>
                  <w:divBdr>
                    <w:top w:val="none" w:sz="0" w:space="0" w:color="auto"/>
                    <w:left w:val="none" w:sz="0" w:space="0" w:color="auto"/>
                    <w:bottom w:val="none" w:sz="0" w:space="0" w:color="auto"/>
                    <w:right w:val="none" w:sz="0" w:space="0" w:color="auto"/>
                  </w:divBdr>
                  <w:divsChild>
                    <w:div w:id="984285729">
                      <w:marLeft w:val="0"/>
                      <w:marRight w:val="0"/>
                      <w:marTop w:val="0"/>
                      <w:marBottom w:val="0"/>
                      <w:divBdr>
                        <w:top w:val="none" w:sz="0" w:space="0" w:color="auto"/>
                        <w:left w:val="none" w:sz="0" w:space="0" w:color="auto"/>
                        <w:bottom w:val="none" w:sz="0" w:space="0" w:color="auto"/>
                        <w:right w:val="none" w:sz="0" w:space="0" w:color="auto"/>
                      </w:divBdr>
                    </w:div>
                  </w:divsChild>
                </w:div>
                <w:div w:id="797263026">
                  <w:marLeft w:val="0"/>
                  <w:marRight w:val="0"/>
                  <w:marTop w:val="0"/>
                  <w:marBottom w:val="0"/>
                  <w:divBdr>
                    <w:top w:val="none" w:sz="0" w:space="0" w:color="auto"/>
                    <w:left w:val="none" w:sz="0" w:space="0" w:color="auto"/>
                    <w:bottom w:val="none" w:sz="0" w:space="0" w:color="auto"/>
                    <w:right w:val="none" w:sz="0" w:space="0" w:color="auto"/>
                  </w:divBdr>
                  <w:divsChild>
                    <w:div w:id="294726503">
                      <w:marLeft w:val="0"/>
                      <w:marRight w:val="0"/>
                      <w:marTop w:val="0"/>
                      <w:marBottom w:val="0"/>
                      <w:divBdr>
                        <w:top w:val="none" w:sz="0" w:space="0" w:color="auto"/>
                        <w:left w:val="none" w:sz="0" w:space="0" w:color="auto"/>
                        <w:bottom w:val="none" w:sz="0" w:space="0" w:color="auto"/>
                        <w:right w:val="none" w:sz="0" w:space="0" w:color="auto"/>
                      </w:divBdr>
                    </w:div>
                  </w:divsChild>
                </w:div>
                <w:div w:id="813062295">
                  <w:marLeft w:val="0"/>
                  <w:marRight w:val="0"/>
                  <w:marTop w:val="0"/>
                  <w:marBottom w:val="0"/>
                  <w:divBdr>
                    <w:top w:val="none" w:sz="0" w:space="0" w:color="auto"/>
                    <w:left w:val="none" w:sz="0" w:space="0" w:color="auto"/>
                    <w:bottom w:val="none" w:sz="0" w:space="0" w:color="auto"/>
                    <w:right w:val="none" w:sz="0" w:space="0" w:color="auto"/>
                  </w:divBdr>
                  <w:divsChild>
                    <w:div w:id="2010862666">
                      <w:marLeft w:val="0"/>
                      <w:marRight w:val="0"/>
                      <w:marTop w:val="0"/>
                      <w:marBottom w:val="0"/>
                      <w:divBdr>
                        <w:top w:val="none" w:sz="0" w:space="0" w:color="auto"/>
                        <w:left w:val="none" w:sz="0" w:space="0" w:color="auto"/>
                        <w:bottom w:val="none" w:sz="0" w:space="0" w:color="auto"/>
                        <w:right w:val="none" w:sz="0" w:space="0" w:color="auto"/>
                      </w:divBdr>
                    </w:div>
                  </w:divsChild>
                </w:div>
                <w:div w:id="869876370">
                  <w:marLeft w:val="0"/>
                  <w:marRight w:val="0"/>
                  <w:marTop w:val="0"/>
                  <w:marBottom w:val="0"/>
                  <w:divBdr>
                    <w:top w:val="none" w:sz="0" w:space="0" w:color="auto"/>
                    <w:left w:val="none" w:sz="0" w:space="0" w:color="auto"/>
                    <w:bottom w:val="none" w:sz="0" w:space="0" w:color="auto"/>
                    <w:right w:val="none" w:sz="0" w:space="0" w:color="auto"/>
                  </w:divBdr>
                  <w:divsChild>
                    <w:div w:id="718015540">
                      <w:marLeft w:val="0"/>
                      <w:marRight w:val="0"/>
                      <w:marTop w:val="0"/>
                      <w:marBottom w:val="0"/>
                      <w:divBdr>
                        <w:top w:val="none" w:sz="0" w:space="0" w:color="auto"/>
                        <w:left w:val="none" w:sz="0" w:space="0" w:color="auto"/>
                        <w:bottom w:val="none" w:sz="0" w:space="0" w:color="auto"/>
                        <w:right w:val="none" w:sz="0" w:space="0" w:color="auto"/>
                      </w:divBdr>
                    </w:div>
                  </w:divsChild>
                </w:div>
                <w:div w:id="946036842">
                  <w:marLeft w:val="0"/>
                  <w:marRight w:val="0"/>
                  <w:marTop w:val="0"/>
                  <w:marBottom w:val="0"/>
                  <w:divBdr>
                    <w:top w:val="none" w:sz="0" w:space="0" w:color="auto"/>
                    <w:left w:val="none" w:sz="0" w:space="0" w:color="auto"/>
                    <w:bottom w:val="none" w:sz="0" w:space="0" w:color="auto"/>
                    <w:right w:val="none" w:sz="0" w:space="0" w:color="auto"/>
                  </w:divBdr>
                  <w:divsChild>
                    <w:div w:id="758864670">
                      <w:marLeft w:val="0"/>
                      <w:marRight w:val="0"/>
                      <w:marTop w:val="0"/>
                      <w:marBottom w:val="0"/>
                      <w:divBdr>
                        <w:top w:val="none" w:sz="0" w:space="0" w:color="auto"/>
                        <w:left w:val="none" w:sz="0" w:space="0" w:color="auto"/>
                        <w:bottom w:val="none" w:sz="0" w:space="0" w:color="auto"/>
                        <w:right w:val="none" w:sz="0" w:space="0" w:color="auto"/>
                      </w:divBdr>
                    </w:div>
                  </w:divsChild>
                </w:div>
                <w:div w:id="957182731">
                  <w:marLeft w:val="0"/>
                  <w:marRight w:val="0"/>
                  <w:marTop w:val="0"/>
                  <w:marBottom w:val="0"/>
                  <w:divBdr>
                    <w:top w:val="none" w:sz="0" w:space="0" w:color="auto"/>
                    <w:left w:val="none" w:sz="0" w:space="0" w:color="auto"/>
                    <w:bottom w:val="none" w:sz="0" w:space="0" w:color="auto"/>
                    <w:right w:val="none" w:sz="0" w:space="0" w:color="auto"/>
                  </w:divBdr>
                  <w:divsChild>
                    <w:div w:id="341862575">
                      <w:marLeft w:val="0"/>
                      <w:marRight w:val="0"/>
                      <w:marTop w:val="0"/>
                      <w:marBottom w:val="0"/>
                      <w:divBdr>
                        <w:top w:val="none" w:sz="0" w:space="0" w:color="auto"/>
                        <w:left w:val="none" w:sz="0" w:space="0" w:color="auto"/>
                        <w:bottom w:val="none" w:sz="0" w:space="0" w:color="auto"/>
                        <w:right w:val="none" w:sz="0" w:space="0" w:color="auto"/>
                      </w:divBdr>
                    </w:div>
                  </w:divsChild>
                </w:div>
                <w:div w:id="988440214">
                  <w:marLeft w:val="0"/>
                  <w:marRight w:val="0"/>
                  <w:marTop w:val="0"/>
                  <w:marBottom w:val="0"/>
                  <w:divBdr>
                    <w:top w:val="none" w:sz="0" w:space="0" w:color="auto"/>
                    <w:left w:val="none" w:sz="0" w:space="0" w:color="auto"/>
                    <w:bottom w:val="none" w:sz="0" w:space="0" w:color="auto"/>
                    <w:right w:val="none" w:sz="0" w:space="0" w:color="auto"/>
                  </w:divBdr>
                  <w:divsChild>
                    <w:div w:id="1041519109">
                      <w:marLeft w:val="0"/>
                      <w:marRight w:val="0"/>
                      <w:marTop w:val="0"/>
                      <w:marBottom w:val="0"/>
                      <w:divBdr>
                        <w:top w:val="none" w:sz="0" w:space="0" w:color="auto"/>
                        <w:left w:val="none" w:sz="0" w:space="0" w:color="auto"/>
                        <w:bottom w:val="none" w:sz="0" w:space="0" w:color="auto"/>
                        <w:right w:val="none" w:sz="0" w:space="0" w:color="auto"/>
                      </w:divBdr>
                    </w:div>
                  </w:divsChild>
                </w:div>
                <w:div w:id="1060641651">
                  <w:marLeft w:val="0"/>
                  <w:marRight w:val="0"/>
                  <w:marTop w:val="0"/>
                  <w:marBottom w:val="0"/>
                  <w:divBdr>
                    <w:top w:val="none" w:sz="0" w:space="0" w:color="auto"/>
                    <w:left w:val="none" w:sz="0" w:space="0" w:color="auto"/>
                    <w:bottom w:val="none" w:sz="0" w:space="0" w:color="auto"/>
                    <w:right w:val="none" w:sz="0" w:space="0" w:color="auto"/>
                  </w:divBdr>
                  <w:divsChild>
                    <w:div w:id="1745180730">
                      <w:marLeft w:val="0"/>
                      <w:marRight w:val="0"/>
                      <w:marTop w:val="0"/>
                      <w:marBottom w:val="0"/>
                      <w:divBdr>
                        <w:top w:val="none" w:sz="0" w:space="0" w:color="auto"/>
                        <w:left w:val="none" w:sz="0" w:space="0" w:color="auto"/>
                        <w:bottom w:val="none" w:sz="0" w:space="0" w:color="auto"/>
                        <w:right w:val="none" w:sz="0" w:space="0" w:color="auto"/>
                      </w:divBdr>
                    </w:div>
                  </w:divsChild>
                </w:div>
                <w:div w:id="1164858267">
                  <w:marLeft w:val="0"/>
                  <w:marRight w:val="0"/>
                  <w:marTop w:val="0"/>
                  <w:marBottom w:val="0"/>
                  <w:divBdr>
                    <w:top w:val="none" w:sz="0" w:space="0" w:color="auto"/>
                    <w:left w:val="none" w:sz="0" w:space="0" w:color="auto"/>
                    <w:bottom w:val="none" w:sz="0" w:space="0" w:color="auto"/>
                    <w:right w:val="none" w:sz="0" w:space="0" w:color="auto"/>
                  </w:divBdr>
                  <w:divsChild>
                    <w:div w:id="1163593860">
                      <w:marLeft w:val="0"/>
                      <w:marRight w:val="0"/>
                      <w:marTop w:val="0"/>
                      <w:marBottom w:val="0"/>
                      <w:divBdr>
                        <w:top w:val="none" w:sz="0" w:space="0" w:color="auto"/>
                        <w:left w:val="none" w:sz="0" w:space="0" w:color="auto"/>
                        <w:bottom w:val="none" w:sz="0" w:space="0" w:color="auto"/>
                        <w:right w:val="none" w:sz="0" w:space="0" w:color="auto"/>
                      </w:divBdr>
                    </w:div>
                  </w:divsChild>
                </w:div>
                <w:div w:id="1169632762">
                  <w:marLeft w:val="0"/>
                  <w:marRight w:val="0"/>
                  <w:marTop w:val="0"/>
                  <w:marBottom w:val="0"/>
                  <w:divBdr>
                    <w:top w:val="none" w:sz="0" w:space="0" w:color="auto"/>
                    <w:left w:val="none" w:sz="0" w:space="0" w:color="auto"/>
                    <w:bottom w:val="none" w:sz="0" w:space="0" w:color="auto"/>
                    <w:right w:val="none" w:sz="0" w:space="0" w:color="auto"/>
                  </w:divBdr>
                  <w:divsChild>
                    <w:div w:id="365525509">
                      <w:marLeft w:val="0"/>
                      <w:marRight w:val="0"/>
                      <w:marTop w:val="0"/>
                      <w:marBottom w:val="0"/>
                      <w:divBdr>
                        <w:top w:val="none" w:sz="0" w:space="0" w:color="auto"/>
                        <w:left w:val="none" w:sz="0" w:space="0" w:color="auto"/>
                        <w:bottom w:val="none" w:sz="0" w:space="0" w:color="auto"/>
                        <w:right w:val="none" w:sz="0" w:space="0" w:color="auto"/>
                      </w:divBdr>
                    </w:div>
                  </w:divsChild>
                </w:div>
                <w:div w:id="1173185377">
                  <w:marLeft w:val="0"/>
                  <w:marRight w:val="0"/>
                  <w:marTop w:val="0"/>
                  <w:marBottom w:val="0"/>
                  <w:divBdr>
                    <w:top w:val="none" w:sz="0" w:space="0" w:color="auto"/>
                    <w:left w:val="none" w:sz="0" w:space="0" w:color="auto"/>
                    <w:bottom w:val="none" w:sz="0" w:space="0" w:color="auto"/>
                    <w:right w:val="none" w:sz="0" w:space="0" w:color="auto"/>
                  </w:divBdr>
                  <w:divsChild>
                    <w:div w:id="1572346303">
                      <w:marLeft w:val="0"/>
                      <w:marRight w:val="0"/>
                      <w:marTop w:val="0"/>
                      <w:marBottom w:val="0"/>
                      <w:divBdr>
                        <w:top w:val="none" w:sz="0" w:space="0" w:color="auto"/>
                        <w:left w:val="none" w:sz="0" w:space="0" w:color="auto"/>
                        <w:bottom w:val="none" w:sz="0" w:space="0" w:color="auto"/>
                        <w:right w:val="none" w:sz="0" w:space="0" w:color="auto"/>
                      </w:divBdr>
                    </w:div>
                  </w:divsChild>
                </w:div>
                <w:div w:id="1271665558">
                  <w:marLeft w:val="0"/>
                  <w:marRight w:val="0"/>
                  <w:marTop w:val="0"/>
                  <w:marBottom w:val="0"/>
                  <w:divBdr>
                    <w:top w:val="none" w:sz="0" w:space="0" w:color="auto"/>
                    <w:left w:val="none" w:sz="0" w:space="0" w:color="auto"/>
                    <w:bottom w:val="none" w:sz="0" w:space="0" w:color="auto"/>
                    <w:right w:val="none" w:sz="0" w:space="0" w:color="auto"/>
                  </w:divBdr>
                  <w:divsChild>
                    <w:div w:id="1018509138">
                      <w:marLeft w:val="0"/>
                      <w:marRight w:val="0"/>
                      <w:marTop w:val="0"/>
                      <w:marBottom w:val="0"/>
                      <w:divBdr>
                        <w:top w:val="none" w:sz="0" w:space="0" w:color="auto"/>
                        <w:left w:val="none" w:sz="0" w:space="0" w:color="auto"/>
                        <w:bottom w:val="none" w:sz="0" w:space="0" w:color="auto"/>
                        <w:right w:val="none" w:sz="0" w:space="0" w:color="auto"/>
                      </w:divBdr>
                    </w:div>
                  </w:divsChild>
                </w:div>
                <w:div w:id="1353532313">
                  <w:marLeft w:val="0"/>
                  <w:marRight w:val="0"/>
                  <w:marTop w:val="0"/>
                  <w:marBottom w:val="0"/>
                  <w:divBdr>
                    <w:top w:val="none" w:sz="0" w:space="0" w:color="auto"/>
                    <w:left w:val="none" w:sz="0" w:space="0" w:color="auto"/>
                    <w:bottom w:val="none" w:sz="0" w:space="0" w:color="auto"/>
                    <w:right w:val="none" w:sz="0" w:space="0" w:color="auto"/>
                  </w:divBdr>
                  <w:divsChild>
                    <w:div w:id="1939556462">
                      <w:marLeft w:val="0"/>
                      <w:marRight w:val="0"/>
                      <w:marTop w:val="0"/>
                      <w:marBottom w:val="0"/>
                      <w:divBdr>
                        <w:top w:val="none" w:sz="0" w:space="0" w:color="auto"/>
                        <w:left w:val="none" w:sz="0" w:space="0" w:color="auto"/>
                        <w:bottom w:val="none" w:sz="0" w:space="0" w:color="auto"/>
                        <w:right w:val="none" w:sz="0" w:space="0" w:color="auto"/>
                      </w:divBdr>
                    </w:div>
                  </w:divsChild>
                </w:div>
                <w:div w:id="1638486938">
                  <w:marLeft w:val="0"/>
                  <w:marRight w:val="0"/>
                  <w:marTop w:val="0"/>
                  <w:marBottom w:val="0"/>
                  <w:divBdr>
                    <w:top w:val="none" w:sz="0" w:space="0" w:color="auto"/>
                    <w:left w:val="none" w:sz="0" w:space="0" w:color="auto"/>
                    <w:bottom w:val="none" w:sz="0" w:space="0" w:color="auto"/>
                    <w:right w:val="none" w:sz="0" w:space="0" w:color="auto"/>
                  </w:divBdr>
                  <w:divsChild>
                    <w:div w:id="1862281448">
                      <w:marLeft w:val="0"/>
                      <w:marRight w:val="0"/>
                      <w:marTop w:val="0"/>
                      <w:marBottom w:val="0"/>
                      <w:divBdr>
                        <w:top w:val="none" w:sz="0" w:space="0" w:color="auto"/>
                        <w:left w:val="none" w:sz="0" w:space="0" w:color="auto"/>
                        <w:bottom w:val="none" w:sz="0" w:space="0" w:color="auto"/>
                        <w:right w:val="none" w:sz="0" w:space="0" w:color="auto"/>
                      </w:divBdr>
                    </w:div>
                  </w:divsChild>
                </w:div>
                <w:div w:id="1681614032">
                  <w:marLeft w:val="0"/>
                  <w:marRight w:val="0"/>
                  <w:marTop w:val="0"/>
                  <w:marBottom w:val="0"/>
                  <w:divBdr>
                    <w:top w:val="none" w:sz="0" w:space="0" w:color="auto"/>
                    <w:left w:val="none" w:sz="0" w:space="0" w:color="auto"/>
                    <w:bottom w:val="none" w:sz="0" w:space="0" w:color="auto"/>
                    <w:right w:val="none" w:sz="0" w:space="0" w:color="auto"/>
                  </w:divBdr>
                  <w:divsChild>
                    <w:div w:id="139081918">
                      <w:marLeft w:val="0"/>
                      <w:marRight w:val="0"/>
                      <w:marTop w:val="0"/>
                      <w:marBottom w:val="0"/>
                      <w:divBdr>
                        <w:top w:val="none" w:sz="0" w:space="0" w:color="auto"/>
                        <w:left w:val="none" w:sz="0" w:space="0" w:color="auto"/>
                        <w:bottom w:val="none" w:sz="0" w:space="0" w:color="auto"/>
                        <w:right w:val="none" w:sz="0" w:space="0" w:color="auto"/>
                      </w:divBdr>
                    </w:div>
                  </w:divsChild>
                </w:div>
                <w:div w:id="1829049842">
                  <w:marLeft w:val="0"/>
                  <w:marRight w:val="0"/>
                  <w:marTop w:val="0"/>
                  <w:marBottom w:val="0"/>
                  <w:divBdr>
                    <w:top w:val="none" w:sz="0" w:space="0" w:color="auto"/>
                    <w:left w:val="none" w:sz="0" w:space="0" w:color="auto"/>
                    <w:bottom w:val="none" w:sz="0" w:space="0" w:color="auto"/>
                    <w:right w:val="none" w:sz="0" w:space="0" w:color="auto"/>
                  </w:divBdr>
                  <w:divsChild>
                    <w:div w:id="157625306">
                      <w:marLeft w:val="0"/>
                      <w:marRight w:val="0"/>
                      <w:marTop w:val="0"/>
                      <w:marBottom w:val="0"/>
                      <w:divBdr>
                        <w:top w:val="none" w:sz="0" w:space="0" w:color="auto"/>
                        <w:left w:val="none" w:sz="0" w:space="0" w:color="auto"/>
                        <w:bottom w:val="none" w:sz="0" w:space="0" w:color="auto"/>
                        <w:right w:val="none" w:sz="0" w:space="0" w:color="auto"/>
                      </w:divBdr>
                    </w:div>
                  </w:divsChild>
                </w:div>
                <w:div w:id="1877698138">
                  <w:marLeft w:val="0"/>
                  <w:marRight w:val="0"/>
                  <w:marTop w:val="0"/>
                  <w:marBottom w:val="0"/>
                  <w:divBdr>
                    <w:top w:val="none" w:sz="0" w:space="0" w:color="auto"/>
                    <w:left w:val="none" w:sz="0" w:space="0" w:color="auto"/>
                    <w:bottom w:val="none" w:sz="0" w:space="0" w:color="auto"/>
                    <w:right w:val="none" w:sz="0" w:space="0" w:color="auto"/>
                  </w:divBdr>
                  <w:divsChild>
                    <w:div w:id="2130052206">
                      <w:marLeft w:val="0"/>
                      <w:marRight w:val="0"/>
                      <w:marTop w:val="0"/>
                      <w:marBottom w:val="0"/>
                      <w:divBdr>
                        <w:top w:val="none" w:sz="0" w:space="0" w:color="auto"/>
                        <w:left w:val="none" w:sz="0" w:space="0" w:color="auto"/>
                        <w:bottom w:val="none" w:sz="0" w:space="0" w:color="auto"/>
                        <w:right w:val="none" w:sz="0" w:space="0" w:color="auto"/>
                      </w:divBdr>
                    </w:div>
                  </w:divsChild>
                </w:div>
                <w:div w:id="1980918643">
                  <w:marLeft w:val="0"/>
                  <w:marRight w:val="0"/>
                  <w:marTop w:val="0"/>
                  <w:marBottom w:val="0"/>
                  <w:divBdr>
                    <w:top w:val="none" w:sz="0" w:space="0" w:color="auto"/>
                    <w:left w:val="none" w:sz="0" w:space="0" w:color="auto"/>
                    <w:bottom w:val="none" w:sz="0" w:space="0" w:color="auto"/>
                    <w:right w:val="none" w:sz="0" w:space="0" w:color="auto"/>
                  </w:divBdr>
                  <w:divsChild>
                    <w:div w:id="1730499156">
                      <w:marLeft w:val="0"/>
                      <w:marRight w:val="0"/>
                      <w:marTop w:val="0"/>
                      <w:marBottom w:val="0"/>
                      <w:divBdr>
                        <w:top w:val="none" w:sz="0" w:space="0" w:color="auto"/>
                        <w:left w:val="none" w:sz="0" w:space="0" w:color="auto"/>
                        <w:bottom w:val="none" w:sz="0" w:space="0" w:color="auto"/>
                        <w:right w:val="none" w:sz="0" w:space="0" w:color="auto"/>
                      </w:divBdr>
                    </w:div>
                  </w:divsChild>
                </w:div>
                <w:div w:id="2080059497">
                  <w:marLeft w:val="0"/>
                  <w:marRight w:val="0"/>
                  <w:marTop w:val="0"/>
                  <w:marBottom w:val="0"/>
                  <w:divBdr>
                    <w:top w:val="none" w:sz="0" w:space="0" w:color="auto"/>
                    <w:left w:val="none" w:sz="0" w:space="0" w:color="auto"/>
                    <w:bottom w:val="none" w:sz="0" w:space="0" w:color="auto"/>
                    <w:right w:val="none" w:sz="0" w:space="0" w:color="auto"/>
                  </w:divBdr>
                  <w:divsChild>
                    <w:div w:id="52999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784748">
          <w:marLeft w:val="0"/>
          <w:marRight w:val="0"/>
          <w:marTop w:val="0"/>
          <w:marBottom w:val="0"/>
          <w:divBdr>
            <w:top w:val="none" w:sz="0" w:space="0" w:color="auto"/>
            <w:left w:val="none" w:sz="0" w:space="0" w:color="auto"/>
            <w:bottom w:val="none" w:sz="0" w:space="0" w:color="auto"/>
            <w:right w:val="none" w:sz="0" w:space="0" w:color="auto"/>
          </w:divBdr>
        </w:div>
        <w:div w:id="1642618710">
          <w:marLeft w:val="0"/>
          <w:marRight w:val="0"/>
          <w:marTop w:val="0"/>
          <w:marBottom w:val="0"/>
          <w:divBdr>
            <w:top w:val="none" w:sz="0" w:space="0" w:color="auto"/>
            <w:left w:val="none" w:sz="0" w:space="0" w:color="auto"/>
            <w:bottom w:val="none" w:sz="0" w:space="0" w:color="auto"/>
            <w:right w:val="none" w:sz="0" w:space="0" w:color="auto"/>
          </w:divBdr>
        </w:div>
      </w:divsChild>
    </w:div>
    <w:div w:id="734085552">
      <w:bodyDiv w:val="1"/>
      <w:marLeft w:val="0"/>
      <w:marRight w:val="0"/>
      <w:marTop w:val="0"/>
      <w:marBottom w:val="0"/>
      <w:divBdr>
        <w:top w:val="none" w:sz="0" w:space="0" w:color="auto"/>
        <w:left w:val="none" w:sz="0" w:space="0" w:color="auto"/>
        <w:bottom w:val="none" w:sz="0" w:space="0" w:color="auto"/>
        <w:right w:val="none" w:sz="0" w:space="0" w:color="auto"/>
      </w:divBdr>
      <w:divsChild>
        <w:div w:id="1601714503">
          <w:marLeft w:val="0"/>
          <w:marRight w:val="0"/>
          <w:marTop w:val="0"/>
          <w:marBottom w:val="0"/>
          <w:divBdr>
            <w:top w:val="none" w:sz="0" w:space="0" w:color="auto"/>
            <w:left w:val="none" w:sz="0" w:space="0" w:color="auto"/>
            <w:bottom w:val="none" w:sz="0" w:space="0" w:color="auto"/>
            <w:right w:val="none" w:sz="0" w:space="0" w:color="auto"/>
          </w:divBdr>
        </w:div>
        <w:div w:id="2130510989">
          <w:marLeft w:val="0"/>
          <w:marRight w:val="0"/>
          <w:marTop w:val="0"/>
          <w:marBottom w:val="0"/>
          <w:divBdr>
            <w:top w:val="none" w:sz="0" w:space="0" w:color="auto"/>
            <w:left w:val="none" w:sz="0" w:space="0" w:color="auto"/>
            <w:bottom w:val="none" w:sz="0" w:space="0" w:color="auto"/>
            <w:right w:val="none" w:sz="0" w:space="0" w:color="auto"/>
          </w:divBdr>
        </w:div>
      </w:divsChild>
    </w:div>
    <w:div w:id="858274614">
      <w:bodyDiv w:val="1"/>
      <w:marLeft w:val="0"/>
      <w:marRight w:val="0"/>
      <w:marTop w:val="0"/>
      <w:marBottom w:val="0"/>
      <w:divBdr>
        <w:top w:val="none" w:sz="0" w:space="0" w:color="auto"/>
        <w:left w:val="none" w:sz="0" w:space="0" w:color="auto"/>
        <w:bottom w:val="none" w:sz="0" w:space="0" w:color="auto"/>
        <w:right w:val="none" w:sz="0" w:space="0" w:color="auto"/>
      </w:divBdr>
      <w:divsChild>
        <w:div w:id="1172329834">
          <w:marLeft w:val="0"/>
          <w:marRight w:val="0"/>
          <w:marTop w:val="0"/>
          <w:marBottom w:val="0"/>
          <w:divBdr>
            <w:top w:val="none" w:sz="0" w:space="0" w:color="auto"/>
            <w:left w:val="none" w:sz="0" w:space="0" w:color="auto"/>
            <w:bottom w:val="none" w:sz="0" w:space="0" w:color="auto"/>
            <w:right w:val="none" w:sz="0" w:space="0" w:color="auto"/>
          </w:divBdr>
        </w:div>
        <w:div w:id="1376344502">
          <w:marLeft w:val="0"/>
          <w:marRight w:val="0"/>
          <w:marTop w:val="0"/>
          <w:marBottom w:val="0"/>
          <w:divBdr>
            <w:top w:val="none" w:sz="0" w:space="0" w:color="auto"/>
            <w:left w:val="none" w:sz="0" w:space="0" w:color="auto"/>
            <w:bottom w:val="none" w:sz="0" w:space="0" w:color="auto"/>
            <w:right w:val="none" w:sz="0" w:space="0" w:color="auto"/>
          </w:divBdr>
        </w:div>
      </w:divsChild>
    </w:div>
    <w:div w:id="869998612">
      <w:bodyDiv w:val="1"/>
      <w:marLeft w:val="0"/>
      <w:marRight w:val="0"/>
      <w:marTop w:val="0"/>
      <w:marBottom w:val="0"/>
      <w:divBdr>
        <w:top w:val="none" w:sz="0" w:space="0" w:color="auto"/>
        <w:left w:val="none" w:sz="0" w:space="0" w:color="auto"/>
        <w:bottom w:val="none" w:sz="0" w:space="0" w:color="auto"/>
        <w:right w:val="none" w:sz="0" w:space="0" w:color="auto"/>
      </w:divBdr>
      <w:divsChild>
        <w:div w:id="39980428">
          <w:marLeft w:val="0"/>
          <w:marRight w:val="0"/>
          <w:marTop w:val="0"/>
          <w:marBottom w:val="0"/>
          <w:divBdr>
            <w:top w:val="none" w:sz="0" w:space="0" w:color="auto"/>
            <w:left w:val="none" w:sz="0" w:space="0" w:color="auto"/>
            <w:bottom w:val="none" w:sz="0" w:space="0" w:color="auto"/>
            <w:right w:val="none" w:sz="0" w:space="0" w:color="auto"/>
          </w:divBdr>
        </w:div>
        <w:div w:id="91584301">
          <w:marLeft w:val="0"/>
          <w:marRight w:val="0"/>
          <w:marTop w:val="0"/>
          <w:marBottom w:val="0"/>
          <w:divBdr>
            <w:top w:val="none" w:sz="0" w:space="0" w:color="auto"/>
            <w:left w:val="none" w:sz="0" w:space="0" w:color="auto"/>
            <w:bottom w:val="none" w:sz="0" w:space="0" w:color="auto"/>
            <w:right w:val="none" w:sz="0" w:space="0" w:color="auto"/>
          </w:divBdr>
        </w:div>
        <w:div w:id="151871154">
          <w:marLeft w:val="0"/>
          <w:marRight w:val="0"/>
          <w:marTop w:val="0"/>
          <w:marBottom w:val="0"/>
          <w:divBdr>
            <w:top w:val="none" w:sz="0" w:space="0" w:color="auto"/>
            <w:left w:val="none" w:sz="0" w:space="0" w:color="auto"/>
            <w:bottom w:val="none" w:sz="0" w:space="0" w:color="auto"/>
            <w:right w:val="none" w:sz="0" w:space="0" w:color="auto"/>
          </w:divBdr>
        </w:div>
        <w:div w:id="184250795">
          <w:marLeft w:val="0"/>
          <w:marRight w:val="0"/>
          <w:marTop w:val="0"/>
          <w:marBottom w:val="0"/>
          <w:divBdr>
            <w:top w:val="none" w:sz="0" w:space="0" w:color="auto"/>
            <w:left w:val="none" w:sz="0" w:space="0" w:color="auto"/>
            <w:bottom w:val="none" w:sz="0" w:space="0" w:color="auto"/>
            <w:right w:val="none" w:sz="0" w:space="0" w:color="auto"/>
          </w:divBdr>
        </w:div>
        <w:div w:id="188496448">
          <w:marLeft w:val="0"/>
          <w:marRight w:val="0"/>
          <w:marTop w:val="0"/>
          <w:marBottom w:val="0"/>
          <w:divBdr>
            <w:top w:val="none" w:sz="0" w:space="0" w:color="auto"/>
            <w:left w:val="none" w:sz="0" w:space="0" w:color="auto"/>
            <w:bottom w:val="none" w:sz="0" w:space="0" w:color="auto"/>
            <w:right w:val="none" w:sz="0" w:space="0" w:color="auto"/>
          </w:divBdr>
        </w:div>
        <w:div w:id="493028372">
          <w:marLeft w:val="0"/>
          <w:marRight w:val="0"/>
          <w:marTop w:val="0"/>
          <w:marBottom w:val="0"/>
          <w:divBdr>
            <w:top w:val="none" w:sz="0" w:space="0" w:color="auto"/>
            <w:left w:val="none" w:sz="0" w:space="0" w:color="auto"/>
            <w:bottom w:val="none" w:sz="0" w:space="0" w:color="auto"/>
            <w:right w:val="none" w:sz="0" w:space="0" w:color="auto"/>
          </w:divBdr>
        </w:div>
        <w:div w:id="649946536">
          <w:marLeft w:val="0"/>
          <w:marRight w:val="0"/>
          <w:marTop w:val="0"/>
          <w:marBottom w:val="0"/>
          <w:divBdr>
            <w:top w:val="none" w:sz="0" w:space="0" w:color="auto"/>
            <w:left w:val="none" w:sz="0" w:space="0" w:color="auto"/>
            <w:bottom w:val="none" w:sz="0" w:space="0" w:color="auto"/>
            <w:right w:val="none" w:sz="0" w:space="0" w:color="auto"/>
          </w:divBdr>
        </w:div>
        <w:div w:id="685864698">
          <w:marLeft w:val="0"/>
          <w:marRight w:val="0"/>
          <w:marTop w:val="0"/>
          <w:marBottom w:val="0"/>
          <w:divBdr>
            <w:top w:val="none" w:sz="0" w:space="0" w:color="auto"/>
            <w:left w:val="none" w:sz="0" w:space="0" w:color="auto"/>
            <w:bottom w:val="none" w:sz="0" w:space="0" w:color="auto"/>
            <w:right w:val="none" w:sz="0" w:space="0" w:color="auto"/>
          </w:divBdr>
        </w:div>
        <w:div w:id="831332645">
          <w:marLeft w:val="0"/>
          <w:marRight w:val="0"/>
          <w:marTop w:val="0"/>
          <w:marBottom w:val="0"/>
          <w:divBdr>
            <w:top w:val="none" w:sz="0" w:space="0" w:color="auto"/>
            <w:left w:val="none" w:sz="0" w:space="0" w:color="auto"/>
            <w:bottom w:val="none" w:sz="0" w:space="0" w:color="auto"/>
            <w:right w:val="none" w:sz="0" w:space="0" w:color="auto"/>
          </w:divBdr>
        </w:div>
        <w:div w:id="878977671">
          <w:marLeft w:val="0"/>
          <w:marRight w:val="0"/>
          <w:marTop w:val="0"/>
          <w:marBottom w:val="0"/>
          <w:divBdr>
            <w:top w:val="none" w:sz="0" w:space="0" w:color="auto"/>
            <w:left w:val="none" w:sz="0" w:space="0" w:color="auto"/>
            <w:bottom w:val="none" w:sz="0" w:space="0" w:color="auto"/>
            <w:right w:val="none" w:sz="0" w:space="0" w:color="auto"/>
          </w:divBdr>
        </w:div>
        <w:div w:id="932133183">
          <w:marLeft w:val="0"/>
          <w:marRight w:val="0"/>
          <w:marTop w:val="0"/>
          <w:marBottom w:val="0"/>
          <w:divBdr>
            <w:top w:val="none" w:sz="0" w:space="0" w:color="auto"/>
            <w:left w:val="none" w:sz="0" w:space="0" w:color="auto"/>
            <w:bottom w:val="none" w:sz="0" w:space="0" w:color="auto"/>
            <w:right w:val="none" w:sz="0" w:space="0" w:color="auto"/>
          </w:divBdr>
        </w:div>
        <w:div w:id="1038968393">
          <w:marLeft w:val="0"/>
          <w:marRight w:val="0"/>
          <w:marTop w:val="0"/>
          <w:marBottom w:val="0"/>
          <w:divBdr>
            <w:top w:val="none" w:sz="0" w:space="0" w:color="auto"/>
            <w:left w:val="none" w:sz="0" w:space="0" w:color="auto"/>
            <w:bottom w:val="none" w:sz="0" w:space="0" w:color="auto"/>
            <w:right w:val="none" w:sz="0" w:space="0" w:color="auto"/>
          </w:divBdr>
        </w:div>
        <w:div w:id="1062800826">
          <w:marLeft w:val="0"/>
          <w:marRight w:val="0"/>
          <w:marTop w:val="0"/>
          <w:marBottom w:val="0"/>
          <w:divBdr>
            <w:top w:val="none" w:sz="0" w:space="0" w:color="auto"/>
            <w:left w:val="none" w:sz="0" w:space="0" w:color="auto"/>
            <w:bottom w:val="none" w:sz="0" w:space="0" w:color="auto"/>
            <w:right w:val="none" w:sz="0" w:space="0" w:color="auto"/>
          </w:divBdr>
        </w:div>
        <w:div w:id="1524055756">
          <w:marLeft w:val="0"/>
          <w:marRight w:val="0"/>
          <w:marTop w:val="0"/>
          <w:marBottom w:val="0"/>
          <w:divBdr>
            <w:top w:val="none" w:sz="0" w:space="0" w:color="auto"/>
            <w:left w:val="none" w:sz="0" w:space="0" w:color="auto"/>
            <w:bottom w:val="none" w:sz="0" w:space="0" w:color="auto"/>
            <w:right w:val="none" w:sz="0" w:space="0" w:color="auto"/>
          </w:divBdr>
        </w:div>
        <w:div w:id="1710570911">
          <w:marLeft w:val="0"/>
          <w:marRight w:val="0"/>
          <w:marTop w:val="0"/>
          <w:marBottom w:val="0"/>
          <w:divBdr>
            <w:top w:val="none" w:sz="0" w:space="0" w:color="auto"/>
            <w:left w:val="none" w:sz="0" w:space="0" w:color="auto"/>
            <w:bottom w:val="none" w:sz="0" w:space="0" w:color="auto"/>
            <w:right w:val="none" w:sz="0" w:space="0" w:color="auto"/>
          </w:divBdr>
        </w:div>
        <w:div w:id="1754886251">
          <w:marLeft w:val="0"/>
          <w:marRight w:val="0"/>
          <w:marTop w:val="0"/>
          <w:marBottom w:val="0"/>
          <w:divBdr>
            <w:top w:val="none" w:sz="0" w:space="0" w:color="auto"/>
            <w:left w:val="none" w:sz="0" w:space="0" w:color="auto"/>
            <w:bottom w:val="none" w:sz="0" w:space="0" w:color="auto"/>
            <w:right w:val="none" w:sz="0" w:space="0" w:color="auto"/>
          </w:divBdr>
        </w:div>
        <w:div w:id="2141918592">
          <w:marLeft w:val="0"/>
          <w:marRight w:val="0"/>
          <w:marTop w:val="0"/>
          <w:marBottom w:val="0"/>
          <w:divBdr>
            <w:top w:val="none" w:sz="0" w:space="0" w:color="auto"/>
            <w:left w:val="none" w:sz="0" w:space="0" w:color="auto"/>
            <w:bottom w:val="none" w:sz="0" w:space="0" w:color="auto"/>
            <w:right w:val="none" w:sz="0" w:space="0" w:color="auto"/>
          </w:divBdr>
        </w:div>
      </w:divsChild>
    </w:div>
    <w:div w:id="981155650">
      <w:bodyDiv w:val="1"/>
      <w:marLeft w:val="0"/>
      <w:marRight w:val="0"/>
      <w:marTop w:val="0"/>
      <w:marBottom w:val="0"/>
      <w:divBdr>
        <w:top w:val="none" w:sz="0" w:space="0" w:color="auto"/>
        <w:left w:val="none" w:sz="0" w:space="0" w:color="auto"/>
        <w:bottom w:val="none" w:sz="0" w:space="0" w:color="auto"/>
        <w:right w:val="none" w:sz="0" w:space="0" w:color="auto"/>
      </w:divBdr>
      <w:divsChild>
        <w:div w:id="1476142052">
          <w:marLeft w:val="0"/>
          <w:marRight w:val="0"/>
          <w:marTop w:val="0"/>
          <w:marBottom w:val="0"/>
          <w:divBdr>
            <w:top w:val="none" w:sz="0" w:space="0" w:color="auto"/>
            <w:left w:val="none" w:sz="0" w:space="0" w:color="auto"/>
            <w:bottom w:val="none" w:sz="0" w:space="0" w:color="auto"/>
            <w:right w:val="none" w:sz="0" w:space="0" w:color="auto"/>
          </w:divBdr>
        </w:div>
        <w:div w:id="1801461910">
          <w:marLeft w:val="0"/>
          <w:marRight w:val="0"/>
          <w:marTop w:val="0"/>
          <w:marBottom w:val="0"/>
          <w:divBdr>
            <w:top w:val="none" w:sz="0" w:space="0" w:color="auto"/>
            <w:left w:val="none" w:sz="0" w:space="0" w:color="auto"/>
            <w:bottom w:val="none" w:sz="0" w:space="0" w:color="auto"/>
            <w:right w:val="none" w:sz="0" w:space="0" w:color="auto"/>
          </w:divBdr>
        </w:div>
        <w:div w:id="1995834073">
          <w:marLeft w:val="0"/>
          <w:marRight w:val="0"/>
          <w:marTop w:val="0"/>
          <w:marBottom w:val="0"/>
          <w:divBdr>
            <w:top w:val="none" w:sz="0" w:space="0" w:color="auto"/>
            <w:left w:val="none" w:sz="0" w:space="0" w:color="auto"/>
            <w:bottom w:val="none" w:sz="0" w:space="0" w:color="auto"/>
            <w:right w:val="none" w:sz="0" w:space="0" w:color="auto"/>
          </w:divBdr>
        </w:div>
      </w:divsChild>
    </w:div>
    <w:div w:id="1011758037">
      <w:bodyDiv w:val="1"/>
      <w:marLeft w:val="0"/>
      <w:marRight w:val="0"/>
      <w:marTop w:val="0"/>
      <w:marBottom w:val="0"/>
      <w:divBdr>
        <w:top w:val="none" w:sz="0" w:space="0" w:color="auto"/>
        <w:left w:val="none" w:sz="0" w:space="0" w:color="auto"/>
        <w:bottom w:val="none" w:sz="0" w:space="0" w:color="auto"/>
        <w:right w:val="none" w:sz="0" w:space="0" w:color="auto"/>
      </w:divBdr>
      <w:divsChild>
        <w:div w:id="483545570">
          <w:marLeft w:val="0"/>
          <w:marRight w:val="0"/>
          <w:marTop w:val="0"/>
          <w:marBottom w:val="0"/>
          <w:divBdr>
            <w:top w:val="none" w:sz="0" w:space="0" w:color="auto"/>
            <w:left w:val="none" w:sz="0" w:space="0" w:color="auto"/>
            <w:bottom w:val="none" w:sz="0" w:space="0" w:color="auto"/>
            <w:right w:val="none" w:sz="0" w:space="0" w:color="auto"/>
          </w:divBdr>
        </w:div>
        <w:div w:id="545918240">
          <w:marLeft w:val="0"/>
          <w:marRight w:val="0"/>
          <w:marTop w:val="0"/>
          <w:marBottom w:val="0"/>
          <w:divBdr>
            <w:top w:val="none" w:sz="0" w:space="0" w:color="auto"/>
            <w:left w:val="none" w:sz="0" w:space="0" w:color="auto"/>
            <w:bottom w:val="none" w:sz="0" w:space="0" w:color="auto"/>
            <w:right w:val="none" w:sz="0" w:space="0" w:color="auto"/>
          </w:divBdr>
        </w:div>
        <w:div w:id="1094588769">
          <w:marLeft w:val="0"/>
          <w:marRight w:val="0"/>
          <w:marTop w:val="0"/>
          <w:marBottom w:val="0"/>
          <w:divBdr>
            <w:top w:val="none" w:sz="0" w:space="0" w:color="auto"/>
            <w:left w:val="none" w:sz="0" w:space="0" w:color="auto"/>
            <w:bottom w:val="none" w:sz="0" w:space="0" w:color="auto"/>
            <w:right w:val="none" w:sz="0" w:space="0" w:color="auto"/>
          </w:divBdr>
        </w:div>
        <w:div w:id="1862547702">
          <w:marLeft w:val="0"/>
          <w:marRight w:val="0"/>
          <w:marTop w:val="0"/>
          <w:marBottom w:val="0"/>
          <w:divBdr>
            <w:top w:val="none" w:sz="0" w:space="0" w:color="auto"/>
            <w:left w:val="none" w:sz="0" w:space="0" w:color="auto"/>
            <w:bottom w:val="none" w:sz="0" w:space="0" w:color="auto"/>
            <w:right w:val="none" w:sz="0" w:space="0" w:color="auto"/>
          </w:divBdr>
        </w:div>
      </w:divsChild>
    </w:div>
    <w:div w:id="1047414404">
      <w:bodyDiv w:val="1"/>
      <w:marLeft w:val="0"/>
      <w:marRight w:val="0"/>
      <w:marTop w:val="0"/>
      <w:marBottom w:val="0"/>
      <w:divBdr>
        <w:top w:val="none" w:sz="0" w:space="0" w:color="auto"/>
        <w:left w:val="none" w:sz="0" w:space="0" w:color="auto"/>
        <w:bottom w:val="none" w:sz="0" w:space="0" w:color="auto"/>
        <w:right w:val="none" w:sz="0" w:space="0" w:color="auto"/>
      </w:divBdr>
      <w:divsChild>
        <w:div w:id="344675159">
          <w:marLeft w:val="0"/>
          <w:marRight w:val="0"/>
          <w:marTop w:val="0"/>
          <w:marBottom w:val="0"/>
          <w:divBdr>
            <w:top w:val="none" w:sz="0" w:space="0" w:color="auto"/>
            <w:left w:val="none" w:sz="0" w:space="0" w:color="auto"/>
            <w:bottom w:val="none" w:sz="0" w:space="0" w:color="auto"/>
            <w:right w:val="none" w:sz="0" w:space="0" w:color="auto"/>
          </w:divBdr>
        </w:div>
        <w:div w:id="361328095">
          <w:marLeft w:val="0"/>
          <w:marRight w:val="0"/>
          <w:marTop w:val="0"/>
          <w:marBottom w:val="0"/>
          <w:divBdr>
            <w:top w:val="none" w:sz="0" w:space="0" w:color="auto"/>
            <w:left w:val="none" w:sz="0" w:space="0" w:color="auto"/>
            <w:bottom w:val="none" w:sz="0" w:space="0" w:color="auto"/>
            <w:right w:val="none" w:sz="0" w:space="0" w:color="auto"/>
          </w:divBdr>
        </w:div>
        <w:div w:id="854537383">
          <w:marLeft w:val="0"/>
          <w:marRight w:val="0"/>
          <w:marTop w:val="0"/>
          <w:marBottom w:val="0"/>
          <w:divBdr>
            <w:top w:val="none" w:sz="0" w:space="0" w:color="auto"/>
            <w:left w:val="none" w:sz="0" w:space="0" w:color="auto"/>
            <w:bottom w:val="none" w:sz="0" w:space="0" w:color="auto"/>
            <w:right w:val="none" w:sz="0" w:space="0" w:color="auto"/>
          </w:divBdr>
        </w:div>
        <w:div w:id="900942461">
          <w:marLeft w:val="0"/>
          <w:marRight w:val="0"/>
          <w:marTop w:val="0"/>
          <w:marBottom w:val="0"/>
          <w:divBdr>
            <w:top w:val="none" w:sz="0" w:space="0" w:color="auto"/>
            <w:left w:val="none" w:sz="0" w:space="0" w:color="auto"/>
            <w:bottom w:val="none" w:sz="0" w:space="0" w:color="auto"/>
            <w:right w:val="none" w:sz="0" w:space="0" w:color="auto"/>
          </w:divBdr>
        </w:div>
        <w:div w:id="1028600874">
          <w:marLeft w:val="0"/>
          <w:marRight w:val="0"/>
          <w:marTop w:val="0"/>
          <w:marBottom w:val="0"/>
          <w:divBdr>
            <w:top w:val="none" w:sz="0" w:space="0" w:color="auto"/>
            <w:left w:val="none" w:sz="0" w:space="0" w:color="auto"/>
            <w:bottom w:val="none" w:sz="0" w:space="0" w:color="auto"/>
            <w:right w:val="none" w:sz="0" w:space="0" w:color="auto"/>
          </w:divBdr>
        </w:div>
        <w:div w:id="1621106921">
          <w:marLeft w:val="0"/>
          <w:marRight w:val="0"/>
          <w:marTop w:val="0"/>
          <w:marBottom w:val="0"/>
          <w:divBdr>
            <w:top w:val="none" w:sz="0" w:space="0" w:color="auto"/>
            <w:left w:val="none" w:sz="0" w:space="0" w:color="auto"/>
            <w:bottom w:val="none" w:sz="0" w:space="0" w:color="auto"/>
            <w:right w:val="none" w:sz="0" w:space="0" w:color="auto"/>
          </w:divBdr>
        </w:div>
      </w:divsChild>
    </w:div>
    <w:div w:id="1088621020">
      <w:bodyDiv w:val="1"/>
      <w:marLeft w:val="0"/>
      <w:marRight w:val="0"/>
      <w:marTop w:val="0"/>
      <w:marBottom w:val="0"/>
      <w:divBdr>
        <w:top w:val="none" w:sz="0" w:space="0" w:color="auto"/>
        <w:left w:val="none" w:sz="0" w:space="0" w:color="auto"/>
        <w:bottom w:val="none" w:sz="0" w:space="0" w:color="auto"/>
        <w:right w:val="none" w:sz="0" w:space="0" w:color="auto"/>
      </w:divBdr>
      <w:divsChild>
        <w:div w:id="1246262807">
          <w:marLeft w:val="0"/>
          <w:marRight w:val="0"/>
          <w:marTop w:val="0"/>
          <w:marBottom w:val="0"/>
          <w:divBdr>
            <w:top w:val="none" w:sz="0" w:space="0" w:color="auto"/>
            <w:left w:val="none" w:sz="0" w:space="0" w:color="auto"/>
            <w:bottom w:val="none" w:sz="0" w:space="0" w:color="auto"/>
            <w:right w:val="none" w:sz="0" w:space="0" w:color="auto"/>
          </w:divBdr>
        </w:div>
        <w:div w:id="1957368078">
          <w:marLeft w:val="0"/>
          <w:marRight w:val="0"/>
          <w:marTop w:val="0"/>
          <w:marBottom w:val="0"/>
          <w:divBdr>
            <w:top w:val="none" w:sz="0" w:space="0" w:color="auto"/>
            <w:left w:val="none" w:sz="0" w:space="0" w:color="auto"/>
            <w:bottom w:val="none" w:sz="0" w:space="0" w:color="auto"/>
            <w:right w:val="none" w:sz="0" w:space="0" w:color="auto"/>
          </w:divBdr>
        </w:div>
      </w:divsChild>
    </w:div>
    <w:div w:id="1121850127">
      <w:bodyDiv w:val="1"/>
      <w:marLeft w:val="0"/>
      <w:marRight w:val="0"/>
      <w:marTop w:val="0"/>
      <w:marBottom w:val="0"/>
      <w:divBdr>
        <w:top w:val="none" w:sz="0" w:space="0" w:color="auto"/>
        <w:left w:val="none" w:sz="0" w:space="0" w:color="auto"/>
        <w:bottom w:val="none" w:sz="0" w:space="0" w:color="auto"/>
        <w:right w:val="none" w:sz="0" w:space="0" w:color="auto"/>
      </w:divBdr>
      <w:divsChild>
        <w:div w:id="136730816">
          <w:marLeft w:val="0"/>
          <w:marRight w:val="0"/>
          <w:marTop w:val="0"/>
          <w:marBottom w:val="0"/>
          <w:divBdr>
            <w:top w:val="none" w:sz="0" w:space="0" w:color="auto"/>
            <w:left w:val="none" w:sz="0" w:space="0" w:color="auto"/>
            <w:bottom w:val="none" w:sz="0" w:space="0" w:color="auto"/>
            <w:right w:val="none" w:sz="0" w:space="0" w:color="auto"/>
          </w:divBdr>
        </w:div>
        <w:div w:id="330717576">
          <w:marLeft w:val="0"/>
          <w:marRight w:val="0"/>
          <w:marTop w:val="0"/>
          <w:marBottom w:val="0"/>
          <w:divBdr>
            <w:top w:val="none" w:sz="0" w:space="0" w:color="auto"/>
            <w:left w:val="none" w:sz="0" w:space="0" w:color="auto"/>
            <w:bottom w:val="none" w:sz="0" w:space="0" w:color="auto"/>
            <w:right w:val="none" w:sz="0" w:space="0" w:color="auto"/>
          </w:divBdr>
        </w:div>
        <w:div w:id="1069496630">
          <w:marLeft w:val="0"/>
          <w:marRight w:val="0"/>
          <w:marTop w:val="0"/>
          <w:marBottom w:val="0"/>
          <w:divBdr>
            <w:top w:val="none" w:sz="0" w:space="0" w:color="auto"/>
            <w:left w:val="none" w:sz="0" w:space="0" w:color="auto"/>
            <w:bottom w:val="none" w:sz="0" w:space="0" w:color="auto"/>
            <w:right w:val="none" w:sz="0" w:space="0" w:color="auto"/>
          </w:divBdr>
        </w:div>
        <w:div w:id="1606767944">
          <w:marLeft w:val="0"/>
          <w:marRight w:val="0"/>
          <w:marTop w:val="0"/>
          <w:marBottom w:val="0"/>
          <w:divBdr>
            <w:top w:val="none" w:sz="0" w:space="0" w:color="auto"/>
            <w:left w:val="none" w:sz="0" w:space="0" w:color="auto"/>
            <w:bottom w:val="none" w:sz="0" w:space="0" w:color="auto"/>
            <w:right w:val="none" w:sz="0" w:space="0" w:color="auto"/>
          </w:divBdr>
        </w:div>
        <w:div w:id="1642072446">
          <w:marLeft w:val="0"/>
          <w:marRight w:val="0"/>
          <w:marTop w:val="0"/>
          <w:marBottom w:val="0"/>
          <w:divBdr>
            <w:top w:val="none" w:sz="0" w:space="0" w:color="auto"/>
            <w:left w:val="none" w:sz="0" w:space="0" w:color="auto"/>
            <w:bottom w:val="none" w:sz="0" w:space="0" w:color="auto"/>
            <w:right w:val="none" w:sz="0" w:space="0" w:color="auto"/>
          </w:divBdr>
        </w:div>
        <w:div w:id="1862937028">
          <w:marLeft w:val="0"/>
          <w:marRight w:val="0"/>
          <w:marTop w:val="0"/>
          <w:marBottom w:val="0"/>
          <w:divBdr>
            <w:top w:val="none" w:sz="0" w:space="0" w:color="auto"/>
            <w:left w:val="none" w:sz="0" w:space="0" w:color="auto"/>
            <w:bottom w:val="none" w:sz="0" w:space="0" w:color="auto"/>
            <w:right w:val="none" w:sz="0" w:space="0" w:color="auto"/>
          </w:divBdr>
        </w:div>
        <w:div w:id="2002804106">
          <w:marLeft w:val="0"/>
          <w:marRight w:val="0"/>
          <w:marTop w:val="0"/>
          <w:marBottom w:val="0"/>
          <w:divBdr>
            <w:top w:val="none" w:sz="0" w:space="0" w:color="auto"/>
            <w:left w:val="none" w:sz="0" w:space="0" w:color="auto"/>
            <w:bottom w:val="none" w:sz="0" w:space="0" w:color="auto"/>
            <w:right w:val="none" w:sz="0" w:space="0" w:color="auto"/>
          </w:divBdr>
        </w:div>
      </w:divsChild>
    </w:div>
    <w:div w:id="1141536527">
      <w:bodyDiv w:val="1"/>
      <w:marLeft w:val="0"/>
      <w:marRight w:val="0"/>
      <w:marTop w:val="0"/>
      <w:marBottom w:val="0"/>
      <w:divBdr>
        <w:top w:val="none" w:sz="0" w:space="0" w:color="auto"/>
        <w:left w:val="none" w:sz="0" w:space="0" w:color="auto"/>
        <w:bottom w:val="none" w:sz="0" w:space="0" w:color="auto"/>
        <w:right w:val="none" w:sz="0" w:space="0" w:color="auto"/>
      </w:divBdr>
      <w:divsChild>
        <w:div w:id="986252021">
          <w:marLeft w:val="0"/>
          <w:marRight w:val="0"/>
          <w:marTop w:val="0"/>
          <w:marBottom w:val="0"/>
          <w:divBdr>
            <w:top w:val="none" w:sz="0" w:space="0" w:color="auto"/>
            <w:left w:val="none" w:sz="0" w:space="0" w:color="auto"/>
            <w:bottom w:val="none" w:sz="0" w:space="0" w:color="auto"/>
            <w:right w:val="none" w:sz="0" w:space="0" w:color="auto"/>
          </w:divBdr>
        </w:div>
        <w:div w:id="2036081548">
          <w:marLeft w:val="0"/>
          <w:marRight w:val="0"/>
          <w:marTop w:val="0"/>
          <w:marBottom w:val="0"/>
          <w:divBdr>
            <w:top w:val="none" w:sz="0" w:space="0" w:color="auto"/>
            <w:left w:val="none" w:sz="0" w:space="0" w:color="auto"/>
            <w:bottom w:val="none" w:sz="0" w:space="0" w:color="auto"/>
            <w:right w:val="none" w:sz="0" w:space="0" w:color="auto"/>
          </w:divBdr>
        </w:div>
      </w:divsChild>
    </w:div>
    <w:div w:id="1251548488">
      <w:bodyDiv w:val="1"/>
      <w:marLeft w:val="0"/>
      <w:marRight w:val="0"/>
      <w:marTop w:val="0"/>
      <w:marBottom w:val="0"/>
      <w:divBdr>
        <w:top w:val="none" w:sz="0" w:space="0" w:color="auto"/>
        <w:left w:val="none" w:sz="0" w:space="0" w:color="auto"/>
        <w:bottom w:val="none" w:sz="0" w:space="0" w:color="auto"/>
        <w:right w:val="none" w:sz="0" w:space="0" w:color="auto"/>
      </w:divBdr>
      <w:divsChild>
        <w:div w:id="317225437">
          <w:marLeft w:val="0"/>
          <w:marRight w:val="0"/>
          <w:marTop w:val="0"/>
          <w:marBottom w:val="0"/>
          <w:divBdr>
            <w:top w:val="none" w:sz="0" w:space="0" w:color="auto"/>
            <w:left w:val="none" w:sz="0" w:space="0" w:color="auto"/>
            <w:bottom w:val="none" w:sz="0" w:space="0" w:color="auto"/>
            <w:right w:val="none" w:sz="0" w:space="0" w:color="auto"/>
          </w:divBdr>
        </w:div>
        <w:div w:id="571738768">
          <w:marLeft w:val="0"/>
          <w:marRight w:val="0"/>
          <w:marTop w:val="0"/>
          <w:marBottom w:val="0"/>
          <w:divBdr>
            <w:top w:val="none" w:sz="0" w:space="0" w:color="auto"/>
            <w:left w:val="none" w:sz="0" w:space="0" w:color="auto"/>
            <w:bottom w:val="none" w:sz="0" w:space="0" w:color="auto"/>
            <w:right w:val="none" w:sz="0" w:space="0" w:color="auto"/>
          </w:divBdr>
        </w:div>
        <w:div w:id="798037161">
          <w:marLeft w:val="0"/>
          <w:marRight w:val="0"/>
          <w:marTop w:val="0"/>
          <w:marBottom w:val="0"/>
          <w:divBdr>
            <w:top w:val="none" w:sz="0" w:space="0" w:color="auto"/>
            <w:left w:val="none" w:sz="0" w:space="0" w:color="auto"/>
            <w:bottom w:val="none" w:sz="0" w:space="0" w:color="auto"/>
            <w:right w:val="none" w:sz="0" w:space="0" w:color="auto"/>
          </w:divBdr>
        </w:div>
        <w:div w:id="940796330">
          <w:marLeft w:val="0"/>
          <w:marRight w:val="0"/>
          <w:marTop w:val="0"/>
          <w:marBottom w:val="0"/>
          <w:divBdr>
            <w:top w:val="none" w:sz="0" w:space="0" w:color="auto"/>
            <w:left w:val="none" w:sz="0" w:space="0" w:color="auto"/>
            <w:bottom w:val="none" w:sz="0" w:space="0" w:color="auto"/>
            <w:right w:val="none" w:sz="0" w:space="0" w:color="auto"/>
          </w:divBdr>
        </w:div>
        <w:div w:id="954478704">
          <w:marLeft w:val="0"/>
          <w:marRight w:val="0"/>
          <w:marTop w:val="0"/>
          <w:marBottom w:val="0"/>
          <w:divBdr>
            <w:top w:val="none" w:sz="0" w:space="0" w:color="auto"/>
            <w:left w:val="none" w:sz="0" w:space="0" w:color="auto"/>
            <w:bottom w:val="none" w:sz="0" w:space="0" w:color="auto"/>
            <w:right w:val="none" w:sz="0" w:space="0" w:color="auto"/>
          </w:divBdr>
        </w:div>
        <w:div w:id="1144542806">
          <w:marLeft w:val="0"/>
          <w:marRight w:val="0"/>
          <w:marTop w:val="0"/>
          <w:marBottom w:val="0"/>
          <w:divBdr>
            <w:top w:val="none" w:sz="0" w:space="0" w:color="auto"/>
            <w:left w:val="none" w:sz="0" w:space="0" w:color="auto"/>
            <w:bottom w:val="none" w:sz="0" w:space="0" w:color="auto"/>
            <w:right w:val="none" w:sz="0" w:space="0" w:color="auto"/>
          </w:divBdr>
        </w:div>
        <w:div w:id="1587499143">
          <w:marLeft w:val="0"/>
          <w:marRight w:val="0"/>
          <w:marTop w:val="0"/>
          <w:marBottom w:val="0"/>
          <w:divBdr>
            <w:top w:val="none" w:sz="0" w:space="0" w:color="auto"/>
            <w:left w:val="none" w:sz="0" w:space="0" w:color="auto"/>
            <w:bottom w:val="none" w:sz="0" w:space="0" w:color="auto"/>
            <w:right w:val="none" w:sz="0" w:space="0" w:color="auto"/>
          </w:divBdr>
        </w:div>
        <w:div w:id="1608269896">
          <w:marLeft w:val="0"/>
          <w:marRight w:val="0"/>
          <w:marTop w:val="0"/>
          <w:marBottom w:val="0"/>
          <w:divBdr>
            <w:top w:val="none" w:sz="0" w:space="0" w:color="auto"/>
            <w:left w:val="none" w:sz="0" w:space="0" w:color="auto"/>
            <w:bottom w:val="none" w:sz="0" w:space="0" w:color="auto"/>
            <w:right w:val="none" w:sz="0" w:space="0" w:color="auto"/>
          </w:divBdr>
        </w:div>
      </w:divsChild>
    </w:div>
    <w:div w:id="1264652877">
      <w:bodyDiv w:val="1"/>
      <w:marLeft w:val="0"/>
      <w:marRight w:val="0"/>
      <w:marTop w:val="0"/>
      <w:marBottom w:val="0"/>
      <w:divBdr>
        <w:top w:val="none" w:sz="0" w:space="0" w:color="auto"/>
        <w:left w:val="none" w:sz="0" w:space="0" w:color="auto"/>
        <w:bottom w:val="none" w:sz="0" w:space="0" w:color="auto"/>
        <w:right w:val="none" w:sz="0" w:space="0" w:color="auto"/>
      </w:divBdr>
      <w:divsChild>
        <w:div w:id="473911931">
          <w:marLeft w:val="0"/>
          <w:marRight w:val="0"/>
          <w:marTop w:val="0"/>
          <w:marBottom w:val="0"/>
          <w:divBdr>
            <w:top w:val="none" w:sz="0" w:space="0" w:color="auto"/>
            <w:left w:val="none" w:sz="0" w:space="0" w:color="auto"/>
            <w:bottom w:val="none" w:sz="0" w:space="0" w:color="auto"/>
            <w:right w:val="none" w:sz="0" w:space="0" w:color="auto"/>
          </w:divBdr>
        </w:div>
        <w:div w:id="501550922">
          <w:marLeft w:val="0"/>
          <w:marRight w:val="0"/>
          <w:marTop w:val="0"/>
          <w:marBottom w:val="0"/>
          <w:divBdr>
            <w:top w:val="none" w:sz="0" w:space="0" w:color="auto"/>
            <w:left w:val="none" w:sz="0" w:space="0" w:color="auto"/>
            <w:bottom w:val="none" w:sz="0" w:space="0" w:color="auto"/>
            <w:right w:val="none" w:sz="0" w:space="0" w:color="auto"/>
          </w:divBdr>
        </w:div>
      </w:divsChild>
    </w:div>
    <w:div w:id="1303078715">
      <w:bodyDiv w:val="1"/>
      <w:marLeft w:val="0"/>
      <w:marRight w:val="0"/>
      <w:marTop w:val="0"/>
      <w:marBottom w:val="0"/>
      <w:divBdr>
        <w:top w:val="none" w:sz="0" w:space="0" w:color="auto"/>
        <w:left w:val="none" w:sz="0" w:space="0" w:color="auto"/>
        <w:bottom w:val="none" w:sz="0" w:space="0" w:color="auto"/>
        <w:right w:val="none" w:sz="0" w:space="0" w:color="auto"/>
      </w:divBdr>
      <w:divsChild>
        <w:div w:id="1275557398">
          <w:marLeft w:val="0"/>
          <w:marRight w:val="0"/>
          <w:marTop w:val="0"/>
          <w:marBottom w:val="0"/>
          <w:divBdr>
            <w:top w:val="none" w:sz="0" w:space="0" w:color="auto"/>
            <w:left w:val="none" w:sz="0" w:space="0" w:color="auto"/>
            <w:bottom w:val="none" w:sz="0" w:space="0" w:color="auto"/>
            <w:right w:val="none" w:sz="0" w:space="0" w:color="auto"/>
          </w:divBdr>
        </w:div>
        <w:div w:id="1537618155">
          <w:marLeft w:val="0"/>
          <w:marRight w:val="0"/>
          <w:marTop w:val="0"/>
          <w:marBottom w:val="0"/>
          <w:divBdr>
            <w:top w:val="none" w:sz="0" w:space="0" w:color="auto"/>
            <w:left w:val="none" w:sz="0" w:space="0" w:color="auto"/>
            <w:bottom w:val="none" w:sz="0" w:space="0" w:color="auto"/>
            <w:right w:val="none" w:sz="0" w:space="0" w:color="auto"/>
          </w:divBdr>
        </w:div>
      </w:divsChild>
    </w:div>
    <w:div w:id="1314721064">
      <w:bodyDiv w:val="1"/>
      <w:marLeft w:val="0"/>
      <w:marRight w:val="0"/>
      <w:marTop w:val="0"/>
      <w:marBottom w:val="0"/>
      <w:divBdr>
        <w:top w:val="none" w:sz="0" w:space="0" w:color="auto"/>
        <w:left w:val="none" w:sz="0" w:space="0" w:color="auto"/>
        <w:bottom w:val="none" w:sz="0" w:space="0" w:color="auto"/>
        <w:right w:val="none" w:sz="0" w:space="0" w:color="auto"/>
      </w:divBdr>
      <w:divsChild>
        <w:div w:id="931350796">
          <w:marLeft w:val="0"/>
          <w:marRight w:val="0"/>
          <w:marTop w:val="0"/>
          <w:marBottom w:val="0"/>
          <w:divBdr>
            <w:top w:val="none" w:sz="0" w:space="0" w:color="auto"/>
            <w:left w:val="none" w:sz="0" w:space="0" w:color="auto"/>
            <w:bottom w:val="none" w:sz="0" w:space="0" w:color="auto"/>
            <w:right w:val="none" w:sz="0" w:space="0" w:color="auto"/>
          </w:divBdr>
        </w:div>
        <w:div w:id="1651909433">
          <w:marLeft w:val="0"/>
          <w:marRight w:val="0"/>
          <w:marTop w:val="0"/>
          <w:marBottom w:val="0"/>
          <w:divBdr>
            <w:top w:val="none" w:sz="0" w:space="0" w:color="auto"/>
            <w:left w:val="none" w:sz="0" w:space="0" w:color="auto"/>
            <w:bottom w:val="none" w:sz="0" w:space="0" w:color="auto"/>
            <w:right w:val="none" w:sz="0" w:space="0" w:color="auto"/>
          </w:divBdr>
        </w:div>
        <w:div w:id="1694107046">
          <w:marLeft w:val="0"/>
          <w:marRight w:val="0"/>
          <w:marTop w:val="0"/>
          <w:marBottom w:val="0"/>
          <w:divBdr>
            <w:top w:val="none" w:sz="0" w:space="0" w:color="auto"/>
            <w:left w:val="none" w:sz="0" w:space="0" w:color="auto"/>
            <w:bottom w:val="none" w:sz="0" w:space="0" w:color="auto"/>
            <w:right w:val="none" w:sz="0" w:space="0" w:color="auto"/>
          </w:divBdr>
        </w:div>
        <w:div w:id="1760827573">
          <w:marLeft w:val="0"/>
          <w:marRight w:val="0"/>
          <w:marTop w:val="0"/>
          <w:marBottom w:val="0"/>
          <w:divBdr>
            <w:top w:val="none" w:sz="0" w:space="0" w:color="auto"/>
            <w:left w:val="none" w:sz="0" w:space="0" w:color="auto"/>
            <w:bottom w:val="none" w:sz="0" w:space="0" w:color="auto"/>
            <w:right w:val="none" w:sz="0" w:space="0" w:color="auto"/>
          </w:divBdr>
        </w:div>
      </w:divsChild>
    </w:div>
    <w:div w:id="1417480530">
      <w:bodyDiv w:val="1"/>
      <w:marLeft w:val="0"/>
      <w:marRight w:val="0"/>
      <w:marTop w:val="0"/>
      <w:marBottom w:val="0"/>
      <w:divBdr>
        <w:top w:val="none" w:sz="0" w:space="0" w:color="auto"/>
        <w:left w:val="none" w:sz="0" w:space="0" w:color="auto"/>
        <w:bottom w:val="none" w:sz="0" w:space="0" w:color="auto"/>
        <w:right w:val="none" w:sz="0" w:space="0" w:color="auto"/>
      </w:divBdr>
      <w:divsChild>
        <w:div w:id="40442817">
          <w:marLeft w:val="0"/>
          <w:marRight w:val="0"/>
          <w:marTop w:val="0"/>
          <w:marBottom w:val="0"/>
          <w:divBdr>
            <w:top w:val="none" w:sz="0" w:space="0" w:color="auto"/>
            <w:left w:val="none" w:sz="0" w:space="0" w:color="auto"/>
            <w:bottom w:val="none" w:sz="0" w:space="0" w:color="auto"/>
            <w:right w:val="none" w:sz="0" w:space="0" w:color="auto"/>
          </w:divBdr>
        </w:div>
        <w:div w:id="166292072">
          <w:marLeft w:val="0"/>
          <w:marRight w:val="0"/>
          <w:marTop w:val="0"/>
          <w:marBottom w:val="0"/>
          <w:divBdr>
            <w:top w:val="none" w:sz="0" w:space="0" w:color="auto"/>
            <w:left w:val="none" w:sz="0" w:space="0" w:color="auto"/>
            <w:bottom w:val="none" w:sz="0" w:space="0" w:color="auto"/>
            <w:right w:val="none" w:sz="0" w:space="0" w:color="auto"/>
          </w:divBdr>
        </w:div>
        <w:div w:id="406650968">
          <w:marLeft w:val="0"/>
          <w:marRight w:val="0"/>
          <w:marTop w:val="0"/>
          <w:marBottom w:val="0"/>
          <w:divBdr>
            <w:top w:val="none" w:sz="0" w:space="0" w:color="auto"/>
            <w:left w:val="none" w:sz="0" w:space="0" w:color="auto"/>
            <w:bottom w:val="none" w:sz="0" w:space="0" w:color="auto"/>
            <w:right w:val="none" w:sz="0" w:space="0" w:color="auto"/>
          </w:divBdr>
        </w:div>
        <w:div w:id="408355620">
          <w:marLeft w:val="0"/>
          <w:marRight w:val="0"/>
          <w:marTop w:val="0"/>
          <w:marBottom w:val="0"/>
          <w:divBdr>
            <w:top w:val="none" w:sz="0" w:space="0" w:color="auto"/>
            <w:left w:val="none" w:sz="0" w:space="0" w:color="auto"/>
            <w:bottom w:val="none" w:sz="0" w:space="0" w:color="auto"/>
            <w:right w:val="none" w:sz="0" w:space="0" w:color="auto"/>
          </w:divBdr>
        </w:div>
        <w:div w:id="426779101">
          <w:marLeft w:val="0"/>
          <w:marRight w:val="0"/>
          <w:marTop w:val="0"/>
          <w:marBottom w:val="0"/>
          <w:divBdr>
            <w:top w:val="none" w:sz="0" w:space="0" w:color="auto"/>
            <w:left w:val="none" w:sz="0" w:space="0" w:color="auto"/>
            <w:bottom w:val="none" w:sz="0" w:space="0" w:color="auto"/>
            <w:right w:val="none" w:sz="0" w:space="0" w:color="auto"/>
          </w:divBdr>
        </w:div>
        <w:div w:id="672759279">
          <w:marLeft w:val="0"/>
          <w:marRight w:val="0"/>
          <w:marTop w:val="0"/>
          <w:marBottom w:val="0"/>
          <w:divBdr>
            <w:top w:val="none" w:sz="0" w:space="0" w:color="auto"/>
            <w:left w:val="none" w:sz="0" w:space="0" w:color="auto"/>
            <w:bottom w:val="none" w:sz="0" w:space="0" w:color="auto"/>
            <w:right w:val="none" w:sz="0" w:space="0" w:color="auto"/>
          </w:divBdr>
        </w:div>
        <w:div w:id="822232801">
          <w:marLeft w:val="0"/>
          <w:marRight w:val="0"/>
          <w:marTop w:val="0"/>
          <w:marBottom w:val="0"/>
          <w:divBdr>
            <w:top w:val="none" w:sz="0" w:space="0" w:color="auto"/>
            <w:left w:val="none" w:sz="0" w:space="0" w:color="auto"/>
            <w:bottom w:val="none" w:sz="0" w:space="0" w:color="auto"/>
            <w:right w:val="none" w:sz="0" w:space="0" w:color="auto"/>
          </w:divBdr>
        </w:div>
        <w:div w:id="857043347">
          <w:marLeft w:val="0"/>
          <w:marRight w:val="0"/>
          <w:marTop w:val="0"/>
          <w:marBottom w:val="0"/>
          <w:divBdr>
            <w:top w:val="none" w:sz="0" w:space="0" w:color="auto"/>
            <w:left w:val="none" w:sz="0" w:space="0" w:color="auto"/>
            <w:bottom w:val="none" w:sz="0" w:space="0" w:color="auto"/>
            <w:right w:val="none" w:sz="0" w:space="0" w:color="auto"/>
          </w:divBdr>
        </w:div>
        <w:div w:id="984310784">
          <w:marLeft w:val="0"/>
          <w:marRight w:val="0"/>
          <w:marTop w:val="0"/>
          <w:marBottom w:val="0"/>
          <w:divBdr>
            <w:top w:val="none" w:sz="0" w:space="0" w:color="auto"/>
            <w:left w:val="none" w:sz="0" w:space="0" w:color="auto"/>
            <w:bottom w:val="none" w:sz="0" w:space="0" w:color="auto"/>
            <w:right w:val="none" w:sz="0" w:space="0" w:color="auto"/>
          </w:divBdr>
        </w:div>
        <w:div w:id="1005858469">
          <w:marLeft w:val="0"/>
          <w:marRight w:val="0"/>
          <w:marTop w:val="0"/>
          <w:marBottom w:val="0"/>
          <w:divBdr>
            <w:top w:val="none" w:sz="0" w:space="0" w:color="auto"/>
            <w:left w:val="none" w:sz="0" w:space="0" w:color="auto"/>
            <w:bottom w:val="none" w:sz="0" w:space="0" w:color="auto"/>
            <w:right w:val="none" w:sz="0" w:space="0" w:color="auto"/>
          </w:divBdr>
        </w:div>
        <w:div w:id="1098254861">
          <w:marLeft w:val="0"/>
          <w:marRight w:val="0"/>
          <w:marTop w:val="0"/>
          <w:marBottom w:val="0"/>
          <w:divBdr>
            <w:top w:val="none" w:sz="0" w:space="0" w:color="auto"/>
            <w:left w:val="none" w:sz="0" w:space="0" w:color="auto"/>
            <w:bottom w:val="none" w:sz="0" w:space="0" w:color="auto"/>
            <w:right w:val="none" w:sz="0" w:space="0" w:color="auto"/>
          </w:divBdr>
        </w:div>
        <w:div w:id="1114984624">
          <w:marLeft w:val="0"/>
          <w:marRight w:val="0"/>
          <w:marTop w:val="0"/>
          <w:marBottom w:val="0"/>
          <w:divBdr>
            <w:top w:val="none" w:sz="0" w:space="0" w:color="auto"/>
            <w:left w:val="none" w:sz="0" w:space="0" w:color="auto"/>
            <w:bottom w:val="none" w:sz="0" w:space="0" w:color="auto"/>
            <w:right w:val="none" w:sz="0" w:space="0" w:color="auto"/>
          </w:divBdr>
        </w:div>
        <w:div w:id="1432702956">
          <w:marLeft w:val="0"/>
          <w:marRight w:val="0"/>
          <w:marTop w:val="0"/>
          <w:marBottom w:val="0"/>
          <w:divBdr>
            <w:top w:val="none" w:sz="0" w:space="0" w:color="auto"/>
            <w:left w:val="none" w:sz="0" w:space="0" w:color="auto"/>
            <w:bottom w:val="none" w:sz="0" w:space="0" w:color="auto"/>
            <w:right w:val="none" w:sz="0" w:space="0" w:color="auto"/>
          </w:divBdr>
        </w:div>
      </w:divsChild>
    </w:div>
    <w:div w:id="1459833496">
      <w:bodyDiv w:val="1"/>
      <w:marLeft w:val="0"/>
      <w:marRight w:val="0"/>
      <w:marTop w:val="0"/>
      <w:marBottom w:val="0"/>
      <w:divBdr>
        <w:top w:val="none" w:sz="0" w:space="0" w:color="auto"/>
        <w:left w:val="none" w:sz="0" w:space="0" w:color="auto"/>
        <w:bottom w:val="none" w:sz="0" w:space="0" w:color="auto"/>
        <w:right w:val="none" w:sz="0" w:space="0" w:color="auto"/>
      </w:divBdr>
      <w:divsChild>
        <w:div w:id="720053409">
          <w:marLeft w:val="0"/>
          <w:marRight w:val="0"/>
          <w:marTop w:val="0"/>
          <w:marBottom w:val="0"/>
          <w:divBdr>
            <w:top w:val="none" w:sz="0" w:space="0" w:color="auto"/>
            <w:left w:val="none" w:sz="0" w:space="0" w:color="auto"/>
            <w:bottom w:val="none" w:sz="0" w:space="0" w:color="auto"/>
            <w:right w:val="none" w:sz="0" w:space="0" w:color="auto"/>
          </w:divBdr>
        </w:div>
        <w:div w:id="1081296875">
          <w:marLeft w:val="0"/>
          <w:marRight w:val="0"/>
          <w:marTop w:val="0"/>
          <w:marBottom w:val="0"/>
          <w:divBdr>
            <w:top w:val="none" w:sz="0" w:space="0" w:color="auto"/>
            <w:left w:val="none" w:sz="0" w:space="0" w:color="auto"/>
            <w:bottom w:val="none" w:sz="0" w:space="0" w:color="auto"/>
            <w:right w:val="none" w:sz="0" w:space="0" w:color="auto"/>
          </w:divBdr>
        </w:div>
        <w:div w:id="1467040068">
          <w:marLeft w:val="0"/>
          <w:marRight w:val="0"/>
          <w:marTop w:val="0"/>
          <w:marBottom w:val="0"/>
          <w:divBdr>
            <w:top w:val="none" w:sz="0" w:space="0" w:color="auto"/>
            <w:left w:val="none" w:sz="0" w:space="0" w:color="auto"/>
            <w:bottom w:val="none" w:sz="0" w:space="0" w:color="auto"/>
            <w:right w:val="none" w:sz="0" w:space="0" w:color="auto"/>
          </w:divBdr>
        </w:div>
        <w:div w:id="1927183804">
          <w:marLeft w:val="0"/>
          <w:marRight w:val="0"/>
          <w:marTop w:val="0"/>
          <w:marBottom w:val="0"/>
          <w:divBdr>
            <w:top w:val="none" w:sz="0" w:space="0" w:color="auto"/>
            <w:left w:val="none" w:sz="0" w:space="0" w:color="auto"/>
            <w:bottom w:val="none" w:sz="0" w:space="0" w:color="auto"/>
            <w:right w:val="none" w:sz="0" w:space="0" w:color="auto"/>
          </w:divBdr>
        </w:div>
      </w:divsChild>
    </w:div>
    <w:div w:id="1481654222">
      <w:bodyDiv w:val="1"/>
      <w:marLeft w:val="0"/>
      <w:marRight w:val="0"/>
      <w:marTop w:val="0"/>
      <w:marBottom w:val="0"/>
      <w:divBdr>
        <w:top w:val="none" w:sz="0" w:space="0" w:color="auto"/>
        <w:left w:val="none" w:sz="0" w:space="0" w:color="auto"/>
        <w:bottom w:val="none" w:sz="0" w:space="0" w:color="auto"/>
        <w:right w:val="none" w:sz="0" w:space="0" w:color="auto"/>
      </w:divBdr>
      <w:divsChild>
        <w:div w:id="1079987905">
          <w:marLeft w:val="0"/>
          <w:marRight w:val="0"/>
          <w:marTop w:val="0"/>
          <w:marBottom w:val="0"/>
          <w:divBdr>
            <w:top w:val="none" w:sz="0" w:space="0" w:color="auto"/>
            <w:left w:val="none" w:sz="0" w:space="0" w:color="auto"/>
            <w:bottom w:val="none" w:sz="0" w:space="0" w:color="auto"/>
            <w:right w:val="none" w:sz="0" w:space="0" w:color="auto"/>
          </w:divBdr>
          <w:divsChild>
            <w:div w:id="460734573">
              <w:marLeft w:val="0"/>
              <w:marRight w:val="0"/>
              <w:marTop w:val="30"/>
              <w:marBottom w:val="30"/>
              <w:divBdr>
                <w:top w:val="none" w:sz="0" w:space="0" w:color="auto"/>
                <w:left w:val="none" w:sz="0" w:space="0" w:color="auto"/>
                <w:bottom w:val="none" w:sz="0" w:space="0" w:color="auto"/>
                <w:right w:val="none" w:sz="0" w:space="0" w:color="auto"/>
              </w:divBdr>
              <w:divsChild>
                <w:div w:id="54937901">
                  <w:marLeft w:val="0"/>
                  <w:marRight w:val="0"/>
                  <w:marTop w:val="0"/>
                  <w:marBottom w:val="0"/>
                  <w:divBdr>
                    <w:top w:val="none" w:sz="0" w:space="0" w:color="auto"/>
                    <w:left w:val="none" w:sz="0" w:space="0" w:color="auto"/>
                    <w:bottom w:val="none" w:sz="0" w:space="0" w:color="auto"/>
                    <w:right w:val="none" w:sz="0" w:space="0" w:color="auto"/>
                  </w:divBdr>
                  <w:divsChild>
                    <w:div w:id="1819033337">
                      <w:marLeft w:val="0"/>
                      <w:marRight w:val="0"/>
                      <w:marTop w:val="0"/>
                      <w:marBottom w:val="0"/>
                      <w:divBdr>
                        <w:top w:val="none" w:sz="0" w:space="0" w:color="auto"/>
                        <w:left w:val="none" w:sz="0" w:space="0" w:color="auto"/>
                        <w:bottom w:val="none" w:sz="0" w:space="0" w:color="auto"/>
                        <w:right w:val="none" w:sz="0" w:space="0" w:color="auto"/>
                      </w:divBdr>
                    </w:div>
                  </w:divsChild>
                </w:div>
                <w:div w:id="94639161">
                  <w:marLeft w:val="0"/>
                  <w:marRight w:val="0"/>
                  <w:marTop w:val="0"/>
                  <w:marBottom w:val="0"/>
                  <w:divBdr>
                    <w:top w:val="none" w:sz="0" w:space="0" w:color="auto"/>
                    <w:left w:val="none" w:sz="0" w:space="0" w:color="auto"/>
                    <w:bottom w:val="none" w:sz="0" w:space="0" w:color="auto"/>
                    <w:right w:val="none" w:sz="0" w:space="0" w:color="auto"/>
                  </w:divBdr>
                  <w:divsChild>
                    <w:div w:id="1848596243">
                      <w:marLeft w:val="0"/>
                      <w:marRight w:val="0"/>
                      <w:marTop w:val="0"/>
                      <w:marBottom w:val="0"/>
                      <w:divBdr>
                        <w:top w:val="none" w:sz="0" w:space="0" w:color="auto"/>
                        <w:left w:val="none" w:sz="0" w:space="0" w:color="auto"/>
                        <w:bottom w:val="none" w:sz="0" w:space="0" w:color="auto"/>
                        <w:right w:val="none" w:sz="0" w:space="0" w:color="auto"/>
                      </w:divBdr>
                    </w:div>
                  </w:divsChild>
                </w:div>
                <w:div w:id="200671333">
                  <w:marLeft w:val="0"/>
                  <w:marRight w:val="0"/>
                  <w:marTop w:val="0"/>
                  <w:marBottom w:val="0"/>
                  <w:divBdr>
                    <w:top w:val="none" w:sz="0" w:space="0" w:color="auto"/>
                    <w:left w:val="none" w:sz="0" w:space="0" w:color="auto"/>
                    <w:bottom w:val="none" w:sz="0" w:space="0" w:color="auto"/>
                    <w:right w:val="none" w:sz="0" w:space="0" w:color="auto"/>
                  </w:divBdr>
                  <w:divsChild>
                    <w:div w:id="426080952">
                      <w:marLeft w:val="0"/>
                      <w:marRight w:val="0"/>
                      <w:marTop w:val="0"/>
                      <w:marBottom w:val="0"/>
                      <w:divBdr>
                        <w:top w:val="none" w:sz="0" w:space="0" w:color="auto"/>
                        <w:left w:val="none" w:sz="0" w:space="0" w:color="auto"/>
                        <w:bottom w:val="none" w:sz="0" w:space="0" w:color="auto"/>
                        <w:right w:val="none" w:sz="0" w:space="0" w:color="auto"/>
                      </w:divBdr>
                    </w:div>
                  </w:divsChild>
                </w:div>
                <w:div w:id="210656707">
                  <w:marLeft w:val="0"/>
                  <w:marRight w:val="0"/>
                  <w:marTop w:val="0"/>
                  <w:marBottom w:val="0"/>
                  <w:divBdr>
                    <w:top w:val="none" w:sz="0" w:space="0" w:color="auto"/>
                    <w:left w:val="none" w:sz="0" w:space="0" w:color="auto"/>
                    <w:bottom w:val="none" w:sz="0" w:space="0" w:color="auto"/>
                    <w:right w:val="none" w:sz="0" w:space="0" w:color="auto"/>
                  </w:divBdr>
                  <w:divsChild>
                    <w:div w:id="1015111924">
                      <w:marLeft w:val="0"/>
                      <w:marRight w:val="0"/>
                      <w:marTop w:val="0"/>
                      <w:marBottom w:val="0"/>
                      <w:divBdr>
                        <w:top w:val="none" w:sz="0" w:space="0" w:color="auto"/>
                        <w:left w:val="none" w:sz="0" w:space="0" w:color="auto"/>
                        <w:bottom w:val="none" w:sz="0" w:space="0" w:color="auto"/>
                        <w:right w:val="none" w:sz="0" w:space="0" w:color="auto"/>
                      </w:divBdr>
                    </w:div>
                  </w:divsChild>
                </w:div>
                <w:div w:id="221141493">
                  <w:marLeft w:val="0"/>
                  <w:marRight w:val="0"/>
                  <w:marTop w:val="0"/>
                  <w:marBottom w:val="0"/>
                  <w:divBdr>
                    <w:top w:val="none" w:sz="0" w:space="0" w:color="auto"/>
                    <w:left w:val="none" w:sz="0" w:space="0" w:color="auto"/>
                    <w:bottom w:val="none" w:sz="0" w:space="0" w:color="auto"/>
                    <w:right w:val="none" w:sz="0" w:space="0" w:color="auto"/>
                  </w:divBdr>
                  <w:divsChild>
                    <w:div w:id="1400008959">
                      <w:marLeft w:val="0"/>
                      <w:marRight w:val="0"/>
                      <w:marTop w:val="0"/>
                      <w:marBottom w:val="0"/>
                      <w:divBdr>
                        <w:top w:val="none" w:sz="0" w:space="0" w:color="auto"/>
                        <w:left w:val="none" w:sz="0" w:space="0" w:color="auto"/>
                        <w:bottom w:val="none" w:sz="0" w:space="0" w:color="auto"/>
                        <w:right w:val="none" w:sz="0" w:space="0" w:color="auto"/>
                      </w:divBdr>
                    </w:div>
                  </w:divsChild>
                </w:div>
                <w:div w:id="238289759">
                  <w:marLeft w:val="0"/>
                  <w:marRight w:val="0"/>
                  <w:marTop w:val="0"/>
                  <w:marBottom w:val="0"/>
                  <w:divBdr>
                    <w:top w:val="none" w:sz="0" w:space="0" w:color="auto"/>
                    <w:left w:val="none" w:sz="0" w:space="0" w:color="auto"/>
                    <w:bottom w:val="none" w:sz="0" w:space="0" w:color="auto"/>
                    <w:right w:val="none" w:sz="0" w:space="0" w:color="auto"/>
                  </w:divBdr>
                  <w:divsChild>
                    <w:div w:id="1072433106">
                      <w:marLeft w:val="0"/>
                      <w:marRight w:val="0"/>
                      <w:marTop w:val="0"/>
                      <w:marBottom w:val="0"/>
                      <w:divBdr>
                        <w:top w:val="none" w:sz="0" w:space="0" w:color="auto"/>
                        <w:left w:val="none" w:sz="0" w:space="0" w:color="auto"/>
                        <w:bottom w:val="none" w:sz="0" w:space="0" w:color="auto"/>
                        <w:right w:val="none" w:sz="0" w:space="0" w:color="auto"/>
                      </w:divBdr>
                    </w:div>
                  </w:divsChild>
                </w:div>
                <w:div w:id="319162441">
                  <w:marLeft w:val="0"/>
                  <w:marRight w:val="0"/>
                  <w:marTop w:val="0"/>
                  <w:marBottom w:val="0"/>
                  <w:divBdr>
                    <w:top w:val="none" w:sz="0" w:space="0" w:color="auto"/>
                    <w:left w:val="none" w:sz="0" w:space="0" w:color="auto"/>
                    <w:bottom w:val="none" w:sz="0" w:space="0" w:color="auto"/>
                    <w:right w:val="none" w:sz="0" w:space="0" w:color="auto"/>
                  </w:divBdr>
                  <w:divsChild>
                    <w:div w:id="2096124387">
                      <w:marLeft w:val="0"/>
                      <w:marRight w:val="0"/>
                      <w:marTop w:val="0"/>
                      <w:marBottom w:val="0"/>
                      <w:divBdr>
                        <w:top w:val="none" w:sz="0" w:space="0" w:color="auto"/>
                        <w:left w:val="none" w:sz="0" w:space="0" w:color="auto"/>
                        <w:bottom w:val="none" w:sz="0" w:space="0" w:color="auto"/>
                        <w:right w:val="none" w:sz="0" w:space="0" w:color="auto"/>
                      </w:divBdr>
                    </w:div>
                  </w:divsChild>
                </w:div>
                <w:div w:id="399789782">
                  <w:marLeft w:val="0"/>
                  <w:marRight w:val="0"/>
                  <w:marTop w:val="0"/>
                  <w:marBottom w:val="0"/>
                  <w:divBdr>
                    <w:top w:val="none" w:sz="0" w:space="0" w:color="auto"/>
                    <w:left w:val="none" w:sz="0" w:space="0" w:color="auto"/>
                    <w:bottom w:val="none" w:sz="0" w:space="0" w:color="auto"/>
                    <w:right w:val="none" w:sz="0" w:space="0" w:color="auto"/>
                  </w:divBdr>
                  <w:divsChild>
                    <w:div w:id="2098817225">
                      <w:marLeft w:val="0"/>
                      <w:marRight w:val="0"/>
                      <w:marTop w:val="0"/>
                      <w:marBottom w:val="0"/>
                      <w:divBdr>
                        <w:top w:val="none" w:sz="0" w:space="0" w:color="auto"/>
                        <w:left w:val="none" w:sz="0" w:space="0" w:color="auto"/>
                        <w:bottom w:val="none" w:sz="0" w:space="0" w:color="auto"/>
                        <w:right w:val="none" w:sz="0" w:space="0" w:color="auto"/>
                      </w:divBdr>
                    </w:div>
                  </w:divsChild>
                </w:div>
                <w:div w:id="430979696">
                  <w:marLeft w:val="0"/>
                  <w:marRight w:val="0"/>
                  <w:marTop w:val="0"/>
                  <w:marBottom w:val="0"/>
                  <w:divBdr>
                    <w:top w:val="none" w:sz="0" w:space="0" w:color="auto"/>
                    <w:left w:val="none" w:sz="0" w:space="0" w:color="auto"/>
                    <w:bottom w:val="none" w:sz="0" w:space="0" w:color="auto"/>
                    <w:right w:val="none" w:sz="0" w:space="0" w:color="auto"/>
                  </w:divBdr>
                  <w:divsChild>
                    <w:div w:id="1975214261">
                      <w:marLeft w:val="0"/>
                      <w:marRight w:val="0"/>
                      <w:marTop w:val="0"/>
                      <w:marBottom w:val="0"/>
                      <w:divBdr>
                        <w:top w:val="none" w:sz="0" w:space="0" w:color="auto"/>
                        <w:left w:val="none" w:sz="0" w:space="0" w:color="auto"/>
                        <w:bottom w:val="none" w:sz="0" w:space="0" w:color="auto"/>
                        <w:right w:val="none" w:sz="0" w:space="0" w:color="auto"/>
                      </w:divBdr>
                    </w:div>
                  </w:divsChild>
                </w:div>
                <w:div w:id="460155258">
                  <w:marLeft w:val="0"/>
                  <w:marRight w:val="0"/>
                  <w:marTop w:val="0"/>
                  <w:marBottom w:val="0"/>
                  <w:divBdr>
                    <w:top w:val="none" w:sz="0" w:space="0" w:color="auto"/>
                    <w:left w:val="none" w:sz="0" w:space="0" w:color="auto"/>
                    <w:bottom w:val="none" w:sz="0" w:space="0" w:color="auto"/>
                    <w:right w:val="none" w:sz="0" w:space="0" w:color="auto"/>
                  </w:divBdr>
                  <w:divsChild>
                    <w:div w:id="1572427966">
                      <w:marLeft w:val="0"/>
                      <w:marRight w:val="0"/>
                      <w:marTop w:val="0"/>
                      <w:marBottom w:val="0"/>
                      <w:divBdr>
                        <w:top w:val="none" w:sz="0" w:space="0" w:color="auto"/>
                        <w:left w:val="none" w:sz="0" w:space="0" w:color="auto"/>
                        <w:bottom w:val="none" w:sz="0" w:space="0" w:color="auto"/>
                        <w:right w:val="none" w:sz="0" w:space="0" w:color="auto"/>
                      </w:divBdr>
                    </w:div>
                  </w:divsChild>
                </w:div>
                <w:div w:id="508957372">
                  <w:marLeft w:val="0"/>
                  <w:marRight w:val="0"/>
                  <w:marTop w:val="0"/>
                  <w:marBottom w:val="0"/>
                  <w:divBdr>
                    <w:top w:val="none" w:sz="0" w:space="0" w:color="auto"/>
                    <w:left w:val="none" w:sz="0" w:space="0" w:color="auto"/>
                    <w:bottom w:val="none" w:sz="0" w:space="0" w:color="auto"/>
                    <w:right w:val="none" w:sz="0" w:space="0" w:color="auto"/>
                  </w:divBdr>
                  <w:divsChild>
                    <w:div w:id="956838946">
                      <w:marLeft w:val="0"/>
                      <w:marRight w:val="0"/>
                      <w:marTop w:val="0"/>
                      <w:marBottom w:val="0"/>
                      <w:divBdr>
                        <w:top w:val="none" w:sz="0" w:space="0" w:color="auto"/>
                        <w:left w:val="none" w:sz="0" w:space="0" w:color="auto"/>
                        <w:bottom w:val="none" w:sz="0" w:space="0" w:color="auto"/>
                        <w:right w:val="none" w:sz="0" w:space="0" w:color="auto"/>
                      </w:divBdr>
                    </w:div>
                  </w:divsChild>
                </w:div>
                <w:div w:id="580876410">
                  <w:marLeft w:val="0"/>
                  <w:marRight w:val="0"/>
                  <w:marTop w:val="0"/>
                  <w:marBottom w:val="0"/>
                  <w:divBdr>
                    <w:top w:val="none" w:sz="0" w:space="0" w:color="auto"/>
                    <w:left w:val="none" w:sz="0" w:space="0" w:color="auto"/>
                    <w:bottom w:val="none" w:sz="0" w:space="0" w:color="auto"/>
                    <w:right w:val="none" w:sz="0" w:space="0" w:color="auto"/>
                  </w:divBdr>
                  <w:divsChild>
                    <w:div w:id="495998015">
                      <w:marLeft w:val="0"/>
                      <w:marRight w:val="0"/>
                      <w:marTop w:val="0"/>
                      <w:marBottom w:val="0"/>
                      <w:divBdr>
                        <w:top w:val="none" w:sz="0" w:space="0" w:color="auto"/>
                        <w:left w:val="none" w:sz="0" w:space="0" w:color="auto"/>
                        <w:bottom w:val="none" w:sz="0" w:space="0" w:color="auto"/>
                        <w:right w:val="none" w:sz="0" w:space="0" w:color="auto"/>
                      </w:divBdr>
                    </w:div>
                  </w:divsChild>
                </w:div>
                <w:div w:id="583684381">
                  <w:marLeft w:val="0"/>
                  <w:marRight w:val="0"/>
                  <w:marTop w:val="0"/>
                  <w:marBottom w:val="0"/>
                  <w:divBdr>
                    <w:top w:val="none" w:sz="0" w:space="0" w:color="auto"/>
                    <w:left w:val="none" w:sz="0" w:space="0" w:color="auto"/>
                    <w:bottom w:val="none" w:sz="0" w:space="0" w:color="auto"/>
                    <w:right w:val="none" w:sz="0" w:space="0" w:color="auto"/>
                  </w:divBdr>
                  <w:divsChild>
                    <w:div w:id="1513643185">
                      <w:marLeft w:val="0"/>
                      <w:marRight w:val="0"/>
                      <w:marTop w:val="0"/>
                      <w:marBottom w:val="0"/>
                      <w:divBdr>
                        <w:top w:val="none" w:sz="0" w:space="0" w:color="auto"/>
                        <w:left w:val="none" w:sz="0" w:space="0" w:color="auto"/>
                        <w:bottom w:val="none" w:sz="0" w:space="0" w:color="auto"/>
                        <w:right w:val="none" w:sz="0" w:space="0" w:color="auto"/>
                      </w:divBdr>
                    </w:div>
                  </w:divsChild>
                </w:div>
                <w:div w:id="585268604">
                  <w:marLeft w:val="0"/>
                  <w:marRight w:val="0"/>
                  <w:marTop w:val="0"/>
                  <w:marBottom w:val="0"/>
                  <w:divBdr>
                    <w:top w:val="none" w:sz="0" w:space="0" w:color="auto"/>
                    <w:left w:val="none" w:sz="0" w:space="0" w:color="auto"/>
                    <w:bottom w:val="none" w:sz="0" w:space="0" w:color="auto"/>
                    <w:right w:val="none" w:sz="0" w:space="0" w:color="auto"/>
                  </w:divBdr>
                  <w:divsChild>
                    <w:div w:id="1426262761">
                      <w:marLeft w:val="0"/>
                      <w:marRight w:val="0"/>
                      <w:marTop w:val="0"/>
                      <w:marBottom w:val="0"/>
                      <w:divBdr>
                        <w:top w:val="none" w:sz="0" w:space="0" w:color="auto"/>
                        <w:left w:val="none" w:sz="0" w:space="0" w:color="auto"/>
                        <w:bottom w:val="none" w:sz="0" w:space="0" w:color="auto"/>
                        <w:right w:val="none" w:sz="0" w:space="0" w:color="auto"/>
                      </w:divBdr>
                    </w:div>
                  </w:divsChild>
                </w:div>
                <w:div w:id="601491706">
                  <w:marLeft w:val="0"/>
                  <w:marRight w:val="0"/>
                  <w:marTop w:val="0"/>
                  <w:marBottom w:val="0"/>
                  <w:divBdr>
                    <w:top w:val="none" w:sz="0" w:space="0" w:color="auto"/>
                    <w:left w:val="none" w:sz="0" w:space="0" w:color="auto"/>
                    <w:bottom w:val="none" w:sz="0" w:space="0" w:color="auto"/>
                    <w:right w:val="none" w:sz="0" w:space="0" w:color="auto"/>
                  </w:divBdr>
                  <w:divsChild>
                    <w:div w:id="543567396">
                      <w:marLeft w:val="0"/>
                      <w:marRight w:val="0"/>
                      <w:marTop w:val="0"/>
                      <w:marBottom w:val="0"/>
                      <w:divBdr>
                        <w:top w:val="none" w:sz="0" w:space="0" w:color="auto"/>
                        <w:left w:val="none" w:sz="0" w:space="0" w:color="auto"/>
                        <w:bottom w:val="none" w:sz="0" w:space="0" w:color="auto"/>
                        <w:right w:val="none" w:sz="0" w:space="0" w:color="auto"/>
                      </w:divBdr>
                    </w:div>
                  </w:divsChild>
                </w:div>
                <w:div w:id="623464887">
                  <w:marLeft w:val="0"/>
                  <w:marRight w:val="0"/>
                  <w:marTop w:val="0"/>
                  <w:marBottom w:val="0"/>
                  <w:divBdr>
                    <w:top w:val="none" w:sz="0" w:space="0" w:color="auto"/>
                    <w:left w:val="none" w:sz="0" w:space="0" w:color="auto"/>
                    <w:bottom w:val="none" w:sz="0" w:space="0" w:color="auto"/>
                    <w:right w:val="none" w:sz="0" w:space="0" w:color="auto"/>
                  </w:divBdr>
                  <w:divsChild>
                    <w:div w:id="1621257905">
                      <w:marLeft w:val="0"/>
                      <w:marRight w:val="0"/>
                      <w:marTop w:val="0"/>
                      <w:marBottom w:val="0"/>
                      <w:divBdr>
                        <w:top w:val="none" w:sz="0" w:space="0" w:color="auto"/>
                        <w:left w:val="none" w:sz="0" w:space="0" w:color="auto"/>
                        <w:bottom w:val="none" w:sz="0" w:space="0" w:color="auto"/>
                        <w:right w:val="none" w:sz="0" w:space="0" w:color="auto"/>
                      </w:divBdr>
                    </w:div>
                  </w:divsChild>
                </w:div>
                <w:div w:id="638920891">
                  <w:marLeft w:val="0"/>
                  <w:marRight w:val="0"/>
                  <w:marTop w:val="0"/>
                  <w:marBottom w:val="0"/>
                  <w:divBdr>
                    <w:top w:val="none" w:sz="0" w:space="0" w:color="auto"/>
                    <w:left w:val="none" w:sz="0" w:space="0" w:color="auto"/>
                    <w:bottom w:val="none" w:sz="0" w:space="0" w:color="auto"/>
                    <w:right w:val="none" w:sz="0" w:space="0" w:color="auto"/>
                  </w:divBdr>
                  <w:divsChild>
                    <w:div w:id="1709983947">
                      <w:marLeft w:val="0"/>
                      <w:marRight w:val="0"/>
                      <w:marTop w:val="0"/>
                      <w:marBottom w:val="0"/>
                      <w:divBdr>
                        <w:top w:val="none" w:sz="0" w:space="0" w:color="auto"/>
                        <w:left w:val="none" w:sz="0" w:space="0" w:color="auto"/>
                        <w:bottom w:val="none" w:sz="0" w:space="0" w:color="auto"/>
                        <w:right w:val="none" w:sz="0" w:space="0" w:color="auto"/>
                      </w:divBdr>
                    </w:div>
                  </w:divsChild>
                </w:div>
                <w:div w:id="644898095">
                  <w:marLeft w:val="0"/>
                  <w:marRight w:val="0"/>
                  <w:marTop w:val="0"/>
                  <w:marBottom w:val="0"/>
                  <w:divBdr>
                    <w:top w:val="none" w:sz="0" w:space="0" w:color="auto"/>
                    <w:left w:val="none" w:sz="0" w:space="0" w:color="auto"/>
                    <w:bottom w:val="none" w:sz="0" w:space="0" w:color="auto"/>
                    <w:right w:val="none" w:sz="0" w:space="0" w:color="auto"/>
                  </w:divBdr>
                  <w:divsChild>
                    <w:div w:id="345982255">
                      <w:marLeft w:val="0"/>
                      <w:marRight w:val="0"/>
                      <w:marTop w:val="0"/>
                      <w:marBottom w:val="0"/>
                      <w:divBdr>
                        <w:top w:val="none" w:sz="0" w:space="0" w:color="auto"/>
                        <w:left w:val="none" w:sz="0" w:space="0" w:color="auto"/>
                        <w:bottom w:val="none" w:sz="0" w:space="0" w:color="auto"/>
                        <w:right w:val="none" w:sz="0" w:space="0" w:color="auto"/>
                      </w:divBdr>
                    </w:div>
                  </w:divsChild>
                </w:div>
                <w:div w:id="674461935">
                  <w:marLeft w:val="0"/>
                  <w:marRight w:val="0"/>
                  <w:marTop w:val="0"/>
                  <w:marBottom w:val="0"/>
                  <w:divBdr>
                    <w:top w:val="none" w:sz="0" w:space="0" w:color="auto"/>
                    <w:left w:val="none" w:sz="0" w:space="0" w:color="auto"/>
                    <w:bottom w:val="none" w:sz="0" w:space="0" w:color="auto"/>
                    <w:right w:val="none" w:sz="0" w:space="0" w:color="auto"/>
                  </w:divBdr>
                  <w:divsChild>
                    <w:div w:id="1621257548">
                      <w:marLeft w:val="0"/>
                      <w:marRight w:val="0"/>
                      <w:marTop w:val="0"/>
                      <w:marBottom w:val="0"/>
                      <w:divBdr>
                        <w:top w:val="none" w:sz="0" w:space="0" w:color="auto"/>
                        <w:left w:val="none" w:sz="0" w:space="0" w:color="auto"/>
                        <w:bottom w:val="none" w:sz="0" w:space="0" w:color="auto"/>
                        <w:right w:val="none" w:sz="0" w:space="0" w:color="auto"/>
                      </w:divBdr>
                    </w:div>
                  </w:divsChild>
                </w:div>
                <w:div w:id="680133196">
                  <w:marLeft w:val="0"/>
                  <w:marRight w:val="0"/>
                  <w:marTop w:val="0"/>
                  <w:marBottom w:val="0"/>
                  <w:divBdr>
                    <w:top w:val="none" w:sz="0" w:space="0" w:color="auto"/>
                    <w:left w:val="none" w:sz="0" w:space="0" w:color="auto"/>
                    <w:bottom w:val="none" w:sz="0" w:space="0" w:color="auto"/>
                    <w:right w:val="none" w:sz="0" w:space="0" w:color="auto"/>
                  </w:divBdr>
                  <w:divsChild>
                    <w:div w:id="1952080373">
                      <w:marLeft w:val="0"/>
                      <w:marRight w:val="0"/>
                      <w:marTop w:val="0"/>
                      <w:marBottom w:val="0"/>
                      <w:divBdr>
                        <w:top w:val="none" w:sz="0" w:space="0" w:color="auto"/>
                        <w:left w:val="none" w:sz="0" w:space="0" w:color="auto"/>
                        <w:bottom w:val="none" w:sz="0" w:space="0" w:color="auto"/>
                        <w:right w:val="none" w:sz="0" w:space="0" w:color="auto"/>
                      </w:divBdr>
                    </w:div>
                  </w:divsChild>
                </w:div>
                <w:div w:id="703554020">
                  <w:marLeft w:val="0"/>
                  <w:marRight w:val="0"/>
                  <w:marTop w:val="0"/>
                  <w:marBottom w:val="0"/>
                  <w:divBdr>
                    <w:top w:val="none" w:sz="0" w:space="0" w:color="auto"/>
                    <w:left w:val="none" w:sz="0" w:space="0" w:color="auto"/>
                    <w:bottom w:val="none" w:sz="0" w:space="0" w:color="auto"/>
                    <w:right w:val="none" w:sz="0" w:space="0" w:color="auto"/>
                  </w:divBdr>
                  <w:divsChild>
                    <w:div w:id="1203639172">
                      <w:marLeft w:val="0"/>
                      <w:marRight w:val="0"/>
                      <w:marTop w:val="0"/>
                      <w:marBottom w:val="0"/>
                      <w:divBdr>
                        <w:top w:val="none" w:sz="0" w:space="0" w:color="auto"/>
                        <w:left w:val="none" w:sz="0" w:space="0" w:color="auto"/>
                        <w:bottom w:val="none" w:sz="0" w:space="0" w:color="auto"/>
                        <w:right w:val="none" w:sz="0" w:space="0" w:color="auto"/>
                      </w:divBdr>
                    </w:div>
                  </w:divsChild>
                </w:div>
                <w:div w:id="993529635">
                  <w:marLeft w:val="0"/>
                  <w:marRight w:val="0"/>
                  <w:marTop w:val="0"/>
                  <w:marBottom w:val="0"/>
                  <w:divBdr>
                    <w:top w:val="none" w:sz="0" w:space="0" w:color="auto"/>
                    <w:left w:val="none" w:sz="0" w:space="0" w:color="auto"/>
                    <w:bottom w:val="none" w:sz="0" w:space="0" w:color="auto"/>
                    <w:right w:val="none" w:sz="0" w:space="0" w:color="auto"/>
                  </w:divBdr>
                  <w:divsChild>
                    <w:div w:id="917404422">
                      <w:marLeft w:val="0"/>
                      <w:marRight w:val="0"/>
                      <w:marTop w:val="0"/>
                      <w:marBottom w:val="0"/>
                      <w:divBdr>
                        <w:top w:val="none" w:sz="0" w:space="0" w:color="auto"/>
                        <w:left w:val="none" w:sz="0" w:space="0" w:color="auto"/>
                        <w:bottom w:val="none" w:sz="0" w:space="0" w:color="auto"/>
                        <w:right w:val="none" w:sz="0" w:space="0" w:color="auto"/>
                      </w:divBdr>
                    </w:div>
                  </w:divsChild>
                </w:div>
                <w:div w:id="1038046279">
                  <w:marLeft w:val="0"/>
                  <w:marRight w:val="0"/>
                  <w:marTop w:val="0"/>
                  <w:marBottom w:val="0"/>
                  <w:divBdr>
                    <w:top w:val="none" w:sz="0" w:space="0" w:color="auto"/>
                    <w:left w:val="none" w:sz="0" w:space="0" w:color="auto"/>
                    <w:bottom w:val="none" w:sz="0" w:space="0" w:color="auto"/>
                    <w:right w:val="none" w:sz="0" w:space="0" w:color="auto"/>
                  </w:divBdr>
                  <w:divsChild>
                    <w:div w:id="221329620">
                      <w:marLeft w:val="0"/>
                      <w:marRight w:val="0"/>
                      <w:marTop w:val="0"/>
                      <w:marBottom w:val="0"/>
                      <w:divBdr>
                        <w:top w:val="none" w:sz="0" w:space="0" w:color="auto"/>
                        <w:left w:val="none" w:sz="0" w:space="0" w:color="auto"/>
                        <w:bottom w:val="none" w:sz="0" w:space="0" w:color="auto"/>
                        <w:right w:val="none" w:sz="0" w:space="0" w:color="auto"/>
                      </w:divBdr>
                    </w:div>
                  </w:divsChild>
                </w:div>
                <w:div w:id="1056969412">
                  <w:marLeft w:val="0"/>
                  <w:marRight w:val="0"/>
                  <w:marTop w:val="0"/>
                  <w:marBottom w:val="0"/>
                  <w:divBdr>
                    <w:top w:val="none" w:sz="0" w:space="0" w:color="auto"/>
                    <w:left w:val="none" w:sz="0" w:space="0" w:color="auto"/>
                    <w:bottom w:val="none" w:sz="0" w:space="0" w:color="auto"/>
                    <w:right w:val="none" w:sz="0" w:space="0" w:color="auto"/>
                  </w:divBdr>
                  <w:divsChild>
                    <w:div w:id="810562992">
                      <w:marLeft w:val="0"/>
                      <w:marRight w:val="0"/>
                      <w:marTop w:val="0"/>
                      <w:marBottom w:val="0"/>
                      <w:divBdr>
                        <w:top w:val="none" w:sz="0" w:space="0" w:color="auto"/>
                        <w:left w:val="none" w:sz="0" w:space="0" w:color="auto"/>
                        <w:bottom w:val="none" w:sz="0" w:space="0" w:color="auto"/>
                        <w:right w:val="none" w:sz="0" w:space="0" w:color="auto"/>
                      </w:divBdr>
                    </w:div>
                  </w:divsChild>
                </w:div>
                <w:div w:id="1173378939">
                  <w:marLeft w:val="0"/>
                  <w:marRight w:val="0"/>
                  <w:marTop w:val="0"/>
                  <w:marBottom w:val="0"/>
                  <w:divBdr>
                    <w:top w:val="none" w:sz="0" w:space="0" w:color="auto"/>
                    <w:left w:val="none" w:sz="0" w:space="0" w:color="auto"/>
                    <w:bottom w:val="none" w:sz="0" w:space="0" w:color="auto"/>
                    <w:right w:val="none" w:sz="0" w:space="0" w:color="auto"/>
                  </w:divBdr>
                  <w:divsChild>
                    <w:div w:id="614481195">
                      <w:marLeft w:val="0"/>
                      <w:marRight w:val="0"/>
                      <w:marTop w:val="0"/>
                      <w:marBottom w:val="0"/>
                      <w:divBdr>
                        <w:top w:val="none" w:sz="0" w:space="0" w:color="auto"/>
                        <w:left w:val="none" w:sz="0" w:space="0" w:color="auto"/>
                        <w:bottom w:val="none" w:sz="0" w:space="0" w:color="auto"/>
                        <w:right w:val="none" w:sz="0" w:space="0" w:color="auto"/>
                      </w:divBdr>
                    </w:div>
                  </w:divsChild>
                </w:div>
                <w:div w:id="1213999469">
                  <w:marLeft w:val="0"/>
                  <w:marRight w:val="0"/>
                  <w:marTop w:val="0"/>
                  <w:marBottom w:val="0"/>
                  <w:divBdr>
                    <w:top w:val="none" w:sz="0" w:space="0" w:color="auto"/>
                    <w:left w:val="none" w:sz="0" w:space="0" w:color="auto"/>
                    <w:bottom w:val="none" w:sz="0" w:space="0" w:color="auto"/>
                    <w:right w:val="none" w:sz="0" w:space="0" w:color="auto"/>
                  </w:divBdr>
                  <w:divsChild>
                    <w:div w:id="1345670495">
                      <w:marLeft w:val="0"/>
                      <w:marRight w:val="0"/>
                      <w:marTop w:val="0"/>
                      <w:marBottom w:val="0"/>
                      <w:divBdr>
                        <w:top w:val="none" w:sz="0" w:space="0" w:color="auto"/>
                        <w:left w:val="none" w:sz="0" w:space="0" w:color="auto"/>
                        <w:bottom w:val="none" w:sz="0" w:space="0" w:color="auto"/>
                        <w:right w:val="none" w:sz="0" w:space="0" w:color="auto"/>
                      </w:divBdr>
                    </w:div>
                  </w:divsChild>
                </w:div>
                <w:div w:id="1215124511">
                  <w:marLeft w:val="0"/>
                  <w:marRight w:val="0"/>
                  <w:marTop w:val="0"/>
                  <w:marBottom w:val="0"/>
                  <w:divBdr>
                    <w:top w:val="none" w:sz="0" w:space="0" w:color="auto"/>
                    <w:left w:val="none" w:sz="0" w:space="0" w:color="auto"/>
                    <w:bottom w:val="none" w:sz="0" w:space="0" w:color="auto"/>
                    <w:right w:val="none" w:sz="0" w:space="0" w:color="auto"/>
                  </w:divBdr>
                  <w:divsChild>
                    <w:div w:id="1369068869">
                      <w:marLeft w:val="0"/>
                      <w:marRight w:val="0"/>
                      <w:marTop w:val="0"/>
                      <w:marBottom w:val="0"/>
                      <w:divBdr>
                        <w:top w:val="none" w:sz="0" w:space="0" w:color="auto"/>
                        <w:left w:val="none" w:sz="0" w:space="0" w:color="auto"/>
                        <w:bottom w:val="none" w:sz="0" w:space="0" w:color="auto"/>
                        <w:right w:val="none" w:sz="0" w:space="0" w:color="auto"/>
                      </w:divBdr>
                    </w:div>
                  </w:divsChild>
                </w:div>
                <w:div w:id="1334793989">
                  <w:marLeft w:val="0"/>
                  <w:marRight w:val="0"/>
                  <w:marTop w:val="0"/>
                  <w:marBottom w:val="0"/>
                  <w:divBdr>
                    <w:top w:val="none" w:sz="0" w:space="0" w:color="auto"/>
                    <w:left w:val="none" w:sz="0" w:space="0" w:color="auto"/>
                    <w:bottom w:val="none" w:sz="0" w:space="0" w:color="auto"/>
                    <w:right w:val="none" w:sz="0" w:space="0" w:color="auto"/>
                  </w:divBdr>
                  <w:divsChild>
                    <w:div w:id="43332243">
                      <w:marLeft w:val="0"/>
                      <w:marRight w:val="0"/>
                      <w:marTop w:val="0"/>
                      <w:marBottom w:val="0"/>
                      <w:divBdr>
                        <w:top w:val="none" w:sz="0" w:space="0" w:color="auto"/>
                        <w:left w:val="none" w:sz="0" w:space="0" w:color="auto"/>
                        <w:bottom w:val="none" w:sz="0" w:space="0" w:color="auto"/>
                        <w:right w:val="none" w:sz="0" w:space="0" w:color="auto"/>
                      </w:divBdr>
                    </w:div>
                  </w:divsChild>
                </w:div>
                <w:div w:id="1396586185">
                  <w:marLeft w:val="0"/>
                  <w:marRight w:val="0"/>
                  <w:marTop w:val="0"/>
                  <w:marBottom w:val="0"/>
                  <w:divBdr>
                    <w:top w:val="none" w:sz="0" w:space="0" w:color="auto"/>
                    <w:left w:val="none" w:sz="0" w:space="0" w:color="auto"/>
                    <w:bottom w:val="none" w:sz="0" w:space="0" w:color="auto"/>
                    <w:right w:val="none" w:sz="0" w:space="0" w:color="auto"/>
                  </w:divBdr>
                  <w:divsChild>
                    <w:div w:id="477037924">
                      <w:marLeft w:val="0"/>
                      <w:marRight w:val="0"/>
                      <w:marTop w:val="0"/>
                      <w:marBottom w:val="0"/>
                      <w:divBdr>
                        <w:top w:val="none" w:sz="0" w:space="0" w:color="auto"/>
                        <w:left w:val="none" w:sz="0" w:space="0" w:color="auto"/>
                        <w:bottom w:val="none" w:sz="0" w:space="0" w:color="auto"/>
                        <w:right w:val="none" w:sz="0" w:space="0" w:color="auto"/>
                      </w:divBdr>
                    </w:div>
                  </w:divsChild>
                </w:div>
                <w:div w:id="1466044150">
                  <w:marLeft w:val="0"/>
                  <w:marRight w:val="0"/>
                  <w:marTop w:val="0"/>
                  <w:marBottom w:val="0"/>
                  <w:divBdr>
                    <w:top w:val="none" w:sz="0" w:space="0" w:color="auto"/>
                    <w:left w:val="none" w:sz="0" w:space="0" w:color="auto"/>
                    <w:bottom w:val="none" w:sz="0" w:space="0" w:color="auto"/>
                    <w:right w:val="none" w:sz="0" w:space="0" w:color="auto"/>
                  </w:divBdr>
                  <w:divsChild>
                    <w:div w:id="829370867">
                      <w:marLeft w:val="0"/>
                      <w:marRight w:val="0"/>
                      <w:marTop w:val="0"/>
                      <w:marBottom w:val="0"/>
                      <w:divBdr>
                        <w:top w:val="none" w:sz="0" w:space="0" w:color="auto"/>
                        <w:left w:val="none" w:sz="0" w:space="0" w:color="auto"/>
                        <w:bottom w:val="none" w:sz="0" w:space="0" w:color="auto"/>
                        <w:right w:val="none" w:sz="0" w:space="0" w:color="auto"/>
                      </w:divBdr>
                    </w:div>
                  </w:divsChild>
                </w:div>
                <w:div w:id="1503474978">
                  <w:marLeft w:val="0"/>
                  <w:marRight w:val="0"/>
                  <w:marTop w:val="0"/>
                  <w:marBottom w:val="0"/>
                  <w:divBdr>
                    <w:top w:val="none" w:sz="0" w:space="0" w:color="auto"/>
                    <w:left w:val="none" w:sz="0" w:space="0" w:color="auto"/>
                    <w:bottom w:val="none" w:sz="0" w:space="0" w:color="auto"/>
                    <w:right w:val="none" w:sz="0" w:space="0" w:color="auto"/>
                  </w:divBdr>
                  <w:divsChild>
                    <w:div w:id="356855366">
                      <w:marLeft w:val="0"/>
                      <w:marRight w:val="0"/>
                      <w:marTop w:val="0"/>
                      <w:marBottom w:val="0"/>
                      <w:divBdr>
                        <w:top w:val="none" w:sz="0" w:space="0" w:color="auto"/>
                        <w:left w:val="none" w:sz="0" w:space="0" w:color="auto"/>
                        <w:bottom w:val="none" w:sz="0" w:space="0" w:color="auto"/>
                        <w:right w:val="none" w:sz="0" w:space="0" w:color="auto"/>
                      </w:divBdr>
                    </w:div>
                  </w:divsChild>
                </w:div>
                <w:div w:id="1509754082">
                  <w:marLeft w:val="0"/>
                  <w:marRight w:val="0"/>
                  <w:marTop w:val="0"/>
                  <w:marBottom w:val="0"/>
                  <w:divBdr>
                    <w:top w:val="none" w:sz="0" w:space="0" w:color="auto"/>
                    <w:left w:val="none" w:sz="0" w:space="0" w:color="auto"/>
                    <w:bottom w:val="none" w:sz="0" w:space="0" w:color="auto"/>
                    <w:right w:val="none" w:sz="0" w:space="0" w:color="auto"/>
                  </w:divBdr>
                  <w:divsChild>
                    <w:div w:id="1539466243">
                      <w:marLeft w:val="0"/>
                      <w:marRight w:val="0"/>
                      <w:marTop w:val="0"/>
                      <w:marBottom w:val="0"/>
                      <w:divBdr>
                        <w:top w:val="none" w:sz="0" w:space="0" w:color="auto"/>
                        <w:left w:val="none" w:sz="0" w:space="0" w:color="auto"/>
                        <w:bottom w:val="none" w:sz="0" w:space="0" w:color="auto"/>
                        <w:right w:val="none" w:sz="0" w:space="0" w:color="auto"/>
                      </w:divBdr>
                    </w:div>
                  </w:divsChild>
                </w:div>
                <w:div w:id="1615289496">
                  <w:marLeft w:val="0"/>
                  <w:marRight w:val="0"/>
                  <w:marTop w:val="0"/>
                  <w:marBottom w:val="0"/>
                  <w:divBdr>
                    <w:top w:val="none" w:sz="0" w:space="0" w:color="auto"/>
                    <w:left w:val="none" w:sz="0" w:space="0" w:color="auto"/>
                    <w:bottom w:val="none" w:sz="0" w:space="0" w:color="auto"/>
                    <w:right w:val="none" w:sz="0" w:space="0" w:color="auto"/>
                  </w:divBdr>
                  <w:divsChild>
                    <w:div w:id="1131481978">
                      <w:marLeft w:val="0"/>
                      <w:marRight w:val="0"/>
                      <w:marTop w:val="0"/>
                      <w:marBottom w:val="0"/>
                      <w:divBdr>
                        <w:top w:val="none" w:sz="0" w:space="0" w:color="auto"/>
                        <w:left w:val="none" w:sz="0" w:space="0" w:color="auto"/>
                        <w:bottom w:val="none" w:sz="0" w:space="0" w:color="auto"/>
                        <w:right w:val="none" w:sz="0" w:space="0" w:color="auto"/>
                      </w:divBdr>
                    </w:div>
                  </w:divsChild>
                </w:div>
                <w:div w:id="1733844636">
                  <w:marLeft w:val="0"/>
                  <w:marRight w:val="0"/>
                  <w:marTop w:val="0"/>
                  <w:marBottom w:val="0"/>
                  <w:divBdr>
                    <w:top w:val="none" w:sz="0" w:space="0" w:color="auto"/>
                    <w:left w:val="none" w:sz="0" w:space="0" w:color="auto"/>
                    <w:bottom w:val="none" w:sz="0" w:space="0" w:color="auto"/>
                    <w:right w:val="none" w:sz="0" w:space="0" w:color="auto"/>
                  </w:divBdr>
                  <w:divsChild>
                    <w:div w:id="1623923399">
                      <w:marLeft w:val="0"/>
                      <w:marRight w:val="0"/>
                      <w:marTop w:val="0"/>
                      <w:marBottom w:val="0"/>
                      <w:divBdr>
                        <w:top w:val="none" w:sz="0" w:space="0" w:color="auto"/>
                        <w:left w:val="none" w:sz="0" w:space="0" w:color="auto"/>
                        <w:bottom w:val="none" w:sz="0" w:space="0" w:color="auto"/>
                        <w:right w:val="none" w:sz="0" w:space="0" w:color="auto"/>
                      </w:divBdr>
                    </w:div>
                  </w:divsChild>
                </w:div>
                <w:div w:id="1941912923">
                  <w:marLeft w:val="0"/>
                  <w:marRight w:val="0"/>
                  <w:marTop w:val="0"/>
                  <w:marBottom w:val="0"/>
                  <w:divBdr>
                    <w:top w:val="none" w:sz="0" w:space="0" w:color="auto"/>
                    <w:left w:val="none" w:sz="0" w:space="0" w:color="auto"/>
                    <w:bottom w:val="none" w:sz="0" w:space="0" w:color="auto"/>
                    <w:right w:val="none" w:sz="0" w:space="0" w:color="auto"/>
                  </w:divBdr>
                  <w:divsChild>
                    <w:div w:id="1151823295">
                      <w:marLeft w:val="0"/>
                      <w:marRight w:val="0"/>
                      <w:marTop w:val="0"/>
                      <w:marBottom w:val="0"/>
                      <w:divBdr>
                        <w:top w:val="none" w:sz="0" w:space="0" w:color="auto"/>
                        <w:left w:val="none" w:sz="0" w:space="0" w:color="auto"/>
                        <w:bottom w:val="none" w:sz="0" w:space="0" w:color="auto"/>
                        <w:right w:val="none" w:sz="0" w:space="0" w:color="auto"/>
                      </w:divBdr>
                    </w:div>
                  </w:divsChild>
                </w:div>
                <w:div w:id="2002738350">
                  <w:marLeft w:val="0"/>
                  <w:marRight w:val="0"/>
                  <w:marTop w:val="0"/>
                  <w:marBottom w:val="0"/>
                  <w:divBdr>
                    <w:top w:val="none" w:sz="0" w:space="0" w:color="auto"/>
                    <w:left w:val="none" w:sz="0" w:space="0" w:color="auto"/>
                    <w:bottom w:val="none" w:sz="0" w:space="0" w:color="auto"/>
                    <w:right w:val="none" w:sz="0" w:space="0" w:color="auto"/>
                  </w:divBdr>
                  <w:divsChild>
                    <w:div w:id="162361351">
                      <w:marLeft w:val="0"/>
                      <w:marRight w:val="0"/>
                      <w:marTop w:val="0"/>
                      <w:marBottom w:val="0"/>
                      <w:divBdr>
                        <w:top w:val="none" w:sz="0" w:space="0" w:color="auto"/>
                        <w:left w:val="none" w:sz="0" w:space="0" w:color="auto"/>
                        <w:bottom w:val="none" w:sz="0" w:space="0" w:color="auto"/>
                        <w:right w:val="none" w:sz="0" w:space="0" w:color="auto"/>
                      </w:divBdr>
                    </w:div>
                  </w:divsChild>
                </w:div>
                <w:div w:id="2108191204">
                  <w:marLeft w:val="0"/>
                  <w:marRight w:val="0"/>
                  <w:marTop w:val="0"/>
                  <w:marBottom w:val="0"/>
                  <w:divBdr>
                    <w:top w:val="none" w:sz="0" w:space="0" w:color="auto"/>
                    <w:left w:val="none" w:sz="0" w:space="0" w:color="auto"/>
                    <w:bottom w:val="none" w:sz="0" w:space="0" w:color="auto"/>
                    <w:right w:val="none" w:sz="0" w:space="0" w:color="auto"/>
                  </w:divBdr>
                  <w:divsChild>
                    <w:div w:id="1804812943">
                      <w:marLeft w:val="0"/>
                      <w:marRight w:val="0"/>
                      <w:marTop w:val="0"/>
                      <w:marBottom w:val="0"/>
                      <w:divBdr>
                        <w:top w:val="none" w:sz="0" w:space="0" w:color="auto"/>
                        <w:left w:val="none" w:sz="0" w:space="0" w:color="auto"/>
                        <w:bottom w:val="none" w:sz="0" w:space="0" w:color="auto"/>
                        <w:right w:val="none" w:sz="0" w:space="0" w:color="auto"/>
                      </w:divBdr>
                    </w:div>
                  </w:divsChild>
                </w:div>
                <w:div w:id="2110000957">
                  <w:marLeft w:val="0"/>
                  <w:marRight w:val="0"/>
                  <w:marTop w:val="0"/>
                  <w:marBottom w:val="0"/>
                  <w:divBdr>
                    <w:top w:val="none" w:sz="0" w:space="0" w:color="auto"/>
                    <w:left w:val="none" w:sz="0" w:space="0" w:color="auto"/>
                    <w:bottom w:val="none" w:sz="0" w:space="0" w:color="auto"/>
                    <w:right w:val="none" w:sz="0" w:space="0" w:color="auto"/>
                  </w:divBdr>
                  <w:divsChild>
                    <w:div w:id="1373072632">
                      <w:marLeft w:val="0"/>
                      <w:marRight w:val="0"/>
                      <w:marTop w:val="0"/>
                      <w:marBottom w:val="0"/>
                      <w:divBdr>
                        <w:top w:val="none" w:sz="0" w:space="0" w:color="auto"/>
                        <w:left w:val="none" w:sz="0" w:space="0" w:color="auto"/>
                        <w:bottom w:val="none" w:sz="0" w:space="0" w:color="auto"/>
                        <w:right w:val="none" w:sz="0" w:space="0" w:color="auto"/>
                      </w:divBdr>
                    </w:div>
                  </w:divsChild>
                </w:div>
                <w:div w:id="2110732074">
                  <w:marLeft w:val="0"/>
                  <w:marRight w:val="0"/>
                  <w:marTop w:val="0"/>
                  <w:marBottom w:val="0"/>
                  <w:divBdr>
                    <w:top w:val="none" w:sz="0" w:space="0" w:color="auto"/>
                    <w:left w:val="none" w:sz="0" w:space="0" w:color="auto"/>
                    <w:bottom w:val="none" w:sz="0" w:space="0" w:color="auto"/>
                    <w:right w:val="none" w:sz="0" w:space="0" w:color="auto"/>
                  </w:divBdr>
                  <w:divsChild>
                    <w:div w:id="2103448727">
                      <w:marLeft w:val="0"/>
                      <w:marRight w:val="0"/>
                      <w:marTop w:val="0"/>
                      <w:marBottom w:val="0"/>
                      <w:divBdr>
                        <w:top w:val="none" w:sz="0" w:space="0" w:color="auto"/>
                        <w:left w:val="none" w:sz="0" w:space="0" w:color="auto"/>
                        <w:bottom w:val="none" w:sz="0" w:space="0" w:color="auto"/>
                        <w:right w:val="none" w:sz="0" w:space="0" w:color="auto"/>
                      </w:divBdr>
                    </w:div>
                  </w:divsChild>
                </w:div>
                <w:div w:id="2123529504">
                  <w:marLeft w:val="0"/>
                  <w:marRight w:val="0"/>
                  <w:marTop w:val="0"/>
                  <w:marBottom w:val="0"/>
                  <w:divBdr>
                    <w:top w:val="none" w:sz="0" w:space="0" w:color="auto"/>
                    <w:left w:val="none" w:sz="0" w:space="0" w:color="auto"/>
                    <w:bottom w:val="none" w:sz="0" w:space="0" w:color="auto"/>
                    <w:right w:val="none" w:sz="0" w:space="0" w:color="auto"/>
                  </w:divBdr>
                  <w:divsChild>
                    <w:div w:id="183286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375889">
          <w:marLeft w:val="0"/>
          <w:marRight w:val="0"/>
          <w:marTop w:val="0"/>
          <w:marBottom w:val="0"/>
          <w:divBdr>
            <w:top w:val="none" w:sz="0" w:space="0" w:color="auto"/>
            <w:left w:val="none" w:sz="0" w:space="0" w:color="auto"/>
            <w:bottom w:val="none" w:sz="0" w:space="0" w:color="auto"/>
            <w:right w:val="none" w:sz="0" w:space="0" w:color="auto"/>
          </w:divBdr>
        </w:div>
      </w:divsChild>
    </w:div>
    <w:div w:id="1489128633">
      <w:bodyDiv w:val="1"/>
      <w:marLeft w:val="0"/>
      <w:marRight w:val="0"/>
      <w:marTop w:val="0"/>
      <w:marBottom w:val="0"/>
      <w:divBdr>
        <w:top w:val="none" w:sz="0" w:space="0" w:color="auto"/>
        <w:left w:val="none" w:sz="0" w:space="0" w:color="auto"/>
        <w:bottom w:val="none" w:sz="0" w:space="0" w:color="auto"/>
        <w:right w:val="none" w:sz="0" w:space="0" w:color="auto"/>
      </w:divBdr>
      <w:divsChild>
        <w:div w:id="404180570">
          <w:marLeft w:val="0"/>
          <w:marRight w:val="0"/>
          <w:marTop w:val="0"/>
          <w:marBottom w:val="0"/>
          <w:divBdr>
            <w:top w:val="none" w:sz="0" w:space="0" w:color="auto"/>
            <w:left w:val="none" w:sz="0" w:space="0" w:color="auto"/>
            <w:bottom w:val="none" w:sz="0" w:space="0" w:color="auto"/>
            <w:right w:val="none" w:sz="0" w:space="0" w:color="auto"/>
          </w:divBdr>
        </w:div>
        <w:div w:id="1087767181">
          <w:marLeft w:val="0"/>
          <w:marRight w:val="0"/>
          <w:marTop w:val="0"/>
          <w:marBottom w:val="0"/>
          <w:divBdr>
            <w:top w:val="none" w:sz="0" w:space="0" w:color="auto"/>
            <w:left w:val="none" w:sz="0" w:space="0" w:color="auto"/>
            <w:bottom w:val="none" w:sz="0" w:space="0" w:color="auto"/>
            <w:right w:val="none" w:sz="0" w:space="0" w:color="auto"/>
          </w:divBdr>
        </w:div>
        <w:div w:id="1277981744">
          <w:marLeft w:val="0"/>
          <w:marRight w:val="0"/>
          <w:marTop w:val="0"/>
          <w:marBottom w:val="0"/>
          <w:divBdr>
            <w:top w:val="none" w:sz="0" w:space="0" w:color="auto"/>
            <w:left w:val="none" w:sz="0" w:space="0" w:color="auto"/>
            <w:bottom w:val="none" w:sz="0" w:space="0" w:color="auto"/>
            <w:right w:val="none" w:sz="0" w:space="0" w:color="auto"/>
          </w:divBdr>
        </w:div>
        <w:div w:id="2001234243">
          <w:marLeft w:val="0"/>
          <w:marRight w:val="0"/>
          <w:marTop w:val="0"/>
          <w:marBottom w:val="0"/>
          <w:divBdr>
            <w:top w:val="none" w:sz="0" w:space="0" w:color="auto"/>
            <w:left w:val="none" w:sz="0" w:space="0" w:color="auto"/>
            <w:bottom w:val="none" w:sz="0" w:space="0" w:color="auto"/>
            <w:right w:val="none" w:sz="0" w:space="0" w:color="auto"/>
          </w:divBdr>
        </w:div>
        <w:div w:id="2136555429">
          <w:marLeft w:val="0"/>
          <w:marRight w:val="0"/>
          <w:marTop w:val="0"/>
          <w:marBottom w:val="0"/>
          <w:divBdr>
            <w:top w:val="none" w:sz="0" w:space="0" w:color="auto"/>
            <w:left w:val="none" w:sz="0" w:space="0" w:color="auto"/>
            <w:bottom w:val="none" w:sz="0" w:space="0" w:color="auto"/>
            <w:right w:val="none" w:sz="0" w:space="0" w:color="auto"/>
          </w:divBdr>
        </w:div>
      </w:divsChild>
    </w:div>
    <w:div w:id="1502625331">
      <w:bodyDiv w:val="1"/>
      <w:marLeft w:val="0"/>
      <w:marRight w:val="0"/>
      <w:marTop w:val="0"/>
      <w:marBottom w:val="0"/>
      <w:divBdr>
        <w:top w:val="none" w:sz="0" w:space="0" w:color="auto"/>
        <w:left w:val="none" w:sz="0" w:space="0" w:color="auto"/>
        <w:bottom w:val="none" w:sz="0" w:space="0" w:color="auto"/>
        <w:right w:val="none" w:sz="0" w:space="0" w:color="auto"/>
      </w:divBdr>
      <w:divsChild>
        <w:div w:id="1143035445">
          <w:marLeft w:val="0"/>
          <w:marRight w:val="0"/>
          <w:marTop w:val="0"/>
          <w:marBottom w:val="0"/>
          <w:divBdr>
            <w:top w:val="none" w:sz="0" w:space="0" w:color="auto"/>
            <w:left w:val="none" w:sz="0" w:space="0" w:color="auto"/>
            <w:bottom w:val="none" w:sz="0" w:space="0" w:color="auto"/>
            <w:right w:val="none" w:sz="0" w:space="0" w:color="auto"/>
          </w:divBdr>
        </w:div>
        <w:div w:id="1263147879">
          <w:marLeft w:val="0"/>
          <w:marRight w:val="0"/>
          <w:marTop w:val="0"/>
          <w:marBottom w:val="0"/>
          <w:divBdr>
            <w:top w:val="none" w:sz="0" w:space="0" w:color="auto"/>
            <w:left w:val="none" w:sz="0" w:space="0" w:color="auto"/>
            <w:bottom w:val="none" w:sz="0" w:space="0" w:color="auto"/>
            <w:right w:val="none" w:sz="0" w:space="0" w:color="auto"/>
          </w:divBdr>
        </w:div>
      </w:divsChild>
    </w:div>
    <w:div w:id="1577126175">
      <w:bodyDiv w:val="1"/>
      <w:marLeft w:val="0"/>
      <w:marRight w:val="0"/>
      <w:marTop w:val="0"/>
      <w:marBottom w:val="0"/>
      <w:divBdr>
        <w:top w:val="none" w:sz="0" w:space="0" w:color="auto"/>
        <w:left w:val="none" w:sz="0" w:space="0" w:color="auto"/>
        <w:bottom w:val="none" w:sz="0" w:space="0" w:color="auto"/>
        <w:right w:val="none" w:sz="0" w:space="0" w:color="auto"/>
      </w:divBdr>
      <w:divsChild>
        <w:div w:id="434400891">
          <w:marLeft w:val="0"/>
          <w:marRight w:val="0"/>
          <w:marTop w:val="0"/>
          <w:marBottom w:val="0"/>
          <w:divBdr>
            <w:top w:val="none" w:sz="0" w:space="0" w:color="auto"/>
            <w:left w:val="none" w:sz="0" w:space="0" w:color="auto"/>
            <w:bottom w:val="none" w:sz="0" w:space="0" w:color="auto"/>
            <w:right w:val="none" w:sz="0" w:space="0" w:color="auto"/>
          </w:divBdr>
          <w:divsChild>
            <w:div w:id="818765933">
              <w:marLeft w:val="0"/>
              <w:marRight w:val="0"/>
              <w:marTop w:val="0"/>
              <w:marBottom w:val="0"/>
              <w:divBdr>
                <w:top w:val="none" w:sz="0" w:space="0" w:color="auto"/>
                <w:left w:val="none" w:sz="0" w:space="0" w:color="auto"/>
                <w:bottom w:val="none" w:sz="0" w:space="0" w:color="auto"/>
                <w:right w:val="none" w:sz="0" w:space="0" w:color="auto"/>
              </w:divBdr>
            </w:div>
            <w:div w:id="1306281306">
              <w:marLeft w:val="0"/>
              <w:marRight w:val="0"/>
              <w:marTop w:val="0"/>
              <w:marBottom w:val="0"/>
              <w:divBdr>
                <w:top w:val="none" w:sz="0" w:space="0" w:color="auto"/>
                <w:left w:val="none" w:sz="0" w:space="0" w:color="auto"/>
                <w:bottom w:val="none" w:sz="0" w:space="0" w:color="auto"/>
                <w:right w:val="none" w:sz="0" w:space="0" w:color="auto"/>
              </w:divBdr>
            </w:div>
            <w:div w:id="1538466850">
              <w:marLeft w:val="0"/>
              <w:marRight w:val="0"/>
              <w:marTop w:val="0"/>
              <w:marBottom w:val="0"/>
              <w:divBdr>
                <w:top w:val="none" w:sz="0" w:space="0" w:color="auto"/>
                <w:left w:val="none" w:sz="0" w:space="0" w:color="auto"/>
                <w:bottom w:val="none" w:sz="0" w:space="0" w:color="auto"/>
                <w:right w:val="none" w:sz="0" w:space="0" w:color="auto"/>
              </w:divBdr>
            </w:div>
            <w:div w:id="1951666269">
              <w:marLeft w:val="0"/>
              <w:marRight w:val="0"/>
              <w:marTop w:val="0"/>
              <w:marBottom w:val="0"/>
              <w:divBdr>
                <w:top w:val="none" w:sz="0" w:space="0" w:color="auto"/>
                <w:left w:val="none" w:sz="0" w:space="0" w:color="auto"/>
                <w:bottom w:val="none" w:sz="0" w:space="0" w:color="auto"/>
                <w:right w:val="none" w:sz="0" w:space="0" w:color="auto"/>
              </w:divBdr>
            </w:div>
          </w:divsChild>
        </w:div>
        <w:div w:id="1284389361">
          <w:marLeft w:val="0"/>
          <w:marRight w:val="0"/>
          <w:marTop w:val="0"/>
          <w:marBottom w:val="0"/>
          <w:divBdr>
            <w:top w:val="none" w:sz="0" w:space="0" w:color="auto"/>
            <w:left w:val="none" w:sz="0" w:space="0" w:color="auto"/>
            <w:bottom w:val="none" w:sz="0" w:space="0" w:color="auto"/>
            <w:right w:val="none" w:sz="0" w:space="0" w:color="auto"/>
          </w:divBdr>
          <w:divsChild>
            <w:div w:id="392461741">
              <w:marLeft w:val="0"/>
              <w:marRight w:val="0"/>
              <w:marTop w:val="0"/>
              <w:marBottom w:val="0"/>
              <w:divBdr>
                <w:top w:val="none" w:sz="0" w:space="0" w:color="auto"/>
                <w:left w:val="none" w:sz="0" w:space="0" w:color="auto"/>
                <w:bottom w:val="none" w:sz="0" w:space="0" w:color="auto"/>
                <w:right w:val="none" w:sz="0" w:space="0" w:color="auto"/>
              </w:divBdr>
            </w:div>
            <w:div w:id="695733376">
              <w:marLeft w:val="0"/>
              <w:marRight w:val="0"/>
              <w:marTop w:val="0"/>
              <w:marBottom w:val="0"/>
              <w:divBdr>
                <w:top w:val="none" w:sz="0" w:space="0" w:color="auto"/>
                <w:left w:val="none" w:sz="0" w:space="0" w:color="auto"/>
                <w:bottom w:val="none" w:sz="0" w:space="0" w:color="auto"/>
                <w:right w:val="none" w:sz="0" w:space="0" w:color="auto"/>
              </w:divBdr>
            </w:div>
            <w:div w:id="1155997586">
              <w:marLeft w:val="0"/>
              <w:marRight w:val="0"/>
              <w:marTop w:val="0"/>
              <w:marBottom w:val="0"/>
              <w:divBdr>
                <w:top w:val="none" w:sz="0" w:space="0" w:color="auto"/>
                <w:left w:val="none" w:sz="0" w:space="0" w:color="auto"/>
                <w:bottom w:val="none" w:sz="0" w:space="0" w:color="auto"/>
                <w:right w:val="none" w:sz="0" w:space="0" w:color="auto"/>
              </w:divBdr>
            </w:div>
            <w:div w:id="1173912365">
              <w:marLeft w:val="0"/>
              <w:marRight w:val="0"/>
              <w:marTop w:val="0"/>
              <w:marBottom w:val="0"/>
              <w:divBdr>
                <w:top w:val="none" w:sz="0" w:space="0" w:color="auto"/>
                <w:left w:val="none" w:sz="0" w:space="0" w:color="auto"/>
                <w:bottom w:val="none" w:sz="0" w:space="0" w:color="auto"/>
                <w:right w:val="none" w:sz="0" w:space="0" w:color="auto"/>
              </w:divBdr>
            </w:div>
            <w:div w:id="1454442471">
              <w:marLeft w:val="0"/>
              <w:marRight w:val="0"/>
              <w:marTop w:val="0"/>
              <w:marBottom w:val="0"/>
              <w:divBdr>
                <w:top w:val="none" w:sz="0" w:space="0" w:color="auto"/>
                <w:left w:val="none" w:sz="0" w:space="0" w:color="auto"/>
                <w:bottom w:val="none" w:sz="0" w:space="0" w:color="auto"/>
                <w:right w:val="none" w:sz="0" w:space="0" w:color="auto"/>
              </w:divBdr>
            </w:div>
            <w:div w:id="1919173095">
              <w:marLeft w:val="0"/>
              <w:marRight w:val="0"/>
              <w:marTop w:val="0"/>
              <w:marBottom w:val="0"/>
              <w:divBdr>
                <w:top w:val="none" w:sz="0" w:space="0" w:color="auto"/>
                <w:left w:val="none" w:sz="0" w:space="0" w:color="auto"/>
                <w:bottom w:val="none" w:sz="0" w:space="0" w:color="auto"/>
                <w:right w:val="none" w:sz="0" w:space="0" w:color="auto"/>
              </w:divBdr>
            </w:div>
            <w:div w:id="213825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040928">
      <w:bodyDiv w:val="1"/>
      <w:marLeft w:val="0"/>
      <w:marRight w:val="0"/>
      <w:marTop w:val="0"/>
      <w:marBottom w:val="0"/>
      <w:divBdr>
        <w:top w:val="none" w:sz="0" w:space="0" w:color="auto"/>
        <w:left w:val="none" w:sz="0" w:space="0" w:color="auto"/>
        <w:bottom w:val="none" w:sz="0" w:space="0" w:color="auto"/>
        <w:right w:val="none" w:sz="0" w:space="0" w:color="auto"/>
      </w:divBdr>
      <w:divsChild>
        <w:div w:id="93790033">
          <w:marLeft w:val="0"/>
          <w:marRight w:val="0"/>
          <w:marTop w:val="0"/>
          <w:marBottom w:val="0"/>
          <w:divBdr>
            <w:top w:val="none" w:sz="0" w:space="0" w:color="auto"/>
            <w:left w:val="none" w:sz="0" w:space="0" w:color="auto"/>
            <w:bottom w:val="none" w:sz="0" w:space="0" w:color="auto"/>
            <w:right w:val="none" w:sz="0" w:space="0" w:color="auto"/>
          </w:divBdr>
        </w:div>
        <w:div w:id="417290825">
          <w:marLeft w:val="0"/>
          <w:marRight w:val="0"/>
          <w:marTop w:val="0"/>
          <w:marBottom w:val="0"/>
          <w:divBdr>
            <w:top w:val="none" w:sz="0" w:space="0" w:color="auto"/>
            <w:left w:val="none" w:sz="0" w:space="0" w:color="auto"/>
            <w:bottom w:val="none" w:sz="0" w:space="0" w:color="auto"/>
            <w:right w:val="none" w:sz="0" w:space="0" w:color="auto"/>
          </w:divBdr>
        </w:div>
        <w:div w:id="586841106">
          <w:marLeft w:val="0"/>
          <w:marRight w:val="0"/>
          <w:marTop w:val="0"/>
          <w:marBottom w:val="0"/>
          <w:divBdr>
            <w:top w:val="none" w:sz="0" w:space="0" w:color="auto"/>
            <w:left w:val="none" w:sz="0" w:space="0" w:color="auto"/>
            <w:bottom w:val="none" w:sz="0" w:space="0" w:color="auto"/>
            <w:right w:val="none" w:sz="0" w:space="0" w:color="auto"/>
          </w:divBdr>
        </w:div>
        <w:div w:id="783966913">
          <w:marLeft w:val="0"/>
          <w:marRight w:val="0"/>
          <w:marTop w:val="0"/>
          <w:marBottom w:val="0"/>
          <w:divBdr>
            <w:top w:val="none" w:sz="0" w:space="0" w:color="auto"/>
            <w:left w:val="none" w:sz="0" w:space="0" w:color="auto"/>
            <w:bottom w:val="none" w:sz="0" w:space="0" w:color="auto"/>
            <w:right w:val="none" w:sz="0" w:space="0" w:color="auto"/>
          </w:divBdr>
        </w:div>
        <w:div w:id="788014107">
          <w:marLeft w:val="0"/>
          <w:marRight w:val="0"/>
          <w:marTop w:val="0"/>
          <w:marBottom w:val="0"/>
          <w:divBdr>
            <w:top w:val="none" w:sz="0" w:space="0" w:color="auto"/>
            <w:left w:val="none" w:sz="0" w:space="0" w:color="auto"/>
            <w:bottom w:val="none" w:sz="0" w:space="0" w:color="auto"/>
            <w:right w:val="none" w:sz="0" w:space="0" w:color="auto"/>
          </w:divBdr>
        </w:div>
        <w:div w:id="1042948844">
          <w:marLeft w:val="0"/>
          <w:marRight w:val="0"/>
          <w:marTop w:val="0"/>
          <w:marBottom w:val="0"/>
          <w:divBdr>
            <w:top w:val="none" w:sz="0" w:space="0" w:color="auto"/>
            <w:left w:val="none" w:sz="0" w:space="0" w:color="auto"/>
            <w:bottom w:val="none" w:sz="0" w:space="0" w:color="auto"/>
            <w:right w:val="none" w:sz="0" w:space="0" w:color="auto"/>
          </w:divBdr>
        </w:div>
        <w:div w:id="1097210127">
          <w:marLeft w:val="0"/>
          <w:marRight w:val="0"/>
          <w:marTop w:val="0"/>
          <w:marBottom w:val="0"/>
          <w:divBdr>
            <w:top w:val="none" w:sz="0" w:space="0" w:color="auto"/>
            <w:left w:val="none" w:sz="0" w:space="0" w:color="auto"/>
            <w:bottom w:val="none" w:sz="0" w:space="0" w:color="auto"/>
            <w:right w:val="none" w:sz="0" w:space="0" w:color="auto"/>
          </w:divBdr>
        </w:div>
        <w:div w:id="1133905602">
          <w:marLeft w:val="0"/>
          <w:marRight w:val="0"/>
          <w:marTop w:val="0"/>
          <w:marBottom w:val="0"/>
          <w:divBdr>
            <w:top w:val="none" w:sz="0" w:space="0" w:color="auto"/>
            <w:left w:val="none" w:sz="0" w:space="0" w:color="auto"/>
            <w:bottom w:val="none" w:sz="0" w:space="0" w:color="auto"/>
            <w:right w:val="none" w:sz="0" w:space="0" w:color="auto"/>
          </w:divBdr>
        </w:div>
        <w:div w:id="1141003208">
          <w:marLeft w:val="0"/>
          <w:marRight w:val="0"/>
          <w:marTop w:val="0"/>
          <w:marBottom w:val="0"/>
          <w:divBdr>
            <w:top w:val="none" w:sz="0" w:space="0" w:color="auto"/>
            <w:left w:val="none" w:sz="0" w:space="0" w:color="auto"/>
            <w:bottom w:val="none" w:sz="0" w:space="0" w:color="auto"/>
            <w:right w:val="none" w:sz="0" w:space="0" w:color="auto"/>
          </w:divBdr>
        </w:div>
        <w:div w:id="1171875808">
          <w:marLeft w:val="0"/>
          <w:marRight w:val="0"/>
          <w:marTop w:val="0"/>
          <w:marBottom w:val="0"/>
          <w:divBdr>
            <w:top w:val="none" w:sz="0" w:space="0" w:color="auto"/>
            <w:left w:val="none" w:sz="0" w:space="0" w:color="auto"/>
            <w:bottom w:val="none" w:sz="0" w:space="0" w:color="auto"/>
            <w:right w:val="none" w:sz="0" w:space="0" w:color="auto"/>
          </w:divBdr>
        </w:div>
        <w:div w:id="1321930263">
          <w:marLeft w:val="0"/>
          <w:marRight w:val="0"/>
          <w:marTop w:val="0"/>
          <w:marBottom w:val="0"/>
          <w:divBdr>
            <w:top w:val="none" w:sz="0" w:space="0" w:color="auto"/>
            <w:left w:val="none" w:sz="0" w:space="0" w:color="auto"/>
            <w:bottom w:val="none" w:sz="0" w:space="0" w:color="auto"/>
            <w:right w:val="none" w:sz="0" w:space="0" w:color="auto"/>
          </w:divBdr>
        </w:div>
        <w:div w:id="1330866959">
          <w:marLeft w:val="0"/>
          <w:marRight w:val="0"/>
          <w:marTop w:val="0"/>
          <w:marBottom w:val="0"/>
          <w:divBdr>
            <w:top w:val="none" w:sz="0" w:space="0" w:color="auto"/>
            <w:left w:val="none" w:sz="0" w:space="0" w:color="auto"/>
            <w:bottom w:val="none" w:sz="0" w:space="0" w:color="auto"/>
            <w:right w:val="none" w:sz="0" w:space="0" w:color="auto"/>
          </w:divBdr>
        </w:div>
        <w:div w:id="1432362118">
          <w:marLeft w:val="0"/>
          <w:marRight w:val="0"/>
          <w:marTop w:val="0"/>
          <w:marBottom w:val="0"/>
          <w:divBdr>
            <w:top w:val="none" w:sz="0" w:space="0" w:color="auto"/>
            <w:left w:val="none" w:sz="0" w:space="0" w:color="auto"/>
            <w:bottom w:val="none" w:sz="0" w:space="0" w:color="auto"/>
            <w:right w:val="none" w:sz="0" w:space="0" w:color="auto"/>
          </w:divBdr>
        </w:div>
        <w:div w:id="1498880054">
          <w:marLeft w:val="0"/>
          <w:marRight w:val="0"/>
          <w:marTop w:val="0"/>
          <w:marBottom w:val="0"/>
          <w:divBdr>
            <w:top w:val="none" w:sz="0" w:space="0" w:color="auto"/>
            <w:left w:val="none" w:sz="0" w:space="0" w:color="auto"/>
            <w:bottom w:val="none" w:sz="0" w:space="0" w:color="auto"/>
            <w:right w:val="none" w:sz="0" w:space="0" w:color="auto"/>
          </w:divBdr>
        </w:div>
        <w:div w:id="1594316476">
          <w:marLeft w:val="0"/>
          <w:marRight w:val="0"/>
          <w:marTop w:val="0"/>
          <w:marBottom w:val="0"/>
          <w:divBdr>
            <w:top w:val="none" w:sz="0" w:space="0" w:color="auto"/>
            <w:left w:val="none" w:sz="0" w:space="0" w:color="auto"/>
            <w:bottom w:val="none" w:sz="0" w:space="0" w:color="auto"/>
            <w:right w:val="none" w:sz="0" w:space="0" w:color="auto"/>
          </w:divBdr>
        </w:div>
        <w:div w:id="1597901510">
          <w:marLeft w:val="0"/>
          <w:marRight w:val="0"/>
          <w:marTop w:val="0"/>
          <w:marBottom w:val="0"/>
          <w:divBdr>
            <w:top w:val="none" w:sz="0" w:space="0" w:color="auto"/>
            <w:left w:val="none" w:sz="0" w:space="0" w:color="auto"/>
            <w:bottom w:val="none" w:sz="0" w:space="0" w:color="auto"/>
            <w:right w:val="none" w:sz="0" w:space="0" w:color="auto"/>
          </w:divBdr>
        </w:div>
        <w:div w:id="1831672893">
          <w:marLeft w:val="0"/>
          <w:marRight w:val="0"/>
          <w:marTop w:val="0"/>
          <w:marBottom w:val="0"/>
          <w:divBdr>
            <w:top w:val="none" w:sz="0" w:space="0" w:color="auto"/>
            <w:left w:val="none" w:sz="0" w:space="0" w:color="auto"/>
            <w:bottom w:val="none" w:sz="0" w:space="0" w:color="auto"/>
            <w:right w:val="none" w:sz="0" w:space="0" w:color="auto"/>
          </w:divBdr>
        </w:div>
        <w:div w:id="1861312071">
          <w:marLeft w:val="0"/>
          <w:marRight w:val="0"/>
          <w:marTop w:val="0"/>
          <w:marBottom w:val="0"/>
          <w:divBdr>
            <w:top w:val="none" w:sz="0" w:space="0" w:color="auto"/>
            <w:left w:val="none" w:sz="0" w:space="0" w:color="auto"/>
            <w:bottom w:val="none" w:sz="0" w:space="0" w:color="auto"/>
            <w:right w:val="none" w:sz="0" w:space="0" w:color="auto"/>
          </w:divBdr>
        </w:div>
        <w:div w:id="1865167844">
          <w:marLeft w:val="0"/>
          <w:marRight w:val="0"/>
          <w:marTop w:val="0"/>
          <w:marBottom w:val="0"/>
          <w:divBdr>
            <w:top w:val="none" w:sz="0" w:space="0" w:color="auto"/>
            <w:left w:val="none" w:sz="0" w:space="0" w:color="auto"/>
            <w:bottom w:val="none" w:sz="0" w:space="0" w:color="auto"/>
            <w:right w:val="none" w:sz="0" w:space="0" w:color="auto"/>
          </w:divBdr>
        </w:div>
        <w:div w:id="1957442940">
          <w:marLeft w:val="0"/>
          <w:marRight w:val="0"/>
          <w:marTop w:val="0"/>
          <w:marBottom w:val="0"/>
          <w:divBdr>
            <w:top w:val="none" w:sz="0" w:space="0" w:color="auto"/>
            <w:left w:val="none" w:sz="0" w:space="0" w:color="auto"/>
            <w:bottom w:val="none" w:sz="0" w:space="0" w:color="auto"/>
            <w:right w:val="none" w:sz="0" w:space="0" w:color="auto"/>
          </w:divBdr>
        </w:div>
        <w:div w:id="1989480438">
          <w:marLeft w:val="0"/>
          <w:marRight w:val="0"/>
          <w:marTop w:val="0"/>
          <w:marBottom w:val="0"/>
          <w:divBdr>
            <w:top w:val="none" w:sz="0" w:space="0" w:color="auto"/>
            <w:left w:val="none" w:sz="0" w:space="0" w:color="auto"/>
            <w:bottom w:val="none" w:sz="0" w:space="0" w:color="auto"/>
            <w:right w:val="none" w:sz="0" w:space="0" w:color="auto"/>
          </w:divBdr>
        </w:div>
      </w:divsChild>
    </w:div>
    <w:div w:id="1597789331">
      <w:bodyDiv w:val="1"/>
      <w:marLeft w:val="0"/>
      <w:marRight w:val="0"/>
      <w:marTop w:val="0"/>
      <w:marBottom w:val="0"/>
      <w:divBdr>
        <w:top w:val="none" w:sz="0" w:space="0" w:color="auto"/>
        <w:left w:val="none" w:sz="0" w:space="0" w:color="auto"/>
        <w:bottom w:val="none" w:sz="0" w:space="0" w:color="auto"/>
        <w:right w:val="none" w:sz="0" w:space="0" w:color="auto"/>
      </w:divBdr>
    </w:div>
    <w:div w:id="1605379328">
      <w:bodyDiv w:val="1"/>
      <w:marLeft w:val="0"/>
      <w:marRight w:val="0"/>
      <w:marTop w:val="0"/>
      <w:marBottom w:val="0"/>
      <w:divBdr>
        <w:top w:val="none" w:sz="0" w:space="0" w:color="auto"/>
        <w:left w:val="none" w:sz="0" w:space="0" w:color="auto"/>
        <w:bottom w:val="none" w:sz="0" w:space="0" w:color="auto"/>
        <w:right w:val="none" w:sz="0" w:space="0" w:color="auto"/>
      </w:divBdr>
      <w:divsChild>
        <w:div w:id="153573264">
          <w:marLeft w:val="0"/>
          <w:marRight w:val="0"/>
          <w:marTop w:val="0"/>
          <w:marBottom w:val="0"/>
          <w:divBdr>
            <w:top w:val="none" w:sz="0" w:space="0" w:color="auto"/>
            <w:left w:val="none" w:sz="0" w:space="0" w:color="auto"/>
            <w:bottom w:val="none" w:sz="0" w:space="0" w:color="auto"/>
            <w:right w:val="none" w:sz="0" w:space="0" w:color="auto"/>
          </w:divBdr>
        </w:div>
        <w:div w:id="870000323">
          <w:marLeft w:val="0"/>
          <w:marRight w:val="0"/>
          <w:marTop w:val="0"/>
          <w:marBottom w:val="0"/>
          <w:divBdr>
            <w:top w:val="none" w:sz="0" w:space="0" w:color="auto"/>
            <w:left w:val="none" w:sz="0" w:space="0" w:color="auto"/>
            <w:bottom w:val="none" w:sz="0" w:space="0" w:color="auto"/>
            <w:right w:val="none" w:sz="0" w:space="0" w:color="auto"/>
          </w:divBdr>
        </w:div>
      </w:divsChild>
    </w:div>
    <w:div w:id="1645550094">
      <w:bodyDiv w:val="1"/>
      <w:marLeft w:val="0"/>
      <w:marRight w:val="0"/>
      <w:marTop w:val="0"/>
      <w:marBottom w:val="0"/>
      <w:divBdr>
        <w:top w:val="none" w:sz="0" w:space="0" w:color="auto"/>
        <w:left w:val="none" w:sz="0" w:space="0" w:color="auto"/>
        <w:bottom w:val="none" w:sz="0" w:space="0" w:color="auto"/>
        <w:right w:val="none" w:sz="0" w:space="0" w:color="auto"/>
      </w:divBdr>
      <w:divsChild>
        <w:div w:id="86198198">
          <w:marLeft w:val="0"/>
          <w:marRight w:val="0"/>
          <w:marTop w:val="0"/>
          <w:marBottom w:val="0"/>
          <w:divBdr>
            <w:top w:val="none" w:sz="0" w:space="0" w:color="auto"/>
            <w:left w:val="none" w:sz="0" w:space="0" w:color="auto"/>
            <w:bottom w:val="none" w:sz="0" w:space="0" w:color="auto"/>
            <w:right w:val="none" w:sz="0" w:space="0" w:color="auto"/>
          </w:divBdr>
        </w:div>
        <w:div w:id="642275752">
          <w:marLeft w:val="0"/>
          <w:marRight w:val="0"/>
          <w:marTop w:val="0"/>
          <w:marBottom w:val="0"/>
          <w:divBdr>
            <w:top w:val="none" w:sz="0" w:space="0" w:color="auto"/>
            <w:left w:val="none" w:sz="0" w:space="0" w:color="auto"/>
            <w:bottom w:val="none" w:sz="0" w:space="0" w:color="auto"/>
            <w:right w:val="none" w:sz="0" w:space="0" w:color="auto"/>
          </w:divBdr>
        </w:div>
        <w:div w:id="702169337">
          <w:marLeft w:val="0"/>
          <w:marRight w:val="0"/>
          <w:marTop w:val="0"/>
          <w:marBottom w:val="0"/>
          <w:divBdr>
            <w:top w:val="none" w:sz="0" w:space="0" w:color="auto"/>
            <w:left w:val="none" w:sz="0" w:space="0" w:color="auto"/>
            <w:bottom w:val="none" w:sz="0" w:space="0" w:color="auto"/>
            <w:right w:val="none" w:sz="0" w:space="0" w:color="auto"/>
          </w:divBdr>
        </w:div>
        <w:div w:id="1039862106">
          <w:marLeft w:val="0"/>
          <w:marRight w:val="0"/>
          <w:marTop w:val="0"/>
          <w:marBottom w:val="0"/>
          <w:divBdr>
            <w:top w:val="none" w:sz="0" w:space="0" w:color="auto"/>
            <w:left w:val="none" w:sz="0" w:space="0" w:color="auto"/>
            <w:bottom w:val="none" w:sz="0" w:space="0" w:color="auto"/>
            <w:right w:val="none" w:sz="0" w:space="0" w:color="auto"/>
          </w:divBdr>
        </w:div>
        <w:div w:id="1202782955">
          <w:marLeft w:val="0"/>
          <w:marRight w:val="0"/>
          <w:marTop w:val="0"/>
          <w:marBottom w:val="0"/>
          <w:divBdr>
            <w:top w:val="none" w:sz="0" w:space="0" w:color="auto"/>
            <w:left w:val="none" w:sz="0" w:space="0" w:color="auto"/>
            <w:bottom w:val="none" w:sz="0" w:space="0" w:color="auto"/>
            <w:right w:val="none" w:sz="0" w:space="0" w:color="auto"/>
          </w:divBdr>
        </w:div>
        <w:div w:id="1929386232">
          <w:marLeft w:val="0"/>
          <w:marRight w:val="0"/>
          <w:marTop w:val="0"/>
          <w:marBottom w:val="0"/>
          <w:divBdr>
            <w:top w:val="none" w:sz="0" w:space="0" w:color="auto"/>
            <w:left w:val="none" w:sz="0" w:space="0" w:color="auto"/>
            <w:bottom w:val="none" w:sz="0" w:space="0" w:color="auto"/>
            <w:right w:val="none" w:sz="0" w:space="0" w:color="auto"/>
          </w:divBdr>
        </w:div>
      </w:divsChild>
    </w:div>
    <w:div w:id="1691878788">
      <w:bodyDiv w:val="1"/>
      <w:marLeft w:val="0"/>
      <w:marRight w:val="0"/>
      <w:marTop w:val="0"/>
      <w:marBottom w:val="0"/>
      <w:divBdr>
        <w:top w:val="none" w:sz="0" w:space="0" w:color="auto"/>
        <w:left w:val="none" w:sz="0" w:space="0" w:color="auto"/>
        <w:bottom w:val="none" w:sz="0" w:space="0" w:color="auto"/>
        <w:right w:val="none" w:sz="0" w:space="0" w:color="auto"/>
      </w:divBdr>
      <w:divsChild>
        <w:div w:id="1163743587">
          <w:marLeft w:val="0"/>
          <w:marRight w:val="0"/>
          <w:marTop w:val="0"/>
          <w:marBottom w:val="0"/>
          <w:divBdr>
            <w:top w:val="none" w:sz="0" w:space="0" w:color="auto"/>
            <w:left w:val="none" w:sz="0" w:space="0" w:color="auto"/>
            <w:bottom w:val="none" w:sz="0" w:space="0" w:color="auto"/>
            <w:right w:val="none" w:sz="0" w:space="0" w:color="auto"/>
          </w:divBdr>
        </w:div>
        <w:div w:id="1671827629">
          <w:marLeft w:val="0"/>
          <w:marRight w:val="0"/>
          <w:marTop w:val="0"/>
          <w:marBottom w:val="0"/>
          <w:divBdr>
            <w:top w:val="none" w:sz="0" w:space="0" w:color="auto"/>
            <w:left w:val="none" w:sz="0" w:space="0" w:color="auto"/>
            <w:bottom w:val="none" w:sz="0" w:space="0" w:color="auto"/>
            <w:right w:val="none" w:sz="0" w:space="0" w:color="auto"/>
          </w:divBdr>
        </w:div>
        <w:div w:id="1771197155">
          <w:marLeft w:val="0"/>
          <w:marRight w:val="0"/>
          <w:marTop w:val="0"/>
          <w:marBottom w:val="0"/>
          <w:divBdr>
            <w:top w:val="none" w:sz="0" w:space="0" w:color="auto"/>
            <w:left w:val="none" w:sz="0" w:space="0" w:color="auto"/>
            <w:bottom w:val="none" w:sz="0" w:space="0" w:color="auto"/>
            <w:right w:val="none" w:sz="0" w:space="0" w:color="auto"/>
          </w:divBdr>
        </w:div>
      </w:divsChild>
    </w:div>
    <w:div w:id="1747265555">
      <w:bodyDiv w:val="1"/>
      <w:marLeft w:val="0"/>
      <w:marRight w:val="0"/>
      <w:marTop w:val="0"/>
      <w:marBottom w:val="0"/>
      <w:divBdr>
        <w:top w:val="none" w:sz="0" w:space="0" w:color="auto"/>
        <w:left w:val="none" w:sz="0" w:space="0" w:color="auto"/>
        <w:bottom w:val="none" w:sz="0" w:space="0" w:color="auto"/>
        <w:right w:val="none" w:sz="0" w:space="0" w:color="auto"/>
      </w:divBdr>
      <w:divsChild>
        <w:div w:id="375737699">
          <w:marLeft w:val="0"/>
          <w:marRight w:val="0"/>
          <w:marTop w:val="0"/>
          <w:marBottom w:val="0"/>
          <w:divBdr>
            <w:top w:val="none" w:sz="0" w:space="0" w:color="auto"/>
            <w:left w:val="none" w:sz="0" w:space="0" w:color="auto"/>
            <w:bottom w:val="none" w:sz="0" w:space="0" w:color="auto"/>
            <w:right w:val="none" w:sz="0" w:space="0" w:color="auto"/>
          </w:divBdr>
        </w:div>
        <w:div w:id="679088594">
          <w:marLeft w:val="0"/>
          <w:marRight w:val="0"/>
          <w:marTop w:val="0"/>
          <w:marBottom w:val="0"/>
          <w:divBdr>
            <w:top w:val="none" w:sz="0" w:space="0" w:color="auto"/>
            <w:left w:val="none" w:sz="0" w:space="0" w:color="auto"/>
            <w:bottom w:val="none" w:sz="0" w:space="0" w:color="auto"/>
            <w:right w:val="none" w:sz="0" w:space="0" w:color="auto"/>
          </w:divBdr>
        </w:div>
        <w:div w:id="938949639">
          <w:marLeft w:val="0"/>
          <w:marRight w:val="0"/>
          <w:marTop w:val="0"/>
          <w:marBottom w:val="0"/>
          <w:divBdr>
            <w:top w:val="none" w:sz="0" w:space="0" w:color="auto"/>
            <w:left w:val="none" w:sz="0" w:space="0" w:color="auto"/>
            <w:bottom w:val="none" w:sz="0" w:space="0" w:color="auto"/>
            <w:right w:val="none" w:sz="0" w:space="0" w:color="auto"/>
          </w:divBdr>
        </w:div>
        <w:div w:id="1685784724">
          <w:marLeft w:val="0"/>
          <w:marRight w:val="0"/>
          <w:marTop w:val="0"/>
          <w:marBottom w:val="0"/>
          <w:divBdr>
            <w:top w:val="none" w:sz="0" w:space="0" w:color="auto"/>
            <w:left w:val="none" w:sz="0" w:space="0" w:color="auto"/>
            <w:bottom w:val="none" w:sz="0" w:space="0" w:color="auto"/>
            <w:right w:val="none" w:sz="0" w:space="0" w:color="auto"/>
          </w:divBdr>
        </w:div>
      </w:divsChild>
    </w:div>
    <w:div w:id="1750151822">
      <w:bodyDiv w:val="1"/>
      <w:marLeft w:val="0"/>
      <w:marRight w:val="0"/>
      <w:marTop w:val="0"/>
      <w:marBottom w:val="0"/>
      <w:divBdr>
        <w:top w:val="none" w:sz="0" w:space="0" w:color="auto"/>
        <w:left w:val="none" w:sz="0" w:space="0" w:color="auto"/>
        <w:bottom w:val="none" w:sz="0" w:space="0" w:color="auto"/>
        <w:right w:val="none" w:sz="0" w:space="0" w:color="auto"/>
      </w:divBdr>
    </w:div>
    <w:div w:id="1853644225">
      <w:bodyDiv w:val="1"/>
      <w:marLeft w:val="0"/>
      <w:marRight w:val="0"/>
      <w:marTop w:val="0"/>
      <w:marBottom w:val="0"/>
      <w:divBdr>
        <w:top w:val="none" w:sz="0" w:space="0" w:color="auto"/>
        <w:left w:val="none" w:sz="0" w:space="0" w:color="auto"/>
        <w:bottom w:val="none" w:sz="0" w:space="0" w:color="auto"/>
        <w:right w:val="none" w:sz="0" w:space="0" w:color="auto"/>
      </w:divBdr>
    </w:div>
    <w:div w:id="1861430685">
      <w:bodyDiv w:val="1"/>
      <w:marLeft w:val="0"/>
      <w:marRight w:val="0"/>
      <w:marTop w:val="0"/>
      <w:marBottom w:val="0"/>
      <w:divBdr>
        <w:top w:val="none" w:sz="0" w:space="0" w:color="auto"/>
        <w:left w:val="none" w:sz="0" w:space="0" w:color="auto"/>
        <w:bottom w:val="none" w:sz="0" w:space="0" w:color="auto"/>
        <w:right w:val="none" w:sz="0" w:space="0" w:color="auto"/>
      </w:divBdr>
      <w:divsChild>
        <w:div w:id="880436361">
          <w:marLeft w:val="0"/>
          <w:marRight w:val="0"/>
          <w:marTop w:val="0"/>
          <w:marBottom w:val="0"/>
          <w:divBdr>
            <w:top w:val="none" w:sz="0" w:space="0" w:color="auto"/>
            <w:left w:val="none" w:sz="0" w:space="0" w:color="auto"/>
            <w:bottom w:val="none" w:sz="0" w:space="0" w:color="auto"/>
            <w:right w:val="none" w:sz="0" w:space="0" w:color="auto"/>
          </w:divBdr>
        </w:div>
        <w:div w:id="1873760366">
          <w:marLeft w:val="0"/>
          <w:marRight w:val="0"/>
          <w:marTop w:val="0"/>
          <w:marBottom w:val="0"/>
          <w:divBdr>
            <w:top w:val="none" w:sz="0" w:space="0" w:color="auto"/>
            <w:left w:val="none" w:sz="0" w:space="0" w:color="auto"/>
            <w:bottom w:val="none" w:sz="0" w:space="0" w:color="auto"/>
            <w:right w:val="none" w:sz="0" w:space="0" w:color="auto"/>
          </w:divBdr>
        </w:div>
      </w:divsChild>
    </w:div>
    <w:div w:id="1864053138">
      <w:bodyDiv w:val="1"/>
      <w:marLeft w:val="0"/>
      <w:marRight w:val="0"/>
      <w:marTop w:val="0"/>
      <w:marBottom w:val="0"/>
      <w:divBdr>
        <w:top w:val="none" w:sz="0" w:space="0" w:color="auto"/>
        <w:left w:val="none" w:sz="0" w:space="0" w:color="auto"/>
        <w:bottom w:val="none" w:sz="0" w:space="0" w:color="auto"/>
        <w:right w:val="none" w:sz="0" w:space="0" w:color="auto"/>
      </w:divBdr>
      <w:divsChild>
        <w:div w:id="138771414">
          <w:marLeft w:val="0"/>
          <w:marRight w:val="0"/>
          <w:marTop w:val="0"/>
          <w:marBottom w:val="0"/>
          <w:divBdr>
            <w:top w:val="none" w:sz="0" w:space="0" w:color="auto"/>
            <w:left w:val="none" w:sz="0" w:space="0" w:color="auto"/>
            <w:bottom w:val="none" w:sz="0" w:space="0" w:color="auto"/>
            <w:right w:val="none" w:sz="0" w:space="0" w:color="auto"/>
          </w:divBdr>
        </w:div>
        <w:div w:id="528379255">
          <w:marLeft w:val="0"/>
          <w:marRight w:val="0"/>
          <w:marTop w:val="0"/>
          <w:marBottom w:val="0"/>
          <w:divBdr>
            <w:top w:val="none" w:sz="0" w:space="0" w:color="auto"/>
            <w:left w:val="none" w:sz="0" w:space="0" w:color="auto"/>
            <w:bottom w:val="none" w:sz="0" w:space="0" w:color="auto"/>
            <w:right w:val="none" w:sz="0" w:space="0" w:color="auto"/>
          </w:divBdr>
        </w:div>
      </w:divsChild>
    </w:div>
    <w:div w:id="1902323273">
      <w:bodyDiv w:val="1"/>
      <w:marLeft w:val="0"/>
      <w:marRight w:val="0"/>
      <w:marTop w:val="0"/>
      <w:marBottom w:val="0"/>
      <w:divBdr>
        <w:top w:val="none" w:sz="0" w:space="0" w:color="auto"/>
        <w:left w:val="none" w:sz="0" w:space="0" w:color="auto"/>
        <w:bottom w:val="none" w:sz="0" w:space="0" w:color="auto"/>
        <w:right w:val="none" w:sz="0" w:space="0" w:color="auto"/>
      </w:divBdr>
      <w:divsChild>
        <w:div w:id="57753103">
          <w:marLeft w:val="0"/>
          <w:marRight w:val="0"/>
          <w:marTop w:val="0"/>
          <w:marBottom w:val="0"/>
          <w:divBdr>
            <w:top w:val="none" w:sz="0" w:space="0" w:color="auto"/>
            <w:left w:val="none" w:sz="0" w:space="0" w:color="auto"/>
            <w:bottom w:val="none" w:sz="0" w:space="0" w:color="auto"/>
            <w:right w:val="none" w:sz="0" w:space="0" w:color="auto"/>
          </w:divBdr>
        </w:div>
        <w:div w:id="2054385688">
          <w:marLeft w:val="0"/>
          <w:marRight w:val="0"/>
          <w:marTop w:val="0"/>
          <w:marBottom w:val="0"/>
          <w:divBdr>
            <w:top w:val="none" w:sz="0" w:space="0" w:color="auto"/>
            <w:left w:val="none" w:sz="0" w:space="0" w:color="auto"/>
            <w:bottom w:val="none" w:sz="0" w:space="0" w:color="auto"/>
            <w:right w:val="none" w:sz="0" w:space="0" w:color="auto"/>
          </w:divBdr>
        </w:div>
      </w:divsChild>
    </w:div>
    <w:div w:id="2019261890">
      <w:bodyDiv w:val="1"/>
      <w:marLeft w:val="0"/>
      <w:marRight w:val="0"/>
      <w:marTop w:val="0"/>
      <w:marBottom w:val="0"/>
      <w:divBdr>
        <w:top w:val="none" w:sz="0" w:space="0" w:color="auto"/>
        <w:left w:val="none" w:sz="0" w:space="0" w:color="auto"/>
        <w:bottom w:val="none" w:sz="0" w:space="0" w:color="auto"/>
        <w:right w:val="none" w:sz="0" w:space="0" w:color="auto"/>
      </w:divBdr>
      <w:divsChild>
        <w:div w:id="233393627">
          <w:marLeft w:val="0"/>
          <w:marRight w:val="0"/>
          <w:marTop w:val="0"/>
          <w:marBottom w:val="0"/>
          <w:divBdr>
            <w:top w:val="none" w:sz="0" w:space="0" w:color="auto"/>
            <w:left w:val="none" w:sz="0" w:space="0" w:color="auto"/>
            <w:bottom w:val="none" w:sz="0" w:space="0" w:color="auto"/>
            <w:right w:val="none" w:sz="0" w:space="0" w:color="auto"/>
          </w:divBdr>
        </w:div>
        <w:div w:id="246036113">
          <w:marLeft w:val="0"/>
          <w:marRight w:val="0"/>
          <w:marTop w:val="0"/>
          <w:marBottom w:val="0"/>
          <w:divBdr>
            <w:top w:val="none" w:sz="0" w:space="0" w:color="auto"/>
            <w:left w:val="none" w:sz="0" w:space="0" w:color="auto"/>
            <w:bottom w:val="none" w:sz="0" w:space="0" w:color="auto"/>
            <w:right w:val="none" w:sz="0" w:space="0" w:color="auto"/>
          </w:divBdr>
        </w:div>
        <w:div w:id="694233095">
          <w:marLeft w:val="0"/>
          <w:marRight w:val="0"/>
          <w:marTop w:val="0"/>
          <w:marBottom w:val="0"/>
          <w:divBdr>
            <w:top w:val="none" w:sz="0" w:space="0" w:color="auto"/>
            <w:left w:val="none" w:sz="0" w:space="0" w:color="auto"/>
            <w:bottom w:val="none" w:sz="0" w:space="0" w:color="auto"/>
            <w:right w:val="none" w:sz="0" w:space="0" w:color="auto"/>
          </w:divBdr>
        </w:div>
        <w:div w:id="972759923">
          <w:marLeft w:val="0"/>
          <w:marRight w:val="0"/>
          <w:marTop w:val="0"/>
          <w:marBottom w:val="0"/>
          <w:divBdr>
            <w:top w:val="none" w:sz="0" w:space="0" w:color="auto"/>
            <w:left w:val="none" w:sz="0" w:space="0" w:color="auto"/>
            <w:bottom w:val="none" w:sz="0" w:space="0" w:color="auto"/>
            <w:right w:val="none" w:sz="0" w:space="0" w:color="auto"/>
          </w:divBdr>
        </w:div>
        <w:div w:id="1003244829">
          <w:marLeft w:val="0"/>
          <w:marRight w:val="0"/>
          <w:marTop w:val="0"/>
          <w:marBottom w:val="0"/>
          <w:divBdr>
            <w:top w:val="none" w:sz="0" w:space="0" w:color="auto"/>
            <w:left w:val="none" w:sz="0" w:space="0" w:color="auto"/>
            <w:bottom w:val="none" w:sz="0" w:space="0" w:color="auto"/>
            <w:right w:val="none" w:sz="0" w:space="0" w:color="auto"/>
          </w:divBdr>
        </w:div>
        <w:div w:id="1278410991">
          <w:marLeft w:val="0"/>
          <w:marRight w:val="0"/>
          <w:marTop w:val="0"/>
          <w:marBottom w:val="0"/>
          <w:divBdr>
            <w:top w:val="none" w:sz="0" w:space="0" w:color="auto"/>
            <w:left w:val="none" w:sz="0" w:space="0" w:color="auto"/>
            <w:bottom w:val="none" w:sz="0" w:space="0" w:color="auto"/>
            <w:right w:val="none" w:sz="0" w:space="0" w:color="auto"/>
          </w:divBdr>
        </w:div>
        <w:div w:id="1302735419">
          <w:marLeft w:val="0"/>
          <w:marRight w:val="0"/>
          <w:marTop w:val="0"/>
          <w:marBottom w:val="0"/>
          <w:divBdr>
            <w:top w:val="none" w:sz="0" w:space="0" w:color="auto"/>
            <w:left w:val="none" w:sz="0" w:space="0" w:color="auto"/>
            <w:bottom w:val="none" w:sz="0" w:space="0" w:color="auto"/>
            <w:right w:val="none" w:sz="0" w:space="0" w:color="auto"/>
          </w:divBdr>
        </w:div>
        <w:div w:id="1501891627">
          <w:marLeft w:val="0"/>
          <w:marRight w:val="0"/>
          <w:marTop w:val="0"/>
          <w:marBottom w:val="0"/>
          <w:divBdr>
            <w:top w:val="none" w:sz="0" w:space="0" w:color="auto"/>
            <w:left w:val="none" w:sz="0" w:space="0" w:color="auto"/>
            <w:bottom w:val="none" w:sz="0" w:space="0" w:color="auto"/>
            <w:right w:val="none" w:sz="0" w:space="0" w:color="auto"/>
          </w:divBdr>
        </w:div>
        <w:div w:id="1964724320">
          <w:marLeft w:val="0"/>
          <w:marRight w:val="0"/>
          <w:marTop w:val="0"/>
          <w:marBottom w:val="0"/>
          <w:divBdr>
            <w:top w:val="none" w:sz="0" w:space="0" w:color="auto"/>
            <w:left w:val="none" w:sz="0" w:space="0" w:color="auto"/>
            <w:bottom w:val="none" w:sz="0" w:space="0" w:color="auto"/>
            <w:right w:val="none" w:sz="0" w:space="0" w:color="auto"/>
          </w:divBdr>
        </w:div>
      </w:divsChild>
    </w:div>
    <w:div w:id="2110080462">
      <w:bodyDiv w:val="1"/>
      <w:marLeft w:val="0"/>
      <w:marRight w:val="0"/>
      <w:marTop w:val="0"/>
      <w:marBottom w:val="0"/>
      <w:divBdr>
        <w:top w:val="none" w:sz="0" w:space="0" w:color="auto"/>
        <w:left w:val="none" w:sz="0" w:space="0" w:color="auto"/>
        <w:bottom w:val="none" w:sz="0" w:space="0" w:color="auto"/>
        <w:right w:val="none" w:sz="0" w:space="0" w:color="auto"/>
      </w:divBdr>
      <w:divsChild>
        <w:div w:id="238055158">
          <w:marLeft w:val="0"/>
          <w:marRight w:val="0"/>
          <w:marTop w:val="0"/>
          <w:marBottom w:val="0"/>
          <w:divBdr>
            <w:top w:val="none" w:sz="0" w:space="0" w:color="auto"/>
            <w:left w:val="none" w:sz="0" w:space="0" w:color="auto"/>
            <w:bottom w:val="none" w:sz="0" w:space="0" w:color="auto"/>
            <w:right w:val="none" w:sz="0" w:space="0" w:color="auto"/>
          </w:divBdr>
        </w:div>
        <w:div w:id="2068412488">
          <w:marLeft w:val="0"/>
          <w:marRight w:val="0"/>
          <w:marTop w:val="0"/>
          <w:marBottom w:val="0"/>
          <w:divBdr>
            <w:top w:val="none" w:sz="0" w:space="0" w:color="auto"/>
            <w:left w:val="none" w:sz="0" w:space="0" w:color="auto"/>
            <w:bottom w:val="none" w:sz="0" w:space="0" w:color="auto"/>
            <w:right w:val="none" w:sz="0" w:space="0" w:color="auto"/>
          </w:divBdr>
        </w:div>
      </w:divsChild>
    </w:div>
    <w:div w:id="2110927726">
      <w:bodyDiv w:val="1"/>
      <w:marLeft w:val="0"/>
      <w:marRight w:val="0"/>
      <w:marTop w:val="0"/>
      <w:marBottom w:val="0"/>
      <w:divBdr>
        <w:top w:val="none" w:sz="0" w:space="0" w:color="auto"/>
        <w:left w:val="none" w:sz="0" w:space="0" w:color="auto"/>
        <w:bottom w:val="none" w:sz="0" w:space="0" w:color="auto"/>
        <w:right w:val="none" w:sz="0" w:space="0" w:color="auto"/>
      </w:divBdr>
      <w:divsChild>
        <w:div w:id="78406666">
          <w:marLeft w:val="0"/>
          <w:marRight w:val="0"/>
          <w:marTop w:val="0"/>
          <w:marBottom w:val="0"/>
          <w:divBdr>
            <w:top w:val="none" w:sz="0" w:space="0" w:color="auto"/>
            <w:left w:val="none" w:sz="0" w:space="0" w:color="auto"/>
            <w:bottom w:val="none" w:sz="0" w:space="0" w:color="auto"/>
            <w:right w:val="none" w:sz="0" w:space="0" w:color="auto"/>
          </w:divBdr>
        </w:div>
        <w:div w:id="1307589959">
          <w:marLeft w:val="0"/>
          <w:marRight w:val="0"/>
          <w:marTop w:val="0"/>
          <w:marBottom w:val="0"/>
          <w:divBdr>
            <w:top w:val="none" w:sz="0" w:space="0" w:color="auto"/>
            <w:left w:val="none" w:sz="0" w:space="0" w:color="auto"/>
            <w:bottom w:val="none" w:sz="0" w:space="0" w:color="auto"/>
            <w:right w:val="none" w:sz="0" w:space="0" w:color="auto"/>
          </w:divBdr>
        </w:div>
        <w:div w:id="2106611264">
          <w:marLeft w:val="0"/>
          <w:marRight w:val="0"/>
          <w:marTop w:val="0"/>
          <w:marBottom w:val="0"/>
          <w:divBdr>
            <w:top w:val="none" w:sz="0" w:space="0" w:color="auto"/>
            <w:left w:val="none" w:sz="0" w:space="0" w:color="auto"/>
            <w:bottom w:val="none" w:sz="0" w:space="0" w:color="auto"/>
            <w:right w:val="none" w:sz="0" w:space="0" w:color="auto"/>
          </w:divBdr>
          <w:divsChild>
            <w:div w:id="6370111">
              <w:marLeft w:val="-75"/>
              <w:marRight w:val="0"/>
              <w:marTop w:val="30"/>
              <w:marBottom w:val="30"/>
              <w:divBdr>
                <w:top w:val="none" w:sz="0" w:space="0" w:color="auto"/>
                <w:left w:val="none" w:sz="0" w:space="0" w:color="auto"/>
                <w:bottom w:val="none" w:sz="0" w:space="0" w:color="auto"/>
                <w:right w:val="none" w:sz="0" w:space="0" w:color="auto"/>
              </w:divBdr>
              <w:divsChild>
                <w:div w:id="90125666">
                  <w:marLeft w:val="0"/>
                  <w:marRight w:val="0"/>
                  <w:marTop w:val="0"/>
                  <w:marBottom w:val="0"/>
                  <w:divBdr>
                    <w:top w:val="none" w:sz="0" w:space="0" w:color="auto"/>
                    <w:left w:val="none" w:sz="0" w:space="0" w:color="auto"/>
                    <w:bottom w:val="none" w:sz="0" w:space="0" w:color="auto"/>
                    <w:right w:val="none" w:sz="0" w:space="0" w:color="auto"/>
                  </w:divBdr>
                  <w:divsChild>
                    <w:div w:id="1904101568">
                      <w:marLeft w:val="0"/>
                      <w:marRight w:val="0"/>
                      <w:marTop w:val="0"/>
                      <w:marBottom w:val="0"/>
                      <w:divBdr>
                        <w:top w:val="none" w:sz="0" w:space="0" w:color="auto"/>
                        <w:left w:val="none" w:sz="0" w:space="0" w:color="auto"/>
                        <w:bottom w:val="none" w:sz="0" w:space="0" w:color="auto"/>
                        <w:right w:val="none" w:sz="0" w:space="0" w:color="auto"/>
                      </w:divBdr>
                    </w:div>
                  </w:divsChild>
                </w:div>
                <w:div w:id="158931599">
                  <w:marLeft w:val="0"/>
                  <w:marRight w:val="0"/>
                  <w:marTop w:val="0"/>
                  <w:marBottom w:val="0"/>
                  <w:divBdr>
                    <w:top w:val="none" w:sz="0" w:space="0" w:color="auto"/>
                    <w:left w:val="none" w:sz="0" w:space="0" w:color="auto"/>
                    <w:bottom w:val="none" w:sz="0" w:space="0" w:color="auto"/>
                    <w:right w:val="none" w:sz="0" w:space="0" w:color="auto"/>
                  </w:divBdr>
                  <w:divsChild>
                    <w:div w:id="170031179">
                      <w:marLeft w:val="0"/>
                      <w:marRight w:val="0"/>
                      <w:marTop w:val="0"/>
                      <w:marBottom w:val="0"/>
                      <w:divBdr>
                        <w:top w:val="none" w:sz="0" w:space="0" w:color="auto"/>
                        <w:left w:val="none" w:sz="0" w:space="0" w:color="auto"/>
                        <w:bottom w:val="none" w:sz="0" w:space="0" w:color="auto"/>
                        <w:right w:val="none" w:sz="0" w:space="0" w:color="auto"/>
                      </w:divBdr>
                    </w:div>
                  </w:divsChild>
                </w:div>
                <w:div w:id="199826432">
                  <w:marLeft w:val="0"/>
                  <w:marRight w:val="0"/>
                  <w:marTop w:val="0"/>
                  <w:marBottom w:val="0"/>
                  <w:divBdr>
                    <w:top w:val="none" w:sz="0" w:space="0" w:color="auto"/>
                    <w:left w:val="none" w:sz="0" w:space="0" w:color="auto"/>
                    <w:bottom w:val="none" w:sz="0" w:space="0" w:color="auto"/>
                    <w:right w:val="none" w:sz="0" w:space="0" w:color="auto"/>
                  </w:divBdr>
                  <w:divsChild>
                    <w:div w:id="1437023980">
                      <w:marLeft w:val="0"/>
                      <w:marRight w:val="0"/>
                      <w:marTop w:val="0"/>
                      <w:marBottom w:val="0"/>
                      <w:divBdr>
                        <w:top w:val="none" w:sz="0" w:space="0" w:color="auto"/>
                        <w:left w:val="none" w:sz="0" w:space="0" w:color="auto"/>
                        <w:bottom w:val="none" w:sz="0" w:space="0" w:color="auto"/>
                        <w:right w:val="none" w:sz="0" w:space="0" w:color="auto"/>
                      </w:divBdr>
                    </w:div>
                  </w:divsChild>
                </w:div>
                <w:div w:id="223835418">
                  <w:marLeft w:val="0"/>
                  <w:marRight w:val="0"/>
                  <w:marTop w:val="0"/>
                  <w:marBottom w:val="0"/>
                  <w:divBdr>
                    <w:top w:val="none" w:sz="0" w:space="0" w:color="auto"/>
                    <w:left w:val="none" w:sz="0" w:space="0" w:color="auto"/>
                    <w:bottom w:val="none" w:sz="0" w:space="0" w:color="auto"/>
                    <w:right w:val="none" w:sz="0" w:space="0" w:color="auto"/>
                  </w:divBdr>
                  <w:divsChild>
                    <w:div w:id="1822576005">
                      <w:marLeft w:val="0"/>
                      <w:marRight w:val="0"/>
                      <w:marTop w:val="0"/>
                      <w:marBottom w:val="0"/>
                      <w:divBdr>
                        <w:top w:val="none" w:sz="0" w:space="0" w:color="auto"/>
                        <w:left w:val="none" w:sz="0" w:space="0" w:color="auto"/>
                        <w:bottom w:val="none" w:sz="0" w:space="0" w:color="auto"/>
                        <w:right w:val="none" w:sz="0" w:space="0" w:color="auto"/>
                      </w:divBdr>
                    </w:div>
                  </w:divsChild>
                </w:div>
                <w:div w:id="282273683">
                  <w:marLeft w:val="0"/>
                  <w:marRight w:val="0"/>
                  <w:marTop w:val="0"/>
                  <w:marBottom w:val="0"/>
                  <w:divBdr>
                    <w:top w:val="none" w:sz="0" w:space="0" w:color="auto"/>
                    <w:left w:val="none" w:sz="0" w:space="0" w:color="auto"/>
                    <w:bottom w:val="none" w:sz="0" w:space="0" w:color="auto"/>
                    <w:right w:val="none" w:sz="0" w:space="0" w:color="auto"/>
                  </w:divBdr>
                  <w:divsChild>
                    <w:div w:id="5057106">
                      <w:marLeft w:val="0"/>
                      <w:marRight w:val="0"/>
                      <w:marTop w:val="0"/>
                      <w:marBottom w:val="0"/>
                      <w:divBdr>
                        <w:top w:val="none" w:sz="0" w:space="0" w:color="auto"/>
                        <w:left w:val="none" w:sz="0" w:space="0" w:color="auto"/>
                        <w:bottom w:val="none" w:sz="0" w:space="0" w:color="auto"/>
                        <w:right w:val="none" w:sz="0" w:space="0" w:color="auto"/>
                      </w:divBdr>
                    </w:div>
                  </w:divsChild>
                </w:div>
                <w:div w:id="373307470">
                  <w:marLeft w:val="0"/>
                  <w:marRight w:val="0"/>
                  <w:marTop w:val="0"/>
                  <w:marBottom w:val="0"/>
                  <w:divBdr>
                    <w:top w:val="none" w:sz="0" w:space="0" w:color="auto"/>
                    <w:left w:val="none" w:sz="0" w:space="0" w:color="auto"/>
                    <w:bottom w:val="none" w:sz="0" w:space="0" w:color="auto"/>
                    <w:right w:val="none" w:sz="0" w:space="0" w:color="auto"/>
                  </w:divBdr>
                  <w:divsChild>
                    <w:div w:id="1852984713">
                      <w:marLeft w:val="0"/>
                      <w:marRight w:val="0"/>
                      <w:marTop w:val="0"/>
                      <w:marBottom w:val="0"/>
                      <w:divBdr>
                        <w:top w:val="none" w:sz="0" w:space="0" w:color="auto"/>
                        <w:left w:val="none" w:sz="0" w:space="0" w:color="auto"/>
                        <w:bottom w:val="none" w:sz="0" w:space="0" w:color="auto"/>
                        <w:right w:val="none" w:sz="0" w:space="0" w:color="auto"/>
                      </w:divBdr>
                    </w:div>
                  </w:divsChild>
                </w:div>
                <w:div w:id="400566900">
                  <w:marLeft w:val="0"/>
                  <w:marRight w:val="0"/>
                  <w:marTop w:val="0"/>
                  <w:marBottom w:val="0"/>
                  <w:divBdr>
                    <w:top w:val="none" w:sz="0" w:space="0" w:color="auto"/>
                    <w:left w:val="none" w:sz="0" w:space="0" w:color="auto"/>
                    <w:bottom w:val="none" w:sz="0" w:space="0" w:color="auto"/>
                    <w:right w:val="none" w:sz="0" w:space="0" w:color="auto"/>
                  </w:divBdr>
                  <w:divsChild>
                    <w:div w:id="1249075788">
                      <w:marLeft w:val="0"/>
                      <w:marRight w:val="0"/>
                      <w:marTop w:val="0"/>
                      <w:marBottom w:val="0"/>
                      <w:divBdr>
                        <w:top w:val="none" w:sz="0" w:space="0" w:color="auto"/>
                        <w:left w:val="none" w:sz="0" w:space="0" w:color="auto"/>
                        <w:bottom w:val="none" w:sz="0" w:space="0" w:color="auto"/>
                        <w:right w:val="none" w:sz="0" w:space="0" w:color="auto"/>
                      </w:divBdr>
                    </w:div>
                  </w:divsChild>
                </w:div>
                <w:div w:id="478689398">
                  <w:marLeft w:val="0"/>
                  <w:marRight w:val="0"/>
                  <w:marTop w:val="0"/>
                  <w:marBottom w:val="0"/>
                  <w:divBdr>
                    <w:top w:val="none" w:sz="0" w:space="0" w:color="auto"/>
                    <w:left w:val="none" w:sz="0" w:space="0" w:color="auto"/>
                    <w:bottom w:val="none" w:sz="0" w:space="0" w:color="auto"/>
                    <w:right w:val="none" w:sz="0" w:space="0" w:color="auto"/>
                  </w:divBdr>
                  <w:divsChild>
                    <w:div w:id="1850563404">
                      <w:marLeft w:val="0"/>
                      <w:marRight w:val="0"/>
                      <w:marTop w:val="0"/>
                      <w:marBottom w:val="0"/>
                      <w:divBdr>
                        <w:top w:val="none" w:sz="0" w:space="0" w:color="auto"/>
                        <w:left w:val="none" w:sz="0" w:space="0" w:color="auto"/>
                        <w:bottom w:val="none" w:sz="0" w:space="0" w:color="auto"/>
                        <w:right w:val="none" w:sz="0" w:space="0" w:color="auto"/>
                      </w:divBdr>
                    </w:div>
                  </w:divsChild>
                </w:div>
                <w:div w:id="515316351">
                  <w:marLeft w:val="0"/>
                  <w:marRight w:val="0"/>
                  <w:marTop w:val="0"/>
                  <w:marBottom w:val="0"/>
                  <w:divBdr>
                    <w:top w:val="none" w:sz="0" w:space="0" w:color="auto"/>
                    <w:left w:val="none" w:sz="0" w:space="0" w:color="auto"/>
                    <w:bottom w:val="none" w:sz="0" w:space="0" w:color="auto"/>
                    <w:right w:val="none" w:sz="0" w:space="0" w:color="auto"/>
                  </w:divBdr>
                  <w:divsChild>
                    <w:div w:id="1172793035">
                      <w:marLeft w:val="0"/>
                      <w:marRight w:val="0"/>
                      <w:marTop w:val="0"/>
                      <w:marBottom w:val="0"/>
                      <w:divBdr>
                        <w:top w:val="none" w:sz="0" w:space="0" w:color="auto"/>
                        <w:left w:val="none" w:sz="0" w:space="0" w:color="auto"/>
                        <w:bottom w:val="none" w:sz="0" w:space="0" w:color="auto"/>
                        <w:right w:val="none" w:sz="0" w:space="0" w:color="auto"/>
                      </w:divBdr>
                    </w:div>
                  </w:divsChild>
                </w:div>
                <w:div w:id="591620256">
                  <w:marLeft w:val="0"/>
                  <w:marRight w:val="0"/>
                  <w:marTop w:val="0"/>
                  <w:marBottom w:val="0"/>
                  <w:divBdr>
                    <w:top w:val="none" w:sz="0" w:space="0" w:color="auto"/>
                    <w:left w:val="none" w:sz="0" w:space="0" w:color="auto"/>
                    <w:bottom w:val="none" w:sz="0" w:space="0" w:color="auto"/>
                    <w:right w:val="none" w:sz="0" w:space="0" w:color="auto"/>
                  </w:divBdr>
                  <w:divsChild>
                    <w:div w:id="742216397">
                      <w:marLeft w:val="0"/>
                      <w:marRight w:val="0"/>
                      <w:marTop w:val="0"/>
                      <w:marBottom w:val="0"/>
                      <w:divBdr>
                        <w:top w:val="none" w:sz="0" w:space="0" w:color="auto"/>
                        <w:left w:val="none" w:sz="0" w:space="0" w:color="auto"/>
                        <w:bottom w:val="none" w:sz="0" w:space="0" w:color="auto"/>
                        <w:right w:val="none" w:sz="0" w:space="0" w:color="auto"/>
                      </w:divBdr>
                    </w:div>
                  </w:divsChild>
                </w:div>
                <w:div w:id="617762701">
                  <w:marLeft w:val="0"/>
                  <w:marRight w:val="0"/>
                  <w:marTop w:val="0"/>
                  <w:marBottom w:val="0"/>
                  <w:divBdr>
                    <w:top w:val="none" w:sz="0" w:space="0" w:color="auto"/>
                    <w:left w:val="none" w:sz="0" w:space="0" w:color="auto"/>
                    <w:bottom w:val="none" w:sz="0" w:space="0" w:color="auto"/>
                    <w:right w:val="none" w:sz="0" w:space="0" w:color="auto"/>
                  </w:divBdr>
                  <w:divsChild>
                    <w:div w:id="713965106">
                      <w:marLeft w:val="0"/>
                      <w:marRight w:val="0"/>
                      <w:marTop w:val="0"/>
                      <w:marBottom w:val="0"/>
                      <w:divBdr>
                        <w:top w:val="none" w:sz="0" w:space="0" w:color="auto"/>
                        <w:left w:val="none" w:sz="0" w:space="0" w:color="auto"/>
                        <w:bottom w:val="none" w:sz="0" w:space="0" w:color="auto"/>
                        <w:right w:val="none" w:sz="0" w:space="0" w:color="auto"/>
                      </w:divBdr>
                    </w:div>
                  </w:divsChild>
                </w:div>
                <w:div w:id="653026662">
                  <w:marLeft w:val="0"/>
                  <w:marRight w:val="0"/>
                  <w:marTop w:val="0"/>
                  <w:marBottom w:val="0"/>
                  <w:divBdr>
                    <w:top w:val="none" w:sz="0" w:space="0" w:color="auto"/>
                    <w:left w:val="none" w:sz="0" w:space="0" w:color="auto"/>
                    <w:bottom w:val="none" w:sz="0" w:space="0" w:color="auto"/>
                    <w:right w:val="none" w:sz="0" w:space="0" w:color="auto"/>
                  </w:divBdr>
                  <w:divsChild>
                    <w:div w:id="58017821">
                      <w:marLeft w:val="0"/>
                      <w:marRight w:val="0"/>
                      <w:marTop w:val="0"/>
                      <w:marBottom w:val="0"/>
                      <w:divBdr>
                        <w:top w:val="none" w:sz="0" w:space="0" w:color="auto"/>
                        <w:left w:val="none" w:sz="0" w:space="0" w:color="auto"/>
                        <w:bottom w:val="none" w:sz="0" w:space="0" w:color="auto"/>
                        <w:right w:val="none" w:sz="0" w:space="0" w:color="auto"/>
                      </w:divBdr>
                    </w:div>
                  </w:divsChild>
                </w:div>
                <w:div w:id="667639351">
                  <w:marLeft w:val="0"/>
                  <w:marRight w:val="0"/>
                  <w:marTop w:val="0"/>
                  <w:marBottom w:val="0"/>
                  <w:divBdr>
                    <w:top w:val="none" w:sz="0" w:space="0" w:color="auto"/>
                    <w:left w:val="none" w:sz="0" w:space="0" w:color="auto"/>
                    <w:bottom w:val="none" w:sz="0" w:space="0" w:color="auto"/>
                    <w:right w:val="none" w:sz="0" w:space="0" w:color="auto"/>
                  </w:divBdr>
                  <w:divsChild>
                    <w:div w:id="956254995">
                      <w:marLeft w:val="0"/>
                      <w:marRight w:val="0"/>
                      <w:marTop w:val="0"/>
                      <w:marBottom w:val="0"/>
                      <w:divBdr>
                        <w:top w:val="none" w:sz="0" w:space="0" w:color="auto"/>
                        <w:left w:val="none" w:sz="0" w:space="0" w:color="auto"/>
                        <w:bottom w:val="none" w:sz="0" w:space="0" w:color="auto"/>
                        <w:right w:val="none" w:sz="0" w:space="0" w:color="auto"/>
                      </w:divBdr>
                    </w:div>
                  </w:divsChild>
                </w:div>
                <w:div w:id="732964638">
                  <w:marLeft w:val="0"/>
                  <w:marRight w:val="0"/>
                  <w:marTop w:val="0"/>
                  <w:marBottom w:val="0"/>
                  <w:divBdr>
                    <w:top w:val="none" w:sz="0" w:space="0" w:color="auto"/>
                    <w:left w:val="none" w:sz="0" w:space="0" w:color="auto"/>
                    <w:bottom w:val="none" w:sz="0" w:space="0" w:color="auto"/>
                    <w:right w:val="none" w:sz="0" w:space="0" w:color="auto"/>
                  </w:divBdr>
                  <w:divsChild>
                    <w:div w:id="1547567509">
                      <w:marLeft w:val="0"/>
                      <w:marRight w:val="0"/>
                      <w:marTop w:val="0"/>
                      <w:marBottom w:val="0"/>
                      <w:divBdr>
                        <w:top w:val="none" w:sz="0" w:space="0" w:color="auto"/>
                        <w:left w:val="none" w:sz="0" w:space="0" w:color="auto"/>
                        <w:bottom w:val="none" w:sz="0" w:space="0" w:color="auto"/>
                        <w:right w:val="none" w:sz="0" w:space="0" w:color="auto"/>
                      </w:divBdr>
                    </w:div>
                  </w:divsChild>
                </w:div>
                <w:div w:id="845631631">
                  <w:marLeft w:val="0"/>
                  <w:marRight w:val="0"/>
                  <w:marTop w:val="0"/>
                  <w:marBottom w:val="0"/>
                  <w:divBdr>
                    <w:top w:val="none" w:sz="0" w:space="0" w:color="auto"/>
                    <w:left w:val="none" w:sz="0" w:space="0" w:color="auto"/>
                    <w:bottom w:val="none" w:sz="0" w:space="0" w:color="auto"/>
                    <w:right w:val="none" w:sz="0" w:space="0" w:color="auto"/>
                  </w:divBdr>
                  <w:divsChild>
                    <w:div w:id="388042844">
                      <w:marLeft w:val="0"/>
                      <w:marRight w:val="0"/>
                      <w:marTop w:val="0"/>
                      <w:marBottom w:val="0"/>
                      <w:divBdr>
                        <w:top w:val="none" w:sz="0" w:space="0" w:color="auto"/>
                        <w:left w:val="none" w:sz="0" w:space="0" w:color="auto"/>
                        <w:bottom w:val="none" w:sz="0" w:space="0" w:color="auto"/>
                        <w:right w:val="none" w:sz="0" w:space="0" w:color="auto"/>
                      </w:divBdr>
                    </w:div>
                  </w:divsChild>
                </w:div>
                <w:div w:id="924071900">
                  <w:marLeft w:val="0"/>
                  <w:marRight w:val="0"/>
                  <w:marTop w:val="0"/>
                  <w:marBottom w:val="0"/>
                  <w:divBdr>
                    <w:top w:val="none" w:sz="0" w:space="0" w:color="auto"/>
                    <w:left w:val="none" w:sz="0" w:space="0" w:color="auto"/>
                    <w:bottom w:val="none" w:sz="0" w:space="0" w:color="auto"/>
                    <w:right w:val="none" w:sz="0" w:space="0" w:color="auto"/>
                  </w:divBdr>
                  <w:divsChild>
                    <w:div w:id="111900635">
                      <w:marLeft w:val="0"/>
                      <w:marRight w:val="0"/>
                      <w:marTop w:val="0"/>
                      <w:marBottom w:val="0"/>
                      <w:divBdr>
                        <w:top w:val="none" w:sz="0" w:space="0" w:color="auto"/>
                        <w:left w:val="none" w:sz="0" w:space="0" w:color="auto"/>
                        <w:bottom w:val="none" w:sz="0" w:space="0" w:color="auto"/>
                        <w:right w:val="none" w:sz="0" w:space="0" w:color="auto"/>
                      </w:divBdr>
                    </w:div>
                  </w:divsChild>
                </w:div>
                <w:div w:id="931280480">
                  <w:marLeft w:val="0"/>
                  <w:marRight w:val="0"/>
                  <w:marTop w:val="0"/>
                  <w:marBottom w:val="0"/>
                  <w:divBdr>
                    <w:top w:val="none" w:sz="0" w:space="0" w:color="auto"/>
                    <w:left w:val="none" w:sz="0" w:space="0" w:color="auto"/>
                    <w:bottom w:val="none" w:sz="0" w:space="0" w:color="auto"/>
                    <w:right w:val="none" w:sz="0" w:space="0" w:color="auto"/>
                  </w:divBdr>
                  <w:divsChild>
                    <w:div w:id="866021869">
                      <w:marLeft w:val="0"/>
                      <w:marRight w:val="0"/>
                      <w:marTop w:val="0"/>
                      <w:marBottom w:val="0"/>
                      <w:divBdr>
                        <w:top w:val="none" w:sz="0" w:space="0" w:color="auto"/>
                        <w:left w:val="none" w:sz="0" w:space="0" w:color="auto"/>
                        <w:bottom w:val="none" w:sz="0" w:space="0" w:color="auto"/>
                        <w:right w:val="none" w:sz="0" w:space="0" w:color="auto"/>
                      </w:divBdr>
                    </w:div>
                  </w:divsChild>
                </w:div>
                <w:div w:id="977491269">
                  <w:marLeft w:val="0"/>
                  <w:marRight w:val="0"/>
                  <w:marTop w:val="0"/>
                  <w:marBottom w:val="0"/>
                  <w:divBdr>
                    <w:top w:val="none" w:sz="0" w:space="0" w:color="auto"/>
                    <w:left w:val="none" w:sz="0" w:space="0" w:color="auto"/>
                    <w:bottom w:val="none" w:sz="0" w:space="0" w:color="auto"/>
                    <w:right w:val="none" w:sz="0" w:space="0" w:color="auto"/>
                  </w:divBdr>
                  <w:divsChild>
                    <w:div w:id="9769466">
                      <w:marLeft w:val="0"/>
                      <w:marRight w:val="0"/>
                      <w:marTop w:val="0"/>
                      <w:marBottom w:val="0"/>
                      <w:divBdr>
                        <w:top w:val="none" w:sz="0" w:space="0" w:color="auto"/>
                        <w:left w:val="none" w:sz="0" w:space="0" w:color="auto"/>
                        <w:bottom w:val="none" w:sz="0" w:space="0" w:color="auto"/>
                        <w:right w:val="none" w:sz="0" w:space="0" w:color="auto"/>
                      </w:divBdr>
                    </w:div>
                  </w:divsChild>
                </w:div>
                <w:div w:id="1098519840">
                  <w:marLeft w:val="0"/>
                  <w:marRight w:val="0"/>
                  <w:marTop w:val="0"/>
                  <w:marBottom w:val="0"/>
                  <w:divBdr>
                    <w:top w:val="none" w:sz="0" w:space="0" w:color="auto"/>
                    <w:left w:val="none" w:sz="0" w:space="0" w:color="auto"/>
                    <w:bottom w:val="none" w:sz="0" w:space="0" w:color="auto"/>
                    <w:right w:val="none" w:sz="0" w:space="0" w:color="auto"/>
                  </w:divBdr>
                  <w:divsChild>
                    <w:div w:id="296297166">
                      <w:marLeft w:val="0"/>
                      <w:marRight w:val="0"/>
                      <w:marTop w:val="0"/>
                      <w:marBottom w:val="0"/>
                      <w:divBdr>
                        <w:top w:val="none" w:sz="0" w:space="0" w:color="auto"/>
                        <w:left w:val="none" w:sz="0" w:space="0" w:color="auto"/>
                        <w:bottom w:val="none" w:sz="0" w:space="0" w:color="auto"/>
                        <w:right w:val="none" w:sz="0" w:space="0" w:color="auto"/>
                      </w:divBdr>
                    </w:div>
                  </w:divsChild>
                </w:div>
                <w:div w:id="1199467454">
                  <w:marLeft w:val="0"/>
                  <w:marRight w:val="0"/>
                  <w:marTop w:val="0"/>
                  <w:marBottom w:val="0"/>
                  <w:divBdr>
                    <w:top w:val="none" w:sz="0" w:space="0" w:color="auto"/>
                    <w:left w:val="none" w:sz="0" w:space="0" w:color="auto"/>
                    <w:bottom w:val="none" w:sz="0" w:space="0" w:color="auto"/>
                    <w:right w:val="none" w:sz="0" w:space="0" w:color="auto"/>
                  </w:divBdr>
                  <w:divsChild>
                    <w:div w:id="447042341">
                      <w:marLeft w:val="0"/>
                      <w:marRight w:val="0"/>
                      <w:marTop w:val="0"/>
                      <w:marBottom w:val="0"/>
                      <w:divBdr>
                        <w:top w:val="none" w:sz="0" w:space="0" w:color="auto"/>
                        <w:left w:val="none" w:sz="0" w:space="0" w:color="auto"/>
                        <w:bottom w:val="none" w:sz="0" w:space="0" w:color="auto"/>
                        <w:right w:val="none" w:sz="0" w:space="0" w:color="auto"/>
                      </w:divBdr>
                    </w:div>
                  </w:divsChild>
                </w:div>
                <w:div w:id="1232085207">
                  <w:marLeft w:val="0"/>
                  <w:marRight w:val="0"/>
                  <w:marTop w:val="0"/>
                  <w:marBottom w:val="0"/>
                  <w:divBdr>
                    <w:top w:val="none" w:sz="0" w:space="0" w:color="auto"/>
                    <w:left w:val="none" w:sz="0" w:space="0" w:color="auto"/>
                    <w:bottom w:val="none" w:sz="0" w:space="0" w:color="auto"/>
                    <w:right w:val="none" w:sz="0" w:space="0" w:color="auto"/>
                  </w:divBdr>
                  <w:divsChild>
                    <w:div w:id="280117438">
                      <w:marLeft w:val="0"/>
                      <w:marRight w:val="0"/>
                      <w:marTop w:val="0"/>
                      <w:marBottom w:val="0"/>
                      <w:divBdr>
                        <w:top w:val="none" w:sz="0" w:space="0" w:color="auto"/>
                        <w:left w:val="none" w:sz="0" w:space="0" w:color="auto"/>
                        <w:bottom w:val="none" w:sz="0" w:space="0" w:color="auto"/>
                        <w:right w:val="none" w:sz="0" w:space="0" w:color="auto"/>
                      </w:divBdr>
                    </w:div>
                  </w:divsChild>
                </w:div>
                <w:div w:id="1243566626">
                  <w:marLeft w:val="0"/>
                  <w:marRight w:val="0"/>
                  <w:marTop w:val="0"/>
                  <w:marBottom w:val="0"/>
                  <w:divBdr>
                    <w:top w:val="none" w:sz="0" w:space="0" w:color="auto"/>
                    <w:left w:val="none" w:sz="0" w:space="0" w:color="auto"/>
                    <w:bottom w:val="none" w:sz="0" w:space="0" w:color="auto"/>
                    <w:right w:val="none" w:sz="0" w:space="0" w:color="auto"/>
                  </w:divBdr>
                  <w:divsChild>
                    <w:div w:id="2045714236">
                      <w:marLeft w:val="0"/>
                      <w:marRight w:val="0"/>
                      <w:marTop w:val="0"/>
                      <w:marBottom w:val="0"/>
                      <w:divBdr>
                        <w:top w:val="none" w:sz="0" w:space="0" w:color="auto"/>
                        <w:left w:val="none" w:sz="0" w:space="0" w:color="auto"/>
                        <w:bottom w:val="none" w:sz="0" w:space="0" w:color="auto"/>
                        <w:right w:val="none" w:sz="0" w:space="0" w:color="auto"/>
                      </w:divBdr>
                    </w:div>
                  </w:divsChild>
                </w:div>
                <w:div w:id="1337348000">
                  <w:marLeft w:val="0"/>
                  <w:marRight w:val="0"/>
                  <w:marTop w:val="0"/>
                  <w:marBottom w:val="0"/>
                  <w:divBdr>
                    <w:top w:val="none" w:sz="0" w:space="0" w:color="auto"/>
                    <w:left w:val="none" w:sz="0" w:space="0" w:color="auto"/>
                    <w:bottom w:val="none" w:sz="0" w:space="0" w:color="auto"/>
                    <w:right w:val="none" w:sz="0" w:space="0" w:color="auto"/>
                  </w:divBdr>
                  <w:divsChild>
                    <w:div w:id="1721440710">
                      <w:marLeft w:val="0"/>
                      <w:marRight w:val="0"/>
                      <w:marTop w:val="0"/>
                      <w:marBottom w:val="0"/>
                      <w:divBdr>
                        <w:top w:val="none" w:sz="0" w:space="0" w:color="auto"/>
                        <w:left w:val="none" w:sz="0" w:space="0" w:color="auto"/>
                        <w:bottom w:val="none" w:sz="0" w:space="0" w:color="auto"/>
                        <w:right w:val="none" w:sz="0" w:space="0" w:color="auto"/>
                      </w:divBdr>
                    </w:div>
                  </w:divsChild>
                </w:div>
                <w:div w:id="1374117874">
                  <w:marLeft w:val="0"/>
                  <w:marRight w:val="0"/>
                  <w:marTop w:val="0"/>
                  <w:marBottom w:val="0"/>
                  <w:divBdr>
                    <w:top w:val="none" w:sz="0" w:space="0" w:color="auto"/>
                    <w:left w:val="none" w:sz="0" w:space="0" w:color="auto"/>
                    <w:bottom w:val="none" w:sz="0" w:space="0" w:color="auto"/>
                    <w:right w:val="none" w:sz="0" w:space="0" w:color="auto"/>
                  </w:divBdr>
                  <w:divsChild>
                    <w:div w:id="1388264020">
                      <w:marLeft w:val="0"/>
                      <w:marRight w:val="0"/>
                      <w:marTop w:val="0"/>
                      <w:marBottom w:val="0"/>
                      <w:divBdr>
                        <w:top w:val="none" w:sz="0" w:space="0" w:color="auto"/>
                        <w:left w:val="none" w:sz="0" w:space="0" w:color="auto"/>
                        <w:bottom w:val="none" w:sz="0" w:space="0" w:color="auto"/>
                        <w:right w:val="none" w:sz="0" w:space="0" w:color="auto"/>
                      </w:divBdr>
                    </w:div>
                  </w:divsChild>
                </w:div>
                <w:div w:id="1396078774">
                  <w:marLeft w:val="0"/>
                  <w:marRight w:val="0"/>
                  <w:marTop w:val="0"/>
                  <w:marBottom w:val="0"/>
                  <w:divBdr>
                    <w:top w:val="none" w:sz="0" w:space="0" w:color="auto"/>
                    <w:left w:val="none" w:sz="0" w:space="0" w:color="auto"/>
                    <w:bottom w:val="none" w:sz="0" w:space="0" w:color="auto"/>
                    <w:right w:val="none" w:sz="0" w:space="0" w:color="auto"/>
                  </w:divBdr>
                  <w:divsChild>
                    <w:div w:id="68966265">
                      <w:marLeft w:val="0"/>
                      <w:marRight w:val="0"/>
                      <w:marTop w:val="0"/>
                      <w:marBottom w:val="0"/>
                      <w:divBdr>
                        <w:top w:val="none" w:sz="0" w:space="0" w:color="auto"/>
                        <w:left w:val="none" w:sz="0" w:space="0" w:color="auto"/>
                        <w:bottom w:val="none" w:sz="0" w:space="0" w:color="auto"/>
                        <w:right w:val="none" w:sz="0" w:space="0" w:color="auto"/>
                      </w:divBdr>
                    </w:div>
                  </w:divsChild>
                </w:div>
                <w:div w:id="1426457203">
                  <w:marLeft w:val="0"/>
                  <w:marRight w:val="0"/>
                  <w:marTop w:val="0"/>
                  <w:marBottom w:val="0"/>
                  <w:divBdr>
                    <w:top w:val="none" w:sz="0" w:space="0" w:color="auto"/>
                    <w:left w:val="none" w:sz="0" w:space="0" w:color="auto"/>
                    <w:bottom w:val="none" w:sz="0" w:space="0" w:color="auto"/>
                    <w:right w:val="none" w:sz="0" w:space="0" w:color="auto"/>
                  </w:divBdr>
                  <w:divsChild>
                    <w:div w:id="1317798881">
                      <w:marLeft w:val="0"/>
                      <w:marRight w:val="0"/>
                      <w:marTop w:val="0"/>
                      <w:marBottom w:val="0"/>
                      <w:divBdr>
                        <w:top w:val="none" w:sz="0" w:space="0" w:color="auto"/>
                        <w:left w:val="none" w:sz="0" w:space="0" w:color="auto"/>
                        <w:bottom w:val="none" w:sz="0" w:space="0" w:color="auto"/>
                        <w:right w:val="none" w:sz="0" w:space="0" w:color="auto"/>
                      </w:divBdr>
                    </w:div>
                  </w:divsChild>
                </w:div>
                <w:div w:id="1426683380">
                  <w:marLeft w:val="0"/>
                  <w:marRight w:val="0"/>
                  <w:marTop w:val="0"/>
                  <w:marBottom w:val="0"/>
                  <w:divBdr>
                    <w:top w:val="none" w:sz="0" w:space="0" w:color="auto"/>
                    <w:left w:val="none" w:sz="0" w:space="0" w:color="auto"/>
                    <w:bottom w:val="none" w:sz="0" w:space="0" w:color="auto"/>
                    <w:right w:val="none" w:sz="0" w:space="0" w:color="auto"/>
                  </w:divBdr>
                  <w:divsChild>
                    <w:div w:id="1708947296">
                      <w:marLeft w:val="0"/>
                      <w:marRight w:val="0"/>
                      <w:marTop w:val="0"/>
                      <w:marBottom w:val="0"/>
                      <w:divBdr>
                        <w:top w:val="none" w:sz="0" w:space="0" w:color="auto"/>
                        <w:left w:val="none" w:sz="0" w:space="0" w:color="auto"/>
                        <w:bottom w:val="none" w:sz="0" w:space="0" w:color="auto"/>
                        <w:right w:val="none" w:sz="0" w:space="0" w:color="auto"/>
                      </w:divBdr>
                    </w:div>
                  </w:divsChild>
                </w:div>
                <w:div w:id="1440952695">
                  <w:marLeft w:val="0"/>
                  <w:marRight w:val="0"/>
                  <w:marTop w:val="0"/>
                  <w:marBottom w:val="0"/>
                  <w:divBdr>
                    <w:top w:val="none" w:sz="0" w:space="0" w:color="auto"/>
                    <w:left w:val="none" w:sz="0" w:space="0" w:color="auto"/>
                    <w:bottom w:val="none" w:sz="0" w:space="0" w:color="auto"/>
                    <w:right w:val="none" w:sz="0" w:space="0" w:color="auto"/>
                  </w:divBdr>
                  <w:divsChild>
                    <w:div w:id="1962805494">
                      <w:marLeft w:val="0"/>
                      <w:marRight w:val="0"/>
                      <w:marTop w:val="0"/>
                      <w:marBottom w:val="0"/>
                      <w:divBdr>
                        <w:top w:val="none" w:sz="0" w:space="0" w:color="auto"/>
                        <w:left w:val="none" w:sz="0" w:space="0" w:color="auto"/>
                        <w:bottom w:val="none" w:sz="0" w:space="0" w:color="auto"/>
                        <w:right w:val="none" w:sz="0" w:space="0" w:color="auto"/>
                      </w:divBdr>
                    </w:div>
                  </w:divsChild>
                </w:div>
                <w:div w:id="1457068122">
                  <w:marLeft w:val="0"/>
                  <w:marRight w:val="0"/>
                  <w:marTop w:val="0"/>
                  <w:marBottom w:val="0"/>
                  <w:divBdr>
                    <w:top w:val="none" w:sz="0" w:space="0" w:color="auto"/>
                    <w:left w:val="none" w:sz="0" w:space="0" w:color="auto"/>
                    <w:bottom w:val="none" w:sz="0" w:space="0" w:color="auto"/>
                    <w:right w:val="none" w:sz="0" w:space="0" w:color="auto"/>
                  </w:divBdr>
                  <w:divsChild>
                    <w:div w:id="848639859">
                      <w:marLeft w:val="0"/>
                      <w:marRight w:val="0"/>
                      <w:marTop w:val="0"/>
                      <w:marBottom w:val="0"/>
                      <w:divBdr>
                        <w:top w:val="none" w:sz="0" w:space="0" w:color="auto"/>
                        <w:left w:val="none" w:sz="0" w:space="0" w:color="auto"/>
                        <w:bottom w:val="none" w:sz="0" w:space="0" w:color="auto"/>
                        <w:right w:val="none" w:sz="0" w:space="0" w:color="auto"/>
                      </w:divBdr>
                    </w:div>
                  </w:divsChild>
                </w:div>
                <w:div w:id="1466049442">
                  <w:marLeft w:val="0"/>
                  <w:marRight w:val="0"/>
                  <w:marTop w:val="0"/>
                  <w:marBottom w:val="0"/>
                  <w:divBdr>
                    <w:top w:val="none" w:sz="0" w:space="0" w:color="auto"/>
                    <w:left w:val="none" w:sz="0" w:space="0" w:color="auto"/>
                    <w:bottom w:val="none" w:sz="0" w:space="0" w:color="auto"/>
                    <w:right w:val="none" w:sz="0" w:space="0" w:color="auto"/>
                  </w:divBdr>
                  <w:divsChild>
                    <w:div w:id="497691390">
                      <w:marLeft w:val="0"/>
                      <w:marRight w:val="0"/>
                      <w:marTop w:val="0"/>
                      <w:marBottom w:val="0"/>
                      <w:divBdr>
                        <w:top w:val="none" w:sz="0" w:space="0" w:color="auto"/>
                        <w:left w:val="none" w:sz="0" w:space="0" w:color="auto"/>
                        <w:bottom w:val="none" w:sz="0" w:space="0" w:color="auto"/>
                        <w:right w:val="none" w:sz="0" w:space="0" w:color="auto"/>
                      </w:divBdr>
                    </w:div>
                  </w:divsChild>
                </w:div>
                <w:div w:id="1484617474">
                  <w:marLeft w:val="0"/>
                  <w:marRight w:val="0"/>
                  <w:marTop w:val="0"/>
                  <w:marBottom w:val="0"/>
                  <w:divBdr>
                    <w:top w:val="none" w:sz="0" w:space="0" w:color="auto"/>
                    <w:left w:val="none" w:sz="0" w:space="0" w:color="auto"/>
                    <w:bottom w:val="none" w:sz="0" w:space="0" w:color="auto"/>
                    <w:right w:val="none" w:sz="0" w:space="0" w:color="auto"/>
                  </w:divBdr>
                  <w:divsChild>
                    <w:div w:id="670329312">
                      <w:marLeft w:val="0"/>
                      <w:marRight w:val="0"/>
                      <w:marTop w:val="0"/>
                      <w:marBottom w:val="0"/>
                      <w:divBdr>
                        <w:top w:val="none" w:sz="0" w:space="0" w:color="auto"/>
                        <w:left w:val="none" w:sz="0" w:space="0" w:color="auto"/>
                        <w:bottom w:val="none" w:sz="0" w:space="0" w:color="auto"/>
                        <w:right w:val="none" w:sz="0" w:space="0" w:color="auto"/>
                      </w:divBdr>
                    </w:div>
                  </w:divsChild>
                </w:div>
                <w:div w:id="1634795588">
                  <w:marLeft w:val="0"/>
                  <w:marRight w:val="0"/>
                  <w:marTop w:val="0"/>
                  <w:marBottom w:val="0"/>
                  <w:divBdr>
                    <w:top w:val="none" w:sz="0" w:space="0" w:color="auto"/>
                    <w:left w:val="none" w:sz="0" w:space="0" w:color="auto"/>
                    <w:bottom w:val="none" w:sz="0" w:space="0" w:color="auto"/>
                    <w:right w:val="none" w:sz="0" w:space="0" w:color="auto"/>
                  </w:divBdr>
                  <w:divsChild>
                    <w:div w:id="169754474">
                      <w:marLeft w:val="0"/>
                      <w:marRight w:val="0"/>
                      <w:marTop w:val="0"/>
                      <w:marBottom w:val="0"/>
                      <w:divBdr>
                        <w:top w:val="none" w:sz="0" w:space="0" w:color="auto"/>
                        <w:left w:val="none" w:sz="0" w:space="0" w:color="auto"/>
                        <w:bottom w:val="none" w:sz="0" w:space="0" w:color="auto"/>
                        <w:right w:val="none" w:sz="0" w:space="0" w:color="auto"/>
                      </w:divBdr>
                    </w:div>
                  </w:divsChild>
                </w:div>
                <w:div w:id="1639996170">
                  <w:marLeft w:val="0"/>
                  <w:marRight w:val="0"/>
                  <w:marTop w:val="0"/>
                  <w:marBottom w:val="0"/>
                  <w:divBdr>
                    <w:top w:val="none" w:sz="0" w:space="0" w:color="auto"/>
                    <w:left w:val="none" w:sz="0" w:space="0" w:color="auto"/>
                    <w:bottom w:val="none" w:sz="0" w:space="0" w:color="auto"/>
                    <w:right w:val="none" w:sz="0" w:space="0" w:color="auto"/>
                  </w:divBdr>
                  <w:divsChild>
                    <w:div w:id="1901675077">
                      <w:marLeft w:val="0"/>
                      <w:marRight w:val="0"/>
                      <w:marTop w:val="0"/>
                      <w:marBottom w:val="0"/>
                      <w:divBdr>
                        <w:top w:val="none" w:sz="0" w:space="0" w:color="auto"/>
                        <w:left w:val="none" w:sz="0" w:space="0" w:color="auto"/>
                        <w:bottom w:val="none" w:sz="0" w:space="0" w:color="auto"/>
                        <w:right w:val="none" w:sz="0" w:space="0" w:color="auto"/>
                      </w:divBdr>
                    </w:div>
                  </w:divsChild>
                </w:div>
                <w:div w:id="1689673412">
                  <w:marLeft w:val="0"/>
                  <w:marRight w:val="0"/>
                  <w:marTop w:val="0"/>
                  <w:marBottom w:val="0"/>
                  <w:divBdr>
                    <w:top w:val="none" w:sz="0" w:space="0" w:color="auto"/>
                    <w:left w:val="none" w:sz="0" w:space="0" w:color="auto"/>
                    <w:bottom w:val="none" w:sz="0" w:space="0" w:color="auto"/>
                    <w:right w:val="none" w:sz="0" w:space="0" w:color="auto"/>
                  </w:divBdr>
                  <w:divsChild>
                    <w:div w:id="1995714055">
                      <w:marLeft w:val="0"/>
                      <w:marRight w:val="0"/>
                      <w:marTop w:val="0"/>
                      <w:marBottom w:val="0"/>
                      <w:divBdr>
                        <w:top w:val="none" w:sz="0" w:space="0" w:color="auto"/>
                        <w:left w:val="none" w:sz="0" w:space="0" w:color="auto"/>
                        <w:bottom w:val="none" w:sz="0" w:space="0" w:color="auto"/>
                        <w:right w:val="none" w:sz="0" w:space="0" w:color="auto"/>
                      </w:divBdr>
                    </w:div>
                  </w:divsChild>
                </w:div>
                <w:div w:id="1746607020">
                  <w:marLeft w:val="0"/>
                  <w:marRight w:val="0"/>
                  <w:marTop w:val="0"/>
                  <w:marBottom w:val="0"/>
                  <w:divBdr>
                    <w:top w:val="none" w:sz="0" w:space="0" w:color="auto"/>
                    <w:left w:val="none" w:sz="0" w:space="0" w:color="auto"/>
                    <w:bottom w:val="none" w:sz="0" w:space="0" w:color="auto"/>
                    <w:right w:val="none" w:sz="0" w:space="0" w:color="auto"/>
                  </w:divBdr>
                  <w:divsChild>
                    <w:div w:id="499470741">
                      <w:marLeft w:val="0"/>
                      <w:marRight w:val="0"/>
                      <w:marTop w:val="0"/>
                      <w:marBottom w:val="0"/>
                      <w:divBdr>
                        <w:top w:val="none" w:sz="0" w:space="0" w:color="auto"/>
                        <w:left w:val="none" w:sz="0" w:space="0" w:color="auto"/>
                        <w:bottom w:val="none" w:sz="0" w:space="0" w:color="auto"/>
                        <w:right w:val="none" w:sz="0" w:space="0" w:color="auto"/>
                      </w:divBdr>
                    </w:div>
                  </w:divsChild>
                </w:div>
                <w:div w:id="1781872290">
                  <w:marLeft w:val="0"/>
                  <w:marRight w:val="0"/>
                  <w:marTop w:val="0"/>
                  <w:marBottom w:val="0"/>
                  <w:divBdr>
                    <w:top w:val="none" w:sz="0" w:space="0" w:color="auto"/>
                    <w:left w:val="none" w:sz="0" w:space="0" w:color="auto"/>
                    <w:bottom w:val="none" w:sz="0" w:space="0" w:color="auto"/>
                    <w:right w:val="none" w:sz="0" w:space="0" w:color="auto"/>
                  </w:divBdr>
                  <w:divsChild>
                    <w:div w:id="1302341868">
                      <w:marLeft w:val="0"/>
                      <w:marRight w:val="0"/>
                      <w:marTop w:val="0"/>
                      <w:marBottom w:val="0"/>
                      <w:divBdr>
                        <w:top w:val="none" w:sz="0" w:space="0" w:color="auto"/>
                        <w:left w:val="none" w:sz="0" w:space="0" w:color="auto"/>
                        <w:bottom w:val="none" w:sz="0" w:space="0" w:color="auto"/>
                        <w:right w:val="none" w:sz="0" w:space="0" w:color="auto"/>
                      </w:divBdr>
                    </w:div>
                  </w:divsChild>
                </w:div>
                <w:div w:id="1826166231">
                  <w:marLeft w:val="0"/>
                  <w:marRight w:val="0"/>
                  <w:marTop w:val="0"/>
                  <w:marBottom w:val="0"/>
                  <w:divBdr>
                    <w:top w:val="none" w:sz="0" w:space="0" w:color="auto"/>
                    <w:left w:val="none" w:sz="0" w:space="0" w:color="auto"/>
                    <w:bottom w:val="none" w:sz="0" w:space="0" w:color="auto"/>
                    <w:right w:val="none" w:sz="0" w:space="0" w:color="auto"/>
                  </w:divBdr>
                  <w:divsChild>
                    <w:div w:id="1477406764">
                      <w:marLeft w:val="0"/>
                      <w:marRight w:val="0"/>
                      <w:marTop w:val="0"/>
                      <w:marBottom w:val="0"/>
                      <w:divBdr>
                        <w:top w:val="none" w:sz="0" w:space="0" w:color="auto"/>
                        <w:left w:val="none" w:sz="0" w:space="0" w:color="auto"/>
                        <w:bottom w:val="none" w:sz="0" w:space="0" w:color="auto"/>
                        <w:right w:val="none" w:sz="0" w:space="0" w:color="auto"/>
                      </w:divBdr>
                    </w:div>
                  </w:divsChild>
                </w:div>
                <w:div w:id="1921988889">
                  <w:marLeft w:val="0"/>
                  <w:marRight w:val="0"/>
                  <w:marTop w:val="0"/>
                  <w:marBottom w:val="0"/>
                  <w:divBdr>
                    <w:top w:val="none" w:sz="0" w:space="0" w:color="auto"/>
                    <w:left w:val="none" w:sz="0" w:space="0" w:color="auto"/>
                    <w:bottom w:val="none" w:sz="0" w:space="0" w:color="auto"/>
                    <w:right w:val="none" w:sz="0" w:space="0" w:color="auto"/>
                  </w:divBdr>
                  <w:divsChild>
                    <w:div w:id="265767897">
                      <w:marLeft w:val="0"/>
                      <w:marRight w:val="0"/>
                      <w:marTop w:val="0"/>
                      <w:marBottom w:val="0"/>
                      <w:divBdr>
                        <w:top w:val="none" w:sz="0" w:space="0" w:color="auto"/>
                        <w:left w:val="none" w:sz="0" w:space="0" w:color="auto"/>
                        <w:bottom w:val="none" w:sz="0" w:space="0" w:color="auto"/>
                        <w:right w:val="none" w:sz="0" w:space="0" w:color="auto"/>
                      </w:divBdr>
                    </w:div>
                  </w:divsChild>
                </w:div>
                <w:div w:id="2106613125">
                  <w:marLeft w:val="0"/>
                  <w:marRight w:val="0"/>
                  <w:marTop w:val="0"/>
                  <w:marBottom w:val="0"/>
                  <w:divBdr>
                    <w:top w:val="none" w:sz="0" w:space="0" w:color="auto"/>
                    <w:left w:val="none" w:sz="0" w:space="0" w:color="auto"/>
                    <w:bottom w:val="none" w:sz="0" w:space="0" w:color="auto"/>
                    <w:right w:val="none" w:sz="0" w:space="0" w:color="auto"/>
                  </w:divBdr>
                  <w:divsChild>
                    <w:div w:id="1867064629">
                      <w:marLeft w:val="0"/>
                      <w:marRight w:val="0"/>
                      <w:marTop w:val="0"/>
                      <w:marBottom w:val="0"/>
                      <w:divBdr>
                        <w:top w:val="none" w:sz="0" w:space="0" w:color="auto"/>
                        <w:left w:val="none" w:sz="0" w:space="0" w:color="auto"/>
                        <w:bottom w:val="none" w:sz="0" w:space="0" w:color="auto"/>
                        <w:right w:val="none" w:sz="0" w:space="0" w:color="auto"/>
                      </w:divBdr>
                    </w:div>
                  </w:divsChild>
                </w:div>
                <w:div w:id="2111464091">
                  <w:marLeft w:val="0"/>
                  <w:marRight w:val="0"/>
                  <w:marTop w:val="0"/>
                  <w:marBottom w:val="0"/>
                  <w:divBdr>
                    <w:top w:val="none" w:sz="0" w:space="0" w:color="auto"/>
                    <w:left w:val="none" w:sz="0" w:space="0" w:color="auto"/>
                    <w:bottom w:val="none" w:sz="0" w:space="0" w:color="auto"/>
                    <w:right w:val="none" w:sz="0" w:space="0" w:color="auto"/>
                  </w:divBdr>
                  <w:divsChild>
                    <w:div w:id="44874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210710">
      <w:bodyDiv w:val="1"/>
      <w:marLeft w:val="0"/>
      <w:marRight w:val="0"/>
      <w:marTop w:val="0"/>
      <w:marBottom w:val="0"/>
      <w:divBdr>
        <w:top w:val="none" w:sz="0" w:space="0" w:color="auto"/>
        <w:left w:val="none" w:sz="0" w:space="0" w:color="auto"/>
        <w:bottom w:val="none" w:sz="0" w:space="0" w:color="auto"/>
        <w:right w:val="none" w:sz="0" w:space="0" w:color="auto"/>
      </w:divBdr>
      <w:divsChild>
        <w:div w:id="122383820">
          <w:marLeft w:val="0"/>
          <w:marRight w:val="0"/>
          <w:marTop w:val="0"/>
          <w:marBottom w:val="0"/>
          <w:divBdr>
            <w:top w:val="none" w:sz="0" w:space="0" w:color="auto"/>
            <w:left w:val="none" w:sz="0" w:space="0" w:color="auto"/>
            <w:bottom w:val="none" w:sz="0" w:space="0" w:color="auto"/>
            <w:right w:val="none" w:sz="0" w:space="0" w:color="auto"/>
          </w:divBdr>
        </w:div>
        <w:div w:id="185607664">
          <w:marLeft w:val="0"/>
          <w:marRight w:val="0"/>
          <w:marTop w:val="0"/>
          <w:marBottom w:val="0"/>
          <w:divBdr>
            <w:top w:val="none" w:sz="0" w:space="0" w:color="auto"/>
            <w:left w:val="none" w:sz="0" w:space="0" w:color="auto"/>
            <w:bottom w:val="none" w:sz="0" w:space="0" w:color="auto"/>
            <w:right w:val="none" w:sz="0" w:space="0" w:color="auto"/>
          </w:divBdr>
        </w:div>
        <w:div w:id="1266961132">
          <w:marLeft w:val="0"/>
          <w:marRight w:val="0"/>
          <w:marTop w:val="0"/>
          <w:marBottom w:val="0"/>
          <w:divBdr>
            <w:top w:val="none" w:sz="0" w:space="0" w:color="auto"/>
            <w:left w:val="none" w:sz="0" w:space="0" w:color="auto"/>
            <w:bottom w:val="none" w:sz="0" w:space="0" w:color="auto"/>
            <w:right w:val="none" w:sz="0" w:space="0" w:color="auto"/>
          </w:divBdr>
        </w:div>
        <w:div w:id="1293824437">
          <w:marLeft w:val="0"/>
          <w:marRight w:val="0"/>
          <w:marTop w:val="0"/>
          <w:marBottom w:val="0"/>
          <w:divBdr>
            <w:top w:val="none" w:sz="0" w:space="0" w:color="auto"/>
            <w:left w:val="none" w:sz="0" w:space="0" w:color="auto"/>
            <w:bottom w:val="none" w:sz="0" w:space="0" w:color="auto"/>
            <w:right w:val="none" w:sz="0" w:space="0" w:color="auto"/>
          </w:divBdr>
        </w:div>
        <w:div w:id="1496144582">
          <w:marLeft w:val="0"/>
          <w:marRight w:val="0"/>
          <w:marTop w:val="0"/>
          <w:marBottom w:val="0"/>
          <w:divBdr>
            <w:top w:val="none" w:sz="0" w:space="0" w:color="auto"/>
            <w:left w:val="none" w:sz="0" w:space="0" w:color="auto"/>
            <w:bottom w:val="none" w:sz="0" w:space="0" w:color="auto"/>
            <w:right w:val="none" w:sz="0" w:space="0" w:color="auto"/>
          </w:divBdr>
        </w:div>
        <w:div w:id="18108276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yperlink" Target="https://research-and-innovation.ec.europa.eu/funding/funding-opportunities/funding-programmes-and-open-calls/horizon-2020_en" TargetMode="Externa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yperlink" Target="https://www.fao.org/platform-food-loss-waste/background/food-is-never-waste-coalition/en" TargetMode="External"/><Relationship Id="rId42" Type="http://schemas.openxmlformats.org/officeDocument/2006/relationships/header" Target="header9.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yperlink" Target="https://ec.europa.eu/food/safety/food_waste/eu-food-loss-waste-prevention-hub/" TargetMode="External"/><Relationship Id="rId33" Type="http://schemas.openxmlformats.org/officeDocument/2006/relationships/hyperlink" Target="https://food.ec.europa.eu/safety/food-waste/eu-actions-against-food-waste/eu-platform-food-losses-and-food-waste_en" TargetMode="External"/><Relationship Id="rId38" Type="http://schemas.openxmlformats.org/officeDocument/2006/relationships/header" Target="header7.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yperlink" Target="https://www.interregeurope.eu/what-is-interreg-europe" TargetMode="External"/><Relationship Id="rId41"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ec.europa.eu/food/safety/food_waste/eu_actions/date_marking_en" TargetMode="External"/><Relationship Id="rId32" Type="http://schemas.openxmlformats.org/officeDocument/2006/relationships/hyperlink" Target="https://hadea.ec.europa.eu/news/fighting-food-waste-eu-new-call-proposals-help-stakeholders-take-action-2022-06-22_en" TargetMode="External"/><Relationship Id="rId37" Type="http://schemas.openxmlformats.org/officeDocument/2006/relationships/hyperlink" Target="https://myintracomm.ec.europa.eu/corp/budget/financial-rules/legal-framework/internal-rules/Documents/2022-5-legislative-financial-statement-annex-en.docx" TargetMode="External"/><Relationship Id="rId40" Type="http://schemas.openxmlformats.org/officeDocument/2006/relationships/header" Target="header8.xml"/><Relationship Id="rId45" Type="http://schemas.openxmlformats.org/officeDocument/2006/relationships/footer" Target="footer12.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hyperlink" Target="https://food.ec.europa.eu/system/files/2021-05/fs_eu-actions_action_platform_key-rcmnd_en.pdf" TargetMode="External"/><Relationship Id="rId28" Type="http://schemas.openxmlformats.org/officeDocument/2006/relationships/hyperlink" Target="https://cinea.ec.europa.eu/programmes/life_en" TargetMode="Externa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yperlink" Target="https://data.consilium.europa.eu/doc/document/ST-15441-2022-INIT/en/pdf." TargetMode="External"/><Relationship Id="rId44"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food.ec.europa.eu/safety/food-waste/eu-actions-against-food-waste/eu-platform-food-losses-and-food-waste_en" TargetMode="External"/><Relationship Id="rId27" Type="http://schemas.openxmlformats.org/officeDocument/2006/relationships/hyperlink" Target="https://ec.europa.eu/info/research-and-innovation/funding/funding-opportunities/funding-programmes-and-open-calls/horizon-europe_en%22%20/l%20%22:~:text=%20Horizon%20Europe%20%201%20Apply%20for%20funding.,and%20innovation%20missions%20to%20increase%20the...%20More%20" TargetMode="External"/><Relationship Id="rId30" Type="http://schemas.openxmlformats.org/officeDocument/2006/relationships/hyperlink" Target="https://op.europa.eu/en/publication-detail/-/publication/404a8144-8892-11ec-8c40-01aa75ed71a1" TargetMode="External"/><Relationship Id="rId35" Type="http://schemas.openxmlformats.org/officeDocument/2006/relationships/footer" Target="footer7.xml"/><Relationship Id="rId43" Type="http://schemas.openxmlformats.org/officeDocument/2006/relationships/footer" Target="footer11.xml"/></Relationships>
</file>

<file path=word/_rels/footnotes.xml.rels><?xml version="1.0" encoding="UTF-8" standalone="yes"?>
<Relationships xmlns="http://schemas.openxmlformats.org/package/2006/relationships"><Relationship Id="rId8" Type="http://schemas.openxmlformats.org/officeDocument/2006/relationships/hyperlink" Target="https://cordis.europa.eu/project/id/101084106" TargetMode="External"/><Relationship Id="rId13" Type="http://schemas.openxmlformats.org/officeDocument/2006/relationships/hyperlink" Target="https://ec.europa.eu/info/law/better-regulation/have-your-say/initiatives/13223-Food-waste-reduction-targets_en" TargetMode="External"/><Relationship Id="rId18" Type="http://schemas.openxmlformats.org/officeDocument/2006/relationships/hyperlink" Target="https://doi.org/10.1007/s10018-016-0180-3" TargetMode="External"/><Relationship Id="rId3" Type="http://schemas.openxmlformats.org/officeDocument/2006/relationships/hyperlink" Target="https://earth.org/what-is-fast-fashion" TargetMode="External"/><Relationship Id="rId7" Type="http://schemas.openxmlformats.org/officeDocument/2006/relationships/hyperlink" Target="https://tonowaste.eu/" TargetMode="External"/><Relationship Id="rId12" Type="http://schemas.openxmlformats.org/officeDocument/2006/relationships/hyperlink" Target="https://ec.europa.eu/info/law/better-regulation/have-your-say/initiatives/13225-Environmental-impact-of-waste-management-revision-of-EU-waste-framework_en" TargetMode="External"/><Relationship Id="rId17" Type="http://schemas.openxmlformats.org/officeDocument/2006/relationships/hyperlink" Target="https://ec.europa.eu/eurostat/statistics-explained/index.php?title=Food_waste_and_food_waste_prevention_-_estimates" TargetMode="External"/><Relationship Id="rId2" Type="http://schemas.openxmlformats.org/officeDocument/2006/relationships/hyperlink" Target="https://www.eea.europa.eu/themes/waste/waste-prevention" TargetMode="External"/><Relationship Id="rId16" Type="http://schemas.openxmlformats.org/officeDocument/2006/relationships/hyperlink" Target="https://dx.doi.org/10.2760/858144" TargetMode="External"/><Relationship Id="rId20" Type="http://schemas.openxmlformats.org/officeDocument/2006/relationships/hyperlink" Target="https://myintracomm.ec.europa.eu/corp/budget/financial-rules/budget-implementation/Pages/implementation-methods.aspx" TargetMode="External"/><Relationship Id="rId1" Type="http://schemas.openxmlformats.org/officeDocument/2006/relationships/hyperlink" Target="https://single-market-economy.ec.europa.eu/industry/transition-pathways_en" TargetMode="External"/><Relationship Id="rId6" Type="http://schemas.openxmlformats.org/officeDocument/2006/relationships/hyperlink" Target="https://chorizoproject.eu/" TargetMode="External"/><Relationship Id="rId11" Type="http://schemas.openxmlformats.org/officeDocument/2006/relationships/hyperlink" Target="https://data.consilium.europa.eu/doc/document/ST-15441-2022-INIT/en/pdf" TargetMode="External"/><Relationship Id="rId5" Type="http://schemas.openxmlformats.org/officeDocument/2006/relationships/hyperlink" Target="https://ec.europa.eu/eurostat/databrowser/view/env_wasfw/default/table?lang=en" TargetMode="External"/><Relationship Id="rId15" Type="http://schemas.openxmlformats.org/officeDocument/2006/relationships/hyperlink" Target="https://food.ec.europa.eu/system/files/2023-02/flw_eu-actions_fwrt_20230210_recom-cit_0.pdf" TargetMode="External"/><Relationship Id="rId10" Type="http://schemas.openxmlformats.org/officeDocument/2006/relationships/hyperlink" Target="https://hadea.ec.europa.eu/news/fighting-food-waste-eu-new-call-proposals-help-stakeholders-take-action-2022-06-22_en" TargetMode="External"/><Relationship Id="rId19" Type="http://schemas.openxmlformats.org/officeDocument/2006/relationships/hyperlink" Target="https://doi.org/10.1007/s10018-018-0223-z" TargetMode="External"/><Relationship Id="rId4" Type="http://schemas.openxmlformats.org/officeDocument/2006/relationships/hyperlink" Target="https://data.europa.eu/doi/10.2760/858144" TargetMode="External"/><Relationship Id="rId9" Type="http://schemas.openxmlformats.org/officeDocument/2006/relationships/hyperlink" Target="https://cordis.europa.eu/project/id/101084222" TargetMode="External"/><Relationship Id="rId14" Type="http://schemas.openxmlformats.org/officeDocument/2006/relationships/hyperlink" Target="https://ec.europa.eu/info/law/better-regulation/have-your-say/initiatives/13225-Environmental-impact-of-waste-management-revision-of-EU-waste-framework_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DocuWrite\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3E1096-FF65-44EA-AB61-6034DB441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Template>
  <TotalTime>0</TotalTime>
  <Pages>69</Pages>
  <Words>28783</Words>
  <Characters>164065</Characters>
  <Application>Microsoft Office Word</Application>
  <DocSecurity>0</DocSecurity>
  <Lines>1367</Lines>
  <Paragraphs>384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192464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2023-08-09T11:05:00Z</dcterms:created>
  <dcterms:modified xsi:type="dcterms:W3CDTF">2023-08-09T11:05:00Z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DocuWrite 4.8.2, Build 20230330</vt:lpwstr>
  </property>
  <property fmtid="{D5CDD505-2E9C-101B-9397-08002B2CF9AE}" pid="3" name="MSIP_Label_6bd9ddd1-4d20-43f6-abfa-fc3c07406f94_Enabled">
    <vt:lpwstr>true</vt:lpwstr>
  </property>
  <property fmtid="{D5CDD505-2E9C-101B-9397-08002B2CF9AE}" pid="4" name="MSIP_Label_6bd9ddd1-4d20-43f6-abfa-fc3c07406f94_SetDate">
    <vt:lpwstr>2023-06-30T17:38:50Z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7ef278a4-4a59-455e-9804-6e99a50f32d5</vt:lpwstr>
  </property>
  <property fmtid="{D5CDD505-2E9C-101B-9397-08002B2CF9AE}" pid="9" name="MSIP_Label_6bd9ddd1-4d20-43f6-abfa-fc3c07406f94_ContentBits">
    <vt:lpwstr>0</vt:lpwstr>
  </property>
  <property fmtid="{D5CDD505-2E9C-101B-9397-08002B2CF9AE}" pid="10" name="Category">
    <vt:lpwstr>COM/PL/ORG</vt:lpwstr>
  </property>
  <property fmtid="{D5CDD505-2E9C-101B-9397-08002B2CF9AE}" pid="11" name="DQCStatus">
    <vt:lpwstr>Yellow (DQC version 03)</vt:lpwstr>
  </property>
  <property fmtid="{D5CDD505-2E9C-101B-9397-08002B2CF9AE}" pid="12" name="Level of sensitivity">
    <vt:lpwstr>Standard treatment</vt:lpwstr>
  </property>
  <property fmtid="{D5CDD505-2E9C-101B-9397-08002B2CF9AE}" pid="13" name="Part">
    <vt:lpwstr>1</vt:lpwstr>
  </property>
  <property fmtid="{D5CDD505-2E9C-101B-9397-08002B2CF9AE}" pid="14" name="Total parts">
    <vt:lpwstr>1</vt:lpwstr>
  </property>
  <property fmtid="{D5CDD505-2E9C-101B-9397-08002B2CF9AE}" pid="15" name="LWTemplateID">
    <vt:lpwstr>SJ-024</vt:lpwstr>
  </property>
  <property fmtid="{D5CDD505-2E9C-101B-9397-08002B2CF9AE}" pid="16" name="Created using">
    <vt:lpwstr>DocuWrite 4.8.2, Build 20230330</vt:lpwstr>
  </property>
  <property fmtid="{D5CDD505-2E9C-101B-9397-08002B2CF9AE}" pid="17" name="MSIP_Label_af60b174-6478-47f9-866e-33f097bb6603_Enabled">
    <vt:lpwstr>true</vt:lpwstr>
  </property>
  <property fmtid="{D5CDD505-2E9C-101B-9397-08002B2CF9AE}" pid="18" name="MSIP_Label_af60b174-6478-47f9-866e-33f097bb6603_SetDate">
    <vt:lpwstr>2023-07-07T08:34:10Z</vt:lpwstr>
  </property>
  <property fmtid="{D5CDD505-2E9C-101B-9397-08002B2CF9AE}" pid="19" name="MSIP_Label_af60b174-6478-47f9-866e-33f097bb6603_Method">
    <vt:lpwstr>Privileged</vt:lpwstr>
  </property>
  <property fmtid="{D5CDD505-2E9C-101B-9397-08002B2CF9AE}" pid="20" name="MSIP_Label_af60b174-6478-47f9-866e-33f097bb6603_Name">
    <vt:lpwstr>GSCEU - PUBLIC Label</vt:lpwstr>
  </property>
  <property fmtid="{D5CDD505-2E9C-101B-9397-08002B2CF9AE}" pid="21" name="MSIP_Label_af60b174-6478-47f9-866e-33f097bb6603_SiteId">
    <vt:lpwstr>03ad1c97-0a4d-4e82-8f93-27291a6a0767</vt:lpwstr>
  </property>
  <property fmtid="{D5CDD505-2E9C-101B-9397-08002B2CF9AE}" pid="22" name="MSIP_Label_af60b174-6478-47f9-866e-33f097bb6603_ActionId">
    <vt:lpwstr>8374e30e-76ea-4bd4-a02c-17b5f62f4b9a</vt:lpwstr>
  </property>
  <property fmtid="{D5CDD505-2E9C-101B-9397-08002B2CF9AE}" pid="23" name="MSIP_Label_af60b174-6478-47f9-866e-33f097bb6603_ContentBits">
    <vt:lpwstr>0</vt:lpwstr>
  </property>
</Properties>
</file>