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0C6B" w14:textId="77777777" w:rsidR="00067A06" w:rsidRPr="00067A06" w:rsidRDefault="00067A06" w:rsidP="00067A06">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000000"/>
          <w:kern w:val="0"/>
          <w:sz w:val="24"/>
          <w:szCs w:val="24"/>
          <w:lang w:eastAsia="lt-LT"/>
          <w14:ligatures w14:val="none"/>
        </w:rPr>
        <w:t>2023 M. BIRŽELIO MĖN. ŠVEDIJOS EKONOMINĖS SITUACIJOS APŽVALGA</w:t>
      </w:r>
    </w:p>
    <w:p w14:paraId="208442D5"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0D04B6AE" w14:textId="77777777" w:rsidR="00067A06" w:rsidRPr="00067A06" w:rsidRDefault="00067A06" w:rsidP="00067A06">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000000"/>
          <w:kern w:val="0"/>
          <w:sz w:val="24"/>
          <w:szCs w:val="24"/>
          <w:u w:val="single"/>
          <w:lang w:eastAsia="lt-LT"/>
          <w14:ligatures w14:val="none"/>
        </w:rPr>
        <w:t>Pagrindinės naujienos trumpai:</w:t>
      </w:r>
    </w:p>
    <w:p w14:paraId="08E0E7C3" w14:textId="77777777" w:rsidR="00067A06" w:rsidRPr="00067A06" w:rsidRDefault="00067A06" w:rsidP="00067A06">
      <w:pPr>
        <w:shd w:val="clear" w:color="auto" w:fill="FFFFFF"/>
        <w:spacing w:line="205" w:lineRule="atLeast"/>
        <w:jc w:val="both"/>
        <w:rPr>
          <w:rFonts w:ascii="Arial" w:eastAsia="Times New Roman" w:hAnsi="Arial" w:cs="Arial"/>
          <w:color w:val="222222"/>
          <w:kern w:val="0"/>
          <w:sz w:val="24"/>
          <w:szCs w:val="24"/>
          <w:lang w:eastAsia="lt-LT"/>
          <w14:ligatures w14:val="none"/>
        </w:rPr>
      </w:pPr>
      <w:r w:rsidRPr="00067A06">
        <w:rPr>
          <w:rFonts w:ascii="Calibri" w:eastAsia="Times New Roman" w:hAnsi="Calibri" w:cs="Calibri"/>
          <w:b/>
          <w:bCs/>
          <w:color w:val="222222"/>
          <w:kern w:val="0"/>
          <w:sz w:val="24"/>
          <w:szCs w:val="24"/>
          <w:lang w:eastAsia="lt-LT"/>
          <w14:ligatures w14:val="none"/>
        </w:rPr>
        <w:t> </w:t>
      </w:r>
    </w:p>
    <w:p w14:paraId="3727E04F" w14:textId="77777777" w:rsidR="00067A06" w:rsidRPr="00067A06" w:rsidRDefault="00067A06" w:rsidP="00067A06">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Švedijos Finansų ministerijos prognozė: 2023 m. Švedija patirs recesiją, augimas numatomas kitąmet</w:t>
      </w:r>
    </w:p>
    <w:p w14:paraId="0FD50095" w14:textId="77777777" w:rsidR="00067A06" w:rsidRPr="00067A06" w:rsidRDefault="00067A06" w:rsidP="00067A06">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Fiksuojamas rekordiškai kritęs Švedijos kronos kursas</w:t>
      </w:r>
    </w:p>
    <w:p w14:paraId="79840B59" w14:textId="77777777" w:rsidR="00067A06" w:rsidRPr="00067A06" w:rsidRDefault="00067A06" w:rsidP="00067A06">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Švedijos nacionalinis bankas padidino palūkanų normas 0,25%</w:t>
      </w:r>
    </w:p>
    <w:p w14:paraId="59B45083" w14:textId="77777777" w:rsidR="00067A06" w:rsidRPr="00067A06" w:rsidRDefault="00067A06" w:rsidP="00067A06">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 xml:space="preserve">Švedijoje - nepasitenkinimas </w:t>
      </w:r>
      <w:proofErr w:type="spellStart"/>
      <w:r w:rsidRPr="00067A06">
        <w:rPr>
          <w:rFonts w:ascii="Times New Roman" w:eastAsia="Times New Roman" w:hAnsi="Times New Roman" w:cs="Times New Roman"/>
          <w:b/>
          <w:bCs/>
          <w:color w:val="222222"/>
          <w:kern w:val="0"/>
          <w:sz w:val="24"/>
          <w:szCs w:val="24"/>
          <w:lang w:eastAsia="lt-LT"/>
          <w14:ligatures w14:val="none"/>
        </w:rPr>
        <w:t>Mondelez</w:t>
      </w:r>
      <w:proofErr w:type="spellEnd"/>
      <w:r w:rsidRPr="00067A06">
        <w:rPr>
          <w:rFonts w:ascii="Times New Roman" w:eastAsia="Times New Roman" w:hAnsi="Times New Roman" w:cs="Times New Roman"/>
          <w:b/>
          <w:bCs/>
          <w:color w:val="222222"/>
          <w:kern w:val="0"/>
          <w:sz w:val="24"/>
          <w:szCs w:val="24"/>
          <w:lang w:eastAsia="lt-LT"/>
          <w14:ligatures w14:val="none"/>
        </w:rPr>
        <w:t xml:space="preserve"> įmonių grupe ir jos produkcijos boikotavimas</w:t>
      </w:r>
    </w:p>
    <w:p w14:paraId="7581A31A" w14:textId="77777777" w:rsidR="00067A06" w:rsidRPr="00067A06" w:rsidRDefault="00067A06" w:rsidP="00067A06">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Po planuojamų investicijų iš trečiųjų šalių tikrinimo Vyriausybė gali uždrausti šalies institucijoms eksploatuoti Volvo automobilius</w:t>
      </w:r>
    </w:p>
    <w:p w14:paraId="095B23C5" w14:textId="77777777" w:rsidR="00067A06" w:rsidRPr="00067A06" w:rsidRDefault="00067A06" w:rsidP="00067A06">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Švedijos parlamentas patvirtino tikslą iki 2040 m. pasiekti energijos gamybą tik iš šaltinių be iškastinio kuro</w:t>
      </w:r>
    </w:p>
    <w:p w14:paraId="0877F1D8" w14:textId="77777777" w:rsidR="00067A06" w:rsidRPr="00067A06" w:rsidRDefault="00067A06" w:rsidP="00067A06">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Susilpnėjusi Švedijos krona lems, kad mažiau švedų per atostogas keliaus į užsienį</w:t>
      </w:r>
    </w:p>
    <w:p w14:paraId="7C85A490" w14:textId="77777777" w:rsidR="00067A06" w:rsidRPr="00067A06" w:rsidRDefault="00067A06" w:rsidP="00067A06">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Valstybė per ateinančius trejus metus investuos 0,5 mlrd. Švedijos kronų į skaitmeninimo plėtrą</w:t>
      </w:r>
    </w:p>
    <w:p w14:paraId="2E0711E3" w14:textId="77777777" w:rsidR="00067A06" w:rsidRPr="00067A06" w:rsidRDefault="00067A06" w:rsidP="00067A06">
      <w:pPr>
        <w:numPr>
          <w:ilvl w:val="0"/>
          <w:numId w:val="1"/>
        </w:numPr>
        <w:shd w:val="clear" w:color="auto" w:fill="FFFFFF"/>
        <w:spacing w:after="0" w:line="293" w:lineRule="atLeast"/>
        <w:ind w:left="945"/>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Švedijos elektros energijos eksportas didės iki 2026 m.</w:t>
      </w:r>
    </w:p>
    <w:p w14:paraId="604608C1"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79CAC567"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7303F2D5"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7987BD4D"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Švedijos Finansų ministerijos prognozė: 2023 m. Švedija patirs recesiją, augimas numatomas kitąmet. </w:t>
      </w:r>
      <w:r w:rsidRPr="00067A06">
        <w:rPr>
          <w:rFonts w:ascii="Times New Roman" w:eastAsia="Times New Roman" w:hAnsi="Times New Roman" w:cs="Times New Roman"/>
          <w:color w:val="222222"/>
          <w:kern w:val="0"/>
          <w:sz w:val="24"/>
          <w:szCs w:val="24"/>
          <w:lang w:eastAsia="lt-LT"/>
          <w14:ligatures w14:val="none"/>
        </w:rPr>
        <w:t xml:space="preserve">Ministerijos išplatintoje prognozėje konstatuojama, kad Švedijoje matomas sumažėjęs vartojimas, investicijos į nekilnojamą turtą rodo pakeltų palūkanų normų, infliacijos ir augančių kainų rezultatą. Prognozuojama, kad šiais metais Švedijos ekonomika susitrauks 0,4%, tačiau situacija kontroliuojama, dėl smukusios kronos, matosi išaugęs Švedijos eksportas. Visgi, </w:t>
      </w:r>
      <w:proofErr w:type="spellStart"/>
      <w:r w:rsidRPr="00067A06">
        <w:rPr>
          <w:rFonts w:ascii="Times New Roman" w:eastAsia="Times New Roman" w:hAnsi="Times New Roman" w:cs="Times New Roman"/>
          <w:color w:val="222222"/>
          <w:kern w:val="0"/>
          <w:sz w:val="24"/>
          <w:szCs w:val="24"/>
          <w:lang w:eastAsia="lt-LT"/>
          <w14:ligatures w14:val="none"/>
        </w:rPr>
        <w:t>š.m</w:t>
      </w:r>
      <w:proofErr w:type="spellEnd"/>
      <w:r w:rsidRPr="00067A06">
        <w:rPr>
          <w:rFonts w:ascii="Times New Roman" w:eastAsia="Times New Roman" w:hAnsi="Times New Roman" w:cs="Times New Roman"/>
          <w:color w:val="222222"/>
          <w:kern w:val="0"/>
          <w:sz w:val="24"/>
          <w:szCs w:val="24"/>
          <w:lang w:eastAsia="lt-LT"/>
          <w14:ligatures w14:val="none"/>
        </w:rPr>
        <w:t>. antroji pusė bus sunki, ją pasunkinti gali ir Švedijai gresiančios stichinės sausros, kurios atsilieptų derliui, o per tai ir maisto kainoms, kurios Švedijoje šiais metais jau ir taip yra paaugę 22%. Prognozė sutampa su neseniai EBPO pristatytos Švedijos ekonomikos analizės išvadomis. Jose teigiama, kad Švedijos ekonominis augimas yra lėčiausias tarp visų Šiaurės šalių, Švedijai rekomenduoja tęsti griežtą monetarinę politiką, mažinti infliaciją bei siūlo imtis mokestinių reformų.</w:t>
      </w:r>
    </w:p>
    <w:p w14:paraId="677630C6" w14:textId="77777777" w:rsidR="00067A06" w:rsidRPr="00067A06" w:rsidRDefault="00067A06" w:rsidP="00067A06">
      <w:pPr>
        <w:shd w:val="clear" w:color="auto" w:fill="FFFFFF"/>
        <w:spacing w:before="269" w:after="0" w:line="240" w:lineRule="auto"/>
        <w:rPr>
          <w:rFonts w:ascii="Arial" w:eastAsia="Times New Roman" w:hAnsi="Arial" w:cs="Arial"/>
          <w:color w:val="222222"/>
          <w:kern w:val="0"/>
          <w:sz w:val="24"/>
          <w:szCs w:val="24"/>
          <w:lang w:eastAsia="lt-LT"/>
          <w14:ligatures w14:val="none"/>
        </w:rPr>
      </w:pPr>
      <w:bookmarkStart w:id="0" w:name="m_5254669855254148843_m_-507976673208549"/>
      <w:r w:rsidRPr="00067A06">
        <w:rPr>
          <w:rFonts w:ascii="Arial" w:eastAsia="Times New Roman" w:hAnsi="Arial" w:cs="Arial"/>
          <w:b/>
          <w:bCs/>
          <w:color w:val="222222"/>
          <w:kern w:val="0"/>
          <w:sz w:val="23"/>
          <w:szCs w:val="23"/>
          <w:lang w:eastAsia="lt-LT"/>
          <w14:ligatures w14:val="none"/>
        </w:rPr>
        <w:t>2023 m. birželio 30 d. pagrindinių rodiklių prognozė </w:t>
      </w:r>
      <w:r w:rsidRPr="00067A06">
        <w:rPr>
          <w:rFonts w:ascii="Arial" w:eastAsia="Times New Roman" w:hAnsi="Arial" w:cs="Arial"/>
          <w:b/>
          <w:bCs/>
          <w:i/>
          <w:iCs/>
          <w:color w:val="000000"/>
          <w:kern w:val="0"/>
          <w:sz w:val="23"/>
          <w:szCs w:val="23"/>
          <w:lang w:eastAsia="lt-LT"/>
          <w14:ligatures w14:val="none"/>
        </w:rPr>
        <w:t>(</w:t>
      </w:r>
      <w:r w:rsidRPr="00067A06">
        <w:rPr>
          <w:rFonts w:ascii="Arial" w:eastAsia="Times New Roman" w:hAnsi="Arial" w:cs="Arial"/>
          <w:b/>
          <w:bCs/>
          <w:i/>
          <w:iCs/>
          <w:color w:val="222222"/>
          <w:kern w:val="0"/>
          <w:sz w:val="23"/>
          <w:szCs w:val="23"/>
          <w:lang w:eastAsia="lt-LT"/>
          <w14:ligatures w14:val="none"/>
        </w:rPr>
        <w:t>prognozė</w:t>
      </w:r>
      <w:r w:rsidRPr="00067A06">
        <w:rPr>
          <w:rFonts w:ascii="Arial" w:eastAsia="Times New Roman" w:hAnsi="Arial" w:cs="Arial"/>
          <w:b/>
          <w:bCs/>
          <w:i/>
          <w:iCs/>
          <w:color w:val="000000"/>
          <w:kern w:val="0"/>
          <w:sz w:val="23"/>
          <w:szCs w:val="23"/>
          <w:lang w:eastAsia="lt-LT"/>
          <w14:ligatures w14:val="none"/>
        </w:rPr>
        <w:t> </w:t>
      </w:r>
      <w:r w:rsidRPr="00067A06">
        <w:rPr>
          <w:rFonts w:ascii="Arial" w:eastAsia="Times New Roman" w:hAnsi="Arial" w:cs="Arial"/>
          <w:b/>
          <w:bCs/>
          <w:i/>
          <w:iCs/>
          <w:color w:val="222222"/>
          <w:kern w:val="0"/>
          <w:sz w:val="23"/>
          <w:szCs w:val="23"/>
          <w:lang w:eastAsia="lt-LT"/>
          <w14:ligatures w14:val="none"/>
        </w:rPr>
        <w:t>nuo</w:t>
      </w:r>
      <w:r w:rsidRPr="00067A06">
        <w:rPr>
          <w:rFonts w:ascii="Arial" w:eastAsia="Times New Roman" w:hAnsi="Arial" w:cs="Arial"/>
          <w:b/>
          <w:bCs/>
          <w:i/>
          <w:iCs/>
          <w:color w:val="000000"/>
          <w:kern w:val="0"/>
          <w:sz w:val="23"/>
          <w:szCs w:val="23"/>
          <w:lang w:eastAsia="lt-LT"/>
          <w14:ligatures w14:val="none"/>
        </w:rPr>
        <w:t> 2023 m. </w:t>
      </w:r>
      <w:r w:rsidRPr="00067A06">
        <w:rPr>
          <w:rFonts w:ascii="Arial" w:eastAsia="Times New Roman" w:hAnsi="Arial" w:cs="Arial"/>
          <w:b/>
          <w:bCs/>
          <w:i/>
          <w:iCs/>
          <w:color w:val="222222"/>
          <w:kern w:val="0"/>
          <w:sz w:val="23"/>
          <w:szCs w:val="23"/>
          <w:lang w:eastAsia="lt-LT"/>
          <w14:ligatures w14:val="none"/>
        </w:rPr>
        <w:t>balandžio</w:t>
      </w:r>
      <w:r w:rsidRPr="00067A06">
        <w:rPr>
          <w:rFonts w:ascii="Arial" w:eastAsia="Times New Roman" w:hAnsi="Arial" w:cs="Arial"/>
          <w:b/>
          <w:bCs/>
          <w:i/>
          <w:iCs/>
          <w:color w:val="000000"/>
          <w:kern w:val="0"/>
          <w:sz w:val="23"/>
          <w:szCs w:val="23"/>
          <w:lang w:eastAsia="lt-LT"/>
          <w14:ligatures w14:val="none"/>
        </w:rPr>
        <w:t> mėn. </w:t>
      </w:r>
      <w:r w:rsidRPr="00067A06">
        <w:rPr>
          <w:rFonts w:ascii="Arial" w:eastAsia="Times New Roman" w:hAnsi="Arial" w:cs="Arial"/>
          <w:b/>
          <w:bCs/>
          <w:i/>
          <w:iCs/>
          <w:color w:val="222222"/>
          <w:kern w:val="0"/>
          <w:sz w:val="23"/>
          <w:szCs w:val="23"/>
          <w:lang w:eastAsia="lt-LT"/>
          <w14:ligatures w14:val="none"/>
        </w:rPr>
        <w:t>pasviru šriftu</w:t>
      </w:r>
      <w:r w:rsidRPr="00067A06">
        <w:rPr>
          <w:rFonts w:ascii="Arial" w:eastAsia="Times New Roman" w:hAnsi="Arial" w:cs="Arial"/>
          <w:b/>
          <w:bCs/>
          <w:i/>
          <w:iCs/>
          <w:color w:val="000000"/>
          <w:kern w:val="0"/>
          <w:sz w:val="23"/>
          <w:szCs w:val="23"/>
          <w:lang w:eastAsia="lt-LT"/>
          <w14:ligatures w14:val="none"/>
        </w:rPr>
        <w:t>)</w:t>
      </w:r>
      <w:bookmarkEnd w:id="0"/>
    </w:p>
    <w:p w14:paraId="3C3A1B3C" w14:textId="77777777" w:rsidR="00067A06" w:rsidRPr="00067A06" w:rsidRDefault="00067A06" w:rsidP="00067A06">
      <w:pPr>
        <w:shd w:val="clear" w:color="auto" w:fill="FFFFFF"/>
        <w:spacing w:after="0" w:line="240" w:lineRule="auto"/>
        <w:ind w:left="68"/>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222222"/>
          <w:kern w:val="0"/>
          <w:sz w:val="21"/>
          <w:szCs w:val="21"/>
          <w:shd w:val="clear" w:color="auto" w:fill="FFFFFF"/>
          <w:lang w:eastAsia="lt-LT"/>
          <w14:ligatures w14:val="none"/>
        </w:rPr>
        <w:t> </w:t>
      </w:r>
    </w:p>
    <w:tbl>
      <w:tblPr>
        <w:tblW w:w="11685" w:type="dxa"/>
        <w:shd w:val="clear" w:color="auto" w:fill="FFFFFF"/>
        <w:tblCellMar>
          <w:left w:w="0" w:type="dxa"/>
          <w:right w:w="0" w:type="dxa"/>
        </w:tblCellMar>
        <w:tblLook w:val="04A0" w:firstRow="1" w:lastRow="0" w:firstColumn="1" w:lastColumn="0" w:noHBand="0" w:noVBand="1"/>
      </w:tblPr>
      <w:tblGrid>
        <w:gridCol w:w="2986"/>
        <w:gridCol w:w="21"/>
        <w:gridCol w:w="584"/>
        <w:gridCol w:w="345"/>
        <w:gridCol w:w="570"/>
        <w:gridCol w:w="21"/>
        <w:gridCol w:w="1123"/>
        <w:gridCol w:w="21"/>
        <w:gridCol w:w="757"/>
        <w:gridCol w:w="324"/>
        <w:gridCol w:w="628"/>
        <w:gridCol w:w="21"/>
        <w:gridCol w:w="1123"/>
        <w:gridCol w:w="21"/>
        <w:gridCol w:w="674"/>
        <w:gridCol w:w="407"/>
        <w:gridCol w:w="722"/>
        <w:gridCol w:w="21"/>
        <w:gridCol w:w="628"/>
        <w:gridCol w:w="21"/>
        <w:gridCol w:w="646"/>
        <w:gridCol w:w="21"/>
      </w:tblGrid>
      <w:tr w:rsidR="00067A06" w:rsidRPr="00067A06" w14:paraId="380A28BC" w14:textId="77777777" w:rsidTr="00067A06">
        <w:trPr>
          <w:gridAfter w:val="5"/>
          <w:wAfter w:w="2900" w:type="dxa"/>
          <w:trHeight w:val="274"/>
        </w:trPr>
        <w:tc>
          <w:tcPr>
            <w:tcW w:w="43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339794" w14:textId="77777777" w:rsidR="00067A06" w:rsidRPr="00067A06" w:rsidRDefault="00067A06" w:rsidP="00067A06">
            <w:pPr>
              <w:spacing w:after="0" w:line="240" w:lineRule="auto"/>
              <w:ind w:left="68"/>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shd w:val="clear" w:color="auto" w:fill="F2F2F2"/>
                <w:lang w:eastAsia="lt-LT"/>
                <w14:ligatures w14:val="none"/>
              </w:rPr>
              <w:t>Pagrindiniai rodikliai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AC6E3"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1169"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9BC95D6" w14:textId="77777777" w:rsidR="00067A06" w:rsidRPr="00067A06" w:rsidRDefault="00067A06" w:rsidP="00067A06">
            <w:pPr>
              <w:spacing w:after="0" w:line="240" w:lineRule="auto"/>
              <w:jc w:val="center"/>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shd w:val="clear" w:color="auto" w:fill="F2F2F2"/>
                <w:lang w:eastAsia="lt-LT"/>
                <w14:ligatures w14:val="none"/>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CDC08"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1606"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821EC99" w14:textId="77777777" w:rsidR="00067A06" w:rsidRPr="00067A06" w:rsidRDefault="00067A06" w:rsidP="00067A06">
            <w:pPr>
              <w:spacing w:after="0" w:line="240" w:lineRule="auto"/>
              <w:jc w:val="center"/>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shd w:val="clear" w:color="auto" w:fill="FFFFFF"/>
                <w:lang w:eastAsia="lt-LT"/>
                <w14:ligatures w14:val="none"/>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7E8209"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1461"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684F6A4C" w14:textId="77777777" w:rsidR="00067A06" w:rsidRPr="00067A06" w:rsidRDefault="00067A06" w:rsidP="00067A06">
            <w:pPr>
              <w:spacing w:after="0" w:line="240" w:lineRule="auto"/>
              <w:jc w:val="center"/>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shd w:val="clear" w:color="auto" w:fill="F2F2F2"/>
                <w:lang w:eastAsia="lt-LT"/>
                <w14:ligatures w14:val="none"/>
              </w:rPr>
              <w:t>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DD1A8"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1606"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C50F106" w14:textId="77777777" w:rsidR="00067A06" w:rsidRPr="00067A06" w:rsidRDefault="00067A06" w:rsidP="00067A06">
            <w:pPr>
              <w:spacing w:after="0" w:line="240" w:lineRule="auto"/>
              <w:jc w:val="center"/>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shd w:val="clear" w:color="auto" w:fill="FFFFFF"/>
                <w:lang w:eastAsia="lt-LT"/>
                <w14:ligatures w14:val="none"/>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B4899"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1460"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55CF21E" w14:textId="77777777" w:rsidR="00067A06" w:rsidRPr="00067A06" w:rsidRDefault="00067A06" w:rsidP="00067A06">
            <w:pPr>
              <w:spacing w:after="0" w:line="240" w:lineRule="auto"/>
              <w:jc w:val="center"/>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shd w:val="clear" w:color="auto" w:fill="F2F2F2"/>
                <w:lang w:eastAsia="lt-LT"/>
                <w14:ligatures w14:val="none"/>
              </w:rPr>
              <w:t>2026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14F40"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r>
      <w:tr w:rsidR="00067A06" w:rsidRPr="00067A06" w14:paraId="5039F339" w14:textId="77777777" w:rsidTr="00067A06">
        <w:trPr>
          <w:trHeight w:val="276"/>
        </w:trPr>
        <w:tc>
          <w:tcPr>
            <w:tcW w:w="437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C99002" w14:textId="77777777" w:rsidR="00067A06" w:rsidRPr="00067A06" w:rsidRDefault="00067A06" w:rsidP="00067A06">
            <w:pPr>
              <w:spacing w:after="0" w:line="240" w:lineRule="auto"/>
              <w:ind w:left="60"/>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1"/>
                <w:szCs w:val="21"/>
                <w:lang w:eastAsia="lt-LT"/>
                <w14:ligatures w14:val="none"/>
              </w:rPr>
              <w:t>BVP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68327"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A0254B1"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80F39"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6ECE08B" w14:textId="77777777" w:rsidR="00067A06" w:rsidRPr="00067A06" w:rsidRDefault="00067A06" w:rsidP="00067A06">
            <w:pPr>
              <w:spacing w:after="0" w:line="240" w:lineRule="auto"/>
              <w:ind w:right="50"/>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ED803"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F61C8AC"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C69AB"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54E9047"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1AE63"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58BE775"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B1EA9"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6E142B35" w14:textId="77777777" w:rsidR="00067A06" w:rsidRPr="00067A06" w:rsidRDefault="00067A06" w:rsidP="00067A06">
            <w:pPr>
              <w:spacing w:after="0" w:line="240" w:lineRule="auto"/>
              <w:ind w:right="62"/>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A8D16"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3935024"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67C65"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D8F30B1" w14:textId="77777777" w:rsidR="00067A06" w:rsidRPr="00067A06" w:rsidRDefault="00067A06" w:rsidP="00067A06">
            <w:pPr>
              <w:spacing w:after="0" w:line="240" w:lineRule="auto"/>
              <w:ind w:right="50"/>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BD5D5"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4D573CEC"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C8FCD5"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7983BB8" w14:textId="77777777" w:rsidR="00067A06" w:rsidRPr="00067A06" w:rsidRDefault="00067A06" w:rsidP="00067A06">
            <w:pPr>
              <w:spacing w:after="0" w:line="240" w:lineRule="auto"/>
              <w:ind w:right="62"/>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37A821"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r>
      <w:tr w:rsidR="00067A06" w:rsidRPr="00067A06" w14:paraId="0E256E7F" w14:textId="77777777" w:rsidTr="00067A06">
        <w:trPr>
          <w:trHeight w:val="274"/>
        </w:trPr>
        <w:tc>
          <w:tcPr>
            <w:tcW w:w="437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34A7A6" w14:textId="77777777" w:rsidR="00067A06" w:rsidRPr="00067A06" w:rsidRDefault="00067A06" w:rsidP="00067A06">
            <w:pPr>
              <w:spacing w:after="0" w:line="240" w:lineRule="auto"/>
              <w:ind w:left="66"/>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1"/>
                <w:szCs w:val="21"/>
                <w:lang w:eastAsia="lt-LT"/>
                <w14:ligatures w14:val="none"/>
              </w:rPr>
              <w:t>Namų ūkių vartojimo išlaidos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07242"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EFC177B"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DAACB"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52DF0CE" w14:textId="77777777" w:rsidR="00067A06" w:rsidRPr="00067A06" w:rsidRDefault="00067A06" w:rsidP="00067A06">
            <w:pPr>
              <w:spacing w:after="0" w:line="240" w:lineRule="auto"/>
              <w:ind w:right="62"/>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BFE7A"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5DE8108"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0913B4"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B45CDB7" w14:textId="77777777" w:rsidR="00067A06" w:rsidRPr="00067A06" w:rsidRDefault="00067A06" w:rsidP="00067A06">
            <w:pPr>
              <w:spacing w:after="0" w:line="240" w:lineRule="auto"/>
              <w:ind w:right="52"/>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1998E"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29CBFA4"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0D55C"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DB62203" w14:textId="77777777" w:rsidR="00067A06" w:rsidRPr="00067A06" w:rsidRDefault="00067A06" w:rsidP="00067A06">
            <w:pPr>
              <w:spacing w:after="0" w:line="240" w:lineRule="auto"/>
              <w:ind w:right="38"/>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437CAB"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B129313"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1098E"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6F87BA1"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BB0AC"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6A58083"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00D1D"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243DE30" w14:textId="77777777" w:rsidR="00067A06" w:rsidRPr="00067A06" w:rsidRDefault="00067A06" w:rsidP="00067A06">
            <w:pPr>
              <w:spacing w:after="0" w:line="240" w:lineRule="auto"/>
              <w:ind w:right="62"/>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FAA4F"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r>
      <w:tr w:rsidR="00067A06" w:rsidRPr="00067A06" w14:paraId="681DCF2C" w14:textId="77777777" w:rsidTr="00067A06">
        <w:trPr>
          <w:trHeight w:val="274"/>
        </w:trPr>
        <w:tc>
          <w:tcPr>
            <w:tcW w:w="437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0CB0CA" w14:textId="77777777" w:rsidR="00067A06" w:rsidRPr="00067A06" w:rsidRDefault="00067A06" w:rsidP="00067A06">
            <w:pPr>
              <w:spacing w:after="0" w:line="240" w:lineRule="auto"/>
              <w:ind w:left="68"/>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000000"/>
                <w:kern w:val="0"/>
                <w:sz w:val="21"/>
                <w:szCs w:val="21"/>
                <w:lang w:eastAsia="lt-LT"/>
                <w14:ligatures w14:val="none"/>
              </w:rPr>
              <w:t>E</w:t>
            </w:r>
            <w:r w:rsidRPr="00067A06">
              <w:rPr>
                <w:rFonts w:ascii="Arial" w:eastAsia="Times New Roman" w:hAnsi="Arial" w:cs="Arial"/>
                <w:color w:val="222222"/>
                <w:kern w:val="0"/>
                <w:sz w:val="21"/>
                <w:szCs w:val="21"/>
                <w:lang w:eastAsia="lt-LT"/>
                <w14:ligatures w14:val="none"/>
              </w:rPr>
              <w:t>ks</w:t>
            </w:r>
            <w:r w:rsidRPr="00067A06">
              <w:rPr>
                <w:rFonts w:ascii="Arial" w:eastAsia="Times New Roman" w:hAnsi="Arial" w:cs="Arial"/>
                <w:color w:val="000000"/>
                <w:kern w:val="0"/>
                <w:sz w:val="21"/>
                <w:szCs w:val="21"/>
                <w:lang w:eastAsia="lt-LT"/>
                <w14:ligatures w14:val="none"/>
              </w:rPr>
              <w:t>port</w:t>
            </w:r>
            <w:r w:rsidRPr="00067A06">
              <w:rPr>
                <w:rFonts w:ascii="Arial" w:eastAsia="Times New Roman" w:hAnsi="Arial" w:cs="Arial"/>
                <w:color w:val="222222"/>
                <w:kern w:val="0"/>
                <w:sz w:val="21"/>
                <w:szCs w:val="21"/>
                <w:lang w:eastAsia="lt-LT"/>
                <w14:ligatures w14:val="none"/>
              </w:rPr>
              <w: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E70720"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C095D59"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EE996"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463F98F" w14:textId="77777777" w:rsidR="00067A06" w:rsidRPr="00067A06" w:rsidRDefault="00067A06" w:rsidP="00067A06">
            <w:pPr>
              <w:spacing w:after="0" w:line="240" w:lineRule="auto"/>
              <w:ind w:right="50"/>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9A329"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1A54F49"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F72DE"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60469633"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FCFD6B"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A92B203"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3E327"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DEDFC46" w14:textId="77777777" w:rsidR="00067A06" w:rsidRPr="00067A06" w:rsidRDefault="00067A06" w:rsidP="00067A06">
            <w:pPr>
              <w:spacing w:after="0" w:line="240" w:lineRule="auto"/>
              <w:ind w:right="50"/>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3F09C"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626248B7"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C8F96"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E6D5809" w14:textId="77777777" w:rsidR="00067A06" w:rsidRPr="00067A06" w:rsidRDefault="00067A06" w:rsidP="00067A06">
            <w:pPr>
              <w:spacing w:after="0" w:line="240" w:lineRule="auto"/>
              <w:ind w:right="62"/>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75CDC"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38124D0C"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29921"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75963AD" w14:textId="77777777" w:rsidR="00067A06" w:rsidRPr="00067A06" w:rsidRDefault="00067A06" w:rsidP="00067A06">
            <w:pPr>
              <w:spacing w:after="0" w:line="240" w:lineRule="auto"/>
              <w:ind w:right="52"/>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1B1C6"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r>
      <w:tr w:rsidR="00067A06" w:rsidRPr="00067A06" w14:paraId="60FB2A76" w14:textId="77777777" w:rsidTr="00067A06">
        <w:trPr>
          <w:trHeight w:val="276"/>
        </w:trPr>
        <w:tc>
          <w:tcPr>
            <w:tcW w:w="437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A1A772" w14:textId="77777777" w:rsidR="00067A06" w:rsidRPr="00067A06" w:rsidRDefault="00067A06" w:rsidP="00067A06">
            <w:pPr>
              <w:spacing w:after="0" w:line="240" w:lineRule="auto"/>
              <w:ind w:left="69"/>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000000"/>
                <w:kern w:val="0"/>
                <w:sz w:val="21"/>
                <w:szCs w:val="21"/>
                <w:lang w:eastAsia="lt-LT"/>
                <w14:ligatures w14:val="none"/>
              </w:rPr>
              <w:t>Import</w:t>
            </w:r>
            <w:r w:rsidRPr="00067A06">
              <w:rPr>
                <w:rFonts w:ascii="Arial" w:eastAsia="Times New Roman" w:hAnsi="Arial" w:cs="Arial"/>
                <w:color w:val="222222"/>
                <w:kern w:val="0"/>
                <w:sz w:val="21"/>
                <w:szCs w:val="21"/>
                <w:lang w:eastAsia="lt-LT"/>
                <w14:ligatures w14:val="none"/>
              </w:rPr>
              <w: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19FCD"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17C37B8"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242D2"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B7A35E0" w14:textId="77777777" w:rsidR="00067A06" w:rsidRPr="00067A06" w:rsidRDefault="00067A06" w:rsidP="00067A06">
            <w:pPr>
              <w:spacing w:after="0" w:line="240" w:lineRule="auto"/>
              <w:ind w:right="38"/>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1B191"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6B61271"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E622D"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1392C31" w14:textId="77777777" w:rsidR="00067A06" w:rsidRPr="00067A06" w:rsidRDefault="00067A06" w:rsidP="00067A06">
            <w:pPr>
              <w:spacing w:after="0" w:line="240" w:lineRule="auto"/>
              <w:ind w:right="38"/>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13775"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61994D75"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D660F"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3B811E26" w14:textId="77777777" w:rsidR="00067A06" w:rsidRPr="00067A06" w:rsidRDefault="00067A06" w:rsidP="00067A06">
            <w:pPr>
              <w:spacing w:after="0" w:line="240" w:lineRule="auto"/>
              <w:ind w:right="48"/>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E6355"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CE59151"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4974F"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12D8519"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7C9ED"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4EA6BA2"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FDF52"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79732D7"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864B14"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r>
      <w:tr w:rsidR="00067A06" w:rsidRPr="00067A06" w14:paraId="2FFF0DC0" w14:textId="77777777" w:rsidTr="00067A06">
        <w:trPr>
          <w:trHeight w:val="274"/>
        </w:trPr>
        <w:tc>
          <w:tcPr>
            <w:tcW w:w="437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8D5CC" w14:textId="77777777" w:rsidR="00067A06" w:rsidRPr="00067A06" w:rsidRDefault="00067A06" w:rsidP="00067A06">
            <w:pPr>
              <w:spacing w:after="0" w:line="240" w:lineRule="auto"/>
              <w:ind w:left="67"/>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1"/>
                <w:szCs w:val="21"/>
                <w:lang w:eastAsia="lt-LT"/>
                <w14:ligatures w14:val="none"/>
              </w:rPr>
              <w:t>Nedarbas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EC049"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30338DCE"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3F725"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2BD2215" w14:textId="77777777" w:rsidR="00067A06" w:rsidRPr="00067A06" w:rsidRDefault="00067A06" w:rsidP="00067A06">
            <w:pPr>
              <w:spacing w:after="0" w:line="240" w:lineRule="auto"/>
              <w:ind w:right="48"/>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138B9"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179FAC9"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96A1F3"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0CFB236"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F472C6"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EE3CF66"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8621B"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44F88EC8"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A7ADB"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197E21F"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AB2CD"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D3A3FE8" w14:textId="77777777" w:rsidR="00067A06" w:rsidRPr="00067A06" w:rsidRDefault="00067A06" w:rsidP="00067A06">
            <w:pPr>
              <w:spacing w:after="0" w:line="240" w:lineRule="auto"/>
              <w:ind w:right="62"/>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2949A"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63FBB262"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73CA8"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CDED7D1" w14:textId="77777777" w:rsidR="00067A06" w:rsidRPr="00067A06" w:rsidRDefault="00067A06" w:rsidP="00067A06">
            <w:pPr>
              <w:spacing w:after="0" w:line="240" w:lineRule="auto"/>
              <w:ind w:right="48"/>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A3E25"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r>
      <w:tr w:rsidR="00067A06" w:rsidRPr="00067A06" w14:paraId="40CCE1F9" w14:textId="77777777" w:rsidTr="00067A06">
        <w:trPr>
          <w:trHeight w:val="276"/>
        </w:trPr>
        <w:tc>
          <w:tcPr>
            <w:tcW w:w="437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6BF3F69" w14:textId="77777777" w:rsidR="00067A06" w:rsidRPr="00067A06" w:rsidRDefault="00067A06" w:rsidP="00067A06">
            <w:pPr>
              <w:spacing w:after="0" w:line="240" w:lineRule="auto"/>
              <w:ind w:left="59"/>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1"/>
                <w:szCs w:val="21"/>
                <w:lang w:eastAsia="lt-LT"/>
                <w14:ligatures w14:val="none"/>
              </w:rPr>
              <w:t>Infliacija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F095FB"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5B69B2C"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BAA6C"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5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275B6FE" w14:textId="77777777" w:rsidR="00067A06" w:rsidRPr="00067A06" w:rsidRDefault="00067A06" w:rsidP="00067A06">
            <w:pPr>
              <w:spacing w:after="0" w:line="240" w:lineRule="auto"/>
              <w:ind w:right="38"/>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A0C3D"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BB42B17"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614A1"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AB24752"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6DEAB"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397923B5"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BAB92"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2D1F18F" w14:textId="77777777" w:rsidR="00067A06" w:rsidRPr="00067A06" w:rsidRDefault="00067A06" w:rsidP="00067A06">
            <w:pPr>
              <w:spacing w:after="0" w:line="240" w:lineRule="auto"/>
              <w:ind w:right="62"/>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CB59F"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D4050DB"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AAEF6"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87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62C6DF31"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lang w:eastAsia="lt-LT"/>
                <w14:ligatures w14:val="none"/>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6D541D"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374092EF" w14:textId="77777777" w:rsidR="00067A06" w:rsidRPr="00067A06" w:rsidRDefault="00067A06" w:rsidP="00067A06">
            <w:pPr>
              <w:spacing w:after="0" w:line="240" w:lineRule="auto"/>
              <w:ind w:right="26"/>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b/>
                <w:bCs/>
                <w:color w:val="000000"/>
                <w:kern w:val="0"/>
                <w:sz w:val="21"/>
                <w:szCs w:val="21"/>
                <w:lang w:eastAsia="lt-LT"/>
                <w14:ligatures w14:val="none"/>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1AFB8"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c>
          <w:tcPr>
            <w:tcW w:w="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FCF0EF8" w14:textId="77777777" w:rsidR="00067A06" w:rsidRPr="00067A06" w:rsidRDefault="00067A06" w:rsidP="00067A06">
            <w:pPr>
              <w:spacing w:after="0" w:line="240" w:lineRule="auto"/>
              <w:ind w:right="51"/>
              <w:jc w:val="right"/>
              <w:rPr>
                <w:rFonts w:ascii="Arial" w:eastAsia="Times New Roman" w:hAnsi="Arial" w:cs="Arial"/>
                <w:color w:val="222222"/>
                <w:kern w:val="0"/>
                <w:sz w:val="24"/>
                <w:szCs w:val="24"/>
                <w:lang w:eastAsia="lt-LT"/>
                <w14:ligatures w14:val="none"/>
              </w:rPr>
            </w:pPr>
            <w:r w:rsidRPr="00067A06">
              <w:rPr>
                <w:rFonts w:ascii="Arial" w:eastAsia="Times New Roman" w:hAnsi="Arial" w:cs="Arial"/>
                <w:i/>
                <w:iCs/>
                <w:color w:val="000000"/>
                <w:kern w:val="0"/>
                <w:sz w:val="21"/>
                <w:szCs w:val="21"/>
                <w:shd w:val="clear" w:color="auto" w:fill="F2F2F2"/>
                <w:lang w:eastAsia="lt-LT"/>
                <w14:ligatures w14:val="none"/>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E13DD" w14:textId="77777777" w:rsidR="00067A06" w:rsidRPr="00067A06" w:rsidRDefault="00067A06" w:rsidP="00067A06">
            <w:pPr>
              <w:spacing w:after="0" w:line="240" w:lineRule="auto"/>
              <w:rPr>
                <w:rFonts w:ascii="Arial" w:eastAsia="Times New Roman" w:hAnsi="Arial" w:cs="Arial"/>
                <w:color w:val="222222"/>
                <w:kern w:val="0"/>
                <w:sz w:val="24"/>
                <w:szCs w:val="24"/>
                <w:lang w:eastAsia="lt-LT"/>
                <w14:ligatures w14:val="none"/>
              </w:rPr>
            </w:pPr>
          </w:p>
        </w:tc>
      </w:tr>
    </w:tbl>
    <w:p w14:paraId="0F05DB63"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000000"/>
          <w:kern w:val="0"/>
          <w:sz w:val="24"/>
          <w:szCs w:val="24"/>
          <w:lang w:eastAsia="lt-LT"/>
          <w14:ligatures w14:val="none"/>
        </w:rPr>
        <w:t> </w:t>
      </w:r>
    </w:p>
    <w:p w14:paraId="6EBE14D7"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0D327EEF"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lastRenderedPageBreak/>
        <w:t>Fiksuojamas rekordiškai kritęs Švedijos kronos kursas.</w:t>
      </w:r>
      <w:r w:rsidRPr="00067A06">
        <w:rPr>
          <w:rFonts w:ascii="Times New Roman" w:eastAsia="Times New Roman" w:hAnsi="Times New Roman" w:cs="Times New Roman"/>
          <w:color w:val="222222"/>
          <w:kern w:val="0"/>
          <w:sz w:val="24"/>
          <w:szCs w:val="24"/>
          <w:lang w:eastAsia="lt-LT"/>
          <w14:ligatures w14:val="none"/>
        </w:rPr>
        <w:t xml:space="preserve"> Dabar kursas yra 1 euras už 11,81 kronas ir tai yra pats žemiausias kronos kursas per visą jos istoriją. Susilpnėjusi krona iš dalies lėmė nepatogumus, su kuriais susiduria švediškas verslas ir žmonės, </w:t>
      </w:r>
      <w:proofErr w:type="spellStart"/>
      <w:r w:rsidRPr="00067A06">
        <w:rPr>
          <w:rFonts w:ascii="Times New Roman" w:eastAsia="Times New Roman" w:hAnsi="Times New Roman" w:cs="Times New Roman"/>
          <w:color w:val="222222"/>
          <w:kern w:val="0"/>
          <w:sz w:val="24"/>
          <w:szCs w:val="24"/>
          <w:lang w:eastAsia="lt-LT"/>
          <w14:ligatures w14:val="none"/>
        </w:rPr>
        <w:t>t.y</w:t>
      </w:r>
      <w:proofErr w:type="spellEnd"/>
      <w:r w:rsidRPr="00067A06">
        <w:rPr>
          <w:rFonts w:ascii="Times New Roman" w:eastAsia="Times New Roman" w:hAnsi="Times New Roman" w:cs="Times New Roman"/>
          <w:color w:val="222222"/>
          <w:kern w:val="0"/>
          <w:sz w:val="24"/>
          <w:szCs w:val="24"/>
          <w:lang w:eastAsia="lt-LT"/>
          <w14:ligatures w14:val="none"/>
        </w:rPr>
        <w:t>. išaugusias importo kaštus, kainų kilimą, patiriamas didesnes išlaidas keliaujant į užsienį. Kronos silpnėjimas susijęs ir su sudėtinga Švedijos nekilnojamo turto situacija bei palūkanų normų kėlimu. Viešojoje erdvėje tiek iš ekspertų, tiek iš verslo atstovų vis labiau matomi raginimai grįžti prie diskusijų apie galimą euro įvedimą Švedijoje ateityje.</w:t>
      </w:r>
    </w:p>
    <w:p w14:paraId="653C4FFE"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color w:val="222222"/>
          <w:kern w:val="0"/>
          <w:sz w:val="24"/>
          <w:szCs w:val="24"/>
          <w:lang w:eastAsia="lt-LT"/>
          <w14:ligatures w14:val="none"/>
        </w:rPr>
        <w:t> </w:t>
      </w:r>
    </w:p>
    <w:p w14:paraId="55D5B3D1"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Švedijos nacionalinis bankas padidino palūkanų normas 0,25%.</w:t>
      </w:r>
      <w:r w:rsidRPr="00067A06">
        <w:rPr>
          <w:rFonts w:ascii="Times New Roman" w:eastAsia="Times New Roman" w:hAnsi="Times New Roman" w:cs="Times New Roman"/>
          <w:color w:val="222222"/>
          <w:kern w:val="0"/>
          <w:sz w:val="24"/>
          <w:szCs w:val="24"/>
          <w:lang w:eastAsia="lt-LT"/>
          <w14:ligatures w14:val="none"/>
        </w:rPr>
        <w:t> Dabar šis rodiklis siekia </w:t>
      </w:r>
      <w:r w:rsidRPr="00067A06">
        <w:rPr>
          <w:rFonts w:ascii="Times New Roman" w:eastAsia="Times New Roman" w:hAnsi="Times New Roman" w:cs="Times New Roman"/>
          <w:color w:val="222222"/>
          <w:kern w:val="0"/>
          <w:sz w:val="24"/>
          <w:szCs w:val="24"/>
          <w:lang w:val="sv-SE" w:eastAsia="lt-LT"/>
          <w14:ligatures w14:val="none"/>
        </w:rPr>
        <w:t>3,75%</w:t>
      </w:r>
      <w:r w:rsidRPr="00067A06">
        <w:rPr>
          <w:rFonts w:ascii="Times New Roman" w:eastAsia="Times New Roman" w:hAnsi="Times New Roman" w:cs="Times New Roman"/>
          <w:color w:val="222222"/>
          <w:kern w:val="0"/>
          <w:sz w:val="24"/>
          <w:szCs w:val="24"/>
          <w:lang w:eastAsia="lt-LT"/>
          <w14:ligatures w14:val="none"/>
        </w:rPr>
        <w:t>, numatoma, kad palūkanų normos dar bent kartą kils šiais metais. Sprendimas viešojoje erdvėje pasitiktas neigiamai, banko veiksmus kritikuoja verslas. Teigiama, kad palūkanų normų didėjimas ,,sulaužys“ statybų sektorių, kadangi ir tai sumažėjęs investavimas į nekilnojamo turto projektus, neišvengiamai mažės ir toliau.</w:t>
      </w:r>
    </w:p>
    <w:p w14:paraId="02602C06"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3E85A684"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 xml:space="preserve">Švedijoje - nepasitenkinimas </w:t>
      </w:r>
      <w:proofErr w:type="spellStart"/>
      <w:r w:rsidRPr="00067A06">
        <w:rPr>
          <w:rFonts w:ascii="Times New Roman" w:eastAsia="Times New Roman" w:hAnsi="Times New Roman" w:cs="Times New Roman"/>
          <w:b/>
          <w:bCs/>
          <w:color w:val="222222"/>
          <w:kern w:val="0"/>
          <w:sz w:val="24"/>
          <w:szCs w:val="24"/>
          <w:lang w:eastAsia="lt-LT"/>
          <w14:ligatures w14:val="none"/>
        </w:rPr>
        <w:t>Mondelez</w:t>
      </w:r>
      <w:proofErr w:type="spellEnd"/>
      <w:r w:rsidRPr="00067A06">
        <w:rPr>
          <w:rFonts w:ascii="Times New Roman" w:eastAsia="Times New Roman" w:hAnsi="Times New Roman" w:cs="Times New Roman"/>
          <w:b/>
          <w:bCs/>
          <w:color w:val="222222"/>
          <w:kern w:val="0"/>
          <w:sz w:val="24"/>
          <w:szCs w:val="24"/>
          <w:lang w:eastAsia="lt-LT"/>
          <w14:ligatures w14:val="none"/>
        </w:rPr>
        <w:t xml:space="preserve"> įmonių grupe ir jos produkcijos boikotavimas</w:t>
      </w:r>
      <w:r w:rsidRPr="00067A06">
        <w:rPr>
          <w:rFonts w:ascii="Times New Roman" w:eastAsia="Times New Roman" w:hAnsi="Times New Roman" w:cs="Times New Roman"/>
          <w:color w:val="222222"/>
          <w:kern w:val="0"/>
          <w:sz w:val="24"/>
          <w:szCs w:val="24"/>
          <w:lang w:eastAsia="lt-LT"/>
          <w14:ligatures w14:val="none"/>
        </w:rPr>
        <w:t xml:space="preserve">. Ukrainai įtraukus </w:t>
      </w:r>
      <w:proofErr w:type="spellStart"/>
      <w:r w:rsidRPr="00067A06">
        <w:rPr>
          <w:rFonts w:ascii="Times New Roman" w:eastAsia="Times New Roman" w:hAnsi="Times New Roman" w:cs="Times New Roman"/>
          <w:color w:val="222222"/>
          <w:kern w:val="0"/>
          <w:sz w:val="24"/>
          <w:szCs w:val="24"/>
          <w:lang w:eastAsia="lt-LT"/>
          <w14:ligatures w14:val="none"/>
        </w:rPr>
        <w:t>Mondelez</w:t>
      </w:r>
      <w:proofErr w:type="spellEnd"/>
      <w:r w:rsidRPr="00067A06">
        <w:rPr>
          <w:rFonts w:ascii="Times New Roman" w:eastAsia="Times New Roman" w:hAnsi="Times New Roman" w:cs="Times New Roman"/>
          <w:color w:val="222222"/>
          <w:kern w:val="0"/>
          <w:sz w:val="24"/>
          <w:szCs w:val="24"/>
          <w:lang w:eastAsia="lt-LT"/>
          <w14:ligatures w14:val="none"/>
        </w:rPr>
        <w:t xml:space="preserve"> į juodąjį sąrašą įmonių, kurios vis dar vykdo veiklą Rusijoje, Švedijoje kilo didelis nepasitenkinimas didžiausiu Švedijos šokolado gamintojo </w:t>
      </w:r>
      <w:proofErr w:type="spellStart"/>
      <w:r w:rsidRPr="00067A06">
        <w:rPr>
          <w:rFonts w:ascii="Times New Roman" w:eastAsia="Times New Roman" w:hAnsi="Times New Roman" w:cs="Times New Roman"/>
          <w:color w:val="222222"/>
          <w:kern w:val="0"/>
          <w:sz w:val="24"/>
          <w:szCs w:val="24"/>
          <w:lang w:eastAsia="lt-LT"/>
          <w14:ligatures w14:val="none"/>
        </w:rPr>
        <w:t>Marabou</w:t>
      </w:r>
      <w:proofErr w:type="spellEnd"/>
      <w:r w:rsidRPr="00067A06">
        <w:rPr>
          <w:rFonts w:ascii="Times New Roman" w:eastAsia="Times New Roman" w:hAnsi="Times New Roman" w:cs="Times New Roman"/>
          <w:color w:val="222222"/>
          <w:kern w:val="0"/>
          <w:sz w:val="24"/>
          <w:szCs w:val="24"/>
          <w:lang w:eastAsia="lt-LT"/>
          <w14:ligatures w14:val="none"/>
        </w:rPr>
        <w:t xml:space="preserve">, kuris priklauso </w:t>
      </w:r>
      <w:proofErr w:type="spellStart"/>
      <w:r w:rsidRPr="00067A06">
        <w:rPr>
          <w:rFonts w:ascii="Times New Roman" w:eastAsia="Times New Roman" w:hAnsi="Times New Roman" w:cs="Times New Roman"/>
          <w:color w:val="222222"/>
          <w:kern w:val="0"/>
          <w:sz w:val="24"/>
          <w:szCs w:val="24"/>
          <w:lang w:eastAsia="lt-LT"/>
          <w14:ligatures w14:val="none"/>
        </w:rPr>
        <w:t>Mondelez</w:t>
      </w:r>
      <w:proofErr w:type="spellEnd"/>
      <w:r w:rsidRPr="00067A06">
        <w:rPr>
          <w:rFonts w:ascii="Times New Roman" w:eastAsia="Times New Roman" w:hAnsi="Times New Roman" w:cs="Times New Roman"/>
          <w:color w:val="222222"/>
          <w:kern w:val="0"/>
          <w:sz w:val="24"/>
          <w:szCs w:val="24"/>
          <w:lang w:eastAsia="lt-LT"/>
          <w14:ligatures w14:val="none"/>
        </w:rPr>
        <w:t xml:space="preserve"> įmonių grupei. Reaguojant į situaciją produkciją tol, kol </w:t>
      </w:r>
      <w:proofErr w:type="spellStart"/>
      <w:r w:rsidRPr="00067A06">
        <w:rPr>
          <w:rFonts w:ascii="Times New Roman" w:eastAsia="Times New Roman" w:hAnsi="Times New Roman" w:cs="Times New Roman"/>
          <w:color w:val="222222"/>
          <w:kern w:val="0"/>
          <w:sz w:val="24"/>
          <w:szCs w:val="24"/>
          <w:lang w:eastAsia="lt-LT"/>
          <w14:ligatures w14:val="none"/>
        </w:rPr>
        <w:t>Mondelez</w:t>
      </w:r>
      <w:proofErr w:type="spellEnd"/>
      <w:r w:rsidRPr="00067A06">
        <w:rPr>
          <w:rFonts w:ascii="Times New Roman" w:eastAsia="Times New Roman" w:hAnsi="Times New Roman" w:cs="Times New Roman"/>
          <w:color w:val="222222"/>
          <w:kern w:val="0"/>
          <w:sz w:val="24"/>
          <w:szCs w:val="24"/>
          <w:lang w:eastAsia="lt-LT"/>
          <w14:ligatures w14:val="none"/>
        </w:rPr>
        <w:t xml:space="preserve"> vykdys veiklą Rusijoje, boikotuoja Švedijos geležinkelių operatorius SJ, keltų operatorius Stena Line, oro linijos SAS, IKEA parduotuvės, atrakcionų parkai, futbolo komandos, Švedijos ginkluotosios pajėgos ir eilė mažesnių įmonių. </w:t>
      </w:r>
      <w:proofErr w:type="spellStart"/>
      <w:r w:rsidRPr="00067A06">
        <w:rPr>
          <w:rFonts w:ascii="Times New Roman" w:eastAsia="Times New Roman" w:hAnsi="Times New Roman" w:cs="Times New Roman"/>
          <w:color w:val="222222"/>
          <w:kern w:val="0"/>
          <w:sz w:val="24"/>
          <w:szCs w:val="24"/>
          <w:lang w:eastAsia="lt-LT"/>
          <w14:ligatures w14:val="none"/>
        </w:rPr>
        <w:t>Marabou</w:t>
      </w:r>
      <w:proofErr w:type="spellEnd"/>
      <w:r w:rsidRPr="00067A06">
        <w:rPr>
          <w:rFonts w:ascii="Times New Roman" w:eastAsia="Times New Roman" w:hAnsi="Times New Roman" w:cs="Times New Roman"/>
          <w:color w:val="222222"/>
          <w:kern w:val="0"/>
          <w:sz w:val="24"/>
          <w:szCs w:val="24"/>
          <w:lang w:eastAsia="lt-LT"/>
          <w14:ligatures w14:val="none"/>
        </w:rPr>
        <w:t xml:space="preserve"> atstovai išsamių komentarų neteikia apsiribodami pasakymu, kad </w:t>
      </w:r>
      <w:proofErr w:type="spellStart"/>
      <w:r w:rsidRPr="00067A06">
        <w:rPr>
          <w:rFonts w:ascii="Times New Roman" w:eastAsia="Times New Roman" w:hAnsi="Times New Roman" w:cs="Times New Roman"/>
          <w:color w:val="222222"/>
          <w:kern w:val="0"/>
          <w:sz w:val="24"/>
          <w:szCs w:val="24"/>
          <w:lang w:eastAsia="lt-LT"/>
          <w14:ligatures w14:val="none"/>
        </w:rPr>
        <w:t>Marabou</w:t>
      </w:r>
      <w:proofErr w:type="spellEnd"/>
      <w:r w:rsidRPr="00067A06">
        <w:rPr>
          <w:rFonts w:ascii="Times New Roman" w:eastAsia="Times New Roman" w:hAnsi="Times New Roman" w:cs="Times New Roman"/>
          <w:color w:val="222222"/>
          <w:kern w:val="0"/>
          <w:sz w:val="24"/>
          <w:szCs w:val="24"/>
          <w:lang w:eastAsia="lt-LT"/>
          <w14:ligatures w14:val="none"/>
        </w:rPr>
        <w:t xml:space="preserve"> nedalyvauja politikoje, neremia karo ir šokoladą gamina ir pardavinėja tik Švedijoje.</w:t>
      </w:r>
    </w:p>
    <w:p w14:paraId="2851E29C"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686F3E2E"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Po planuojamų investicijų iš trečiųjų šalių tikrinimo Vyriausybė gali uždrausti šalies institucijoms eksploatuoti Volvo automobilius. </w:t>
      </w:r>
      <w:r w:rsidRPr="00067A06">
        <w:rPr>
          <w:rFonts w:ascii="Times New Roman" w:eastAsia="Times New Roman" w:hAnsi="Times New Roman" w:cs="Times New Roman"/>
          <w:color w:val="222222"/>
          <w:kern w:val="0"/>
          <w:sz w:val="24"/>
          <w:szCs w:val="24"/>
          <w:lang w:eastAsia="lt-LT"/>
          <w14:ligatures w14:val="none"/>
        </w:rPr>
        <w:t xml:space="preserve">Švedija šių metų gale priims naująjį įstatymą, kuriuo bus stiprinama investicinių projektų iš trečiųjų šalių peržiūra, neslepiant, kad didžiausią rūpestį kelia investicijos iš Kinijos į strateginės reikšmės švediškas įmones. Skirtingais duomenimis Švedijoje yra bent 120 investicinių projektų iš Kinijos, priskaičiuojama 1500 įmonių, kurioms vadovauja Kinijos piliečiai. Nemaža dalis tokių įmonių priklauso jautriems sektoriams, o Volvo yra vienas ryškesnių pavyzdžių. Dabar ekspertai spėja, kad Vyriausybei gali tekti imtis veiksmų ir drausti institucijoms, įsigyti Volvo automobilius, bijoma, kad jose esančios technologijos teoriškai gali įrašinėti pokalbius, kaupti kitą informaciją. Yra jau ir konkrečių žingsnių, tačiau dėl kitų priežasčių. </w:t>
      </w:r>
      <w:proofErr w:type="spellStart"/>
      <w:r w:rsidRPr="00067A06">
        <w:rPr>
          <w:rFonts w:ascii="Times New Roman" w:eastAsia="Times New Roman" w:hAnsi="Times New Roman" w:cs="Times New Roman"/>
          <w:color w:val="222222"/>
          <w:kern w:val="0"/>
          <w:sz w:val="24"/>
          <w:szCs w:val="24"/>
          <w:lang w:eastAsia="lt-LT"/>
          <w14:ligatures w14:val="none"/>
        </w:rPr>
        <w:t>Västra</w:t>
      </w:r>
      <w:proofErr w:type="spellEnd"/>
      <w:r w:rsidRPr="00067A06">
        <w:rPr>
          <w:rFonts w:ascii="Times New Roman" w:eastAsia="Times New Roman" w:hAnsi="Times New Roman" w:cs="Times New Roman"/>
          <w:color w:val="222222"/>
          <w:kern w:val="0"/>
          <w:sz w:val="24"/>
          <w:szCs w:val="24"/>
          <w:lang w:eastAsia="lt-LT"/>
          <w14:ligatures w14:val="none"/>
        </w:rPr>
        <w:t xml:space="preserve"> </w:t>
      </w:r>
      <w:proofErr w:type="spellStart"/>
      <w:r w:rsidRPr="00067A06">
        <w:rPr>
          <w:rFonts w:ascii="Times New Roman" w:eastAsia="Times New Roman" w:hAnsi="Times New Roman" w:cs="Times New Roman"/>
          <w:color w:val="222222"/>
          <w:kern w:val="0"/>
          <w:sz w:val="24"/>
          <w:szCs w:val="24"/>
          <w:lang w:eastAsia="lt-LT"/>
          <w14:ligatures w14:val="none"/>
        </w:rPr>
        <w:t>Götaland</w:t>
      </w:r>
      <w:proofErr w:type="spellEnd"/>
      <w:r w:rsidRPr="00067A06">
        <w:rPr>
          <w:rFonts w:ascii="Times New Roman" w:eastAsia="Times New Roman" w:hAnsi="Times New Roman" w:cs="Times New Roman"/>
          <w:color w:val="222222"/>
          <w:kern w:val="0"/>
          <w:sz w:val="24"/>
          <w:szCs w:val="24"/>
          <w:lang w:eastAsia="lt-LT"/>
          <w14:ligatures w14:val="none"/>
        </w:rPr>
        <w:t xml:space="preserve"> regionas svarsto boikotuoti Volvo automobilius po to, kai Ukraina nusprendė įtraukti savo pagrindinį savininką iš Kinijos „</w:t>
      </w:r>
      <w:proofErr w:type="spellStart"/>
      <w:r w:rsidRPr="00067A06">
        <w:rPr>
          <w:rFonts w:ascii="Times New Roman" w:eastAsia="Times New Roman" w:hAnsi="Times New Roman" w:cs="Times New Roman"/>
          <w:color w:val="222222"/>
          <w:kern w:val="0"/>
          <w:sz w:val="24"/>
          <w:szCs w:val="24"/>
          <w:lang w:eastAsia="lt-LT"/>
          <w14:ligatures w14:val="none"/>
        </w:rPr>
        <w:t>Geely</w:t>
      </w:r>
      <w:proofErr w:type="spellEnd"/>
      <w:r w:rsidRPr="00067A06">
        <w:rPr>
          <w:rFonts w:ascii="Times New Roman" w:eastAsia="Times New Roman" w:hAnsi="Times New Roman" w:cs="Times New Roman"/>
          <w:color w:val="222222"/>
          <w:kern w:val="0"/>
          <w:sz w:val="24"/>
          <w:szCs w:val="24"/>
          <w:lang w:eastAsia="lt-LT"/>
          <w14:ligatures w14:val="none"/>
        </w:rPr>
        <w:t xml:space="preserve">“ į juodąjį sąrašą.  Įmonė „Volvo </w:t>
      </w:r>
      <w:proofErr w:type="spellStart"/>
      <w:r w:rsidRPr="00067A06">
        <w:rPr>
          <w:rFonts w:ascii="Times New Roman" w:eastAsia="Times New Roman" w:hAnsi="Times New Roman" w:cs="Times New Roman"/>
          <w:color w:val="222222"/>
          <w:kern w:val="0"/>
          <w:sz w:val="24"/>
          <w:szCs w:val="24"/>
          <w:lang w:eastAsia="lt-LT"/>
          <w14:ligatures w14:val="none"/>
        </w:rPr>
        <w:t>Cars</w:t>
      </w:r>
      <w:proofErr w:type="spellEnd"/>
      <w:r w:rsidRPr="00067A06">
        <w:rPr>
          <w:rFonts w:ascii="Times New Roman" w:eastAsia="Times New Roman" w:hAnsi="Times New Roman" w:cs="Times New Roman"/>
          <w:color w:val="222222"/>
          <w:kern w:val="0"/>
          <w:sz w:val="24"/>
          <w:szCs w:val="24"/>
          <w:lang w:eastAsia="lt-LT"/>
          <w14:ligatures w14:val="none"/>
        </w:rPr>
        <w:t>“ kritiką atmeta ir pabrėžia, kad ji neturi jokių ryšių su Rusija.</w:t>
      </w:r>
    </w:p>
    <w:p w14:paraId="0EB15DCE"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45685B50"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Švedijos parlamentas patvirtino tikslą iki 2040 m. pasiekti energijos gamybą tik iš šaltinių be iškastinio kuro.  </w:t>
      </w:r>
      <w:r w:rsidRPr="00067A06">
        <w:rPr>
          <w:rFonts w:ascii="Times New Roman" w:eastAsia="Times New Roman" w:hAnsi="Times New Roman" w:cs="Times New Roman"/>
          <w:color w:val="222222"/>
          <w:kern w:val="0"/>
          <w:sz w:val="24"/>
          <w:szCs w:val="24"/>
          <w:lang w:eastAsia="lt-LT"/>
          <w14:ligatures w14:val="none"/>
        </w:rPr>
        <w:t>Ankstesnis tikslas buvo, kad visi Švedijoje pagaminta energija būtų gaunama iš atsinaujinančių šaltinių iki 2040 m. Pokytis padarytas dabartinei Vyriausybei nusprendus keisti Švedijos energetikos politiką ir jos pagrindu laikyti branduolinės energetikos vystymą šalyje.</w:t>
      </w:r>
    </w:p>
    <w:p w14:paraId="4F83DDBC"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color w:val="222222"/>
          <w:kern w:val="0"/>
          <w:sz w:val="24"/>
          <w:szCs w:val="24"/>
          <w:lang w:eastAsia="lt-LT"/>
          <w14:ligatures w14:val="none"/>
        </w:rPr>
        <w:t> </w:t>
      </w:r>
    </w:p>
    <w:p w14:paraId="10DE4EB1"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Susilpnėjusi Švedijos krona lems, kad mažiau švedų per atostogas keliaus į užsienį. </w:t>
      </w:r>
      <w:r w:rsidRPr="00067A06">
        <w:rPr>
          <w:rFonts w:ascii="Times New Roman" w:eastAsia="Times New Roman" w:hAnsi="Times New Roman" w:cs="Times New Roman"/>
          <w:color w:val="222222"/>
          <w:kern w:val="0"/>
          <w:sz w:val="24"/>
          <w:szCs w:val="24"/>
          <w:lang w:eastAsia="lt-LT"/>
          <w14:ligatures w14:val="none"/>
        </w:rPr>
        <w:t>Žiniasklaidoje pranešama, kad susilpnėjusi krona išeis į naudą šalies turizmo sektoriui. Matoma tendencija, kad švedai šią vasarą labiau negu bet kada yra linkę keliauti šalies viduje, susilaiko nuo mažesnių (savaitgalio, kelių dienų) kelionių į užsienį. Tuo pačiu, matoma tendencija, kad pačioje Švedijoje didėja užsienio turistų skaičius.</w:t>
      </w:r>
    </w:p>
    <w:p w14:paraId="3B7D842A"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color w:val="222222"/>
          <w:kern w:val="0"/>
          <w:sz w:val="24"/>
          <w:szCs w:val="24"/>
          <w:lang w:eastAsia="lt-LT"/>
          <w14:ligatures w14:val="none"/>
        </w:rPr>
        <w:t> </w:t>
      </w:r>
    </w:p>
    <w:p w14:paraId="59440B02"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lastRenderedPageBreak/>
        <w:t>Valstybė per ateinančius trejus metus investuos 0,5 mlrd. Švedijos kronų į skaitmeninimo plėtrą</w:t>
      </w:r>
      <w:r w:rsidRPr="00067A06">
        <w:rPr>
          <w:rFonts w:ascii="Times New Roman" w:eastAsia="Times New Roman" w:hAnsi="Times New Roman" w:cs="Times New Roman"/>
          <w:color w:val="222222"/>
          <w:kern w:val="0"/>
          <w:sz w:val="24"/>
          <w:szCs w:val="24"/>
          <w:lang w:eastAsia="lt-LT"/>
          <w14:ligatures w14:val="none"/>
        </w:rPr>
        <w:t>. Investicijomis bus finansuojama inovacijų ir tyrimų programa </w:t>
      </w:r>
      <w:proofErr w:type="spellStart"/>
      <w:r w:rsidRPr="00067A06">
        <w:rPr>
          <w:rFonts w:ascii="Times New Roman" w:eastAsia="Times New Roman" w:hAnsi="Times New Roman" w:cs="Times New Roman"/>
          <w:i/>
          <w:iCs/>
          <w:color w:val="222222"/>
          <w:kern w:val="0"/>
          <w:sz w:val="24"/>
          <w:szCs w:val="24"/>
          <w:lang w:eastAsia="lt-LT"/>
          <w14:ligatures w14:val="none"/>
        </w:rPr>
        <w:t>Avancerad</w:t>
      </w:r>
      <w:proofErr w:type="spellEnd"/>
      <w:r w:rsidRPr="00067A06">
        <w:rPr>
          <w:rFonts w:ascii="Times New Roman" w:eastAsia="Times New Roman" w:hAnsi="Times New Roman" w:cs="Times New Roman"/>
          <w:i/>
          <w:iCs/>
          <w:color w:val="222222"/>
          <w:kern w:val="0"/>
          <w:sz w:val="24"/>
          <w:szCs w:val="24"/>
          <w:lang w:eastAsia="lt-LT"/>
          <w14:ligatures w14:val="none"/>
        </w:rPr>
        <w:t xml:space="preserve"> </w:t>
      </w:r>
      <w:proofErr w:type="spellStart"/>
      <w:r w:rsidRPr="00067A06">
        <w:rPr>
          <w:rFonts w:ascii="Times New Roman" w:eastAsia="Times New Roman" w:hAnsi="Times New Roman" w:cs="Times New Roman"/>
          <w:i/>
          <w:iCs/>
          <w:color w:val="222222"/>
          <w:kern w:val="0"/>
          <w:sz w:val="24"/>
          <w:szCs w:val="24"/>
          <w:lang w:eastAsia="lt-LT"/>
          <w14:ligatures w14:val="none"/>
        </w:rPr>
        <w:t>digitalisering</w:t>
      </w:r>
      <w:proofErr w:type="spellEnd"/>
      <w:r w:rsidRPr="00067A06">
        <w:rPr>
          <w:rFonts w:ascii="Times New Roman" w:eastAsia="Times New Roman" w:hAnsi="Times New Roman" w:cs="Times New Roman"/>
          <w:color w:val="222222"/>
          <w:kern w:val="0"/>
          <w:sz w:val="24"/>
          <w:szCs w:val="24"/>
          <w:lang w:eastAsia="lt-LT"/>
          <w14:ligatures w14:val="none"/>
        </w:rPr>
        <w:t> (liet.</w:t>
      </w:r>
      <w:r w:rsidRPr="00067A06">
        <w:rPr>
          <w:rFonts w:ascii="Times New Roman" w:eastAsia="Times New Roman" w:hAnsi="Times New Roman" w:cs="Times New Roman"/>
          <w:i/>
          <w:iCs/>
          <w:color w:val="222222"/>
          <w:kern w:val="0"/>
          <w:sz w:val="24"/>
          <w:szCs w:val="24"/>
          <w:lang w:eastAsia="lt-LT"/>
          <w14:ligatures w14:val="none"/>
        </w:rPr>
        <w:t> </w:t>
      </w:r>
      <w:r w:rsidRPr="00067A06">
        <w:rPr>
          <w:rFonts w:ascii="Times New Roman" w:eastAsia="Times New Roman" w:hAnsi="Times New Roman" w:cs="Times New Roman"/>
          <w:color w:val="222222"/>
          <w:kern w:val="0"/>
          <w:sz w:val="24"/>
          <w:szCs w:val="24"/>
          <w:lang w:eastAsia="lt-LT"/>
          <w14:ligatures w14:val="none"/>
        </w:rPr>
        <w:t xml:space="preserve">Pažangi </w:t>
      </w:r>
      <w:proofErr w:type="spellStart"/>
      <w:r w:rsidRPr="00067A06">
        <w:rPr>
          <w:rFonts w:ascii="Times New Roman" w:eastAsia="Times New Roman" w:hAnsi="Times New Roman" w:cs="Times New Roman"/>
          <w:color w:val="222222"/>
          <w:kern w:val="0"/>
          <w:sz w:val="24"/>
          <w:szCs w:val="24"/>
          <w:lang w:eastAsia="lt-LT"/>
          <w14:ligatures w14:val="none"/>
        </w:rPr>
        <w:t>skaitmenizacija</w:t>
      </w:r>
      <w:proofErr w:type="spellEnd"/>
      <w:r w:rsidRPr="00067A06">
        <w:rPr>
          <w:rFonts w:ascii="Times New Roman" w:eastAsia="Times New Roman" w:hAnsi="Times New Roman" w:cs="Times New Roman"/>
          <w:color w:val="222222"/>
          <w:kern w:val="0"/>
          <w:sz w:val="24"/>
          <w:szCs w:val="24"/>
          <w:lang w:eastAsia="lt-LT"/>
          <w14:ligatures w14:val="none"/>
        </w:rPr>
        <w:t>), į kurią verslas gali kreiptis ir gauti projektinį finansavimą. Numatoma, kad programa padės spręsti problemą, kad apie 6 % Švedijos gyventojų yra skaitmeninės atskirties būsenoje.</w:t>
      </w:r>
    </w:p>
    <w:p w14:paraId="22673E12"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color w:val="222222"/>
          <w:kern w:val="0"/>
          <w:sz w:val="24"/>
          <w:szCs w:val="24"/>
          <w:lang w:eastAsia="lt-LT"/>
          <w14:ligatures w14:val="none"/>
        </w:rPr>
        <w:t> </w:t>
      </w:r>
    </w:p>
    <w:p w14:paraId="6DC4F30E"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Švedijos elektros energijos eksportas didės iki 2026 m.</w:t>
      </w:r>
      <w:r w:rsidRPr="00067A06">
        <w:rPr>
          <w:rFonts w:ascii="Times New Roman" w:eastAsia="Times New Roman" w:hAnsi="Times New Roman" w:cs="Times New Roman"/>
          <w:color w:val="222222"/>
          <w:kern w:val="0"/>
          <w:sz w:val="24"/>
          <w:szCs w:val="24"/>
          <w:lang w:eastAsia="lt-LT"/>
          <w14:ligatures w14:val="none"/>
        </w:rPr>
        <w:t xml:space="preserve"> Remiantis naujausiomis Švedijos energetikos agentūros prognozėmis, Švedijos elektros gamyba augs greičiau nei suvartojimas, todėl iki 2026 m. elektros energijos eksportas didės. Prognozėje pabrėžiami veiksniai, įskaitant atidėtą pramonės startą ir transporto sektoriaus elektrifikavimą, kurie prisideda prie padidėjusios elektros paklausos. Tikimasi, kad iki 2026 m. vėjo energijos gamyba padvigubės ir pasieks 52 </w:t>
      </w:r>
      <w:proofErr w:type="spellStart"/>
      <w:r w:rsidRPr="00067A06">
        <w:rPr>
          <w:rFonts w:ascii="Times New Roman" w:eastAsia="Times New Roman" w:hAnsi="Times New Roman" w:cs="Times New Roman"/>
          <w:color w:val="222222"/>
          <w:kern w:val="0"/>
          <w:sz w:val="24"/>
          <w:szCs w:val="24"/>
          <w:lang w:eastAsia="lt-LT"/>
          <w14:ligatures w14:val="none"/>
        </w:rPr>
        <w:t>TWh</w:t>
      </w:r>
      <w:proofErr w:type="spellEnd"/>
      <w:r w:rsidRPr="00067A06">
        <w:rPr>
          <w:rFonts w:ascii="Times New Roman" w:eastAsia="Times New Roman" w:hAnsi="Times New Roman" w:cs="Times New Roman"/>
          <w:color w:val="222222"/>
          <w:kern w:val="0"/>
          <w:sz w:val="24"/>
          <w:szCs w:val="24"/>
          <w:lang w:eastAsia="lt-LT"/>
          <w14:ligatures w14:val="none"/>
        </w:rPr>
        <w:t xml:space="preserve">. Prognozuojama, kad saulės energija išaugs nuo 1,1 </w:t>
      </w:r>
      <w:proofErr w:type="spellStart"/>
      <w:r w:rsidRPr="00067A06">
        <w:rPr>
          <w:rFonts w:ascii="Times New Roman" w:eastAsia="Times New Roman" w:hAnsi="Times New Roman" w:cs="Times New Roman"/>
          <w:color w:val="222222"/>
          <w:kern w:val="0"/>
          <w:sz w:val="24"/>
          <w:szCs w:val="24"/>
          <w:lang w:eastAsia="lt-LT"/>
          <w14:ligatures w14:val="none"/>
        </w:rPr>
        <w:t>TWh</w:t>
      </w:r>
      <w:proofErr w:type="spellEnd"/>
      <w:r w:rsidRPr="00067A06">
        <w:rPr>
          <w:rFonts w:ascii="Times New Roman" w:eastAsia="Times New Roman" w:hAnsi="Times New Roman" w:cs="Times New Roman"/>
          <w:color w:val="222222"/>
          <w:kern w:val="0"/>
          <w:sz w:val="24"/>
          <w:szCs w:val="24"/>
          <w:lang w:eastAsia="lt-LT"/>
          <w14:ligatures w14:val="none"/>
        </w:rPr>
        <w:t xml:space="preserve"> 2021 m. iki 7,1 </w:t>
      </w:r>
      <w:proofErr w:type="spellStart"/>
      <w:r w:rsidRPr="00067A06">
        <w:rPr>
          <w:rFonts w:ascii="Times New Roman" w:eastAsia="Times New Roman" w:hAnsi="Times New Roman" w:cs="Times New Roman"/>
          <w:color w:val="222222"/>
          <w:kern w:val="0"/>
          <w:sz w:val="24"/>
          <w:szCs w:val="24"/>
          <w:lang w:eastAsia="lt-LT"/>
          <w14:ligatures w14:val="none"/>
        </w:rPr>
        <w:t>TWh</w:t>
      </w:r>
      <w:proofErr w:type="spellEnd"/>
      <w:r w:rsidRPr="00067A06">
        <w:rPr>
          <w:rFonts w:ascii="Times New Roman" w:eastAsia="Times New Roman" w:hAnsi="Times New Roman" w:cs="Times New Roman"/>
          <w:color w:val="222222"/>
          <w:kern w:val="0"/>
          <w:sz w:val="24"/>
          <w:szCs w:val="24"/>
          <w:lang w:eastAsia="lt-LT"/>
          <w14:ligatures w14:val="none"/>
        </w:rPr>
        <w:t xml:space="preserve"> 2026 m., o tai rodo reikšmingą atsinaujinančių energijos šaltinių augimą. Tačiau prognozė taip pat rodo, kad nuo 2024 m. padidės iškastinio kuro naudojimas.</w:t>
      </w:r>
    </w:p>
    <w:p w14:paraId="37AD5AF8"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color w:val="222222"/>
          <w:kern w:val="0"/>
          <w:sz w:val="24"/>
          <w:szCs w:val="24"/>
          <w:lang w:eastAsia="lt-LT"/>
          <w14:ligatures w14:val="none"/>
        </w:rPr>
        <w:t> </w:t>
      </w:r>
    </w:p>
    <w:p w14:paraId="1087B1BD" w14:textId="77777777" w:rsidR="00067A06" w:rsidRPr="00067A06" w:rsidRDefault="00067A06" w:rsidP="00067A06">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color w:val="222222"/>
          <w:kern w:val="0"/>
          <w:sz w:val="24"/>
          <w:szCs w:val="24"/>
          <w:lang w:eastAsia="lt-LT"/>
          <w14:ligatures w14:val="none"/>
        </w:rPr>
        <w:t> </w:t>
      </w:r>
    </w:p>
    <w:p w14:paraId="40BA6ABD" w14:textId="77777777" w:rsidR="00067A06" w:rsidRPr="00067A06" w:rsidRDefault="00067A06" w:rsidP="00067A06">
      <w:pPr>
        <w:shd w:val="clear" w:color="auto" w:fill="FFFFFF"/>
        <w:spacing w:after="0" w:line="240" w:lineRule="auto"/>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4A9DAEA6" w14:textId="77777777" w:rsidR="00067A06" w:rsidRPr="00067A06" w:rsidRDefault="00067A06" w:rsidP="00067A06">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222222"/>
          <w:kern w:val="0"/>
          <w:sz w:val="24"/>
          <w:szCs w:val="24"/>
          <w:lang w:eastAsia="lt-LT"/>
          <w14:ligatures w14:val="none"/>
        </w:rPr>
        <w:t>Pastabos:</w:t>
      </w:r>
      <w:r w:rsidRPr="00067A06">
        <w:rPr>
          <w:rFonts w:ascii="Times New Roman" w:eastAsia="Times New Roman" w:hAnsi="Times New Roman" w:cs="Times New Roman"/>
          <w:color w:val="222222"/>
          <w:kern w:val="0"/>
          <w:sz w:val="24"/>
          <w:szCs w:val="24"/>
          <w:lang w:eastAsia="lt-LT"/>
          <w14:ligatures w14:val="none"/>
        </w:rPr>
        <w:t> nurodytos piniginės sumos perskaičiuotos pagal kursą 1 EUR = 11,81 SEK</w:t>
      </w:r>
    </w:p>
    <w:p w14:paraId="1E41F5EA" w14:textId="77777777" w:rsidR="00067A06" w:rsidRPr="00067A06" w:rsidRDefault="00067A06" w:rsidP="00067A06">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7A06">
        <w:rPr>
          <w:rFonts w:ascii="Arial" w:eastAsia="Times New Roman" w:hAnsi="Arial" w:cs="Arial"/>
          <w:color w:val="222222"/>
          <w:kern w:val="0"/>
          <w:sz w:val="24"/>
          <w:szCs w:val="24"/>
          <w:lang w:eastAsia="lt-LT"/>
          <w14:ligatures w14:val="none"/>
        </w:rPr>
        <w:t> </w:t>
      </w:r>
    </w:p>
    <w:p w14:paraId="6383E327" w14:textId="77777777" w:rsidR="00067A06" w:rsidRPr="00067A06" w:rsidRDefault="00067A06" w:rsidP="00067A06">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000000"/>
          <w:kern w:val="0"/>
          <w:sz w:val="24"/>
          <w:szCs w:val="24"/>
          <w:lang w:eastAsia="lt-LT"/>
          <w14:ligatures w14:val="none"/>
        </w:rPr>
        <w:t> </w:t>
      </w:r>
    </w:p>
    <w:p w14:paraId="55AE4481" w14:textId="77777777" w:rsidR="00067A06" w:rsidRPr="00067A06" w:rsidRDefault="00067A06" w:rsidP="00067A06">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067A06">
        <w:rPr>
          <w:rFonts w:ascii="Times New Roman" w:eastAsia="Times New Roman" w:hAnsi="Times New Roman" w:cs="Times New Roman"/>
          <w:b/>
          <w:bCs/>
          <w:color w:val="000000"/>
          <w:kern w:val="0"/>
          <w:sz w:val="24"/>
          <w:szCs w:val="24"/>
          <w:lang w:eastAsia="lt-LT"/>
          <w14:ligatures w14:val="none"/>
        </w:rPr>
        <w:t>Esant poreikiui, Lietuvos ambasada galėtų pateikti detalesnę informaciją apie apžvalgoje minimus Švedijos ekonomikos įvykius ir tendencijas. Prašome atskirai informuokite apie jūsų pageidavimą gauti šią informaciją</w:t>
      </w:r>
      <w:r w:rsidRPr="00067A06">
        <w:rPr>
          <w:rFonts w:ascii="Times New Roman" w:eastAsia="Times New Roman" w:hAnsi="Times New Roman" w:cs="Times New Roman"/>
          <w:color w:val="000000"/>
          <w:kern w:val="0"/>
          <w:sz w:val="24"/>
          <w:szCs w:val="24"/>
          <w:lang w:eastAsia="lt-LT"/>
          <w14:ligatures w14:val="none"/>
        </w:rPr>
        <w:t> </w:t>
      </w:r>
      <w:hyperlink r:id="rId5" w:tgtFrame="_blank" w:history="1">
        <w:r w:rsidRPr="00067A06">
          <w:rPr>
            <w:rFonts w:ascii="Times New Roman" w:eastAsia="Times New Roman" w:hAnsi="Times New Roman" w:cs="Times New Roman"/>
            <w:color w:val="1155CC"/>
            <w:kern w:val="0"/>
            <w:sz w:val="24"/>
            <w:szCs w:val="24"/>
            <w:u w:val="single"/>
            <w:lang w:eastAsia="lt-LT"/>
            <w14:ligatures w14:val="none"/>
          </w:rPr>
          <w:t>augustinas.uleckas@urm.lt</w:t>
        </w:r>
      </w:hyperlink>
      <w:r w:rsidRPr="00067A06">
        <w:rPr>
          <w:rFonts w:ascii="Times New Roman" w:eastAsia="Times New Roman" w:hAnsi="Times New Roman" w:cs="Times New Roman"/>
          <w:color w:val="222222"/>
          <w:kern w:val="0"/>
          <w:sz w:val="24"/>
          <w:szCs w:val="24"/>
          <w:lang w:eastAsia="lt-LT"/>
          <w14:ligatures w14:val="none"/>
        </w:rPr>
        <w:t> </w:t>
      </w:r>
      <w:r w:rsidRPr="00067A06">
        <w:rPr>
          <w:rFonts w:ascii="Times New Roman" w:eastAsia="Times New Roman" w:hAnsi="Times New Roman" w:cs="Times New Roman"/>
          <w:color w:val="000000"/>
          <w:kern w:val="0"/>
          <w:sz w:val="24"/>
          <w:szCs w:val="24"/>
          <w:lang w:eastAsia="lt-LT"/>
          <w14:ligatures w14:val="none"/>
        </w:rPr>
        <w:t> </w:t>
      </w:r>
    </w:p>
    <w:p w14:paraId="511EE877" w14:textId="77777777" w:rsidR="00C04BC8" w:rsidRDefault="00C04BC8"/>
    <w:sectPr w:rsidR="00C04B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0059B"/>
    <w:multiLevelType w:val="multilevel"/>
    <w:tmpl w:val="7C4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823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6"/>
    <w:rsid w:val="00067A06"/>
    <w:rsid w:val="00C04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EC55"/>
  <w15:chartTrackingRefBased/>
  <w15:docId w15:val="{085A8BAB-2F27-4B26-9D34-BEF02E74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7A06"/>
    <w:rPr>
      <w:b/>
      <w:bCs/>
    </w:rPr>
  </w:style>
  <w:style w:type="character" w:styleId="Hyperlink">
    <w:name w:val="Hyperlink"/>
    <w:basedOn w:val="DefaultParagraphFont"/>
    <w:uiPriority w:val="99"/>
    <w:semiHidden/>
    <w:unhideWhenUsed/>
    <w:rsid w:val="00067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gustinas.uleckas@ur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4852</Words>
  <Characters>2766</Characters>
  <Application>Microsoft Office Word</Application>
  <DocSecurity>0</DocSecurity>
  <Lines>23</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2023-07-10T08:02:00Z</dcterms:created>
  <dcterms:modified xsi:type="dcterms:W3CDTF">2023-07-10T08:02:00Z</dcterms:modified>
</cp:coreProperties>
</file>