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AFE5" w14:textId="093C1AEA" w:rsidR="00DD4778" w:rsidRPr="00254E5A" w:rsidRDefault="00DD4778" w:rsidP="00DD4778">
      <w:pPr>
        <w:jc w:val="both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254E5A">
        <w:rPr>
          <w:rFonts w:ascii="Times New Roman" w:hAnsi="Times New Roman" w:cs="Times New Roman"/>
          <w:b/>
          <w:sz w:val="32"/>
          <w:szCs w:val="32"/>
          <w:lang w:val="lt-LT"/>
        </w:rPr>
        <w:t xml:space="preserve">2023 m. </w:t>
      </w:r>
      <w:r w:rsidR="00C57583">
        <w:rPr>
          <w:rFonts w:ascii="Times New Roman" w:hAnsi="Times New Roman" w:cs="Times New Roman"/>
          <w:b/>
          <w:sz w:val="32"/>
          <w:szCs w:val="32"/>
          <w:lang w:val="lt-LT"/>
        </w:rPr>
        <w:t>birželio</w:t>
      </w:r>
      <w:r w:rsidRPr="00254E5A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mėn.</w:t>
      </w:r>
    </w:p>
    <w:p w14:paraId="217BCE84" w14:textId="77777777" w:rsidR="00DD4778" w:rsidRPr="00254E5A" w:rsidRDefault="00DD4778" w:rsidP="00DD4778">
      <w:pPr>
        <w:jc w:val="both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254E5A">
        <w:rPr>
          <w:rFonts w:ascii="Times New Roman" w:hAnsi="Times New Roman" w:cs="Times New Roman"/>
          <w:b/>
          <w:sz w:val="32"/>
          <w:szCs w:val="32"/>
          <w:lang w:val="lt-LT"/>
        </w:rPr>
        <w:t>Kirgizijos ir Tadžikistano aktualijos</w:t>
      </w:r>
    </w:p>
    <w:p w14:paraId="25AE6E21" w14:textId="77777777" w:rsidR="00DD4778" w:rsidRDefault="00DD4778" w:rsidP="00DD4778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54E5A">
        <w:rPr>
          <w:rFonts w:ascii="Times New Roman" w:hAnsi="Times New Roman" w:cs="Times New Roman"/>
          <w:b/>
          <w:sz w:val="24"/>
          <w:szCs w:val="24"/>
          <w:lang w:val="lt-LT"/>
        </w:rPr>
        <w:t>Kirgizija:</w:t>
      </w:r>
    </w:p>
    <w:p w14:paraId="77D7AD39" w14:textId="77777777" w:rsidR="0098533D" w:rsidRPr="00E031E8" w:rsidRDefault="0098533D" w:rsidP="0098533D">
      <w:pPr>
        <w:jc w:val="both"/>
        <w:rPr>
          <w:rStyle w:val="hwtze"/>
          <w:rFonts w:ascii="Times New Roman" w:hAnsi="Times New Roman" w:cs="Times New Roman"/>
          <w:color w:val="000000" w:themeColor="text1"/>
          <w:lang w:val="lt-LT"/>
        </w:rPr>
      </w:pPr>
      <w:r w:rsidRPr="00E031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TRANSPORTAS:</w:t>
      </w:r>
      <w:r w:rsidRPr="00E031E8">
        <w:rPr>
          <w:rStyle w:val="hwtze"/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296DE42F" w14:textId="4A0FB935" w:rsidR="0098533D" w:rsidRPr="0098533D" w:rsidRDefault="0098533D" w:rsidP="00DD4778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Kinjos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Kirgizijos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Uzbekistano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transporto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koridoriumi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paleisti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krovininiai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traukiniai</w:t>
      </w:r>
      <w:proofErr w:type="spellEnd"/>
      <w:r w:rsidRPr="0098533D">
        <w:rPr>
          <w:rStyle w:val="rynqvb"/>
          <w:rFonts w:ascii="Times New Roman" w:hAnsi="Times New Roman" w:cs="Times New Roman"/>
          <w:b/>
          <w:bCs/>
          <w:sz w:val="24"/>
          <w:szCs w:val="24"/>
        </w:rPr>
        <w:t>.</w:t>
      </w:r>
      <w:r w:rsidRPr="0098533D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Pirmasis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traukinys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iš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Kinijos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Landžou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stoties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išvyko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9 d.</w:t>
      </w:r>
      <w:r w:rsidRPr="0098533D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Planuojama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kad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Taškentą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jis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atvyks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po 15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dienų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98533D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Tuo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pačiu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metu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Kirgizijos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teritorijoje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kroviniai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iš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traukinio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perkeliami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transporto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nes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šalis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dar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nenutiesė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dalies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Kinijos-Kirgizijos-Uzbekistano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33D">
        <w:rPr>
          <w:rStyle w:val="rynqvb"/>
          <w:rFonts w:ascii="Times New Roman" w:hAnsi="Times New Roman" w:cs="Times New Roman"/>
          <w:sz w:val="24"/>
          <w:szCs w:val="24"/>
        </w:rPr>
        <w:t>geležinkelio</w:t>
      </w:r>
      <w:proofErr w:type="spellEnd"/>
      <w:r w:rsidRPr="0098533D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14:paraId="502EF015" w14:textId="622C9D9B" w:rsidR="0098533D" w:rsidRDefault="006751B9" w:rsidP="00DD4778">
      <w:p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hyperlink r:id="rId4" w:history="1">
        <w:r w:rsidR="009678B4" w:rsidRPr="00C471D7">
          <w:rPr>
            <w:rStyle w:val="Hipersaitas"/>
            <w:rFonts w:ascii="Times New Roman" w:hAnsi="Times New Roman" w:cs="Times New Roman"/>
            <w:bCs/>
            <w:sz w:val="24"/>
            <w:szCs w:val="24"/>
            <w:lang w:val="lt-LT"/>
          </w:rPr>
          <w:t>https://24.kg/ekonomika/268017_potransportnomu_koridoru_knr_kyirgyizstan_uzbekistan_pustili_gruzovyie_poezda/</w:t>
        </w:r>
      </w:hyperlink>
      <w:r w:rsidR="0098533D" w:rsidRPr="0098533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7B130118" w14:textId="223D2322" w:rsidR="009678B4" w:rsidRPr="009678B4" w:rsidRDefault="009678B4" w:rsidP="00DD4778">
      <w:p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Verslo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forumas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Rygoje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naujos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prekybos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tarp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Centrinės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Azijos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Latvijos</w:t>
      </w:r>
      <w:proofErr w:type="spellEnd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galimybės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9678B4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Kirgizijai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atstovavo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įmonių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maisto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gamintojų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taip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logistikos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įmonių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8B4">
        <w:rPr>
          <w:rStyle w:val="rynqvb"/>
          <w:rFonts w:ascii="Times New Roman" w:hAnsi="Times New Roman" w:cs="Times New Roman"/>
          <w:sz w:val="24"/>
          <w:szCs w:val="24"/>
        </w:rPr>
        <w:t>delegacija</w:t>
      </w:r>
      <w:proofErr w:type="spellEnd"/>
      <w:r w:rsidRPr="009678B4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bookmarkStart w:id="0" w:name="_Hlk137634339"/>
    <w:p w14:paraId="329CD2F2" w14:textId="416BBF73" w:rsidR="009678B4" w:rsidRPr="0098533D" w:rsidRDefault="009678B4" w:rsidP="00DD4778">
      <w:p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instrText>HYPERLINK "</w:instrText>
      </w:r>
      <w:r w:rsidRPr="009678B4">
        <w:rPr>
          <w:rFonts w:ascii="Times New Roman" w:hAnsi="Times New Roman" w:cs="Times New Roman"/>
          <w:bCs/>
          <w:sz w:val="24"/>
          <w:szCs w:val="24"/>
          <w:lang w:val="lt-LT"/>
        </w:rPr>
        <w:instrText>https://vesti.kg/zxc/item/113272-biznes-forum-v-rige-novye-torgovye-vozmozhnosti-mezhdu-tsentralnoj-aziej-i-latviej.html</w:instrTex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instrText>"</w:instrText>
      </w:r>
      <w:r>
        <w:rPr>
          <w:rFonts w:ascii="Times New Roman" w:hAnsi="Times New Roman" w:cs="Times New Roman"/>
          <w:bCs/>
          <w:sz w:val="24"/>
          <w:szCs w:val="24"/>
          <w:lang w:val="lt-LT"/>
        </w:rPr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fldChar w:fldCharType="separate"/>
      </w:r>
      <w:r w:rsidRPr="00C471D7">
        <w:rPr>
          <w:rStyle w:val="Hipersaitas"/>
          <w:rFonts w:ascii="Times New Roman" w:hAnsi="Times New Roman" w:cs="Times New Roman"/>
          <w:bCs/>
          <w:sz w:val="24"/>
          <w:szCs w:val="24"/>
          <w:lang w:val="lt-LT"/>
        </w:rPr>
        <w:t>https://vesti.kg/zxc/item/113272-biznes-forum-v-rige-novye-torgovye-vozmozhnosti-mezhdu-tsentralnoj-aziej-i-latviej.html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bookmarkEnd w:id="0"/>
    <w:p w14:paraId="18A6592B" w14:textId="3371A258" w:rsidR="008B1013" w:rsidRDefault="008B1013" w:rsidP="00DD4778">
      <w:p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8533D">
        <w:rPr>
          <w:rFonts w:ascii="Times New Roman" w:hAnsi="Times New Roman" w:cs="Times New Roman"/>
          <w:bCs/>
          <w:sz w:val="24"/>
          <w:szCs w:val="24"/>
          <w:lang w:val="lt-LT"/>
        </w:rPr>
        <w:t>KITA:</w:t>
      </w:r>
    </w:p>
    <w:p w14:paraId="697D92C1" w14:textId="75748225" w:rsidR="0006385B" w:rsidRPr="0006385B" w:rsidRDefault="0006385B" w:rsidP="00DD4778">
      <w:pPr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Kirgizijos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Ūkio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ministras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Danijaras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Amangeldievas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paragino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Rusijos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įmones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investuoti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jo </w:t>
      </w:r>
      <w:proofErr w:type="spellStart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šalyje</w:t>
      </w:r>
      <w:proofErr w:type="spellEnd"/>
      <w:r w:rsidRPr="0006385B">
        <w:rPr>
          <w:rStyle w:val="rynqvb"/>
          <w:rFonts w:ascii="Times New Roman" w:hAnsi="Times New Roman" w:cs="Times New Roman"/>
          <w:b/>
          <w:bCs/>
          <w:sz w:val="24"/>
          <w:szCs w:val="24"/>
        </w:rPr>
        <w:t>.</w:t>
      </w:r>
      <w:r w:rsidRPr="0006385B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hwtze"/>
          <w:rFonts w:ascii="Times New Roman" w:hAnsi="Times New Roman" w:cs="Times New Roman"/>
          <w:sz w:val="24"/>
          <w:szCs w:val="24"/>
        </w:rPr>
        <w:t>M</w:t>
      </w:r>
      <w:r w:rsidRPr="0006385B">
        <w:rPr>
          <w:rStyle w:val="rynqvb"/>
          <w:rFonts w:ascii="Times New Roman" w:hAnsi="Times New Roman" w:cs="Times New Roman"/>
          <w:sz w:val="24"/>
          <w:szCs w:val="24"/>
        </w:rPr>
        <w:t>inistras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dalyvavo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XXII Sankt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Peterburgo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tarptautiniame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ekonomikos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forume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06385B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Rusijos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ir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užsienio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investuotojai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buvo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pakviesti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nacionaliniuose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energetikos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sektoriaus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megaprojektuose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ir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tiesiant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Kinijos-Kirgizijos-Uzbekistano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geležinkelį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06385B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Be to,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siūloma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investuoti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į 4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ir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žvaigždučių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viešbučių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slidinėjimo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kurortų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ir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kurortų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turizmo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centrų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regionuose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taip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etninių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kompleksų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ir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glampingų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viešbučių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statybą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14:paraId="687FE4B9" w14:textId="03E2DADA" w:rsidR="0006385B" w:rsidRPr="0098533D" w:rsidRDefault="0006385B" w:rsidP="00DD4778">
      <w:p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hyperlink r:id="rId5" w:history="1">
        <w:r w:rsidRPr="00D82E27">
          <w:rPr>
            <w:rStyle w:val="Hipersaitas"/>
            <w:rFonts w:ascii="Times New Roman" w:hAnsi="Times New Roman" w:cs="Times New Roman"/>
            <w:bCs/>
            <w:sz w:val="24"/>
            <w:szCs w:val="24"/>
            <w:lang w:val="lt-LT"/>
          </w:rPr>
          <w:t>https://24.kg/ekonomika/268098_ministr_ekonomiki_prizval_rossiyskie_kompanii_investirovat_vkyirgyizstan/</w:t>
        </w:r>
      </w:hyperlink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42CE8EE7" w14:textId="62F7E730" w:rsidR="008B57D9" w:rsidRPr="00E031E8" w:rsidRDefault="008B57D9" w:rsidP="00DD477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</w:pPr>
      <w:r w:rsidRPr="00E031E8">
        <w:rPr>
          <w:rFonts w:ascii="Times New Roman" w:hAnsi="Times New Roman" w:cs="Times New Roman"/>
          <w:bCs/>
          <w:color w:val="000000" w:themeColor="text1"/>
          <w:sz w:val="24"/>
          <w:szCs w:val="24"/>
          <w:lang w:val="lt-LT"/>
        </w:rPr>
        <w:t>SANKCIJOS:</w:t>
      </w:r>
    </w:p>
    <w:p w14:paraId="2FC3A91A" w14:textId="20C8C902" w:rsidR="00254E5A" w:rsidRDefault="00254E5A" w:rsidP="00254E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31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EKONOMIKA:</w:t>
      </w:r>
    </w:p>
    <w:p w14:paraId="11E4E509" w14:textId="77777777" w:rsidR="008812B6" w:rsidRDefault="008812B6" w:rsidP="008812B6">
      <w:pPr>
        <w:rPr>
          <w:rStyle w:val="rynqvb"/>
          <w:rFonts w:ascii="Times New Roman" w:hAnsi="Times New Roman" w:cs="Times New Roman"/>
          <w:sz w:val="24"/>
          <w:szCs w:val="24"/>
          <w:lang w:val="lt-LT"/>
        </w:rPr>
      </w:pPr>
      <w:r w:rsidRPr="0098533D">
        <w:rPr>
          <w:rStyle w:val="rynqvb"/>
          <w:rFonts w:ascii="Times New Roman" w:hAnsi="Times New Roman" w:cs="Times New Roman"/>
          <w:sz w:val="24"/>
          <w:szCs w:val="24"/>
          <w:lang w:val="lt-LT"/>
        </w:rPr>
        <w:t>Preliminariais duomenimis, Kirgizijos bendrasis vidaus produktas 2023 m. sausio–gegužės mėnesiais išaugo 3,4 proc. Pramonės produkcijos apimtys per nurodytą laikotarpį išaugo 1,2 proc.</w:t>
      </w:r>
      <w:r w:rsidRPr="0098533D">
        <w:rPr>
          <w:rStyle w:val="hwtze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8533D">
        <w:rPr>
          <w:rStyle w:val="rynqvb"/>
          <w:rFonts w:ascii="Times New Roman" w:hAnsi="Times New Roman" w:cs="Times New Roman"/>
          <w:sz w:val="24"/>
          <w:szCs w:val="24"/>
          <w:lang w:val="lt-LT"/>
        </w:rPr>
        <w:t>Teigiamos tendencijos pastebimos statybose, kur apimtys padidėjo 4,6 proc., žemės ūkyje – 2,4 proc., didmeninėje ir mažmeninėje prekyboje – 15,4 proc.</w:t>
      </w:r>
    </w:p>
    <w:p w14:paraId="46DBED65" w14:textId="271F1447" w:rsidR="0006385B" w:rsidRPr="005C17DB" w:rsidRDefault="0006385B" w:rsidP="008812B6">
      <w:pPr>
        <w:rPr>
          <w:rStyle w:val="rynqvb"/>
          <w:rFonts w:ascii="Times New Roman" w:hAnsi="Times New Roman" w:cs="Times New Roman"/>
          <w:sz w:val="24"/>
          <w:szCs w:val="24"/>
        </w:rPr>
      </w:pPr>
      <w:bookmarkStart w:id="1" w:name="_Hlk138414090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metų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pabaigoje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infliacijos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lygis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rynqvb"/>
          <w:rFonts w:ascii="Times New Roman" w:hAnsi="Times New Roman" w:cs="Times New Roman"/>
          <w:sz w:val="24"/>
          <w:szCs w:val="24"/>
        </w:rPr>
        <w:t>Kirgizijoje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prognozuojamas</w:t>
      </w:r>
      <w:proofErr w:type="spellEnd"/>
      <w:proofErr w:type="gram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10-12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procentų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ribose.</w:t>
      </w:r>
      <w:r w:rsidRPr="0006385B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Tokia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prognozė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pateikta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Nacionalinio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banko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pinigų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politikos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ataskaitoje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. 2023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metų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prognozėje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didesnį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indėlį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infliaciją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turi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maisto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produktai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06385B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Jų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augimas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pirmąjį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šių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metų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ketvirtį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buvo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didesnis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85B">
        <w:rPr>
          <w:rStyle w:val="rynqvb"/>
          <w:rFonts w:ascii="Times New Roman" w:hAnsi="Times New Roman" w:cs="Times New Roman"/>
          <w:sz w:val="24"/>
          <w:szCs w:val="24"/>
        </w:rPr>
        <w:t>nei</w:t>
      </w:r>
      <w:proofErr w:type="spellEnd"/>
      <w:r w:rsidRPr="0006385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tikėtasi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ankstesnėje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prognozėje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>.</w:t>
      </w:r>
    </w:p>
    <w:p w14:paraId="15738AC5" w14:textId="188A399B" w:rsidR="005C17DB" w:rsidRPr="005C17DB" w:rsidRDefault="005C17DB" w:rsidP="008812B6">
      <w:pPr>
        <w:rPr>
          <w:rStyle w:val="rynqvb"/>
          <w:rFonts w:ascii="Times New Roman" w:hAnsi="Times New Roman" w:cs="Times New Roman"/>
          <w:sz w:val="24"/>
          <w:szCs w:val="24"/>
          <w:lang w:val="lt-LT"/>
        </w:rPr>
      </w:pPr>
      <w:bookmarkStart w:id="2" w:name="_Hlk138414451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metų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balandžio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pabaigoje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Kirgizijos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skola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išorinė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vidinė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siekė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5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64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m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lrd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USD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5C17DB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Iš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jų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4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524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m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lrd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USD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yra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išorės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skola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>, o 1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,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>115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mlrd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. USD 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vidinė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5C17DB">
        <w:rPr>
          <w:rStyle w:val="hwtze"/>
          <w:rFonts w:ascii="Times New Roman" w:hAnsi="Times New Roman" w:cs="Times New Roman"/>
          <w:sz w:val="24"/>
          <w:szCs w:val="24"/>
        </w:rPr>
        <w:t xml:space="preserve"> 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mėnesį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valstybės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skola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padidėjo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17,2 </w:t>
      </w:r>
      <w:proofErr w:type="spellStart"/>
      <w:r w:rsidRPr="005C17DB">
        <w:rPr>
          <w:rStyle w:val="rynqvb"/>
          <w:rFonts w:ascii="Times New Roman" w:hAnsi="Times New Roman" w:cs="Times New Roman"/>
          <w:sz w:val="24"/>
          <w:szCs w:val="24"/>
        </w:rPr>
        <w:t>mln</w:t>
      </w:r>
      <w:proofErr w:type="spellEnd"/>
      <w:r w:rsidRPr="005C17DB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5C17DB">
        <w:rPr>
          <w:rStyle w:val="rynqvb"/>
          <w:rFonts w:ascii="Times New Roman" w:hAnsi="Times New Roman" w:cs="Times New Roman"/>
          <w:sz w:val="24"/>
          <w:szCs w:val="24"/>
        </w:rPr>
        <w:t xml:space="preserve"> USD. </w:t>
      </w:r>
    </w:p>
    <w:bookmarkEnd w:id="1"/>
    <w:bookmarkEnd w:id="2"/>
    <w:p w14:paraId="29ED5BBB" w14:textId="77777777" w:rsidR="008812B6" w:rsidRPr="0098533D" w:rsidRDefault="008812B6" w:rsidP="00254E5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1C397D2" w14:textId="38A297C8" w:rsidR="001168BF" w:rsidRPr="00E031E8" w:rsidRDefault="001168BF" w:rsidP="001168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E031E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Tadžikistanas:</w:t>
      </w:r>
    </w:p>
    <w:p w14:paraId="57A4439B" w14:textId="77777777" w:rsidR="000F50E1" w:rsidRPr="00E031E8" w:rsidRDefault="000F50E1" w:rsidP="001168BF">
      <w:pPr>
        <w:jc w:val="both"/>
        <w:rPr>
          <w:rStyle w:val="hwtze"/>
          <w:rFonts w:ascii="Times New Roman" w:hAnsi="Times New Roman" w:cs="Times New Roman"/>
          <w:color w:val="000000" w:themeColor="text1"/>
          <w:lang w:val="lt-LT"/>
        </w:rPr>
      </w:pPr>
      <w:r w:rsidRPr="00E031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TRANSPORTAS:</w:t>
      </w:r>
      <w:r w:rsidRPr="00E031E8">
        <w:rPr>
          <w:rStyle w:val="hwtze"/>
          <w:rFonts w:ascii="Times New Roman" w:hAnsi="Times New Roman" w:cs="Times New Roman"/>
          <w:color w:val="000000" w:themeColor="text1"/>
          <w:lang w:val="lt-LT"/>
        </w:rPr>
        <w:t xml:space="preserve"> </w:t>
      </w:r>
    </w:p>
    <w:p w14:paraId="4CA1D056" w14:textId="77777777" w:rsidR="00B0614A" w:rsidRDefault="00B0614A" w:rsidP="00C345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31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KITA:</w:t>
      </w:r>
    </w:p>
    <w:p w14:paraId="4F98B932" w14:textId="77777777" w:rsidR="006751B9" w:rsidRDefault="006751B9" w:rsidP="00C345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371861C8" w14:textId="21D50D60" w:rsidR="006751B9" w:rsidRPr="006751B9" w:rsidRDefault="006751B9" w:rsidP="00C345FE">
      <w:pPr>
        <w:spacing w:after="0"/>
        <w:jc w:val="both"/>
        <w:rPr>
          <w:rStyle w:val="rynqvb"/>
          <w:rFonts w:ascii="Times New Roman" w:hAnsi="Times New Roman" w:cs="Times New Roman"/>
          <w:sz w:val="24"/>
          <w:szCs w:val="24"/>
          <w:lang w:val="lt-LT"/>
        </w:rPr>
      </w:pPr>
      <w:r w:rsidRPr="006751B9">
        <w:rPr>
          <w:rStyle w:val="rynqvb"/>
          <w:rFonts w:ascii="Times New Roman" w:hAnsi="Times New Roman" w:cs="Times New Roman"/>
          <w:b/>
          <w:bCs/>
          <w:sz w:val="24"/>
          <w:szCs w:val="24"/>
          <w:lang w:val="lt-LT"/>
        </w:rPr>
        <w:t>Prekybos apyvarta tarp Tadžikistano ir Rusijos pirmąjį šių metų ketvirtį išaugo 13</w:t>
      </w:r>
      <w:r w:rsidRPr="006751B9">
        <w:rPr>
          <w:rStyle w:val="rynqvb"/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proc.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>.</w:t>
      </w:r>
      <w:r w:rsidRPr="006751B9">
        <w:rPr>
          <w:rStyle w:val="hwtze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Sukauptų Rusijos investicijų į Tadžikistano ekonomiką apimtis siekė 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>1,4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milijard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>o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>EUR</w:t>
      </w:r>
      <w:r w:rsidRPr="006751B9">
        <w:rPr>
          <w:rStyle w:val="rynqvb"/>
          <w:rFonts w:ascii="Times New Roman" w:hAnsi="Times New Roman" w:cs="Times New Roman"/>
          <w:sz w:val="24"/>
          <w:szCs w:val="24"/>
          <w:lang w:val="lt-LT"/>
        </w:rPr>
        <w:t>.</w:t>
      </w:r>
    </w:p>
    <w:p w14:paraId="0BC70B50" w14:textId="76AA59DD" w:rsidR="006751B9" w:rsidRPr="006751B9" w:rsidRDefault="006751B9" w:rsidP="00C345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hyperlink r:id="rId6" w:history="1">
        <w:r w:rsidRPr="00D82E2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https://asiaplustj.info/ru/news/tajikistan/economic/20230620/tovarooborot-tadzhikistana-i-rossii-za-pervii-kvartal-viros-etogo-goda-na-13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14:paraId="727A1F15" w14:textId="77777777" w:rsidR="00A21195" w:rsidRPr="00E031E8" w:rsidRDefault="00A21195" w:rsidP="00C345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52075978" w14:textId="77777777" w:rsidR="001168BF" w:rsidRDefault="001168BF" w:rsidP="001168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031E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EKONOMIKA:</w:t>
      </w:r>
    </w:p>
    <w:p w14:paraId="520AFEE3" w14:textId="77777777" w:rsidR="00541295" w:rsidRPr="008A56B6" w:rsidRDefault="00541295" w:rsidP="00541295">
      <w:pPr>
        <w:rPr>
          <w:rStyle w:val="rynqvb"/>
          <w:rFonts w:ascii="Times New Roman" w:hAnsi="Times New Roman" w:cs="Times New Roman"/>
          <w:sz w:val="24"/>
          <w:szCs w:val="24"/>
          <w:lang w:val="lt-LT"/>
        </w:rPr>
      </w:pPr>
      <w:r w:rsidRPr="008A56B6">
        <w:rPr>
          <w:rStyle w:val="rynqvb"/>
          <w:rFonts w:ascii="Times New Roman" w:hAnsi="Times New Roman" w:cs="Times New Roman"/>
          <w:sz w:val="24"/>
          <w:szCs w:val="24"/>
          <w:lang w:val="lt-LT"/>
        </w:rPr>
        <w:t>Tadžikistano Respublikos BVP pirmuosius keturis šių metų mėnesius augo 8 proc., infliacija – 2,3 proc.</w:t>
      </w:r>
    </w:p>
    <w:p w14:paraId="2439843F" w14:textId="77777777" w:rsidR="00541295" w:rsidRDefault="00541295" w:rsidP="00541295">
      <w:pPr>
        <w:rPr>
          <w:rStyle w:val="rynqvb"/>
          <w:rFonts w:ascii="Times New Roman" w:hAnsi="Times New Roman" w:cs="Times New Roman"/>
          <w:sz w:val="24"/>
          <w:szCs w:val="24"/>
          <w:lang w:val="lt-LT"/>
        </w:rPr>
      </w:pPr>
      <w:r w:rsidRPr="008A56B6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2023 m. birželio 5 d. Dušanbėje vyko seminaras, skirtas Tadžikistano Respublikos ir Pasaulio banko bendradarbiavimo 30-mečiui. Jo metu buvo paskelbti Tadžikistano Respublikos ekonominiai duomenys, vertinant pažangą nuo 2016 metų. Per </w:t>
      </w:r>
      <w:proofErr w:type="spellStart"/>
      <w:r w:rsidRPr="008A56B6">
        <w:rPr>
          <w:rStyle w:val="rynqvb"/>
          <w:rFonts w:ascii="Times New Roman" w:hAnsi="Times New Roman" w:cs="Times New Roman"/>
          <w:sz w:val="24"/>
          <w:szCs w:val="24"/>
          <w:lang w:val="lt-LT"/>
        </w:rPr>
        <w:t>pastąrajį</w:t>
      </w:r>
      <w:proofErr w:type="spellEnd"/>
      <w:r w:rsidRPr="008A56B6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laikotarpį, Pasaulio banko duomenimis, Tadžikistano Respublika buvo tarp 10 pirmaujančių pasaulio šalių pagal skurdo mažinimą, keturis kartus pateko į 10 pirmaujančių šalių-reformatorių sąrašą pagal pasaulinio „Verslumo“ vertinimą. Pasaulio banko duomenimis, Tadžikistanas yra tarp 10 pirmaujančių šalių pagal energetinį saugumą, užima 6 vietą pasaulyje pagal „žaliosios“ energijos naudojimą (99,6 proc. elektros energijos) ir 2 vietą tarptautiniame prieigos prie elektros energijos vertinime. Pasaulio ekonomikos forumo reitinge užima 50 vieta pagal kelių infrastruktūros kokybę ir 37 vieta pagal geležinkelių paslaugų efektyvumą tarp 141 pasaulio valstybės.</w:t>
      </w:r>
    </w:p>
    <w:p w14:paraId="5E47D8DC" w14:textId="51EE6195" w:rsidR="00553EA1" w:rsidRPr="008A3BB3" w:rsidRDefault="00553EA1" w:rsidP="00553EA1">
      <w:pPr>
        <w:spacing w:after="0"/>
        <w:rPr>
          <w:rStyle w:val="rynqvb"/>
          <w:rFonts w:ascii="Times New Roman" w:hAnsi="Times New Roman" w:cs="Times New Roman"/>
          <w:sz w:val="24"/>
          <w:szCs w:val="24"/>
          <w:lang w:val="lt-LT"/>
        </w:rPr>
      </w:pPr>
      <w:bookmarkStart w:id="3" w:name="_Hlk137451106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lastRenderedPageBreak/>
        <w:t xml:space="preserve">Tadžikistano užsienio reikalų ministerijos Informacijos ir spaudos skyriaus vedėjas </w:t>
      </w:r>
      <w:proofErr w:type="spellStart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Shokhinas</w:t>
      </w:r>
      <w:proofErr w:type="spellEnd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Samadi</w:t>
      </w:r>
      <w:proofErr w:type="spellEnd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sakė, kad šiuo metu valdžia nesvarsto klausimo dėl galimo šalies stojimo į Eurazijos ekonominę sąjungą (EAES).</w:t>
      </w:r>
      <w:r w:rsidRPr="008A3BB3">
        <w:rPr>
          <w:rStyle w:val="hwtze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Taip R. </w:t>
      </w:r>
      <w:proofErr w:type="spellStart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Samadi</w:t>
      </w:r>
      <w:proofErr w:type="spellEnd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pakomentavo Rusijos užsienio reikalų ministro Sergejaus </w:t>
      </w:r>
      <w:proofErr w:type="spellStart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Lavrovo</w:t>
      </w:r>
      <w:proofErr w:type="spellEnd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žodžius, kad Tadžikistanas netrukus „pats nuspręs, kokią naudą gaus įstojus į EAES“. </w:t>
      </w:r>
      <w:r>
        <w:rPr>
          <w:rStyle w:val="rynqvb"/>
          <w:rFonts w:ascii="Times New Roman" w:hAnsi="Times New Roman" w:cs="Times New Roman"/>
          <w:sz w:val="24"/>
          <w:szCs w:val="24"/>
          <w:lang w:val="lt-LT"/>
        </w:rPr>
        <w:t>V</w:t>
      </w:r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izito Dušanbėje metu </w:t>
      </w:r>
      <w:r>
        <w:rPr>
          <w:rStyle w:val="rynqvb"/>
          <w:rFonts w:ascii="Times New Roman" w:hAnsi="Times New Roman" w:cs="Times New Roman"/>
          <w:sz w:val="24"/>
          <w:szCs w:val="24"/>
          <w:lang w:val="lt-LT"/>
        </w:rPr>
        <w:t>b</w:t>
      </w:r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irželio 6 d</w:t>
      </w:r>
      <w:r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Sergejus </w:t>
      </w:r>
      <w:proofErr w:type="spellStart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Lavrovas</w:t>
      </w:r>
      <w:proofErr w:type="spellEnd"/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szCs w:val="24"/>
          <w:lang w:val="lt-LT"/>
        </w:rPr>
        <w:t>teigė tikintis</w:t>
      </w:r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, kad Tadžikistano valdžia greitu laiku apsispręs dėl stojimo į sąjunga. Kitoje kalboje ministras citavo statistiką: Eurazijos plėtros banko duomenimis, pernai 44 proc. Tadžikistano užsienio prekybos buvo su EAES šalimis.</w:t>
      </w:r>
    </w:p>
    <w:p w14:paraId="05574C50" w14:textId="50662B2F" w:rsidR="00553EA1" w:rsidRPr="008A3BB3" w:rsidRDefault="00553EA1" w:rsidP="00553EA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lt-LT"/>
        </w:rPr>
      </w:pPr>
      <w:r w:rsidRPr="008A3BB3">
        <w:rPr>
          <w:rStyle w:val="rynqvb"/>
          <w:rFonts w:ascii="Times New Roman" w:hAnsi="Times New Roman" w:cs="Times New Roman"/>
          <w:sz w:val="24"/>
          <w:szCs w:val="24"/>
          <w:lang w:val="lt-LT"/>
        </w:rPr>
        <w:t>Tadžikistano prisijungimo prie EAES klausimas svarstomas nuo 2015 m.</w:t>
      </w:r>
      <w:r w:rsidRPr="008A3BB3">
        <w:rPr>
          <w:rStyle w:val="hwtze"/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bookmarkEnd w:id="3"/>
    <w:p w14:paraId="65A2AA66" w14:textId="77777777" w:rsidR="00553EA1" w:rsidRPr="008A56B6" w:rsidRDefault="00553EA1" w:rsidP="00541295">
      <w:pPr>
        <w:rPr>
          <w:rFonts w:ascii="Times New Roman" w:hAnsi="Times New Roman" w:cs="Times New Roman"/>
          <w:b/>
          <w:i/>
          <w:sz w:val="24"/>
          <w:szCs w:val="24"/>
          <w:lang w:val="lt-LT"/>
        </w:rPr>
      </w:pPr>
    </w:p>
    <w:p w14:paraId="669CB0DA" w14:textId="77777777" w:rsidR="00541295" w:rsidRPr="00E031E8" w:rsidRDefault="00541295" w:rsidP="001168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0BE9BC79" w14:textId="4A149935" w:rsidR="00E031E8" w:rsidRDefault="00E031E8" w:rsidP="00B11355">
      <w:pPr>
        <w:rPr>
          <w:rStyle w:val="rynqvb"/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4" w:name="_Hlk135037296"/>
      <w:r>
        <w:rPr>
          <w:rStyle w:val="rynqv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Parengė:</w:t>
      </w:r>
    </w:p>
    <w:p w14:paraId="0BC202D6" w14:textId="0F70582A" w:rsidR="00E031E8" w:rsidRPr="00E031E8" w:rsidRDefault="00E031E8" w:rsidP="00B1135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lt-LT"/>
        </w:rPr>
      </w:pPr>
      <w:r>
        <w:rPr>
          <w:rStyle w:val="rynqvb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Transporto atašė Gytautas Jundzila</w:t>
      </w:r>
    </w:p>
    <w:bookmarkEnd w:id="4"/>
    <w:p w14:paraId="7B6C4228" w14:textId="77777777" w:rsidR="00B11355" w:rsidRPr="00A943A5" w:rsidRDefault="00B11355" w:rsidP="001168BF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</w:p>
    <w:sectPr w:rsidR="00B11355" w:rsidRPr="00A943A5" w:rsidSect="00B0614A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78"/>
    <w:rsid w:val="0006385B"/>
    <w:rsid w:val="000A1530"/>
    <w:rsid w:val="000A4C71"/>
    <w:rsid w:val="000F50E1"/>
    <w:rsid w:val="001168BF"/>
    <w:rsid w:val="0018074B"/>
    <w:rsid w:val="001976BC"/>
    <w:rsid w:val="001F57E4"/>
    <w:rsid w:val="0022591A"/>
    <w:rsid w:val="00245886"/>
    <w:rsid w:val="00254E5A"/>
    <w:rsid w:val="0027484C"/>
    <w:rsid w:val="00303AA0"/>
    <w:rsid w:val="0035010E"/>
    <w:rsid w:val="004807E3"/>
    <w:rsid w:val="00541295"/>
    <w:rsid w:val="005478C9"/>
    <w:rsid w:val="00553EA1"/>
    <w:rsid w:val="005C17DB"/>
    <w:rsid w:val="0062411A"/>
    <w:rsid w:val="006751B9"/>
    <w:rsid w:val="00724264"/>
    <w:rsid w:val="00847D73"/>
    <w:rsid w:val="008812B6"/>
    <w:rsid w:val="008B1013"/>
    <w:rsid w:val="008B57D9"/>
    <w:rsid w:val="00916256"/>
    <w:rsid w:val="009678B4"/>
    <w:rsid w:val="00975A9F"/>
    <w:rsid w:val="00983413"/>
    <w:rsid w:val="0098533D"/>
    <w:rsid w:val="00A21195"/>
    <w:rsid w:val="00A47558"/>
    <w:rsid w:val="00A65D40"/>
    <w:rsid w:val="00A943A5"/>
    <w:rsid w:val="00B0614A"/>
    <w:rsid w:val="00B11355"/>
    <w:rsid w:val="00B66996"/>
    <w:rsid w:val="00BD28D2"/>
    <w:rsid w:val="00BD7A26"/>
    <w:rsid w:val="00C269C0"/>
    <w:rsid w:val="00C345FE"/>
    <w:rsid w:val="00C57583"/>
    <w:rsid w:val="00C82270"/>
    <w:rsid w:val="00D83B03"/>
    <w:rsid w:val="00DC3FEF"/>
    <w:rsid w:val="00DD4778"/>
    <w:rsid w:val="00E031E8"/>
    <w:rsid w:val="00E2496F"/>
    <w:rsid w:val="00E94204"/>
    <w:rsid w:val="00F278DC"/>
    <w:rsid w:val="00F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8118"/>
  <w15:chartTrackingRefBased/>
  <w15:docId w15:val="{7F0E1D83-E46D-4758-8385-C7B330B4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47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wtze">
    <w:name w:val="hwtze"/>
    <w:basedOn w:val="Numatytasispastraiposriftas"/>
    <w:rsid w:val="00DD4778"/>
  </w:style>
  <w:style w:type="character" w:customStyle="1" w:styleId="rynqvb">
    <w:name w:val="rynqvb"/>
    <w:basedOn w:val="Numatytasispastraiposriftas"/>
    <w:rsid w:val="00DD4778"/>
  </w:style>
  <w:style w:type="character" w:styleId="Hipersaitas">
    <w:name w:val="Hyperlink"/>
    <w:basedOn w:val="Numatytasispastraiposriftas"/>
    <w:uiPriority w:val="99"/>
    <w:unhideWhenUsed/>
    <w:rsid w:val="00C345F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24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iaplustj.info/ru/news/tajikistan/economic/20230620/tovarooborot-tadzhikistana-i-rossii-za-pervii-kvartal-viros-etogo-goda-na-13" TargetMode="External"/><Relationship Id="rId5" Type="http://schemas.openxmlformats.org/officeDocument/2006/relationships/hyperlink" Target="https://24.kg/ekonomika/268098_ministr_ekonomiki_prizval_rossiyskie_kompanii_investirovat_vkyirgyizstan/" TargetMode="External"/><Relationship Id="rId4" Type="http://schemas.openxmlformats.org/officeDocument/2006/relationships/hyperlink" Target="https://24.kg/ekonomika/268017_potransportnomu_koridoru_knr_kyirgyizstan_uzbekistan_pustili_gruzovyie_poez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3246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Gytautas Jundzila</dc:creator>
  <cp:keywords/>
  <dc:description/>
  <cp:lastModifiedBy>Gytautas Jundzila</cp:lastModifiedBy>
  <cp:revision>29</cp:revision>
  <dcterms:created xsi:type="dcterms:W3CDTF">2023-03-23T04:11:00Z</dcterms:created>
  <dcterms:modified xsi:type="dcterms:W3CDTF">2023-06-23T06:29:00Z</dcterms:modified>
</cp:coreProperties>
</file>