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64" w:rsidRPr="00B943A9" w:rsidRDefault="00A87864" w:rsidP="00E470DA">
      <w:pPr>
        <w:spacing w:after="0" w:line="240" w:lineRule="auto"/>
        <w:jc w:val="center"/>
        <w:rPr>
          <w:rFonts w:ascii="Times New Roman" w:hAnsi="Times New Roman"/>
          <w:b/>
          <w:sz w:val="24"/>
          <w:szCs w:val="24"/>
        </w:rPr>
      </w:pPr>
    </w:p>
    <w:p w:rsidR="00A87864" w:rsidRPr="00B943A9" w:rsidRDefault="001139B1" w:rsidP="00E470DA">
      <w:pPr>
        <w:spacing w:after="0" w:line="240" w:lineRule="auto"/>
        <w:jc w:val="center"/>
        <w:rPr>
          <w:rFonts w:ascii="Times New Roman" w:hAnsi="Times New Roman"/>
          <w:b/>
          <w:sz w:val="28"/>
          <w:szCs w:val="24"/>
        </w:rPr>
      </w:pPr>
      <w:r w:rsidRPr="00B943A9">
        <w:rPr>
          <w:rFonts w:ascii="Times New Roman" w:hAnsi="Times New Roman"/>
          <w:b/>
          <w:sz w:val="28"/>
          <w:szCs w:val="24"/>
        </w:rPr>
        <w:t>Lietuvos Respublikos ambasada Latvijos Respublikoje</w:t>
      </w:r>
    </w:p>
    <w:p w:rsidR="00A87864" w:rsidRPr="00B943A9" w:rsidRDefault="00A87864" w:rsidP="00E470DA">
      <w:pPr>
        <w:spacing w:after="0" w:line="240" w:lineRule="auto"/>
        <w:jc w:val="center"/>
        <w:rPr>
          <w:rFonts w:ascii="Times New Roman" w:hAnsi="Times New Roman"/>
          <w:sz w:val="28"/>
          <w:szCs w:val="24"/>
        </w:rPr>
      </w:pPr>
    </w:p>
    <w:p w:rsidR="00A87864" w:rsidRPr="00B943A9" w:rsidRDefault="004D7FE6" w:rsidP="00E470DA">
      <w:pPr>
        <w:spacing w:after="0" w:line="240" w:lineRule="auto"/>
        <w:jc w:val="center"/>
        <w:rPr>
          <w:rFonts w:ascii="Times New Roman" w:hAnsi="Times New Roman"/>
          <w:b/>
          <w:sz w:val="28"/>
          <w:szCs w:val="24"/>
        </w:rPr>
      </w:pPr>
      <w:r w:rsidRPr="00B943A9">
        <w:rPr>
          <w:rFonts w:ascii="Times New Roman" w:hAnsi="Times New Roman"/>
          <w:b/>
          <w:sz w:val="28"/>
          <w:szCs w:val="24"/>
        </w:rPr>
        <w:t>202</w:t>
      </w:r>
      <w:r w:rsidR="0056475B">
        <w:rPr>
          <w:rFonts w:ascii="Times New Roman" w:hAnsi="Times New Roman"/>
          <w:b/>
          <w:sz w:val="28"/>
          <w:szCs w:val="24"/>
        </w:rPr>
        <w:t>3 M.</w:t>
      </w:r>
      <w:r w:rsidRPr="00B943A9">
        <w:rPr>
          <w:rFonts w:ascii="Times New Roman" w:hAnsi="Times New Roman"/>
          <w:b/>
          <w:sz w:val="28"/>
          <w:szCs w:val="24"/>
        </w:rPr>
        <w:t xml:space="preserve"> </w:t>
      </w:r>
      <w:r w:rsidR="000D15E0">
        <w:rPr>
          <w:rFonts w:ascii="Times New Roman" w:hAnsi="Times New Roman"/>
          <w:b/>
          <w:sz w:val="28"/>
          <w:szCs w:val="24"/>
        </w:rPr>
        <w:t>KOVO</w:t>
      </w:r>
      <w:r w:rsidR="001139B1" w:rsidRPr="00B943A9">
        <w:rPr>
          <w:rFonts w:ascii="Times New Roman" w:hAnsi="Times New Roman"/>
          <w:b/>
          <w:sz w:val="28"/>
          <w:szCs w:val="24"/>
        </w:rPr>
        <w:t xml:space="preserve"> </w:t>
      </w:r>
      <w:r w:rsidR="00A87864" w:rsidRPr="00B943A9">
        <w:rPr>
          <w:rFonts w:ascii="Times New Roman" w:hAnsi="Times New Roman"/>
          <w:b/>
          <w:sz w:val="28"/>
          <w:szCs w:val="24"/>
        </w:rPr>
        <w:t>AKTUALIOS EKONOMINĖS INFORMACIJOS SUVESTINĖ</w:t>
      </w:r>
    </w:p>
    <w:p w:rsidR="00A87864" w:rsidRPr="00B943A9" w:rsidRDefault="00A87864" w:rsidP="00E470DA">
      <w:pPr>
        <w:spacing w:after="0" w:line="240" w:lineRule="auto"/>
        <w:jc w:val="center"/>
        <w:rPr>
          <w:rFonts w:ascii="Times New Roman" w:hAnsi="Times New Roman"/>
          <w:b/>
          <w:sz w:val="28"/>
          <w:szCs w:val="24"/>
        </w:rPr>
      </w:pPr>
    </w:p>
    <w:p w:rsidR="00A87864" w:rsidRPr="00B943A9" w:rsidRDefault="001139B1" w:rsidP="00E470DA">
      <w:pPr>
        <w:spacing w:after="0" w:line="240" w:lineRule="auto"/>
        <w:jc w:val="center"/>
        <w:rPr>
          <w:rFonts w:ascii="Times New Roman" w:hAnsi="Times New Roman"/>
          <w:sz w:val="28"/>
          <w:szCs w:val="24"/>
        </w:rPr>
      </w:pPr>
      <w:r w:rsidRPr="00B943A9">
        <w:rPr>
          <w:rFonts w:ascii="Times New Roman" w:hAnsi="Times New Roman"/>
          <w:sz w:val="28"/>
          <w:szCs w:val="24"/>
        </w:rPr>
        <w:t>202</w:t>
      </w:r>
      <w:r w:rsidR="0056475B">
        <w:rPr>
          <w:rFonts w:ascii="Times New Roman" w:hAnsi="Times New Roman"/>
          <w:sz w:val="28"/>
          <w:szCs w:val="24"/>
        </w:rPr>
        <w:t xml:space="preserve">3 </w:t>
      </w:r>
      <w:r w:rsidRPr="00B943A9">
        <w:rPr>
          <w:rFonts w:ascii="Times New Roman" w:hAnsi="Times New Roman"/>
          <w:sz w:val="28"/>
          <w:szCs w:val="24"/>
        </w:rPr>
        <w:t xml:space="preserve">m. </w:t>
      </w:r>
      <w:r w:rsidR="000D15E0">
        <w:rPr>
          <w:rFonts w:ascii="Times New Roman" w:hAnsi="Times New Roman"/>
          <w:sz w:val="28"/>
          <w:szCs w:val="24"/>
        </w:rPr>
        <w:t xml:space="preserve">kovo 31 </w:t>
      </w:r>
      <w:r w:rsidRPr="00B943A9">
        <w:rPr>
          <w:rFonts w:ascii="Times New Roman" w:hAnsi="Times New Roman"/>
          <w:sz w:val="28"/>
          <w:szCs w:val="24"/>
        </w:rPr>
        <w:t>d.</w:t>
      </w:r>
    </w:p>
    <w:p w:rsidR="00A87864" w:rsidRPr="00B943A9" w:rsidRDefault="00A87864" w:rsidP="00E470DA">
      <w:pPr>
        <w:spacing w:after="0" w:line="240" w:lineRule="auto"/>
        <w:jc w:val="both"/>
        <w:rPr>
          <w:rFonts w:ascii="Times New Roman" w:hAnsi="Times New Roman"/>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21"/>
        <w:gridCol w:w="9192"/>
        <w:gridCol w:w="2411"/>
        <w:gridCol w:w="1641"/>
      </w:tblGrid>
      <w:tr w:rsidR="00B943A9" w:rsidRPr="00B943A9" w:rsidTr="004317FE">
        <w:trPr>
          <w:trHeight w:val="385"/>
        </w:trPr>
        <w:tc>
          <w:tcPr>
            <w:tcW w:w="1575" w:type="dxa"/>
            <w:gridSpan w:val="2"/>
            <w:shd w:val="clear" w:color="auto" w:fill="auto"/>
            <w:tcMar>
              <w:top w:w="29" w:type="dxa"/>
              <w:left w:w="115" w:type="dxa"/>
              <w:bottom w:w="29" w:type="dxa"/>
              <w:right w:w="115" w:type="dxa"/>
            </w:tcMar>
            <w:vAlign w:val="center"/>
          </w:tcPr>
          <w:p w:rsidR="00B943A9" w:rsidRPr="00B943A9" w:rsidRDefault="00B943A9" w:rsidP="00E470DA">
            <w:pPr>
              <w:pStyle w:val="Heading1"/>
              <w:spacing w:after="0" w:line="240" w:lineRule="auto"/>
              <w:jc w:val="both"/>
              <w:rPr>
                <w:rFonts w:ascii="Times New Roman" w:hAnsi="Times New Roman" w:cs="Times New Roman"/>
                <w:color w:val="auto"/>
                <w:sz w:val="24"/>
                <w:szCs w:val="24"/>
              </w:rPr>
            </w:pPr>
            <w:r w:rsidRPr="00B943A9">
              <w:rPr>
                <w:rFonts w:ascii="Times New Roman" w:hAnsi="Times New Roman" w:cs="Times New Roman"/>
                <w:color w:val="auto"/>
                <w:sz w:val="24"/>
                <w:szCs w:val="24"/>
              </w:rPr>
              <w:t>Data</w:t>
            </w:r>
          </w:p>
        </w:tc>
        <w:tc>
          <w:tcPr>
            <w:tcW w:w="9192" w:type="dxa"/>
            <w:shd w:val="clear" w:color="auto" w:fill="auto"/>
            <w:tcMar>
              <w:top w:w="29" w:type="dxa"/>
              <w:left w:w="115" w:type="dxa"/>
              <w:bottom w:w="29" w:type="dxa"/>
              <w:right w:w="115" w:type="dxa"/>
            </w:tcMar>
            <w:vAlign w:val="center"/>
          </w:tcPr>
          <w:p w:rsidR="00B943A9" w:rsidRPr="00B943A9" w:rsidRDefault="00B943A9" w:rsidP="00E470DA">
            <w:pPr>
              <w:pStyle w:val="Heading1"/>
              <w:spacing w:after="0" w:line="240" w:lineRule="auto"/>
              <w:jc w:val="both"/>
              <w:rPr>
                <w:rFonts w:ascii="Times New Roman" w:hAnsi="Times New Roman" w:cs="Times New Roman"/>
                <w:color w:val="auto"/>
                <w:sz w:val="24"/>
                <w:szCs w:val="24"/>
              </w:rPr>
            </w:pPr>
            <w:r w:rsidRPr="00B943A9">
              <w:rPr>
                <w:rFonts w:ascii="Times New Roman" w:hAnsi="Times New Roman" w:cs="Times New Roman"/>
                <w:color w:val="auto"/>
                <w:sz w:val="24"/>
                <w:szCs w:val="24"/>
              </w:rPr>
              <w:t>Pateikiamos informacijos apibendrinimas</w:t>
            </w:r>
          </w:p>
        </w:tc>
        <w:tc>
          <w:tcPr>
            <w:tcW w:w="2411" w:type="dxa"/>
            <w:shd w:val="clear" w:color="auto" w:fill="auto"/>
            <w:tcMar>
              <w:top w:w="29" w:type="dxa"/>
              <w:left w:w="115" w:type="dxa"/>
              <w:bottom w:w="29" w:type="dxa"/>
              <w:right w:w="115" w:type="dxa"/>
            </w:tcMar>
            <w:vAlign w:val="center"/>
          </w:tcPr>
          <w:p w:rsidR="00B943A9" w:rsidRPr="00B943A9" w:rsidRDefault="00B943A9" w:rsidP="00E470DA">
            <w:pPr>
              <w:pStyle w:val="Heading1"/>
              <w:spacing w:after="0" w:line="240" w:lineRule="auto"/>
              <w:jc w:val="both"/>
              <w:rPr>
                <w:rFonts w:ascii="Times New Roman" w:hAnsi="Times New Roman" w:cs="Times New Roman"/>
                <w:color w:val="auto"/>
                <w:sz w:val="24"/>
                <w:szCs w:val="24"/>
              </w:rPr>
            </w:pPr>
            <w:r w:rsidRPr="00B943A9">
              <w:rPr>
                <w:rFonts w:ascii="Times New Roman" w:hAnsi="Times New Roman" w:cs="Times New Roman"/>
                <w:color w:val="auto"/>
                <w:sz w:val="24"/>
                <w:szCs w:val="24"/>
              </w:rPr>
              <w:t>Informacijos šaltinis</w:t>
            </w:r>
          </w:p>
        </w:tc>
        <w:tc>
          <w:tcPr>
            <w:tcW w:w="1641" w:type="dxa"/>
            <w:shd w:val="clear" w:color="auto" w:fill="auto"/>
            <w:tcMar>
              <w:top w:w="29" w:type="dxa"/>
              <w:left w:w="115" w:type="dxa"/>
              <w:bottom w:w="29" w:type="dxa"/>
              <w:right w:w="115" w:type="dxa"/>
            </w:tcMar>
            <w:vAlign w:val="center"/>
          </w:tcPr>
          <w:p w:rsidR="00B943A9" w:rsidRPr="00B943A9" w:rsidRDefault="00B943A9" w:rsidP="00E470DA">
            <w:pPr>
              <w:pStyle w:val="Heading1"/>
              <w:spacing w:after="0" w:line="240" w:lineRule="auto"/>
              <w:jc w:val="both"/>
              <w:rPr>
                <w:rFonts w:ascii="Times New Roman" w:hAnsi="Times New Roman" w:cs="Times New Roman"/>
                <w:color w:val="auto"/>
                <w:sz w:val="24"/>
                <w:szCs w:val="24"/>
              </w:rPr>
            </w:pPr>
            <w:r w:rsidRPr="00B943A9">
              <w:rPr>
                <w:rFonts w:ascii="Times New Roman" w:hAnsi="Times New Roman" w:cs="Times New Roman"/>
                <w:color w:val="auto"/>
                <w:sz w:val="24"/>
                <w:szCs w:val="24"/>
              </w:rPr>
              <w:t>Pastabos</w:t>
            </w:r>
          </w:p>
        </w:tc>
      </w:tr>
      <w:tr w:rsidR="00B943A9" w:rsidRPr="00B943A9" w:rsidTr="00B943A9">
        <w:trPr>
          <w:trHeight w:val="216"/>
        </w:trPr>
        <w:tc>
          <w:tcPr>
            <w:tcW w:w="14819" w:type="dxa"/>
            <w:gridSpan w:val="5"/>
            <w:shd w:val="clear" w:color="auto" w:fill="auto"/>
            <w:tcMar>
              <w:top w:w="29" w:type="dxa"/>
              <w:left w:w="115" w:type="dxa"/>
              <w:bottom w:w="29" w:type="dxa"/>
              <w:right w:w="115" w:type="dxa"/>
            </w:tcMar>
          </w:tcPr>
          <w:p w:rsidR="00B943A9" w:rsidRPr="00B943A9" w:rsidRDefault="00B943A9" w:rsidP="00E470DA">
            <w:pPr>
              <w:spacing w:after="0" w:line="240" w:lineRule="auto"/>
              <w:jc w:val="both"/>
              <w:rPr>
                <w:rFonts w:ascii="Times New Roman" w:hAnsi="Times New Roman"/>
                <w:b/>
                <w:sz w:val="24"/>
                <w:szCs w:val="24"/>
              </w:rPr>
            </w:pPr>
            <w:r w:rsidRPr="00B943A9">
              <w:rPr>
                <w:rFonts w:ascii="Times New Roman" w:hAnsi="Times New Roman"/>
                <w:b/>
                <w:sz w:val="24"/>
                <w:szCs w:val="24"/>
              </w:rPr>
              <w:t>Lietuvos eksportuotojams aktuali informacija</w:t>
            </w:r>
          </w:p>
        </w:tc>
      </w:tr>
      <w:tr w:rsidR="000B5691" w:rsidRPr="00B943A9" w:rsidTr="004317FE">
        <w:trPr>
          <w:trHeight w:val="234"/>
        </w:trPr>
        <w:tc>
          <w:tcPr>
            <w:tcW w:w="1575" w:type="dxa"/>
            <w:gridSpan w:val="2"/>
            <w:shd w:val="clear" w:color="auto" w:fill="auto"/>
            <w:tcMar>
              <w:top w:w="29" w:type="dxa"/>
              <w:left w:w="115" w:type="dxa"/>
              <w:bottom w:w="29" w:type="dxa"/>
              <w:right w:w="115" w:type="dxa"/>
            </w:tcMar>
          </w:tcPr>
          <w:p w:rsidR="000B5691" w:rsidRPr="00B943A9" w:rsidRDefault="008A5824" w:rsidP="00E470DA">
            <w:pPr>
              <w:spacing w:after="0" w:line="240" w:lineRule="auto"/>
              <w:jc w:val="both"/>
              <w:rPr>
                <w:rFonts w:ascii="Times New Roman" w:hAnsi="Times New Roman"/>
                <w:sz w:val="24"/>
                <w:szCs w:val="24"/>
              </w:rPr>
            </w:pPr>
            <w:r>
              <w:rPr>
                <w:rFonts w:ascii="Times New Roman" w:hAnsi="Times New Roman"/>
                <w:sz w:val="24"/>
                <w:szCs w:val="24"/>
              </w:rPr>
              <w:t xml:space="preserve">Kovo 8 d. </w:t>
            </w:r>
          </w:p>
        </w:tc>
        <w:tc>
          <w:tcPr>
            <w:tcW w:w="9192" w:type="dxa"/>
            <w:shd w:val="clear" w:color="auto" w:fill="auto"/>
            <w:tcMar>
              <w:top w:w="29" w:type="dxa"/>
              <w:left w:w="115" w:type="dxa"/>
              <w:bottom w:w="29" w:type="dxa"/>
              <w:right w:w="115" w:type="dxa"/>
            </w:tcMar>
          </w:tcPr>
          <w:p w:rsidR="000B5691" w:rsidRPr="008A5824" w:rsidRDefault="00A144EF" w:rsidP="008A5824">
            <w:pPr>
              <w:spacing w:line="240" w:lineRule="auto"/>
              <w:jc w:val="both"/>
              <w:rPr>
                <w:rFonts w:ascii="Times New Roman" w:hAnsi="Times New Roman"/>
                <w:sz w:val="24"/>
              </w:rPr>
            </w:pPr>
            <w:r w:rsidRPr="005F40DC">
              <w:rPr>
                <w:rFonts w:ascii="Times New Roman" w:hAnsi="Times New Roman"/>
                <w:sz w:val="24"/>
              </w:rPr>
              <w:t xml:space="preserve">Latvijai gresia labai didelis pavojus įstrigti vidutinių pajamų spąstuose, nes ekonomikos augimo </w:t>
            </w:r>
            <w:r w:rsidR="008A5824">
              <w:rPr>
                <w:rFonts w:ascii="Times New Roman" w:hAnsi="Times New Roman"/>
                <w:sz w:val="24"/>
              </w:rPr>
              <w:t>tempas nėra pakankamai spartus</w:t>
            </w:r>
            <w:r w:rsidRPr="005F40DC">
              <w:rPr>
                <w:rFonts w:ascii="Times New Roman" w:hAnsi="Times New Roman"/>
                <w:sz w:val="24"/>
              </w:rPr>
              <w:t xml:space="preserve">, interviu Latvijos radijui trečiadienį sakė Latvijos banko prezidentas </w:t>
            </w:r>
            <w:proofErr w:type="spellStart"/>
            <w:r w:rsidRPr="005F40DC">
              <w:rPr>
                <w:rFonts w:ascii="Times New Roman" w:hAnsi="Times New Roman"/>
                <w:sz w:val="24"/>
              </w:rPr>
              <w:t>Martins</w:t>
            </w:r>
            <w:proofErr w:type="spellEnd"/>
            <w:r w:rsidRPr="005F40DC">
              <w:rPr>
                <w:rFonts w:ascii="Times New Roman" w:hAnsi="Times New Roman"/>
                <w:sz w:val="24"/>
              </w:rPr>
              <w:t xml:space="preserve"> </w:t>
            </w:r>
            <w:proofErr w:type="spellStart"/>
            <w:r w:rsidRPr="005F40DC">
              <w:rPr>
                <w:rFonts w:ascii="Times New Roman" w:hAnsi="Times New Roman"/>
                <w:sz w:val="24"/>
              </w:rPr>
              <w:t>Kazaks</w:t>
            </w:r>
            <w:proofErr w:type="spellEnd"/>
            <w:r w:rsidRPr="005F40DC">
              <w:rPr>
                <w:rFonts w:ascii="Times New Roman" w:hAnsi="Times New Roman"/>
                <w:sz w:val="24"/>
              </w:rPr>
              <w:t xml:space="preserve">. Jis pažymėjo, kad per savo gyvenimą nėra matęs tobulo valstybės biudžeto ir tokio niekada nebus, tačiau Latvijos vyriausybės įsipareigojimas skatinti ekonomikos pertvarką yra labai teigiamas. "Latvijos ekonomika rizikuoja įstrigti vidutinių pajamų spąstuose. (...) Ekonomikos augimo tempas nėra pakankamai spartus, kad artimiausioje ateityje pasiektume ES vidurkį. Todėl Latvijos problemų negalima išspręsti vien šūkiu "Daugiau pinigų!". Todėl visos reformos, kurios daro ekonomiką kokybiškesnę, leidžiančią jai tapti produktyvesne, o gyventojams - daugiau uždirbti ilgalaikėje perspektyvoje, yra pamatas", - teigė J. </w:t>
            </w:r>
            <w:proofErr w:type="spellStart"/>
            <w:r w:rsidRPr="005F40DC">
              <w:rPr>
                <w:rFonts w:ascii="Times New Roman" w:hAnsi="Times New Roman"/>
                <w:sz w:val="24"/>
              </w:rPr>
              <w:t>Kazaks</w:t>
            </w:r>
            <w:proofErr w:type="spellEnd"/>
            <w:r w:rsidRPr="005F40DC">
              <w:rPr>
                <w:rFonts w:ascii="Times New Roman" w:hAnsi="Times New Roman"/>
                <w:sz w:val="24"/>
              </w:rPr>
              <w:t xml:space="preserve">. Jis paaiškino, kad vidutinių pajamų spąstai yra gerai žinomas ekonomikos reiškinys, kai skurdesnės šalys iš pradžių palyginti greitai priartėja prie turtingųjų šalių lygio, tačiau vėliau vienu momentu praktiškai "užstringa" - pasiekia tam tikrą lygį, kai išnaudoja visus savo </w:t>
            </w:r>
            <w:proofErr w:type="spellStart"/>
            <w:r w:rsidRPr="005F40DC">
              <w:rPr>
                <w:rFonts w:ascii="Times New Roman" w:hAnsi="Times New Roman"/>
                <w:sz w:val="24"/>
              </w:rPr>
              <w:t>pranašumus</w:t>
            </w:r>
            <w:proofErr w:type="spellEnd"/>
            <w:r w:rsidRPr="005F40DC">
              <w:rPr>
                <w:rFonts w:ascii="Times New Roman" w:hAnsi="Times New Roman"/>
                <w:sz w:val="24"/>
              </w:rPr>
              <w:t xml:space="preserve">, pavyzdžiui, darbo jėga nebėra pigi, bet nepakankamai kvalifikuota, o investicijos nėra </w:t>
            </w:r>
            <w:r w:rsidR="008A5824">
              <w:rPr>
                <w:rFonts w:ascii="Times New Roman" w:hAnsi="Times New Roman"/>
                <w:sz w:val="24"/>
              </w:rPr>
              <w:t>pakankamai didelės ir protingos.</w:t>
            </w:r>
          </w:p>
        </w:tc>
        <w:tc>
          <w:tcPr>
            <w:tcW w:w="2411" w:type="dxa"/>
            <w:shd w:val="clear" w:color="auto" w:fill="auto"/>
            <w:tcMar>
              <w:top w:w="29" w:type="dxa"/>
              <w:left w:w="115" w:type="dxa"/>
              <w:bottom w:w="29" w:type="dxa"/>
              <w:right w:w="115" w:type="dxa"/>
            </w:tcMar>
          </w:tcPr>
          <w:p w:rsidR="000B5691" w:rsidRPr="00B943A9" w:rsidRDefault="008A5824" w:rsidP="00E470DA">
            <w:pPr>
              <w:spacing w:after="0" w:line="240" w:lineRule="auto"/>
              <w:jc w:val="both"/>
              <w:rPr>
                <w:rFonts w:ascii="Times New Roman" w:hAnsi="Times New Roman"/>
                <w:sz w:val="24"/>
                <w:szCs w:val="24"/>
              </w:rPr>
            </w:pPr>
            <w:r>
              <w:rPr>
                <w:rFonts w:ascii="Times New Roman" w:hAnsi="Times New Roman"/>
                <w:sz w:val="24"/>
                <w:szCs w:val="24"/>
              </w:rPr>
              <w:t xml:space="preserve">Latvijos radijas </w:t>
            </w:r>
          </w:p>
        </w:tc>
        <w:tc>
          <w:tcPr>
            <w:tcW w:w="1641" w:type="dxa"/>
            <w:shd w:val="clear" w:color="auto" w:fill="auto"/>
            <w:tcMar>
              <w:top w:w="29" w:type="dxa"/>
              <w:left w:w="115" w:type="dxa"/>
              <w:bottom w:w="29" w:type="dxa"/>
              <w:right w:w="115" w:type="dxa"/>
            </w:tcMar>
          </w:tcPr>
          <w:p w:rsidR="000B5691" w:rsidRPr="00B943A9" w:rsidRDefault="000B5691" w:rsidP="00E470DA">
            <w:pPr>
              <w:spacing w:after="0" w:line="240" w:lineRule="auto"/>
              <w:jc w:val="both"/>
              <w:rPr>
                <w:rFonts w:ascii="Times New Roman" w:hAnsi="Times New Roman"/>
                <w:sz w:val="24"/>
                <w:szCs w:val="24"/>
              </w:rPr>
            </w:pPr>
          </w:p>
        </w:tc>
      </w:tr>
      <w:tr w:rsidR="00205CAF" w:rsidRPr="00B943A9" w:rsidTr="004317FE">
        <w:trPr>
          <w:trHeight w:val="234"/>
        </w:trPr>
        <w:tc>
          <w:tcPr>
            <w:tcW w:w="1575" w:type="dxa"/>
            <w:gridSpan w:val="2"/>
            <w:shd w:val="clear" w:color="auto" w:fill="auto"/>
            <w:tcMar>
              <w:top w:w="29" w:type="dxa"/>
              <w:left w:w="115" w:type="dxa"/>
              <w:bottom w:w="29" w:type="dxa"/>
              <w:right w:w="115" w:type="dxa"/>
            </w:tcMar>
          </w:tcPr>
          <w:p w:rsidR="00205CAF" w:rsidRPr="00B943A9" w:rsidRDefault="00FF7E30" w:rsidP="00E470DA">
            <w:pPr>
              <w:spacing w:after="0" w:line="240" w:lineRule="auto"/>
              <w:jc w:val="both"/>
              <w:rPr>
                <w:rFonts w:ascii="Times New Roman" w:hAnsi="Times New Roman"/>
                <w:sz w:val="24"/>
                <w:szCs w:val="24"/>
              </w:rPr>
            </w:pPr>
            <w:r>
              <w:rPr>
                <w:rFonts w:ascii="Times New Roman" w:hAnsi="Times New Roman"/>
                <w:sz w:val="24"/>
                <w:szCs w:val="24"/>
              </w:rPr>
              <w:t xml:space="preserve">Kovo 21 d. </w:t>
            </w:r>
          </w:p>
        </w:tc>
        <w:tc>
          <w:tcPr>
            <w:tcW w:w="9192" w:type="dxa"/>
            <w:shd w:val="clear" w:color="auto" w:fill="auto"/>
            <w:tcMar>
              <w:top w:w="29" w:type="dxa"/>
              <w:left w:w="115" w:type="dxa"/>
              <w:bottom w:w="29" w:type="dxa"/>
              <w:right w:w="115" w:type="dxa"/>
            </w:tcMar>
          </w:tcPr>
          <w:p w:rsidR="00205CAF" w:rsidRPr="00B943A9" w:rsidRDefault="00FF7E30" w:rsidP="008A5824">
            <w:pPr>
              <w:spacing w:after="0" w:line="240" w:lineRule="auto"/>
              <w:jc w:val="both"/>
              <w:rPr>
                <w:rFonts w:ascii="Times New Roman" w:hAnsi="Times New Roman"/>
                <w:sz w:val="24"/>
                <w:szCs w:val="24"/>
              </w:rPr>
            </w:pPr>
            <w:r w:rsidRPr="00B128AA">
              <w:rPr>
                <w:rFonts w:ascii="Times New Roman" w:hAnsi="Times New Roman"/>
                <w:sz w:val="24"/>
              </w:rPr>
              <w:t xml:space="preserve">Rusijos invazija į Ukrainą ir dešimt po jos sekusių sankcijų paketų apribojo arba kai kuriuose segmentuose visiškai paralyžiavo verslo sandorius su Rusija. Tačiau vaistų segmente, kuriam sankcijos kol kas netaikomos, didžiausios Europos ir JAV farmacijos įmonės sėkmingai tęsia savo produktų pardavimą Rusijoje. Centrinės statistikos </w:t>
            </w:r>
            <w:r w:rsidR="008A5824">
              <w:rPr>
                <w:rFonts w:ascii="Times New Roman" w:hAnsi="Times New Roman"/>
                <w:sz w:val="24"/>
              </w:rPr>
              <w:t xml:space="preserve">tarnybos </w:t>
            </w:r>
            <w:r w:rsidRPr="00B128AA">
              <w:rPr>
                <w:rFonts w:ascii="Times New Roman" w:hAnsi="Times New Roman"/>
                <w:sz w:val="24"/>
              </w:rPr>
              <w:t xml:space="preserve">duomenys apie Latvijos eksportą į Rusiją 2023 m. sausio mėn. rodo, kad bendras šios šalies eksportas siekė 84,9 mln. eurų, t. y. tik 5,2 proc. arba 4,6 mln. eurų mažiau nei 2022 m. sausį, kai eksporto pardavimų rodiklis buvo 89,5 mln. eurų. Visus 2022 m. eksportas į Rusiją siekė 1,19 mlrd. eurų, o žemės ūkio ir maisto produktai sudarė 432,8 mln. eurų iš šios sumos. Rusija buvo ketvirta pagal dydį </w:t>
            </w:r>
            <w:r w:rsidRPr="00B128AA">
              <w:rPr>
                <w:rFonts w:ascii="Times New Roman" w:hAnsi="Times New Roman"/>
                <w:sz w:val="24"/>
              </w:rPr>
              <w:lastRenderedPageBreak/>
              <w:t>Latvijos užsienio prekybos partnerė, o apklausti verslininkai teigia, kad beveik 1,2 mlrd. eurų vertės eksporto pajamos yra per didelės, kad jas greitai pakeistų eksportas į alternatyvias rinkas. Vieningos nuomonės, ar Latvija turėtų uždaryti duris į Rusijos rinką, nėra, o daugelis verslininkų nenori viešai diskutuoti šiuo klausimu.</w:t>
            </w:r>
          </w:p>
        </w:tc>
        <w:tc>
          <w:tcPr>
            <w:tcW w:w="2411" w:type="dxa"/>
            <w:shd w:val="clear" w:color="auto" w:fill="auto"/>
            <w:tcMar>
              <w:top w:w="29" w:type="dxa"/>
              <w:left w:w="115" w:type="dxa"/>
              <w:bottom w:w="29" w:type="dxa"/>
              <w:right w:w="115" w:type="dxa"/>
            </w:tcMar>
          </w:tcPr>
          <w:p w:rsidR="00205CAF" w:rsidRPr="00B943A9" w:rsidRDefault="008A5824" w:rsidP="00E470DA">
            <w:pPr>
              <w:spacing w:after="0" w:line="240" w:lineRule="auto"/>
              <w:jc w:val="both"/>
              <w:rPr>
                <w:rFonts w:ascii="Times New Roman" w:hAnsi="Times New Roman"/>
                <w:sz w:val="24"/>
                <w:szCs w:val="24"/>
              </w:rPr>
            </w:pPr>
            <w:r>
              <w:rPr>
                <w:rFonts w:ascii="Times New Roman" w:hAnsi="Times New Roman"/>
                <w:sz w:val="24"/>
              </w:rPr>
              <w:lastRenderedPageBreak/>
              <w:t xml:space="preserve">Dienas </w:t>
            </w:r>
            <w:proofErr w:type="spellStart"/>
            <w:r>
              <w:rPr>
                <w:rFonts w:ascii="Times New Roman" w:hAnsi="Times New Roman"/>
                <w:sz w:val="24"/>
              </w:rPr>
              <w:t>Bizness</w:t>
            </w:r>
            <w:proofErr w:type="spellEnd"/>
          </w:p>
        </w:tc>
        <w:tc>
          <w:tcPr>
            <w:tcW w:w="1641" w:type="dxa"/>
            <w:shd w:val="clear" w:color="auto" w:fill="auto"/>
            <w:tcMar>
              <w:top w:w="29" w:type="dxa"/>
              <w:left w:w="115" w:type="dxa"/>
              <w:bottom w:w="29" w:type="dxa"/>
              <w:right w:w="115" w:type="dxa"/>
            </w:tcMar>
          </w:tcPr>
          <w:p w:rsidR="00205CAF" w:rsidRPr="00B943A9" w:rsidRDefault="00205CAF" w:rsidP="00E470DA">
            <w:pPr>
              <w:spacing w:after="0" w:line="240" w:lineRule="auto"/>
              <w:jc w:val="both"/>
              <w:rPr>
                <w:rFonts w:ascii="Times New Roman" w:hAnsi="Times New Roman"/>
                <w:sz w:val="24"/>
                <w:szCs w:val="24"/>
              </w:rPr>
            </w:pPr>
          </w:p>
        </w:tc>
      </w:tr>
      <w:tr w:rsidR="00B943A9" w:rsidRPr="00B943A9" w:rsidTr="00B943A9">
        <w:trPr>
          <w:trHeight w:val="216"/>
        </w:trPr>
        <w:tc>
          <w:tcPr>
            <w:tcW w:w="14819" w:type="dxa"/>
            <w:gridSpan w:val="5"/>
            <w:shd w:val="clear" w:color="auto" w:fill="auto"/>
            <w:tcMar>
              <w:top w:w="29" w:type="dxa"/>
              <w:left w:w="115" w:type="dxa"/>
              <w:bottom w:w="29" w:type="dxa"/>
              <w:right w:w="115" w:type="dxa"/>
            </w:tcMar>
          </w:tcPr>
          <w:p w:rsidR="00B943A9" w:rsidRPr="00B943A9" w:rsidRDefault="00B943A9" w:rsidP="00E470DA">
            <w:pPr>
              <w:spacing w:after="0" w:line="240" w:lineRule="auto"/>
              <w:jc w:val="both"/>
              <w:rPr>
                <w:rFonts w:ascii="Times New Roman" w:hAnsi="Times New Roman"/>
                <w:b/>
                <w:sz w:val="24"/>
                <w:szCs w:val="24"/>
              </w:rPr>
            </w:pPr>
            <w:r w:rsidRPr="00B943A9">
              <w:rPr>
                <w:rFonts w:ascii="Times New Roman" w:hAnsi="Times New Roman"/>
                <w:b/>
                <w:sz w:val="24"/>
                <w:szCs w:val="24"/>
              </w:rPr>
              <w:t>Investicijoms pritraukti į Lietuvą aktuali informacija</w:t>
            </w:r>
          </w:p>
        </w:tc>
      </w:tr>
      <w:tr w:rsidR="00B943A9" w:rsidRPr="00B943A9" w:rsidTr="004317FE">
        <w:trPr>
          <w:trHeight w:val="216"/>
        </w:trPr>
        <w:tc>
          <w:tcPr>
            <w:tcW w:w="1554" w:type="dxa"/>
            <w:shd w:val="clear" w:color="auto" w:fill="auto"/>
            <w:tcMar>
              <w:top w:w="29" w:type="dxa"/>
              <w:left w:w="115" w:type="dxa"/>
              <w:bottom w:w="29" w:type="dxa"/>
              <w:right w:w="115" w:type="dxa"/>
            </w:tcMar>
          </w:tcPr>
          <w:p w:rsidR="008A5824" w:rsidRDefault="008A5824" w:rsidP="00E470DA">
            <w:pPr>
              <w:spacing w:after="0" w:line="240" w:lineRule="auto"/>
              <w:jc w:val="both"/>
              <w:rPr>
                <w:rFonts w:ascii="Times New Roman" w:hAnsi="Times New Roman"/>
                <w:sz w:val="24"/>
                <w:szCs w:val="24"/>
              </w:rPr>
            </w:pPr>
            <w:r>
              <w:rPr>
                <w:rFonts w:ascii="Times New Roman" w:hAnsi="Times New Roman"/>
                <w:sz w:val="24"/>
                <w:szCs w:val="24"/>
              </w:rPr>
              <w:t xml:space="preserve">Kovo 28 d. </w:t>
            </w:r>
          </w:p>
          <w:p w:rsidR="008A5824" w:rsidRDefault="008A5824" w:rsidP="008A5824">
            <w:pPr>
              <w:rPr>
                <w:rFonts w:ascii="Times New Roman" w:hAnsi="Times New Roman"/>
                <w:sz w:val="24"/>
                <w:szCs w:val="24"/>
              </w:rPr>
            </w:pPr>
          </w:p>
          <w:p w:rsidR="00B943A9" w:rsidRPr="008A5824" w:rsidRDefault="00B943A9" w:rsidP="008A5824">
            <w:pPr>
              <w:jc w:val="center"/>
              <w:rPr>
                <w:rFonts w:ascii="Times New Roman" w:hAnsi="Times New Roman"/>
                <w:sz w:val="24"/>
                <w:szCs w:val="24"/>
              </w:rPr>
            </w:pPr>
          </w:p>
        </w:tc>
        <w:tc>
          <w:tcPr>
            <w:tcW w:w="9213" w:type="dxa"/>
            <w:gridSpan w:val="2"/>
            <w:shd w:val="clear" w:color="auto" w:fill="auto"/>
          </w:tcPr>
          <w:p w:rsidR="00FF7E30" w:rsidRPr="005950D7" w:rsidRDefault="00FF7E30" w:rsidP="00FF7E30">
            <w:pPr>
              <w:spacing w:after="0" w:line="240" w:lineRule="auto"/>
              <w:jc w:val="both"/>
              <w:rPr>
                <w:rFonts w:ascii="Times New Roman" w:hAnsi="Times New Roman"/>
                <w:sz w:val="24"/>
              </w:rPr>
            </w:pPr>
            <w:r w:rsidRPr="005950D7">
              <w:rPr>
                <w:rFonts w:ascii="Times New Roman" w:hAnsi="Times New Roman"/>
                <w:sz w:val="24"/>
              </w:rPr>
              <w:t xml:space="preserve">Naujo kapitalo kaina išaugo, o tai reiškia, kad bankai gali tapti dar labiau nelinkę skolinti, interviu Latvijos radijui sakė Latvijos banko Pinigų politikos departamento vadovas </w:t>
            </w:r>
            <w:proofErr w:type="spellStart"/>
            <w:r w:rsidRPr="005950D7">
              <w:rPr>
                <w:rFonts w:ascii="Times New Roman" w:hAnsi="Times New Roman"/>
                <w:sz w:val="24"/>
              </w:rPr>
              <w:t>Uldis</w:t>
            </w:r>
            <w:proofErr w:type="spellEnd"/>
            <w:r w:rsidRPr="005950D7">
              <w:rPr>
                <w:rFonts w:ascii="Times New Roman" w:hAnsi="Times New Roman"/>
                <w:sz w:val="24"/>
              </w:rPr>
              <w:t xml:space="preserve"> </w:t>
            </w:r>
            <w:proofErr w:type="spellStart"/>
            <w:r w:rsidRPr="005950D7">
              <w:rPr>
                <w:rFonts w:ascii="Times New Roman" w:hAnsi="Times New Roman"/>
                <w:sz w:val="24"/>
              </w:rPr>
              <w:t>Rutkastė</w:t>
            </w:r>
            <w:proofErr w:type="spellEnd"/>
            <w:r w:rsidRPr="005950D7">
              <w:rPr>
                <w:rFonts w:ascii="Times New Roman" w:hAnsi="Times New Roman"/>
                <w:sz w:val="24"/>
              </w:rPr>
              <w:t xml:space="preserve">. Komentuodamas </w:t>
            </w:r>
            <w:proofErr w:type="spellStart"/>
            <w:r w:rsidRPr="005950D7">
              <w:rPr>
                <w:rFonts w:ascii="Times New Roman" w:hAnsi="Times New Roman"/>
                <w:sz w:val="24"/>
              </w:rPr>
              <w:t>sukrėtimus</w:t>
            </w:r>
            <w:proofErr w:type="spellEnd"/>
            <w:r w:rsidRPr="005950D7">
              <w:rPr>
                <w:rFonts w:ascii="Times New Roman" w:hAnsi="Times New Roman"/>
                <w:sz w:val="24"/>
              </w:rPr>
              <w:t>, kurie pastaruoju metu paveikė Silicio slėnio banką, "</w:t>
            </w:r>
            <w:proofErr w:type="spellStart"/>
            <w:r w:rsidRPr="005950D7">
              <w:rPr>
                <w:rFonts w:ascii="Times New Roman" w:hAnsi="Times New Roman"/>
                <w:sz w:val="24"/>
              </w:rPr>
              <w:t>Credit</w:t>
            </w:r>
            <w:proofErr w:type="spellEnd"/>
            <w:r w:rsidRPr="005950D7">
              <w:rPr>
                <w:rFonts w:ascii="Times New Roman" w:hAnsi="Times New Roman"/>
                <w:sz w:val="24"/>
              </w:rPr>
              <w:t xml:space="preserve"> </w:t>
            </w:r>
            <w:proofErr w:type="spellStart"/>
            <w:r w:rsidRPr="005950D7">
              <w:rPr>
                <w:rFonts w:ascii="Times New Roman" w:hAnsi="Times New Roman"/>
                <w:sz w:val="24"/>
              </w:rPr>
              <w:t>Suisse</w:t>
            </w:r>
            <w:proofErr w:type="spellEnd"/>
            <w:r w:rsidRPr="005950D7">
              <w:rPr>
                <w:rFonts w:ascii="Times New Roman" w:hAnsi="Times New Roman"/>
                <w:sz w:val="24"/>
              </w:rPr>
              <w:t xml:space="preserve">", "Deutsche Bank" ir kai kuriuos kitus didžiuosius bankus, U. </w:t>
            </w:r>
            <w:proofErr w:type="spellStart"/>
            <w:r w:rsidRPr="005950D7">
              <w:rPr>
                <w:rFonts w:ascii="Times New Roman" w:hAnsi="Times New Roman"/>
                <w:sz w:val="24"/>
              </w:rPr>
              <w:t>Rutkastė</w:t>
            </w:r>
            <w:proofErr w:type="spellEnd"/>
            <w:r w:rsidRPr="005950D7">
              <w:rPr>
                <w:rFonts w:ascii="Times New Roman" w:hAnsi="Times New Roman"/>
                <w:sz w:val="24"/>
              </w:rPr>
              <w:t xml:space="preserve"> nurodė, kad šie sukrėtimai neatsiliepia Latvijoje, nes jos bankai iki šiol buvo konservatyvesni, nerizikavo ir turėjo tvirtą likvidumą, nes per pastarąjį dešimtmetį skolino gana lėtai. Pasak </w:t>
            </w:r>
            <w:proofErr w:type="spellStart"/>
            <w:r w:rsidRPr="005950D7">
              <w:rPr>
                <w:rFonts w:ascii="Times New Roman" w:hAnsi="Times New Roman"/>
                <w:sz w:val="24"/>
              </w:rPr>
              <w:t>Rutkastės</w:t>
            </w:r>
            <w:proofErr w:type="spellEnd"/>
            <w:r w:rsidRPr="005950D7">
              <w:rPr>
                <w:rFonts w:ascii="Times New Roman" w:hAnsi="Times New Roman"/>
                <w:sz w:val="24"/>
              </w:rPr>
              <w:t xml:space="preserve">, bankų likvidus turtas daugiausia buvo laikomas Latvijoje, Latvijos banke, arba buvo skolinamas jų patronuojantiems užsienio bankams. Tuo tarpu kapitalo kaina padidėjo, o tai reiškia, kad dabar brangiau pritraukti naują kapitalą, todėl bankų noras skolinti gali dar labiau sumažėti, sakė </w:t>
            </w:r>
            <w:proofErr w:type="spellStart"/>
            <w:r w:rsidRPr="005950D7">
              <w:rPr>
                <w:rFonts w:ascii="Times New Roman" w:hAnsi="Times New Roman"/>
                <w:sz w:val="24"/>
              </w:rPr>
              <w:t>Rutkastė</w:t>
            </w:r>
            <w:proofErr w:type="spellEnd"/>
            <w:r w:rsidRPr="005950D7">
              <w:rPr>
                <w:rFonts w:ascii="Times New Roman" w:hAnsi="Times New Roman"/>
                <w:sz w:val="24"/>
              </w:rPr>
              <w:t>. Centrinio banko ekspert</w:t>
            </w:r>
            <w:r w:rsidR="008A5824">
              <w:rPr>
                <w:rFonts w:ascii="Times New Roman" w:hAnsi="Times New Roman"/>
                <w:sz w:val="24"/>
              </w:rPr>
              <w:t>as</w:t>
            </w:r>
            <w:r w:rsidRPr="005950D7">
              <w:rPr>
                <w:rFonts w:ascii="Times New Roman" w:hAnsi="Times New Roman"/>
                <w:sz w:val="24"/>
              </w:rPr>
              <w:t xml:space="preserve"> pripažino, kad lėtas skolinimas turėjo savo kainą - tai reiškė lėtesnį Latvijos ekonomikos augimą, kai tuo tarpu jos Baltijos kaimynės sparčiau žengia į priekį. Be to, Latvijos bankų indėlių palūkanų normos yra mažos. Estijoje net tarp tos pačios grupės bankų indėlių palūkanų normos yra didesnės negu Latvijoje.</w:t>
            </w:r>
          </w:p>
          <w:p w:rsidR="00B943A9" w:rsidRPr="00B943A9" w:rsidRDefault="00B943A9" w:rsidP="00E33EBF">
            <w:pPr>
              <w:spacing w:after="0" w:line="240" w:lineRule="auto"/>
              <w:jc w:val="both"/>
              <w:rPr>
                <w:rFonts w:ascii="Times New Roman" w:hAnsi="Times New Roman"/>
                <w:b/>
                <w:sz w:val="24"/>
                <w:szCs w:val="24"/>
              </w:rPr>
            </w:pPr>
          </w:p>
        </w:tc>
        <w:tc>
          <w:tcPr>
            <w:tcW w:w="2411" w:type="dxa"/>
            <w:shd w:val="clear" w:color="auto" w:fill="auto"/>
          </w:tcPr>
          <w:p w:rsidR="00B943A9" w:rsidRPr="00B943A9" w:rsidRDefault="008A5824" w:rsidP="00E470DA">
            <w:pPr>
              <w:spacing w:after="0" w:line="240" w:lineRule="auto"/>
              <w:jc w:val="both"/>
              <w:rPr>
                <w:rFonts w:ascii="Times New Roman" w:hAnsi="Times New Roman"/>
                <w:sz w:val="24"/>
                <w:szCs w:val="24"/>
              </w:rPr>
            </w:pPr>
            <w:r>
              <w:rPr>
                <w:rFonts w:ascii="Times New Roman" w:hAnsi="Times New Roman"/>
                <w:sz w:val="24"/>
                <w:szCs w:val="24"/>
              </w:rPr>
              <w:t xml:space="preserve">Latvijos radijas </w:t>
            </w:r>
          </w:p>
        </w:tc>
        <w:tc>
          <w:tcPr>
            <w:tcW w:w="1641" w:type="dxa"/>
            <w:shd w:val="clear" w:color="auto" w:fill="auto"/>
          </w:tcPr>
          <w:p w:rsidR="00B943A9" w:rsidRPr="00B943A9" w:rsidRDefault="00B943A9" w:rsidP="00E470DA">
            <w:pPr>
              <w:spacing w:after="0" w:line="240" w:lineRule="auto"/>
              <w:jc w:val="both"/>
              <w:rPr>
                <w:rFonts w:ascii="Times New Roman" w:hAnsi="Times New Roman"/>
                <w:b/>
                <w:sz w:val="24"/>
                <w:szCs w:val="24"/>
              </w:rPr>
            </w:pPr>
          </w:p>
        </w:tc>
      </w:tr>
      <w:tr w:rsidR="00205CAF" w:rsidRPr="00B943A9" w:rsidTr="004317FE">
        <w:trPr>
          <w:trHeight w:val="216"/>
        </w:trPr>
        <w:tc>
          <w:tcPr>
            <w:tcW w:w="1554" w:type="dxa"/>
            <w:shd w:val="clear" w:color="auto" w:fill="auto"/>
            <w:tcMar>
              <w:top w:w="29" w:type="dxa"/>
              <w:left w:w="115" w:type="dxa"/>
              <w:bottom w:w="29" w:type="dxa"/>
              <w:right w:w="115" w:type="dxa"/>
            </w:tcMar>
          </w:tcPr>
          <w:p w:rsidR="00205CAF" w:rsidRPr="00B943A9" w:rsidRDefault="008C1254" w:rsidP="00E470DA">
            <w:pPr>
              <w:spacing w:after="0" w:line="240" w:lineRule="auto"/>
              <w:jc w:val="both"/>
              <w:rPr>
                <w:rFonts w:ascii="Times New Roman" w:hAnsi="Times New Roman"/>
                <w:sz w:val="24"/>
                <w:szCs w:val="24"/>
              </w:rPr>
            </w:pPr>
            <w:r>
              <w:rPr>
                <w:rFonts w:ascii="Times New Roman" w:hAnsi="Times New Roman"/>
                <w:sz w:val="24"/>
                <w:szCs w:val="24"/>
              </w:rPr>
              <w:t xml:space="preserve">Kovo 24 d. </w:t>
            </w:r>
          </w:p>
        </w:tc>
        <w:tc>
          <w:tcPr>
            <w:tcW w:w="9213" w:type="dxa"/>
            <w:gridSpan w:val="2"/>
            <w:shd w:val="clear" w:color="auto" w:fill="auto"/>
          </w:tcPr>
          <w:p w:rsidR="00205CAF" w:rsidRPr="008A5824" w:rsidRDefault="008C1254" w:rsidP="008A5824">
            <w:pPr>
              <w:spacing w:after="0" w:line="240" w:lineRule="auto"/>
              <w:jc w:val="both"/>
              <w:rPr>
                <w:rFonts w:ascii="Times New Roman" w:hAnsi="Times New Roman"/>
                <w:sz w:val="24"/>
                <w:szCs w:val="24"/>
              </w:rPr>
            </w:pPr>
            <w:r w:rsidRPr="008A5824">
              <w:rPr>
                <w:rFonts w:ascii="Times New Roman" w:hAnsi="Times New Roman"/>
                <w:sz w:val="24"/>
                <w:szCs w:val="24"/>
              </w:rPr>
              <w:t>Rygoje veiklą pradės viena pirmaujančių pasaulio biotechnologijų bendrovių "</w:t>
            </w:r>
            <w:proofErr w:type="spellStart"/>
            <w:r w:rsidRPr="008A5824">
              <w:rPr>
                <w:rFonts w:ascii="Times New Roman" w:hAnsi="Times New Roman"/>
                <w:sz w:val="24"/>
                <w:szCs w:val="24"/>
              </w:rPr>
              <w:t>Roche</w:t>
            </w:r>
            <w:proofErr w:type="spellEnd"/>
            <w:r w:rsidRPr="008A5824">
              <w:rPr>
                <w:rFonts w:ascii="Times New Roman" w:hAnsi="Times New Roman"/>
                <w:sz w:val="24"/>
                <w:szCs w:val="24"/>
              </w:rPr>
              <w:t xml:space="preserve">", </w:t>
            </w:r>
            <w:r w:rsidR="008A5824" w:rsidRPr="008A5824">
              <w:rPr>
                <w:rFonts w:ascii="Times New Roman" w:hAnsi="Times New Roman"/>
                <w:sz w:val="24"/>
                <w:szCs w:val="24"/>
              </w:rPr>
              <w:t xml:space="preserve">pranešė </w:t>
            </w:r>
            <w:r w:rsidRPr="008A5824">
              <w:rPr>
                <w:rFonts w:ascii="Times New Roman" w:hAnsi="Times New Roman"/>
                <w:sz w:val="24"/>
                <w:szCs w:val="24"/>
              </w:rPr>
              <w:t xml:space="preserve">miesto meras </w:t>
            </w:r>
            <w:proofErr w:type="spellStart"/>
            <w:r w:rsidRPr="008A5824">
              <w:rPr>
                <w:rFonts w:ascii="Times New Roman" w:hAnsi="Times New Roman"/>
                <w:sz w:val="24"/>
                <w:szCs w:val="24"/>
              </w:rPr>
              <w:t>Martin</w:t>
            </w:r>
            <w:r w:rsidR="008A5824" w:rsidRPr="008A5824">
              <w:rPr>
                <w:rFonts w:ascii="Times New Roman" w:hAnsi="Times New Roman"/>
                <w:sz w:val="24"/>
                <w:szCs w:val="24"/>
              </w:rPr>
              <w:t>š</w:t>
            </w:r>
            <w:proofErr w:type="spellEnd"/>
            <w:r w:rsidRPr="008A5824">
              <w:rPr>
                <w:rFonts w:ascii="Times New Roman" w:hAnsi="Times New Roman"/>
                <w:sz w:val="24"/>
                <w:szCs w:val="24"/>
              </w:rPr>
              <w:t xml:space="preserve"> </w:t>
            </w:r>
            <w:proofErr w:type="spellStart"/>
            <w:r w:rsidRPr="008A5824">
              <w:rPr>
                <w:rFonts w:ascii="Times New Roman" w:hAnsi="Times New Roman"/>
                <w:sz w:val="24"/>
                <w:szCs w:val="24"/>
              </w:rPr>
              <w:t>Stakis</w:t>
            </w:r>
            <w:proofErr w:type="spellEnd"/>
            <w:r w:rsidRPr="008A5824">
              <w:rPr>
                <w:rFonts w:ascii="Times New Roman" w:hAnsi="Times New Roman"/>
                <w:sz w:val="24"/>
                <w:szCs w:val="24"/>
              </w:rPr>
              <w:t>.</w:t>
            </w:r>
          </w:p>
        </w:tc>
        <w:tc>
          <w:tcPr>
            <w:tcW w:w="2411" w:type="dxa"/>
            <w:shd w:val="clear" w:color="auto" w:fill="auto"/>
          </w:tcPr>
          <w:p w:rsidR="00205CAF" w:rsidRPr="00B943A9" w:rsidRDefault="008A5824" w:rsidP="00E470DA">
            <w:pPr>
              <w:spacing w:after="0" w:line="240" w:lineRule="auto"/>
              <w:jc w:val="both"/>
              <w:rPr>
                <w:rFonts w:ascii="Times New Roman" w:hAnsi="Times New Roman"/>
                <w:sz w:val="24"/>
                <w:szCs w:val="24"/>
              </w:rPr>
            </w:pPr>
            <w:hyperlink r:id="rId8" w:history="1">
              <w:r w:rsidRPr="005C1324">
                <w:rPr>
                  <w:rStyle w:val="Hyperlink"/>
                  <w:rFonts w:ascii="Times New Roman" w:hAnsi="Times New Roman"/>
                  <w:sz w:val="24"/>
                  <w:szCs w:val="24"/>
                </w:rPr>
                <w:t>https://www.liveriga.com/en/12523-roche-to-establish-a-satellite-location-in-riga-latvia-as-part-of-roche-services-solutions-rss/</w:t>
              </w:r>
            </w:hyperlink>
            <w:r>
              <w:rPr>
                <w:rFonts w:ascii="Times New Roman" w:hAnsi="Times New Roman"/>
                <w:sz w:val="24"/>
                <w:szCs w:val="24"/>
              </w:rPr>
              <w:t xml:space="preserve"> </w:t>
            </w:r>
          </w:p>
        </w:tc>
        <w:tc>
          <w:tcPr>
            <w:tcW w:w="1641" w:type="dxa"/>
            <w:shd w:val="clear" w:color="auto" w:fill="auto"/>
          </w:tcPr>
          <w:p w:rsidR="00205CAF" w:rsidRPr="00B943A9" w:rsidRDefault="00205CAF" w:rsidP="00E470DA">
            <w:pPr>
              <w:spacing w:after="0" w:line="240" w:lineRule="auto"/>
              <w:jc w:val="both"/>
              <w:rPr>
                <w:rFonts w:ascii="Times New Roman" w:hAnsi="Times New Roman"/>
                <w:b/>
                <w:sz w:val="24"/>
                <w:szCs w:val="24"/>
              </w:rPr>
            </w:pPr>
          </w:p>
        </w:tc>
      </w:tr>
      <w:tr w:rsidR="00B943A9" w:rsidRPr="00B943A9" w:rsidTr="00B943A9">
        <w:trPr>
          <w:trHeight w:val="216"/>
        </w:trPr>
        <w:tc>
          <w:tcPr>
            <w:tcW w:w="14819" w:type="dxa"/>
            <w:gridSpan w:val="5"/>
            <w:shd w:val="clear" w:color="auto" w:fill="auto"/>
            <w:tcMar>
              <w:top w:w="29" w:type="dxa"/>
              <w:left w:w="115" w:type="dxa"/>
              <w:bottom w:w="29" w:type="dxa"/>
              <w:right w:w="115" w:type="dxa"/>
            </w:tcMar>
          </w:tcPr>
          <w:p w:rsidR="00B943A9" w:rsidRPr="00B943A9" w:rsidRDefault="00B943A9" w:rsidP="00E470DA">
            <w:pPr>
              <w:spacing w:after="0" w:line="240" w:lineRule="auto"/>
              <w:jc w:val="both"/>
              <w:rPr>
                <w:rFonts w:ascii="Times New Roman" w:hAnsi="Times New Roman"/>
                <w:b/>
                <w:sz w:val="24"/>
                <w:szCs w:val="24"/>
              </w:rPr>
            </w:pPr>
            <w:r w:rsidRPr="00B943A9">
              <w:rPr>
                <w:rFonts w:ascii="Times New Roman" w:hAnsi="Times New Roman"/>
                <w:b/>
                <w:sz w:val="24"/>
                <w:szCs w:val="24"/>
              </w:rPr>
              <w:t>Lietuvos verslo plėtrai aktuali informacija</w:t>
            </w:r>
          </w:p>
        </w:tc>
      </w:tr>
      <w:tr w:rsidR="00B943A9" w:rsidRPr="00B943A9" w:rsidTr="004317FE">
        <w:trPr>
          <w:trHeight w:val="234"/>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B943A9" w:rsidRPr="008A5824" w:rsidRDefault="00A144EF" w:rsidP="008A5824">
            <w:pPr>
              <w:spacing w:line="240" w:lineRule="auto"/>
              <w:rPr>
                <w:rFonts w:ascii="Times New Roman" w:hAnsi="Times New Roman"/>
                <w:sz w:val="24"/>
              </w:rPr>
            </w:pPr>
            <w:r w:rsidRPr="00B126E9">
              <w:rPr>
                <w:rFonts w:ascii="Times New Roman" w:hAnsi="Times New Roman"/>
                <w:sz w:val="24"/>
              </w:rPr>
              <w:t xml:space="preserve">Pramonės produkcijos gamyba 2023 m. sausį, palyginti su 2022 m. sausiu, pagal kalendoriškai patikslintus duomenis palyginamosiomis kainomis sumažėjo 9,8 %, pirmadienį </w:t>
            </w:r>
            <w:r w:rsidRPr="00B126E9">
              <w:rPr>
                <w:rFonts w:ascii="Times New Roman" w:hAnsi="Times New Roman"/>
                <w:sz w:val="24"/>
              </w:rPr>
              <w:lastRenderedPageBreak/>
              <w:t xml:space="preserve">pranešė Centrinė statistikos </w:t>
            </w:r>
            <w:r w:rsidR="008A5824">
              <w:rPr>
                <w:rFonts w:ascii="Times New Roman" w:hAnsi="Times New Roman"/>
                <w:sz w:val="24"/>
              </w:rPr>
              <w:t>tarnyba</w:t>
            </w:r>
            <w:r w:rsidRPr="00B126E9">
              <w:rPr>
                <w:rFonts w:ascii="Times New Roman" w:hAnsi="Times New Roman"/>
                <w:sz w:val="24"/>
              </w:rPr>
              <w:t>. Gamybos apimtis sumažėjo apdirbamojoje gamyboje (6,1 proc.) bei kasybos ir karjerų eksploatavimo sektoriuje (20,8 proc.). Sumažėjimas (20,8 proc.) užfiksuotas ir elektros bei dujų tiekimo sektoriuje, nes sumažėjo elektros energijos gamyba termofikacinėse elektrinėse bei dujų paskirstymas vartotojams. Pramonės produkcijos gamybos apimčių sumažėjimas užfiksuotas spausdinimo ir įrašytų laikmenų tiražavimo (34,6 proc.), mašinų ir įrangos gamybos (27,8 proc.), kitų nemetalo mineralinių produktų gamybos (21,9 proc.), taip pat variklinių transporto priemonių, priekabų ir puspriekabių (variklinių transporto priemonių dalių ir reikmenų) gamybos (9,1 proc.) srityse.</w:t>
            </w:r>
          </w:p>
        </w:tc>
        <w:tc>
          <w:tcPr>
            <w:tcW w:w="2411" w:type="dxa"/>
            <w:shd w:val="clear" w:color="auto" w:fill="auto"/>
            <w:tcMar>
              <w:top w:w="29" w:type="dxa"/>
              <w:left w:w="115" w:type="dxa"/>
              <w:bottom w:w="29" w:type="dxa"/>
              <w:right w:w="115" w:type="dxa"/>
            </w:tcMar>
          </w:tcPr>
          <w:p w:rsidR="00B943A9" w:rsidRPr="00B943A9" w:rsidRDefault="008A5824" w:rsidP="001957F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Leta.lv </w:t>
            </w: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205CAF" w:rsidRPr="00B943A9" w:rsidTr="004317FE">
        <w:trPr>
          <w:trHeight w:val="234"/>
        </w:trPr>
        <w:tc>
          <w:tcPr>
            <w:tcW w:w="1575" w:type="dxa"/>
            <w:gridSpan w:val="2"/>
            <w:shd w:val="clear" w:color="auto" w:fill="auto"/>
            <w:tcMar>
              <w:top w:w="29" w:type="dxa"/>
              <w:left w:w="115" w:type="dxa"/>
              <w:bottom w:w="29" w:type="dxa"/>
              <w:right w:w="115" w:type="dxa"/>
            </w:tcMar>
          </w:tcPr>
          <w:p w:rsidR="00205CAF" w:rsidRPr="00B943A9" w:rsidRDefault="00A144EF" w:rsidP="00B943A9">
            <w:pPr>
              <w:spacing w:after="0" w:line="240" w:lineRule="auto"/>
              <w:jc w:val="both"/>
              <w:rPr>
                <w:rFonts w:ascii="Times New Roman" w:hAnsi="Times New Roman"/>
                <w:sz w:val="24"/>
                <w:szCs w:val="24"/>
              </w:rPr>
            </w:pPr>
            <w:r>
              <w:rPr>
                <w:rFonts w:ascii="Times New Roman" w:hAnsi="Times New Roman"/>
                <w:sz w:val="24"/>
                <w:szCs w:val="24"/>
              </w:rPr>
              <w:t xml:space="preserve">Kovo 13 d. </w:t>
            </w:r>
          </w:p>
        </w:tc>
        <w:tc>
          <w:tcPr>
            <w:tcW w:w="9192" w:type="dxa"/>
            <w:shd w:val="clear" w:color="auto" w:fill="auto"/>
            <w:tcMar>
              <w:top w:w="29" w:type="dxa"/>
              <w:left w:w="115" w:type="dxa"/>
              <w:bottom w:w="29" w:type="dxa"/>
              <w:right w:w="115" w:type="dxa"/>
            </w:tcMar>
          </w:tcPr>
          <w:p w:rsidR="00205CAF" w:rsidRPr="008A5824" w:rsidRDefault="00A144EF" w:rsidP="008A5824">
            <w:pPr>
              <w:spacing w:after="0" w:line="240" w:lineRule="auto"/>
              <w:jc w:val="both"/>
              <w:rPr>
                <w:rFonts w:ascii="Times New Roman" w:hAnsi="Times New Roman"/>
                <w:sz w:val="24"/>
              </w:rPr>
            </w:pPr>
            <w:r w:rsidRPr="00B128AA">
              <w:rPr>
                <w:rFonts w:ascii="Times New Roman" w:hAnsi="Times New Roman"/>
                <w:sz w:val="24"/>
              </w:rPr>
              <w:t xml:space="preserve">2023 m. sausį Latvija eksportavo prekių už 1,629 mlrd. eurų, t. y. 8,9 proc. daugiau nei per tą patį laikotarpį prieš metus, o Latvijos importas per metus išaugo 14,5 proc. iki 1,846 mlrd. eurų, rodo Centrinės statistikos </w:t>
            </w:r>
            <w:r w:rsidR="008A5824">
              <w:rPr>
                <w:rFonts w:ascii="Times New Roman" w:hAnsi="Times New Roman"/>
                <w:sz w:val="24"/>
              </w:rPr>
              <w:t>tarnybos</w:t>
            </w:r>
            <w:r w:rsidRPr="00B128AA">
              <w:rPr>
                <w:rFonts w:ascii="Times New Roman" w:hAnsi="Times New Roman"/>
                <w:sz w:val="24"/>
              </w:rPr>
              <w:t xml:space="preserve"> (CSB) paskelbti duomenys. Taigi Latvijos užsienio prekybos apyvarta 2023 m. sausį sudarė 3,476 mlrd. eurų ir, palyginti su atitinkamu 2022 m. laikotarpiu, išaugo 11,8 proc. dabartinėmis kainomis. Palyginti su praėjusių metų gruodžiu, 2023 m. sausį Latvijos eksporto vertė sumažėjo 5,1 procento, o importo vertė - 22 procentais. Per metus Latvijos užsienio prekybos balansas pablogėjo, nes eksporto dalis sumažėjo nuo 48,1 proc. prieš metus iki 46,9 proc. 2023 m. sausį. 2023 m. sausio mėn. su 117 šalių partnerių Latvijos užsienio prekybos balansas buvo teigiamas, nes prekių eksporto vertė viršijo prekių importo vertę. Su 41 šalimi jis buvo neigiamas. 2023 m. sausį, palyginti su 2022 m. sausiu, Europos Sąjungos šalių dalis bendroje eksporto vertėje sumažėjo 1,8 procentinio punkto, tačiau bendroje importo vertėje padidėjo - 10 procentinių punktų. Nepriklausomų valstybių sandraugos šalių dalis eksporto vertėje padidėjo 0,2 procentinio punkto, bet importo - sumažėjo 9,1 procentinio punkto. 2023 m. sausį, palyginti su 2022 m. sausiu, eksporto į Ukrainą padidėjimui didžiausią įtaką turėjo 10,1 mln. eurų išaugęs mineralinių produktų eksportas, į Baltarusiją - 3,2 mln. eurų išaugęs transporto priemonių ir susijusių transporto priemonių eksportas. Savo ruožtu eksporto į Rusijos Federaciją sumažėjimui didžiausią įtaką darė 8,8 mln. eurų sumažėjęs mašinų ir mechaninių įrengi</w:t>
            </w:r>
            <w:r w:rsidR="008A5824">
              <w:rPr>
                <w:rFonts w:ascii="Times New Roman" w:hAnsi="Times New Roman"/>
                <w:sz w:val="24"/>
              </w:rPr>
              <w:t xml:space="preserve">nių, elektros įrangos eksportas. </w:t>
            </w:r>
          </w:p>
        </w:tc>
        <w:tc>
          <w:tcPr>
            <w:tcW w:w="2411" w:type="dxa"/>
            <w:shd w:val="clear" w:color="auto" w:fill="auto"/>
            <w:tcMar>
              <w:top w:w="29" w:type="dxa"/>
              <w:left w:w="115" w:type="dxa"/>
              <w:bottom w:w="29" w:type="dxa"/>
              <w:right w:w="115" w:type="dxa"/>
            </w:tcMar>
          </w:tcPr>
          <w:p w:rsidR="00205CAF" w:rsidRPr="00B943A9" w:rsidRDefault="008A5824" w:rsidP="001957F3">
            <w:pPr>
              <w:spacing w:after="0" w:line="240" w:lineRule="auto"/>
              <w:jc w:val="both"/>
              <w:rPr>
                <w:rFonts w:ascii="Times New Roman" w:hAnsi="Times New Roman"/>
                <w:sz w:val="24"/>
                <w:szCs w:val="24"/>
              </w:rPr>
            </w:pPr>
            <w:r>
              <w:rPr>
                <w:rFonts w:ascii="Times New Roman" w:hAnsi="Times New Roman"/>
                <w:sz w:val="24"/>
                <w:szCs w:val="24"/>
              </w:rPr>
              <w:t xml:space="preserve">Leta.lv </w:t>
            </w:r>
          </w:p>
        </w:tc>
        <w:tc>
          <w:tcPr>
            <w:tcW w:w="1641" w:type="dxa"/>
            <w:shd w:val="clear" w:color="auto" w:fill="auto"/>
            <w:tcMar>
              <w:top w:w="29" w:type="dxa"/>
              <w:left w:w="115" w:type="dxa"/>
              <w:bottom w:w="29" w:type="dxa"/>
              <w:right w:w="115" w:type="dxa"/>
            </w:tcMar>
          </w:tcPr>
          <w:p w:rsidR="00205CAF" w:rsidRPr="00B943A9" w:rsidRDefault="00205CAF" w:rsidP="00B943A9">
            <w:pPr>
              <w:spacing w:after="0" w:line="240" w:lineRule="auto"/>
              <w:jc w:val="both"/>
              <w:rPr>
                <w:rFonts w:ascii="Times New Roman" w:hAnsi="Times New Roman"/>
                <w:sz w:val="24"/>
                <w:szCs w:val="24"/>
              </w:rPr>
            </w:pPr>
          </w:p>
        </w:tc>
      </w:tr>
      <w:tr w:rsidR="00205CAF" w:rsidRPr="00B943A9" w:rsidTr="004317FE">
        <w:trPr>
          <w:trHeight w:val="234"/>
        </w:trPr>
        <w:tc>
          <w:tcPr>
            <w:tcW w:w="1575" w:type="dxa"/>
            <w:gridSpan w:val="2"/>
            <w:shd w:val="clear" w:color="auto" w:fill="auto"/>
            <w:tcMar>
              <w:top w:w="29" w:type="dxa"/>
              <w:left w:w="115" w:type="dxa"/>
              <w:bottom w:w="29" w:type="dxa"/>
              <w:right w:w="115" w:type="dxa"/>
            </w:tcMar>
          </w:tcPr>
          <w:p w:rsidR="00205CAF" w:rsidRPr="00B943A9" w:rsidRDefault="00FF7E30" w:rsidP="00B943A9">
            <w:pPr>
              <w:spacing w:after="0" w:line="240" w:lineRule="auto"/>
              <w:jc w:val="both"/>
              <w:rPr>
                <w:rFonts w:ascii="Times New Roman" w:hAnsi="Times New Roman"/>
                <w:sz w:val="24"/>
                <w:szCs w:val="24"/>
              </w:rPr>
            </w:pPr>
            <w:r>
              <w:rPr>
                <w:rFonts w:ascii="Times New Roman" w:hAnsi="Times New Roman"/>
                <w:sz w:val="24"/>
                <w:szCs w:val="24"/>
              </w:rPr>
              <w:t xml:space="preserve">Kovo 17 d. </w:t>
            </w:r>
          </w:p>
        </w:tc>
        <w:tc>
          <w:tcPr>
            <w:tcW w:w="9192" w:type="dxa"/>
            <w:shd w:val="clear" w:color="auto" w:fill="auto"/>
            <w:tcMar>
              <w:top w:w="29" w:type="dxa"/>
              <w:left w:w="115" w:type="dxa"/>
              <w:bottom w:w="29" w:type="dxa"/>
              <w:right w:w="115" w:type="dxa"/>
            </w:tcMar>
          </w:tcPr>
          <w:p w:rsidR="00205CAF" w:rsidRPr="00B943A9" w:rsidRDefault="00FF7E30" w:rsidP="008A5824">
            <w:pPr>
              <w:spacing w:after="0" w:line="240" w:lineRule="auto"/>
              <w:jc w:val="both"/>
              <w:rPr>
                <w:rFonts w:ascii="Times New Roman" w:hAnsi="Times New Roman"/>
                <w:sz w:val="24"/>
                <w:szCs w:val="24"/>
              </w:rPr>
            </w:pPr>
            <w:r w:rsidRPr="00B128AA">
              <w:rPr>
                <w:rFonts w:ascii="Times New Roman" w:hAnsi="Times New Roman"/>
                <w:sz w:val="24"/>
              </w:rPr>
              <w:t xml:space="preserve">2022 m. Latvijos pinigų finansų įstaigos (PFI) gavo daugiau kaip 326 mln. eurų bendrojo pelno, t. y. 26,5 proc. daugiau nei prieš metus. Prognozuojama, kad šiemet bankai uždirbs dar daugiau. Nors hipotekos paskolų turėtojai stengiasi sumokėti mėnesines įmokas sparčiai </w:t>
            </w:r>
            <w:r w:rsidRPr="00B128AA">
              <w:rPr>
                <w:rFonts w:ascii="Times New Roman" w:hAnsi="Times New Roman"/>
                <w:sz w:val="24"/>
              </w:rPr>
              <w:lastRenderedPageBreak/>
              <w:t>kylant EURIBOR palūkanų normoms, bankų fiksuotųjų palūkanų normos nemažinamos. Klausimų dėl didžiulių bankų pelnų praėjusiais metais kilo ne tik Latvijoje, nes akivaizdu, kad rekordiniai finansų ir energetikos sektoriaus įmonių pelnai ne visada buvo gauti ne dėl vadovų sprendimų, o dėl geopolitinės padėties. Tikimasi, kad šiais metais euro zonoje veikiantys bankai uždirbs apie 70 mlrd. eurų "papildomo pelno". Kelios šalys jau ragino įvesti solidarumo mokestį bankams. Vengrija, Ispanija, Kroatija ir Čekija jau įvedė laikinąjį mokestį, netrukus jį įves ir Lietuva. Latvijos finansų ministerija taip pat pasiūlė įvesti solidarumo mokestį, nes tikimasi, kad šiais ir kitais metais Latvijos bankų pelnas augs dar sparčiau nei 2022 m.</w:t>
            </w:r>
            <w:r w:rsidR="008A5824">
              <w:rPr>
                <w:rFonts w:ascii="Times New Roman" w:hAnsi="Times New Roman"/>
                <w:sz w:val="24"/>
              </w:rPr>
              <w:t xml:space="preserve"> (tačiau kovo pabaigoje tokių planų atsisakyta, neigiamą nuomonę išsakius prezidentui, koalicijos partneriams).</w:t>
            </w:r>
            <w:r w:rsidRPr="00B128AA">
              <w:rPr>
                <w:rFonts w:ascii="Times New Roman" w:hAnsi="Times New Roman"/>
                <w:sz w:val="24"/>
              </w:rPr>
              <w:t xml:space="preserve"> Planuojama 60 proc. mokesčiu apmokestinti bankų palūkanų pajamas, kurios yra daugiau kaip 50 proc. didesnės už vidutines pastarųjų ketverių metų palūkanų pajamas. </w:t>
            </w:r>
          </w:p>
        </w:tc>
        <w:tc>
          <w:tcPr>
            <w:tcW w:w="2411" w:type="dxa"/>
            <w:shd w:val="clear" w:color="auto" w:fill="auto"/>
            <w:tcMar>
              <w:top w:w="29" w:type="dxa"/>
              <w:left w:w="115" w:type="dxa"/>
              <w:bottom w:w="29" w:type="dxa"/>
              <w:right w:w="115" w:type="dxa"/>
            </w:tcMar>
          </w:tcPr>
          <w:p w:rsidR="00205CAF" w:rsidRPr="00B943A9" w:rsidRDefault="008A5824" w:rsidP="001957F3">
            <w:pPr>
              <w:spacing w:after="0" w:line="240" w:lineRule="auto"/>
              <w:jc w:val="both"/>
              <w:rPr>
                <w:rFonts w:ascii="Times New Roman" w:hAnsi="Times New Roman"/>
                <w:sz w:val="24"/>
                <w:szCs w:val="24"/>
              </w:rPr>
            </w:pPr>
            <w:r>
              <w:rPr>
                <w:rFonts w:ascii="Times New Roman" w:hAnsi="Times New Roman"/>
                <w:sz w:val="24"/>
              </w:rPr>
              <w:lastRenderedPageBreak/>
              <w:t>Tvnet.net</w:t>
            </w:r>
          </w:p>
        </w:tc>
        <w:tc>
          <w:tcPr>
            <w:tcW w:w="1641" w:type="dxa"/>
            <w:shd w:val="clear" w:color="auto" w:fill="auto"/>
            <w:tcMar>
              <w:top w:w="29" w:type="dxa"/>
              <w:left w:w="115" w:type="dxa"/>
              <w:bottom w:w="29" w:type="dxa"/>
              <w:right w:w="115" w:type="dxa"/>
            </w:tcMar>
          </w:tcPr>
          <w:p w:rsidR="00205CAF" w:rsidRPr="00B943A9" w:rsidRDefault="00205CAF" w:rsidP="00B943A9">
            <w:pPr>
              <w:spacing w:after="0" w:line="240" w:lineRule="auto"/>
              <w:jc w:val="both"/>
              <w:rPr>
                <w:rFonts w:ascii="Times New Roman" w:hAnsi="Times New Roman"/>
                <w:sz w:val="24"/>
                <w:szCs w:val="24"/>
              </w:rPr>
            </w:pPr>
          </w:p>
        </w:tc>
      </w:tr>
      <w:tr w:rsidR="00205CAF" w:rsidRPr="00B943A9" w:rsidTr="004317FE">
        <w:trPr>
          <w:trHeight w:val="234"/>
        </w:trPr>
        <w:tc>
          <w:tcPr>
            <w:tcW w:w="1575" w:type="dxa"/>
            <w:gridSpan w:val="2"/>
            <w:shd w:val="clear" w:color="auto" w:fill="auto"/>
            <w:tcMar>
              <w:top w:w="29" w:type="dxa"/>
              <w:left w:w="115" w:type="dxa"/>
              <w:bottom w:w="29" w:type="dxa"/>
              <w:right w:w="115" w:type="dxa"/>
            </w:tcMar>
          </w:tcPr>
          <w:p w:rsidR="00205CAF" w:rsidRPr="00B943A9" w:rsidRDefault="00FF7E30" w:rsidP="00B943A9">
            <w:pPr>
              <w:spacing w:after="0" w:line="240" w:lineRule="auto"/>
              <w:jc w:val="both"/>
              <w:rPr>
                <w:rFonts w:ascii="Times New Roman" w:hAnsi="Times New Roman"/>
                <w:sz w:val="24"/>
                <w:szCs w:val="24"/>
              </w:rPr>
            </w:pPr>
            <w:r>
              <w:rPr>
                <w:rFonts w:ascii="Times New Roman" w:hAnsi="Times New Roman"/>
                <w:sz w:val="24"/>
                <w:szCs w:val="24"/>
              </w:rPr>
              <w:t>Kovo 23 d.</w:t>
            </w:r>
          </w:p>
        </w:tc>
        <w:tc>
          <w:tcPr>
            <w:tcW w:w="9192" w:type="dxa"/>
            <w:shd w:val="clear" w:color="auto" w:fill="auto"/>
            <w:tcMar>
              <w:top w:w="29" w:type="dxa"/>
              <w:left w:w="115" w:type="dxa"/>
              <w:bottom w:w="29" w:type="dxa"/>
              <w:right w:w="115" w:type="dxa"/>
            </w:tcMar>
          </w:tcPr>
          <w:p w:rsidR="00205CAF" w:rsidRPr="00B943A9" w:rsidRDefault="00FF7E30" w:rsidP="008A5824">
            <w:pPr>
              <w:spacing w:after="0" w:line="240" w:lineRule="auto"/>
              <w:jc w:val="both"/>
              <w:rPr>
                <w:rFonts w:ascii="Times New Roman" w:hAnsi="Times New Roman"/>
                <w:sz w:val="24"/>
                <w:szCs w:val="24"/>
              </w:rPr>
            </w:pPr>
            <w:r w:rsidRPr="00003396">
              <w:rPr>
                <w:rFonts w:ascii="Times New Roman" w:hAnsi="Times New Roman"/>
                <w:sz w:val="24"/>
              </w:rPr>
              <w:t>Pagal Energetikos įstatymo pataisas nuo gegužės 1 d. namų ūkiai galės naudotis visiškai laisva gamtinių dujų rinka. Komunalinių paslaugų komisija nustos reguliuoti didžiausio iš gamtinių dujų tiekėjų - "</w:t>
            </w:r>
            <w:proofErr w:type="spellStart"/>
            <w:r w:rsidRPr="00003396">
              <w:rPr>
                <w:rFonts w:ascii="Times New Roman" w:hAnsi="Times New Roman"/>
                <w:sz w:val="24"/>
              </w:rPr>
              <w:t>Latvijas</w:t>
            </w:r>
            <w:proofErr w:type="spellEnd"/>
            <w:r w:rsidRPr="00003396">
              <w:rPr>
                <w:rFonts w:ascii="Times New Roman" w:hAnsi="Times New Roman"/>
                <w:sz w:val="24"/>
              </w:rPr>
              <w:t xml:space="preserve"> </w:t>
            </w:r>
            <w:proofErr w:type="spellStart"/>
            <w:r w:rsidRPr="00003396">
              <w:rPr>
                <w:rFonts w:ascii="Times New Roman" w:hAnsi="Times New Roman"/>
                <w:sz w:val="24"/>
              </w:rPr>
              <w:t>Gaze</w:t>
            </w:r>
            <w:proofErr w:type="spellEnd"/>
            <w:r w:rsidRPr="00003396">
              <w:rPr>
                <w:rFonts w:ascii="Times New Roman" w:hAnsi="Times New Roman"/>
                <w:sz w:val="24"/>
              </w:rPr>
              <w:t xml:space="preserve">" - gamtinių dujų tarifus ir jis pats galės nustatyti savo kainas. Gamtinių dujų vartotojai turės pareigą pasirašyti naujas sutartis su pasirinktais gamtinių dujų tiekėjais. Gyventojai jau dabar gali pasirinkti gamtinių dujų tiekėjus, todėl daugumai namų ūkių pokyčiai rinkoje įtakos neturės. Taip pat prognozuojama, kad namų ūkiams, kurie gamtines dujas perka už reguliuojamus tarifus, tarifai mažės. </w:t>
            </w:r>
          </w:p>
        </w:tc>
        <w:tc>
          <w:tcPr>
            <w:tcW w:w="2411" w:type="dxa"/>
            <w:shd w:val="clear" w:color="auto" w:fill="auto"/>
            <w:tcMar>
              <w:top w:w="29" w:type="dxa"/>
              <w:left w:w="115" w:type="dxa"/>
              <w:bottom w:w="29" w:type="dxa"/>
              <w:right w:w="115" w:type="dxa"/>
            </w:tcMar>
          </w:tcPr>
          <w:p w:rsidR="008A5824" w:rsidRDefault="008A5824" w:rsidP="008A5824">
            <w:pPr>
              <w:spacing w:after="0" w:line="240" w:lineRule="auto"/>
              <w:jc w:val="both"/>
              <w:rPr>
                <w:rFonts w:ascii="Times New Roman" w:hAnsi="Times New Roman"/>
                <w:sz w:val="24"/>
              </w:rPr>
            </w:pPr>
            <w:proofErr w:type="spellStart"/>
            <w:r>
              <w:rPr>
                <w:rFonts w:ascii="Times New Roman" w:hAnsi="Times New Roman"/>
                <w:sz w:val="24"/>
              </w:rPr>
              <w:t>Latvijas</w:t>
            </w:r>
            <w:proofErr w:type="spellEnd"/>
            <w:r>
              <w:rPr>
                <w:rFonts w:ascii="Times New Roman" w:hAnsi="Times New Roman"/>
                <w:sz w:val="24"/>
              </w:rPr>
              <w:t xml:space="preserve"> </w:t>
            </w:r>
            <w:proofErr w:type="spellStart"/>
            <w:r>
              <w:rPr>
                <w:rFonts w:ascii="Times New Roman" w:hAnsi="Times New Roman"/>
                <w:sz w:val="24"/>
              </w:rPr>
              <w:t>Avize</w:t>
            </w:r>
            <w:proofErr w:type="spellEnd"/>
          </w:p>
          <w:p w:rsidR="00205CAF" w:rsidRPr="00B943A9" w:rsidRDefault="00205CAF" w:rsidP="001957F3">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rsidR="00205CAF" w:rsidRPr="00B943A9" w:rsidRDefault="00205CAF" w:rsidP="00B943A9">
            <w:pPr>
              <w:spacing w:after="0" w:line="240" w:lineRule="auto"/>
              <w:jc w:val="both"/>
              <w:rPr>
                <w:rFonts w:ascii="Times New Roman" w:hAnsi="Times New Roman"/>
                <w:sz w:val="24"/>
                <w:szCs w:val="24"/>
              </w:rPr>
            </w:pPr>
          </w:p>
        </w:tc>
      </w:tr>
      <w:tr w:rsidR="00B943A9" w:rsidRPr="00B943A9" w:rsidTr="00B943A9">
        <w:trPr>
          <w:trHeight w:val="234"/>
        </w:trPr>
        <w:tc>
          <w:tcPr>
            <w:tcW w:w="14819" w:type="dxa"/>
            <w:gridSpan w:val="5"/>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b/>
                <w:sz w:val="24"/>
                <w:szCs w:val="24"/>
              </w:rPr>
            </w:pPr>
            <w:r w:rsidRPr="00B943A9">
              <w:rPr>
                <w:rFonts w:ascii="Times New Roman" w:hAnsi="Times New Roman"/>
                <w:b/>
                <w:sz w:val="24"/>
                <w:szCs w:val="24"/>
              </w:rPr>
              <w:t>Lietuvos turizmo sektoriui aktuali informacija</w:t>
            </w: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A144EF" w:rsidP="00B943A9">
            <w:pPr>
              <w:spacing w:after="0" w:line="240" w:lineRule="auto"/>
              <w:jc w:val="both"/>
              <w:rPr>
                <w:rFonts w:ascii="Times New Roman" w:hAnsi="Times New Roman"/>
                <w:sz w:val="24"/>
                <w:szCs w:val="24"/>
              </w:rPr>
            </w:pPr>
            <w:r>
              <w:rPr>
                <w:rFonts w:ascii="Times New Roman" w:hAnsi="Times New Roman"/>
                <w:sz w:val="24"/>
                <w:szCs w:val="24"/>
              </w:rPr>
              <w:t xml:space="preserve">Kovo 16 d. </w:t>
            </w:r>
          </w:p>
        </w:tc>
        <w:tc>
          <w:tcPr>
            <w:tcW w:w="9192" w:type="dxa"/>
            <w:shd w:val="clear" w:color="auto" w:fill="auto"/>
            <w:tcMar>
              <w:top w:w="29" w:type="dxa"/>
              <w:left w:w="115" w:type="dxa"/>
              <w:bottom w:w="29" w:type="dxa"/>
              <w:right w:w="115" w:type="dxa"/>
            </w:tcMar>
          </w:tcPr>
          <w:p w:rsidR="00A144EF" w:rsidRPr="00B128AA" w:rsidRDefault="00A144EF" w:rsidP="00A144EF">
            <w:pPr>
              <w:spacing w:after="0" w:line="240" w:lineRule="auto"/>
              <w:jc w:val="both"/>
              <w:rPr>
                <w:rFonts w:ascii="Times New Roman" w:hAnsi="Times New Roman"/>
                <w:sz w:val="24"/>
              </w:rPr>
            </w:pPr>
            <w:r w:rsidRPr="00B128AA">
              <w:rPr>
                <w:rFonts w:ascii="Times New Roman" w:hAnsi="Times New Roman"/>
                <w:sz w:val="24"/>
              </w:rPr>
              <w:t xml:space="preserve">Šių metų sausį Latvijos viešbučiuose ir kitose turistų apgyvendinimo įstaigose svečių praleistų naktų skaičius, palyginti su atitinkamu 2022 m. laikotarpiu, išaugo 48,1 proc. ir sudarė 217,1 tūkst. naktų, rodo Centrinės statistikos </w:t>
            </w:r>
            <w:r w:rsidR="00C8399E">
              <w:rPr>
                <w:rFonts w:ascii="Times New Roman" w:hAnsi="Times New Roman"/>
                <w:sz w:val="24"/>
              </w:rPr>
              <w:t>tarnybos</w:t>
            </w:r>
            <w:r w:rsidRPr="00B128AA">
              <w:rPr>
                <w:rFonts w:ascii="Times New Roman" w:hAnsi="Times New Roman"/>
                <w:sz w:val="24"/>
              </w:rPr>
              <w:t xml:space="preserve"> duomenys. Iš jų užsienio svečių nakvynių skaičius Latvijos viešbučiuose ir kitose turistų apgyvendinimo įstaigose 2023 m. sausį, palyginti su 2022 m. sausiu, padidėjo 98,3 proc. ir sudarė 118 600, o vietos gyventojų nakvynių skaičius Latvijos viešbučiuose ir kitose turistų apgyvendinimo įstaigose padidėjo 13,5 proc. ir sudarė 98 500.</w:t>
            </w:r>
          </w:p>
          <w:p w:rsidR="00B943A9" w:rsidRPr="00F96BF4" w:rsidRDefault="00B943A9" w:rsidP="00F96BF4">
            <w:pPr>
              <w:spacing w:after="0" w:line="240" w:lineRule="auto"/>
              <w:jc w:val="both"/>
              <w:rPr>
                <w:rFonts w:ascii="Times New Roman" w:hAnsi="Times New Roman"/>
                <w:sz w:val="24"/>
                <w:szCs w:val="24"/>
              </w:rPr>
            </w:pPr>
          </w:p>
        </w:tc>
        <w:tc>
          <w:tcPr>
            <w:tcW w:w="2411" w:type="dxa"/>
            <w:shd w:val="clear" w:color="auto" w:fill="auto"/>
            <w:tcMar>
              <w:top w:w="29" w:type="dxa"/>
              <w:left w:w="115" w:type="dxa"/>
              <w:bottom w:w="29" w:type="dxa"/>
              <w:right w:w="115" w:type="dxa"/>
            </w:tcMar>
          </w:tcPr>
          <w:p w:rsidR="00B943A9" w:rsidRPr="00B943A9" w:rsidRDefault="00A144EF" w:rsidP="00B943A9">
            <w:pPr>
              <w:spacing w:after="0" w:line="240" w:lineRule="auto"/>
              <w:jc w:val="both"/>
              <w:rPr>
                <w:rFonts w:ascii="Times New Roman" w:hAnsi="Times New Roman"/>
                <w:sz w:val="24"/>
                <w:szCs w:val="24"/>
              </w:rPr>
            </w:pPr>
            <w:r>
              <w:rPr>
                <w:rFonts w:ascii="Times New Roman" w:hAnsi="Times New Roman"/>
                <w:sz w:val="24"/>
                <w:szCs w:val="24"/>
              </w:rPr>
              <w:t xml:space="preserve">Leta.lv </w:t>
            </w: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205CAF" w:rsidRPr="00B943A9" w:rsidTr="004317FE">
        <w:trPr>
          <w:trHeight w:val="216"/>
        </w:trPr>
        <w:tc>
          <w:tcPr>
            <w:tcW w:w="1575" w:type="dxa"/>
            <w:gridSpan w:val="2"/>
            <w:shd w:val="clear" w:color="auto" w:fill="auto"/>
            <w:tcMar>
              <w:top w:w="29" w:type="dxa"/>
              <w:left w:w="115" w:type="dxa"/>
              <w:bottom w:w="29" w:type="dxa"/>
              <w:right w:w="115" w:type="dxa"/>
            </w:tcMar>
          </w:tcPr>
          <w:p w:rsidR="00205CAF" w:rsidRPr="00B943A9" w:rsidRDefault="00A144EF" w:rsidP="00B943A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Kovo 27 d. </w:t>
            </w:r>
          </w:p>
        </w:tc>
        <w:tc>
          <w:tcPr>
            <w:tcW w:w="9192" w:type="dxa"/>
            <w:shd w:val="clear" w:color="auto" w:fill="auto"/>
            <w:tcMar>
              <w:top w:w="29" w:type="dxa"/>
              <w:left w:w="115" w:type="dxa"/>
              <w:bottom w:w="29" w:type="dxa"/>
              <w:right w:w="115" w:type="dxa"/>
            </w:tcMar>
          </w:tcPr>
          <w:p w:rsidR="00205CAF" w:rsidRDefault="00A144EF" w:rsidP="00F96BF4">
            <w:pPr>
              <w:spacing w:after="0" w:line="240" w:lineRule="auto"/>
              <w:jc w:val="both"/>
              <w:rPr>
                <w:rFonts w:ascii="Times New Roman" w:hAnsi="Times New Roman"/>
                <w:sz w:val="24"/>
                <w:szCs w:val="24"/>
              </w:rPr>
            </w:pPr>
            <w:r w:rsidRPr="00A144EF">
              <w:rPr>
                <w:rFonts w:ascii="Times New Roman" w:hAnsi="Times New Roman"/>
                <w:sz w:val="24"/>
                <w:szCs w:val="24"/>
              </w:rPr>
              <w:t xml:space="preserve">Šių metų turizmo sezonas bus panašus į 2022 m. antrąjį pusmetį, o viešbučių užimtumas bus gana aukštas - apie 90 proc. sezono metu ir apie 60-70 proc. ne sezono metu, prognozuoja Latvijos viešbučių ir restoranų asociacijos valdybos pirmininkas </w:t>
            </w:r>
            <w:proofErr w:type="spellStart"/>
            <w:r w:rsidRPr="00A144EF">
              <w:rPr>
                <w:rFonts w:ascii="Times New Roman" w:hAnsi="Times New Roman"/>
                <w:sz w:val="24"/>
                <w:szCs w:val="24"/>
              </w:rPr>
              <w:t>Andris</w:t>
            </w:r>
            <w:proofErr w:type="spellEnd"/>
            <w:r w:rsidRPr="00A144EF">
              <w:rPr>
                <w:rFonts w:ascii="Times New Roman" w:hAnsi="Times New Roman"/>
                <w:sz w:val="24"/>
                <w:szCs w:val="24"/>
              </w:rPr>
              <w:t xml:space="preserve"> </w:t>
            </w:r>
            <w:proofErr w:type="spellStart"/>
            <w:r w:rsidRPr="00A144EF">
              <w:rPr>
                <w:rFonts w:ascii="Times New Roman" w:hAnsi="Times New Roman"/>
                <w:sz w:val="24"/>
                <w:szCs w:val="24"/>
              </w:rPr>
              <w:t>Kalni</w:t>
            </w:r>
            <w:r>
              <w:rPr>
                <w:rFonts w:ascii="Times New Roman" w:hAnsi="Times New Roman"/>
                <w:sz w:val="24"/>
                <w:szCs w:val="24"/>
              </w:rPr>
              <w:t>nš</w:t>
            </w:r>
            <w:proofErr w:type="spellEnd"/>
            <w:r w:rsidRPr="00A144EF">
              <w:rPr>
                <w:rFonts w:ascii="Times New Roman" w:hAnsi="Times New Roman"/>
                <w:sz w:val="24"/>
                <w:szCs w:val="24"/>
              </w:rPr>
              <w:t>.</w:t>
            </w:r>
          </w:p>
          <w:p w:rsidR="00A144EF" w:rsidRPr="00F96BF4" w:rsidRDefault="00A144EF" w:rsidP="00F96BF4">
            <w:pPr>
              <w:spacing w:after="0" w:line="240" w:lineRule="auto"/>
              <w:jc w:val="both"/>
              <w:rPr>
                <w:rFonts w:ascii="Times New Roman" w:hAnsi="Times New Roman"/>
                <w:sz w:val="24"/>
                <w:szCs w:val="24"/>
              </w:rPr>
            </w:pPr>
            <w:hyperlink r:id="rId9" w:history="1">
              <w:r w:rsidRPr="005C1324">
                <w:rPr>
                  <w:rStyle w:val="Hyperlink"/>
                  <w:rFonts w:ascii="Times New Roman" w:hAnsi="Times New Roman"/>
                  <w:sz w:val="24"/>
                  <w:szCs w:val="24"/>
                </w:rPr>
                <w:t>https://rus.delfi.lv/biznes/bnews/associaciya-gostinic-i-restoranov-v-etom-turisticheskom-sezone-zapolnyaemost-gostinic-mozhet-dostich-90.d?id=55372650</w:t>
              </w:r>
            </w:hyperlink>
            <w:r>
              <w:rPr>
                <w:rFonts w:ascii="Times New Roman" w:hAnsi="Times New Roman"/>
                <w:sz w:val="24"/>
                <w:szCs w:val="24"/>
              </w:rPr>
              <w:t xml:space="preserve"> </w:t>
            </w:r>
          </w:p>
        </w:tc>
        <w:tc>
          <w:tcPr>
            <w:tcW w:w="2411" w:type="dxa"/>
            <w:shd w:val="clear" w:color="auto" w:fill="auto"/>
            <w:tcMar>
              <w:top w:w="29" w:type="dxa"/>
              <w:left w:w="115" w:type="dxa"/>
              <w:bottom w:w="29" w:type="dxa"/>
              <w:right w:w="115" w:type="dxa"/>
            </w:tcMar>
          </w:tcPr>
          <w:p w:rsidR="00205CAF" w:rsidRPr="00B943A9" w:rsidRDefault="00205CAF"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rsidR="00205CAF" w:rsidRPr="00B943A9" w:rsidRDefault="00205CAF" w:rsidP="00B943A9">
            <w:pPr>
              <w:spacing w:after="0" w:line="240" w:lineRule="auto"/>
              <w:jc w:val="both"/>
              <w:rPr>
                <w:rFonts w:ascii="Times New Roman" w:hAnsi="Times New Roman"/>
                <w:sz w:val="24"/>
                <w:szCs w:val="24"/>
              </w:rPr>
            </w:pPr>
          </w:p>
        </w:tc>
      </w:tr>
      <w:tr w:rsidR="00B943A9" w:rsidRPr="00B943A9" w:rsidTr="00B943A9">
        <w:trPr>
          <w:trHeight w:val="234"/>
        </w:trPr>
        <w:tc>
          <w:tcPr>
            <w:tcW w:w="14819" w:type="dxa"/>
            <w:gridSpan w:val="5"/>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b/>
                <w:sz w:val="24"/>
                <w:szCs w:val="24"/>
              </w:rPr>
            </w:pPr>
            <w:r w:rsidRPr="00B943A9">
              <w:rPr>
                <w:rFonts w:ascii="Times New Roman" w:hAnsi="Times New Roman"/>
                <w:b/>
                <w:sz w:val="24"/>
                <w:szCs w:val="24"/>
              </w:rPr>
              <w:t xml:space="preserve">Lietuvos ekonominiam saugumui aktuali informacija </w:t>
            </w: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A144EF" w:rsidP="00B943A9">
            <w:pPr>
              <w:spacing w:after="0" w:line="240" w:lineRule="auto"/>
              <w:jc w:val="both"/>
              <w:rPr>
                <w:rFonts w:ascii="Times New Roman" w:hAnsi="Times New Roman"/>
                <w:sz w:val="24"/>
                <w:szCs w:val="24"/>
              </w:rPr>
            </w:pPr>
            <w:r>
              <w:rPr>
                <w:rFonts w:ascii="Times New Roman" w:hAnsi="Times New Roman"/>
                <w:sz w:val="24"/>
                <w:szCs w:val="24"/>
              </w:rPr>
              <w:t xml:space="preserve">Kovo 1 d. </w:t>
            </w:r>
          </w:p>
        </w:tc>
        <w:tc>
          <w:tcPr>
            <w:tcW w:w="9192" w:type="dxa"/>
            <w:shd w:val="clear" w:color="auto" w:fill="auto"/>
            <w:tcMar>
              <w:top w:w="29" w:type="dxa"/>
              <w:left w:w="115" w:type="dxa"/>
              <w:bottom w:w="29" w:type="dxa"/>
              <w:right w:w="115" w:type="dxa"/>
            </w:tcMar>
          </w:tcPr>
          <w:p w:rsidR="00B943A9" w:rsidRPr="00B943A9" w:rsidRDefault="00A144EF" w:rsidP="00C8399E">
            <w:pPr>
              <w:spacing w:line="240" w:lineRule="auto"/>
              <w:jc w:val="both"/>
              <w:rPr>
                <w:rFonts w:ascii="Times New Roman" w:hAnsi="Times New Roman"/>
                <w:sz w:val="24"/>
                <w:szCs w:val="24"/>
              </w:rPr>
            </w:pPr>
            <w:r w:rsidRPr="00B126E9">
              <w:rPr>
                <w:rFonts w:ascii="Times New Roman" w:hAnsi="Times New Roman"/>
                <w:sz w:val="24"/>
              </w:rPr>
              <w:t xml:space="preserve">2021-2027 m. ES planavimo laikotarpiu į Latvijos geležinkelių infrastruktūros modernizavimą iki 2029 m. bus investuota 370 mln. eurų, </w:t>
            </w:r>
            <w:proofErr w:type="spellStart"/>
            <w:r w:rsidR="00C8399E">
              <w:rPr>
                <w:rFonts w:ascii="Times New Roman" w:hAnsi="Times New Roman"/>
                <w:sz w:val="24"/>
              </w:rPr>
              <w:t>Saeimoje</w:t>
            </w:r>
            <w:proofErr w:type="spellEnd"/>
            <w:r w:rsidR="00C8399E">
              <w:rPr>
                <w:rFonts w:ascii="Times New Roman" w:hAnsi="Times New Roman"/>
                <w:sz w:val="24"/>
              </w:rPr>
              <w:t xml:space="preserve"> pranešė </w:t>
            </w:r>
            <w:r w:rsidRPr="00B126E9">
              <w:rPr>
                <w:rFonts w:ascii="Times New Roman" w:hAnsi="Times New Roman"/>
                <w:sz w:val="24"/>
              </w:rPr>
              <w:t xml:space="preserve">Susisiekimo ministerijos valstybės sekretoriaus pavaduotoja Ligita </w:t>
            </w:r>
            <w:proofErr w:type="spellStart"/>
            <w:r w:rsidRPr="00B126E9">
              <w:rPr>
                <w:rFonts w:ascii="Times New Roman" w:hAnsi="Times New Roman"/>
                <w:sz w:val="24"/>
              </w:rPr>
              <w:t>Austrupė</w:t>
            </w:r>
            <w:proofErr w:type="spellEnd"/>
            <w:r w:rsidRPr="00B126E9">
              <w:rPr>
                <w:rFonts w:ascii="Times New Roman" w:hAnsi="Times New Roman"/>
                <w:sz w:val="24"/>
              </w:rPr>
              <w:t xml:space="preserve">. </w:t>
            </w:r>
            <w:proofErr w:type="spellStart"/>
            <w:r w:rsidR="00C8399E">
              <w:rPr>
                <w:rFonts w:ascii="Times New Roman" w:hAnsi="Times New Roman"/>
                <w:sz w:val="24"/>
              </w:rPr>
              <w:t>Saeimos</w:t>
            </w:r>
            <w:proofErr w:type="spellEnd"/>
            <w:r w:rsidR="00C8399E">
              <w:rPr>
                <w:rFonts w:ascii="Times New Roman" w:hAnsi="Times New Roman"/>
                <w:sz w:val="24"/>
              </w:rPr>
              <w:t xml:space="preserve"> komitetai</w:t>
            </w:r>
            <w:r w:rsidRPr="00B126E9">
              <w:rPr>
                <w:rFonts w:ascii="Times New Roman" w:hAnsi="Times New Roman"/>
                <w:sz w:val="24"/>
              </w:rPr>
              <w:t xml:space="preserve"> išklausė Susisiekimo ministerijos ir geležinkelių bendrovės "</w:t>
            </w:r>
            <w:proofErr w:type="spellStart"/>
            <w:r w:rsidRPr="00B126E9">
              <w:rPr>
                <w:rFonts w:ascii="Times New Roman" w:hAnsi="Times New Roman"/>
                <w:sz w:val="24"/>
              </w:rPr>
              <w:t>Latvijas</w:t>
            </w:r>
            <w:proofErr w:type="spellEnd"/>
            <w:r w:rsidRPr="00B126E9">
              <w:rPr>
                <w:rFonts w:ascii="Times New Roman" w:hAnsi="Times New Roman"/>
                <w:sz w:val="24"/>
              </w:rPr>
              <w:t xml:space="preserve"> </w:t>
            </w:r>
            <w:proofErr w:type="spellStart"/>
            <w:r w:rsidRPr="00B126E9">
              <w:rPr>
                <w:rFonts w:ascii="Times New Roman" w:hAnsi="Times New Roman"/>
                <w:sz w:val="24"/>
              </w:rPr>
              <w:t>Dzelzcels</w:t>
            </w:r>
            <w:proofErr w:type="spellEnd"/>
            <w:r w:rsidRPr="00B126E9">
              <w:rPr>
                <w:rFonts w:ascii="Times New Roman" w:hAnsi="Times New Roman"/>
                <w:sz w:val="24"/>
              </w:rPr>
              <w:t xml:space="preserve">" ataskaitą apie Latvijos geležinkelių elektrifikavimo projektą. </w:t>
            </w:r>
            <w:proofErr w:type="spellStart"/>
            <w:r w:rsidRPr="00B126E9">
              <w:rPr>
                <w:rFonts w:ascii="Times New Roman" w:hAnsi="Times New Roman"/>
                <w:sz w:val="24"/>
              </w:rPr>
              <w:t>Austrupė</w:t>
            </w:r>
            <w:proofErr w:type="spellEnd"/>
            <w:r w:rsidRPr="00B126E9">
              <w:rPr>
                <w:rFonts w:ascii="Times New Roman" w:hAnsi="Times New Roman"/>
                <w:sz w:val="24"/>
              </w:rPr>
              <w:t xml:space="preserve"> sakė, kad šiuo metu Latvijoje elektrifikuota 16 proc. geležinkelių tinklo. Dabartinis tinklas naudojamas daugiau nei 50 metų ir veikia 3,3 </w:t>
            </w:r>
            <w:proofErr w:type="spellStart"/>
            <w:r w:rsidRPr="00B126E9">
              <w:rPr>
                <w:rFonts w:ascii="Times New Roman" w:hAnsi="Times New Roman"/>
                <w:sz w:val="24"/>
              </w:rPr>
              <w:t>kV</w:t>
            </w:r>
            <w:proofErr w:type="spellEnd"/>
            <w:r w:rsidRPr="00B126E9">
              <w:rPr>
                <w:rFonts w:ascii="Times New Roman" w:hAnsi="Times New Roman"/>
                <w:sz w:val="24"/>
              </w:rPr>
              <w:t xml:space="preserve"> sistema, o ne Europoje įprasta 25 </w:t>
            </w:r>
            <w:proofErr w:type="spellStart"/>
            <w:r w:rsidRPr="00B126E9">
              <w:rPr>
                <w:rFonts w:ascii="Times New Roman" w:hAnsi="Times New Roman"/>
                <w:sz w:val="24"/>
              </w:rPr>
              <w:t>kV</w:t>
            </w:r>
            <w:proofErr w:type="spellEnd"/>
            <w:r w:rsidRPr="00B126E9">
              <w:rPr>
                <w:rFonts w:ascii="Times New Roman" w:hAnsi="Times New Roman"/>
                <w:sz w:val="24"/>
              </w:rPr>
              <w:t xml:space="preserve"> sistema.</w:t>
            </w:r>
          </w:p>
        </w:tc>
        <w:tc>
          <w:tcPr>
            <w:tcW w:w="2411" w:type="dxa"/>
            <w:shd w:val="clear" w:color="auto" w:fill="auto"/>
            <w:tcMar>
              <w:top w:w="29" w:type="dxa"/>
              <w:left w:w="115" w:type="dxa"/>
              <w:bottom w:w="29" w:type="dxa"/>
              <w:right w:w="115" w:type="dxa"/>
            </w:tcMar>
          </w:tcPr>
          <w:p w:rsidR="00B943A9" w:rsidRPr="00B943A9" w:rsidRDefault="00A144EF" w:rsidP="00B943A9">
            <w:pPr>
              <w:spacing w:after="0" w:line="240" w:lineRule="auto"/>
              <w:jc w:val="both"/>
              <w:rPr>
                <w:rFonts w:ascii="Times New Roman" w:hAnsi="Times New Roman"/>
                <w:sz w:val="24"/>
                <w:szCs w:val="24"/>
              </w:rPr>
            </w:pPr>
            <w:r>
              <w:rPr>
                <w:rFonts w:ascii="Times New Roman" w:hAnsi="Times New Roman"/>
                <w:sz w:val="24"/>
                <w:szCs w:val="24"/>
              </w:rPr>
              <w:t xml:space="preserve">Leta.lv </w:t>
            </w: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B943A9" w:rsidRPr="00B943A9" w:rsidRDefault="00A144EF" w:rsidP="00C8399E">
            <w:pPr>
              <w:spacing w:line="240" w:lineRule="auto"/>
              <w:jc w:val="both"/>
              <w:rPr>
                <w:rFonts w:ascii="Times New Roman" w:hAnsi="Times New Roman"/>
                <w:sz w:val="24"/>
                <w:szCs w:val="24"/>
              </w:rPr>
            </w:pPr>
            <w:r w:rsidRPr="00B126E9">
              <w:rPr>
                <w:rFonts w:ascii="Times New Roman" w:hAnsi="Times New Roman"/>
                <w:sz w:val="24"/>
              </w:rPr>
              <w:t xml:space="preserve">Latvijos </w:t>
            </w:r>
            <w:r>
              <w:rPr>
                <w:rFonts w:ascii="Times New Roman" w:hAnsi="Times New Roman"/>
                <w:sz w:val="24"/>
              </w:rPr>
              <w:t xml:space="preserve">elektros </w:t>
            </w:r>
            <w:r w:rsidRPr="00B126E9">
              <w:rPr>
                <w:rFonts w:ascii="Times New Roman" w:hAnsi="Times New Roman"/>
                <w:sz w:val="24"/>
              </w:rPr>
              <w:t>perdavimo sistemos operatorius "</w:t>
            </w:r>
            <w:proofErr w:type="spellStart"/>
            <w:r w:rsidRPr="00B126E9">
              <w:rPr>
                <w:rFonts w:ascii="Times New Roman" w:hAnsi="Times New Roman"/>
                <w:sz w:val="24"/>
              </w:rPr>
              <w:t>Augstsprieguma</w:t>
            </w:r>
            <w:proofErr w:type="spellEnd"/>
            <w:r w:rsidRPr="00B126E9">
              <w:rPr>
                <w:rFonts w:ascii="Times New Roman" w:hAnsi="Times New Roman"/>
                <w:sz w:val="24"/>
              </w:rPr>
              <w:t xml:space="preserve"> </w:t>
            </w:r>
            <w:proofErr w:type="spellStart"/>
            <w:r w:rsidRPr="00B126E9">
              <w:rPr>
                <w:rFonts w:ascii="Times New Roman" w:hAnsi="Times New Roman"/>
                <w:sz w:val="24"/>
              </w:rPr>
              <w:t>Tikls</w:t>
            </w:r>
            <w:proofErr w:type="spellEnd"/>
            <w:r w:rsidRPr="00B126E9">
              <w:rPr>
                <w:rFonts w:ascii="Times New Roman" w:hAnsi="Times New Roman"/>
                <w:sz w:val="24"/>
              </w:rPr>
              <w:t>" (AST)praėjusiais metais pasiekė 351,128 mln. eurų preliminarią apyvartą - 92,7 proc. didesnę nei 2021 m., o koncerno pelnas išaugo 60,1 proc. iki 16,165 mln. eurų, teigiama bendrovės finansinėje ataskaitoje, pateiktoje "</w:t>
            </w:r>
            <w:proofErr w:type="spellStart"/>
            <w:r w:rsidRPr="00B126E9">
              <w:rPr>
                <w:rFonts w:ascii="Times New Roman" w:hAnsi="Times New Roman"/>
                <w:sz w:val="24"/>
              </w:rPr>
              <w:t>Nasdaq</w:t>
            </w:r>
            <w:proofErr w:type="spellEnd"/>
            <w:r w:rsidRPr="00B126E9">
              <w:rPr>
                <w:rFonts w:ascii="Times New Roman" w:hAnsi="Times New Roman"/>
                <w:sz w:val="24"/>
              </w:rPr>
              <w:t xml:space="preserve"> Riga" vertybinių popierių biržai. AST patronuojančiosios bendrovės apyvarta siekė 295,997 mln. eurų, t. y. 2,3 karto daugiau nei pernai, o pelnas sumažėjo kelis kartus - iki 11,017 mln. eurų. Nors 2022 m. Latvijos perdavimo sistemos operatorė "</w:t>
            </w:r>
            <w:proofErr w:type="spellStart"/>
            <w:r w:rsidRPr="00B126E9">
              <w:rPr>
                <w:rFonts w:ascii="Times New Roman" w:hAnsi="Times New Roman"/>
                <w:sz w:val="24"/>
              </w:rPr>
              <w:t>Augstsprieguma</w:t>
            </w:r>
            <w:proofErr w:type="spellEnd"/>
            <w:r w:rsidRPr="00B126E9">
              <w:rPr>
                <w:rFonts w:ascii="Times New Roman" w:hAnsi="Times New Roman"/>
                <w:sz w:val="24"/>
              </w:rPr>
              <w:t xml:space="preserve"> </w:t>
            </w:r>
            <w:proofErr w:type="spellStart"/>
            <w:r w:rsidRPr="00B126E9">
              <w:rPr>
                <w:rFonts w:ascii="Times New Roman" w:hAnsi="Times New Roman"/>
                <w:sz w:val="24"/>
              </w:rPr>
              <w:t>tīkls</w:t>
            </w:r>
            <w:proofErr w:type="spellEnd"/>
            <w:r w:rsidRPr="00B126E9">
              <w:rPr>
                <w:rFonts w:ascii="Times New Roman" w:hAnsi="Times New Roman"/>
                <w:sz w:val="24"/>
              </w:rPr>
              <w:t>" (AST) susidūrė su problemomis, iššūkiais ir nuostoliais dėl spartaus elektros energijos kainos augimo, operatorė metus baigė su teigiamu pelno rodikliu. Patvirtinus metinę ataskaitą, akcininkė - Klimato ir energetikos ministerija - priims sprendimą dėl AST pelno paskirstymo. Ne mažiau kaip 64 proc. pelno bus pervesta į valstybės biudžetą. Remiantis Viešųjų paslaugų komisijos (VPT) sprendimu, veiklos nuostoliai buvo padengti iš sukauptų perkrovos mokesčio pajamų.</w:t>
            </w: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FA00A6" w:rsidRPr="00F96BF4" w:rsidRDefault="00A144EF" w:rsidP="00C8399E">
            <w:pPr>
              <w:spacing w:line="240" w:lineRule="auto"/>
              <w:jc w:val="both"/>
              <w:rPr>
                <w:rFonts w:ascii="Times New Roman" w:hAnsi="Times New Roman"/>
                <w:sz w:val="24"/>
                <w:szCs w:val="24"/>
              </w:rPr>
            </w:pPr>
            <w:r w:rsidRPr="00B126E9">
              <w:rPr>
                <w:rFonts w:ascii="Times New Roman" w:hAnsi="Times New Roman"/>
                <w:sz w:val="24"/>
              </w:rPr>
              <w:t>Dujų komunalinės įmonės "</w:t>
            </w:r>
            <w:proofErr w:type="spellStart"/>
            <w:r w:rsidRPr="00B126E9">
              <w:rPr>
                <w:rFonts w:ascii="Times New Roman" w:hAnsi="Times New Roman"/>
                <w:sz w:val="24"/>
              </w:rPr>
              <w:t>Latvijas</w:t>
            </w:r>
            <w:proofErr w:type="spellEnd"/>
            <w:r w:rsidRPr="00B126E9">
              <w:rPr>
                <w:rFonts w:ascii="Times New Roman" w:hAnsi="Times New Roman"/>
                <w:sz w:val="24"/>
              </w:rPr>
              <w:t xml:space="preserve"> </w:t>
            </w:r>
            <w:proofErr w:type="spellStart"/>
            <w:r w:rsidRPr="00B126E9">
              <w:rPr>
                <w:rFonts w:ascii="Times New Roman" w:hAnsi="Times New Roman"/>
                <w:sz w:val="24"/>
              </w:rPr>
              <w:t>Gaze</w:t>
            </w:r>
            <w:proofErr w:type="spellEnd"/>
            <w:r w:rsidRPr="00B126E9">
              <w:rPr>
                <w:rFonts w:ascii="Times New Roman" w:hAnsi="Times New Roman"/>
                <w:sz w:val="24"/>
              </w:rPr>
              <w:t>" grupė 2022 m. baigė su 689,752 mln. eurų apyvarta, t. y. 31,3 proc. didesne nei prieš metus, o grupės grynasis pelnas siekė 39,073 mln. eurų, t. y. 12,1 karto daugiau nei 2021 m., sakoma bendrovės pranešime, pateiktame "</w:t>
            </w:r>
            <w:proofErr w:type="spellStart"/>
            <w:r w:rsidRPr="00B126E9">
              <w:rPr>
                <w:rFonts w:ascii="Times New Roman" w:hAnsi="Times New Roman"/>
                <w:sz w:val="24"/>
              </w:rPr>
              <w:t>Nasdaq</w:t>
            </w:r>
            <w:proofErr w:type="spellEnd"/>
            <w:r w:rsidRPr="00B126E9">
              <w:rPr>
                <w:rFonts w:ascii="Times New Roman" w:hAnsi="Times New Roman"/>
                <w:sz w:val="24"/>
              </w:rPr>
              <w:t xml:space="preserve"> </w:t>
            </w:r>
            <w:r w:rsidRPr="00B126E9">
              <w:rPr>
                <w:rFonts w:ascii="Times New Roman" w:hAnsi="Times New Roman"/>
                <w:sz w:val="24"/>
              </w:rPr>
              <w:lastRenderedPageBreak/>
              <w:t>Riga" biržai. Bendrovė nurodė, kad apyvartos augimą galima sieti su didesnėmis dujų pardavimo kainomis. 2022 m. "</w:t>
            </w:r>
            <w:proofErr w:type="spellStart"/>
            <w:r w:rsidRPr="00B126E9">
              <w:rPr>
                <w:rFonts w:ascii="Times New Roman" w:hAnsi="Times New Roman"/>
                <w:sz w:val="24"/>
              </w:rPr>
              <w:t>Latvijas</w:t>
            </w:r>
            <w:proofErr w:type="spellEnd"/>
            <w:r w:rsidRPr="00B126E9">
              <w:rPr>
                <w:rFonts w:ascii="Times New Roman" w:hAnsi="Times New Roman"/>
                <w:sz w:val="24"/>
              </w:rPr>
              <w:t xml:space="preserve"> </w:t>
            </w:r>
            <w:proofErr w:type="spellStart"/>
            <w:r w:rsidRPr="00B126E9">
              <w:rPr>
                <w:rFonts w:ascii="Times New Roman" w:hAnsi="Times New Roman"/>
                <w:sz w:val="24"/>
              </w:rPr>
              <w:t>Gaze</w:t>
            </w:r>
            <w:proofErr w:type="spellEnd"/>
            <w:r w:rsidRPr="00B126E9">
              <w:rPr>
                <w:rFonts w:ascii="Times New Roman" w:hAnsi="Times New Roman"/>
                <w:sz w:val="24"/>
              </w:rPr>
              <w:t xml:space="preserve">" klientams pardavė 6,993 </w:t>
            </w:r>
            <w:proofErr w:type="spellStart"/>
            <w:r w:rsidRPr="00B126E9">
              <w:rPr>
                <w:rFonts w:ascii="Times New Roman" w:hAnsi="Times New Roman"/>
                <w:sz w:val="24"/>
              </w:rPr>
              <w:t>gigavatvalandžių</w:t>
            </w:r>
            <w:proofErr w:type="spellEnd"/>
            <w:r w:rsidRPr="00B126E9">
              <w:rPr>
                <w:rFonts w:ascii="Times New Roman" w:hAnsi="Times New Roman"/>
                <w:sz w:val="24"/>
              </w:rPr>
              <w:t xml:space="preserve"> (</w:t>
            </w:r>
            <w:proofErr w:type="spellStart"/>
            <w:r w:rsidRPr="00B126E9">
              <w:rPr>
                <w:rFonts w:ascii="Times New Roman" w:hAnsi="Times New Roman"/>
                <w:sz w:val="24"/>
              </w:rPr>
              <w:t>GWh</w:t>
            </w:r>
            <w:proofErr w:type="spellEnd"/>
            <w:r w:rsidRPr="00B126E9">
              <w:rPr>
                <w:rFonts w:ascii="Times New Roman" w:hAnsi="Times New Roman"/>
                <w:sz w:val="24"/>
              </w:rPr>
              <w:t>) gamtinių dujų, t. y. 53 proc. mažiau nei 2021 m. "Pardavimų apimčių sumažėjimą lėmė kai kurių rinkos dalyvių apsisprendimas nepirkti rusiškos kilmės dujų dar iki 2023 m. sausio 1 d., taip pat tai, kad esant aukštų kainų aplinkai klientai persvarstė savo gamtinių dujų vartojimo įpročius, įskaitant perėjimą prie alternatyvių energijos šaltinių", - teigiama "</w:t>
            </w:r>
            <w:proofErr w:type="spellStart"/>
            <w:r w:rsidRPr="00B126E9">
              <w:rPr>
                <w:rFonts w:ascii="Times New Roman" w:hAnsi="Times New Roman"/>
                <w:sz w:val="24"/>
              </w:rPr>
              <w:t>Latvijas</w:t>
            </w:r>
            <w:proofErr w:type="spellEnd"/>
            <w:r w:rsidRPr="00B126E9">
              <w:rPr>
                <w:rFonts w:ascii="Times New Roman" w:hAnsi="Times New Roman"/>
                <w:sz w:val="24"/>
              </w:rPr>
              <w:t xml:space="preserve"> </w:t>
            </w:r>
            <w:proofErr w:type="spellStart"/>
            <w:r w:rsidRPr="00B126E9">
              <w:rPr>
                <w:rFonts w:ascii="Times New Roman" w:hAnsi="Times New Roman"/>
                <w:sz w:val="24"/>
              </w:rPr>
              <w:t>Gaze</w:t>
            </w:r>
            <w:proofErr w:type="spellEnd"/>
            <w:r w:rsidRPr="00B126E9">
              <w:rPr>
                <w:rFonts w:ascii="Times New Roman" w:hAnsi="Times New Roman"/>
                <w:sz w:val="24"/>
              </w:rPr>
              <w:t>" pranešime biržai.</w:t>
            </w:r>
          </w:p>
        </w:tc>
        <w:tc>
          <w:tcPr>
            <w:tcW w:w="2411" w:type="dxa"/>
            <w:shd w:val="clear" w:color="auto" w:fill="auto"/>
            <w:tcMar>
              <w:top w:w="29" w:type="dxa"/>
              <w:left w:w="115" w:type="dxa"/>
              <w:bottom w:w="29" w:type="dxa"/>
              <w:right w:w="115" w:type="dxa"/>
            </w:tcMar>
          </w:tcPr>
          <w:p w:rsidR="00B943A9" w:rsidRPr="00B943A9" w:rsidRDefault="00C8399E" w:rsidP="00FA00A6">
            <w:p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Latvijas</w:t>
            </w:r>
            <w:proofErr w:type="spellEnd"/>
            <w:r>
              <w:rPr>
                <w:rFonts w:ascii="Times New Roman" w:hAnsi="Times New Roman"/>
                <w:sz w:val="24"/>
                <w:szCs w:val="24"/>
              </w:rPr>
              <w:t xml:space="preserve"> </w:t>
            </w:r>
            <w:proofErr w:type="spellStart"/>
            <w:r>
              <w:rPr>
                <w:rFonts w:ascii="Times New Roman" w:hAnsi="Times New Roman"/>
                <w:sz w:val="24"/>
                <w:szCs w:val="24"/>
              </w:rPr>
              <w:t>gaze</w:t>
            </w:r>
            <w:proofErr w:type="spellEnd"/>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11371D" w:rsidRPr="00B943A9" w:rsidTr="004317FE">
        <w:trPr>
          <w:trHeight w:val="216"/>
        </w:trPr>
        <w:tc>
          <w:tcPr>
            <w:tcW w:w="1575" w:type="dxa"/>
            <w:gridSpan w:val="2"/>
            <w:shd w:val="clear" w:color="auto" w:fill="auto"/>
            <w:tcMar>
              <w:top w:w="29" w:type="dxa"/>
              <w:left w:w="115" w:type="dxa"/>
              <w:bottom w:w="29" w:type="dxa"/>
              <w:right w:w="115" w:type="dxa"/>
            </w:tcMar>
          </w:tcPr>
          <w:p w:rsidR="0011371D" w:rsidRPr="00B943A9" w:rsidRDefault="00A144EF" w:rsidP="00B943A9">
            <w:pPr>
              <w:spacing w:after="0" w:line="240" w:lineRule="auto"/>
              <w:jc w:val="both"/>
              <w:rPr>
                <w:rFonts w:ascii="Times New Roman" w:hAnsi="Times New Roman"/>
                <w:sz w:val="24"/>
                <w:szCs w:val="24"/>
              </w:rPr>
            </w:pPr>
            <w:r>
              <w:rPr>
                <w:rFonts w:ascii="Times New Roman" w:hAnsi="Times New Roman"/>
                <w:sz w:val="24"/>
                <w:szCs w:val="24"/>
              </w:rPr>
              <w:t xml:space="preserve">Kovo 13 d. </w:t>
            </w:r>
          </w:p>
        </w:tc>
        <w:tc>
          <w:tcPr>
            <w:tcW w:w="9192" w:type="dxa"/>
            <w:shd w:val="clear" w:color="auto" w:fill="auto"/>
            <w:tcMar>
              <w:top w:w="29" w:type="dxa"/>
              <w:left w:w="115" w:type="dxa"/>
              <w:bottom w:w="29" w:type="dxa"/>
              <w:right w:w="115" w:type="dxa"/>
            </w:tcMar>
          </w:tcPr>
          <w:p w:rsidR="00A144EF" w:rsidRPr="00B128AA" w:rsidRDefault="00A144EF" w:rsidP="00A144EF">
            <w:pPr>
              <w:spacing w:after="0" w:line="240" w:lineRule="auto"/>
              <w:jc w:val="both"/>
              <w:rPr>
                <w:rFonts w:ascii="Times New Roman" w:hAnsi="Times New Roman"/>
                <w:sz w:val="24"/>
              </w:rPr>
            </w:pPr>
            <w:r w:rsidRPr="00B128AA">
              <w:rPr>
                <w:rFonts w:ascii="Times New Roman" w:hAnsi="Times New Roman"/>
                <w:sz w:val="24"/>
              </w:rPr>
              <w:t>Rygos laisvajame uoste per pirmuosius du 2023 m. mėnesius perkrauta 3,592 mln. tonų krovinių, t. y. 2,3 proc. daugiau nei atitinkamu 2022 m. laikotarpiu, rodo uosto paskelbta informacija. Birių krovinių, kurie šių metų sausio-vasario mėnesiais dominavo uosto krovinių struktūroje, krova per metus išaugo 4,6 proc. iki 2,224 mln. tonų. Generalinių krovinių krova padidėjo 5,5 proc. iki 1,133 mln. tonų, o skystųjų krovinių perkrovimas sumažėjo 24,6 proc. iki 235,9 tūkst. tonų. Šių metų sausio-vasario mėn. konteinerinių krovinių perkrovimas per metus padidėjo 10,4 proc. iki 717,4 tūkst. tonų ir sudarė 20 proc. visos uosto krovos (prieš metus - 18,5 proc.). Anglies krovinių apyvarta siekė 707,8 tūkst. tonų, t. y. 6,4 proc. daugiau nei prieš metus, ir sudarė 19,7 proc. visos dviejų mėnesių uosto krovinių apyvartos (prieš metus - 18,9 proc.).</w:t>
            </w:r>
          </w:p>
          <w:p w:rsidR="0011371D" w:rsidRPr="003A3A30" w:rsidRDefault="0011371D" w:rsidP="0011371D">
            <w:pPr>
              <w:spacing w:after="0" w:line="240" w:lineRule="auto"/>
              <w:jc w:val="both"/>
              <w:rPr>
                <w:rFonts w:ascii="Times New Roman" w:hAnsi="Times New Roman"/>
                <w:sz w:val="24"/>
                <w:szCs w:val="24"/>
              </w:rPr>
            </w:pPr>
          </w:p>
        </w:tc>
        <w:tc>
          <w:tcPr>
            <w:tcW w:w="2411" w:type="dxa"/>
            <w:shd w:val="clear" w:color="auto" w:fill="auto"/>
            <w:tcMar>
              <w:top w:w="29" w:type="dxa"/>
              <w:left w:w="115" w:type="dxa"/>
              <w:bottom w:w="29" w:type="dxa"/>
              <w:right w:w="115" w:type="dxa"/>
            </w:tcMar>
          </w:tcPr>
          <w:p w:rsidR="0011371D" w:rsidRPr="00B943A9" w:rsidRDefault="0011371D"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rsidR="0011371D" w:rsidRPr="00B943A9" w:rsidRDefault="0011371D" w:rsidP="00B943A9">
            <w:pPr>
              <w:spacing w:after="0" w:line="240" w:lineRule="auto"/>
              <w:jc w:val="both"/>
              <w:rPr>
                <w:rFonts w:ascii="Times New Roman" w:hAnsi="Times New Roman"/>
                <w:sz w:val="24"/>
                <w:szCs w:val="24"/>
              </w:rPr>
            </w:pPr>
          </w:p>
        </w:tc>
      </w:tr>
      <w:tr w:rsidR="0011371D" w:rsidRPr="00B943A9" w:rsidTr="004317FE">
        <w:trPr>
          <w:trHeight w:val="216"/>
        </w:trPr>
        <w:tc>
          <w:tcPr>
            <w:tcW w:w="1575" w:type="dxa"/>
            <w:gridSpan w:val="2"/>
            <w:shd w:val="clear" w:color="auto" w:fill="auto"/>
            <w:tcMar>
              <w:top w:w="29" w:type="dxa"/>
              <w:left w:w="115" w:type="dxa"/>
              <w:bottom w:w="29" w:type="dxa"/>
              <w:right w:w="115" w:type="dxa"/>
            </w:tcMar>
          </w:tcPr>
          <w:p w:rsidR="0011371D" w:rsidRPr="00B943A9" w:rsidRDefault="008C1254" w:rsidP="00B943A9">
            <w:pPr>
              <w:spacing w:after="0" w:line="240" w:lineRule="auto"/>
              <w:jc w:val="both"/>
              <w:rPr>
                <w:rFonts w:ascii="Times New Roman" w:hAnsi="Times New Roman"/>
                <w:sz w:val="24"/>
                <w:szCs w:val="24"/>
              </w:rPr>
            </w:pPr>
            <w:r>
              <w:rPr>
                <w:rFonts w:ascii="Times New Roman" w:hAnsi="Times New Roman"/>
                <w:sz w:val="24"/>
                <w:szCs w:val="24"/>
              </w:rPr>
              <w:t xml:space="preserve">Kovo 30 d. </w:t>
            </w:r>
          </w:p>
        </w:tc>
        <w:tc>
          <w:tcPr>
            <w:tcW w:w="9192" w:type="dxa"/>
            <w:shd w:val="clear" w:color="auto" w:fill="auto"/>
            <w:tcMar>
              <w:top w:w="29" w:type="dxa"/>
              <w:left w:w="115" w:type="dxa"/>
              <w:bottom w:w="29" w:type="dxa"/>
              <w:right w:w="115" w:type="dxa"/>
            </w:tcMar>
          </w:tcPr>
          <w:p w:rsidR="0011371D" w:rsidRPr="003A3A30" w:rsidRDefault="008C1254" w:rsidP="00C8399E">
            <w:pPr>
              <w:spacing w:after="0" w:line="240" w:lineRule="auto"/>
              <w:jc w:val="both"/>
              <w:rPr>
                <w:rFonts w:ascii="Times New Roman" w:hAnsi="Times New Roman"/>
                <w:sz w:val="24"/>
                <w:szCs w:val="24"/>
              </w:rPr>
            </w:pPr>
            <w:r w:rsidRPr="00CB687F">
              <w:rPr>
                <w:rFonts w:ascii="Times New Roman" w:hAnsi="Times New Roman"/>
                <w:sz w:val="24"/>
              </w:rPr>
              <w:t>Latvijos nacionalinis oro vežėjas "</w:t>
            </w:r>
            <w:proofErr w:type="spellStart"/>
            <w:r w:rsidRPr="00CB687F">
              <w:rPr>
                <w:rFonts w:ascii="Times New Roman" w:hAnsi="Times New Roman"/>
                <w:sz w:val="24"/>
              </w:rPr>
              <w:t>airBaltic</w:t>
            </w:r>
            <w:proofErr w:type="spellEnd"/>
            <w:r w:rsidRPr="00CB687F">
              <w:rPr>
                <w:rFonts w:ascii="Times New Roman" w:hAnsi="Times New Roman"/>
                <w:sz w:val="24"/>
              </w:rPr>
              <w:t>" tikisi šiais metais pasiekti 700 mln. eurų apyvartą, spaudos konferencijoje sakė bendrovės generalinis direktorius Martinas Gausas. Oro linijų bendrovės vadovas prognozavo, kad "</w:t>
            </w:r>
            <w:proofErr w:type="spellStart"/>
            <w:r w:rsidRPr="00CB687F">
              <w:rPr>
                <w:rFonts w:ascii="Times New Roman" w:hAnsi="Times New Roman"/>
                <w:sz w:val="24"/>
              </w:rPr>
              <w:t>airBaltic</w:t>
            </w:r>
            <w:proofErr w:type="spellEnd"/>
            <w:r w:rsidRPr="00CB687F">
              <w:rPr>
                <w:rFonts w:ascii="Times New Roman" w:hAnsi="Times New Roman"/>
                <w:sz w:val="24"/>
              </w:rPr>
              <w:t>" akcijos gali būti įtrauktos į biržos prekybos sąrašus 2024 m. rugsėjį. Šiuo metu planuojama "</w:t>
            </w:r>
            <w:proofErr w:type="spellStart"/>
            <w:r w:rsidRPr="00CB687F">
              <w:rPr>
                <w:rFonts w:ascii="Times New Roman" w:hAnsi="Times New Roman"/>
                <w:sz w:val="24"/>
              </w:rPr>
              <w:t>airBaltic</w:t>
            </w:r>
            <w:proofErr w:type="spellEnd"/>
            <w:r w:rsidRPr="00CB687F">
              <w:rPr>
                <w:rFonts w:ascii="Times New Roman" w:hAnsi="Times New Roman"/>
                <w:sz w:val="24"/>
              </w:rPr>
              <w:t xml:space="preserve">" akcijas </w:t>
            </w:r>
            <w:proofErr w:type="spellStart"/>
            <w:r w:rsidRPr="00CB687F">
              <w:rPr>
                <w:rFonts w:ascii="Times New Roman" w:hAnsi="Times New Roman"/>
                <w:sz w:val="24"/>
              </w:rPr>
              <w:t>listinguoti</w:t>
            </w:r>
            <w:proofErr w:type="spellEnd"/>
            <w:r w:rsidRPr="00CB687F">
              <w:rPr>
                <w:rFonts w:ascii="Times New Roman" w:hAnsi="Times New Roman"/>
                <w:sz w:val="24"/>
              </w:rPr>
              <w:t xml:space="preserve"> Rygos vertybinių popierių biržoje "</w:t>
            </w:r>
            <w:proofErr w:type="spellStart"/>
            <w:r w:rsidRPr="00CB687F">
              <w:rPr>
                <w:rFonts w:ascii="Times New Roman" w:hAnsi="Times New Roman"/>
                <w:sz w:val="24"/>
              </w:rPr>
              <w:t>Nasdaq</w:t>
            </w:r>
            <w:proofErr w:type="spellEnd"/>
            <w:r w:rsidRPr="00CB687F">
              <w:rPr>
                <w:rFonts w:ascii="Times New Roman" w:hAnsi="Times New Roman"/>
                <w:sz w:val="24"/>
              </w:rPr>
              <w:t xml:space="preserve"> Riga" ir tarptautiniu mastu, tačiau apie tarptautinio partnerio pasirinkimą kalbėti dar anksti, sakė M. </w:t>
            </w:r>
            <w:proofErr w:type="spellStart"/>
            <w:r w:rsidRPr="00CB687F">
              <w:rPr>
                <w:rFonts w:ascii="Times New Roman" w:hAnsi="Times New Roman"/>
                <w:sz w:val="24"/>
              </w:rPr>
              <w:t>Gaussas</w:t>
            </w:r>
            <w:proofErr w:type="spellEnd"/>
            <w:r w:rsidRPr="00CB687F">
              <w:rPr>
                <w:rFonts w:ascii="Times New Roman" w:hAnsi="Times New Roman"/>
                <w:sz w:val="24"/>
              </w:rPr>
              <w:t>. Komentuodamas brangiai kainuojantį "Audi e-</w:t>
            </w:r>
            <w:proofErr w:type="spellStart"/>
            <w:r w:rsidRPr="00CB687F">
              <w:rPr>
                <w:rFonts w:ascii="Times New Roman" w:hAnsi="Times New Roman"/>
                <w:sz w:val="24"/>
              </w:rPr>
              <w:t>tron</w:t>
            </w:r>
            <w:proofErr w:type="spellEnd"/>
            <w:r w:rsidRPr="00CB687F">
              <w:rPr>
                <w:rFonts w:ascii="Times New Roman" w:hAnsi="Times New Roman"/>
                <w:sz w:val="24"/>
              </w:rPr>
              <w:t xml:space="preserve">" automobilių pirkimą, kurį kritikavo valdžios pareigūnai ir visuomenė, </w:t>
            </w:r>
            <w:proofErr w:type="spellStart"/>
            <w:r w:rsidRPr="00CB687F">
              <w:rPr>
                <w:rFonts w:ascii="Times New Roman" w:hAnsi="Times New Roman"/>
                <w:sz w:val="24"/>
              </w:rPr>
              <w:t>Gaussas</w:t>
            </w:r>
            <w:proofErr w:type="spellEnd"/>
            <w:r w:rsidRPr="00CB687F">
              <w:rPr>
                <w:rFonts w:ascii="Times New Roman" w:hAnsi="Times New Roman"/>
                <w:sz w:val="24"/>
              </w:rPr>
              <w:t xml:space="preserve"> nurodė, kad dar 2022 m. gegužę "</w:t>
            </w:r>
            <w:proofErr w:type="spellStart"/>
            <w:r w:rsidRPr="00CB687F">
              <w:rPr>
                <w:rFonts w:ascii="Times New Roman" w:hAnsi="Times New Roman"/>
                <w:sz w:val="24"/>
              </w:rPr>
              <w:t>airBaltic</w:t>
            </w:r>
            <w:proofErr w:type="spellEnd"/>
            <w:r w:rsidRPr="00CB687F">
              <w:rPr>
                <w:rFonts w:ascii="Times New Roman" w:hAnsi="Times New Roman"/>
                <w:sz w:val="24"/>
              </w:rPr>
              <w:t xml:space="preserve">" viešai paskelbė apie bendrovės perėjimą prie elektrinių transporto priemonių (EV), siekiant tvarumo tikslo - iki 2050 m. pasiekti nulinę anglies dioksido (CO2) emisiją. Pasak </w:t>
            </w:r>
            <w:proofErr w:type="spellStart"/>
            <w:r w:rsidRPr="00CB687F">
              <w:rPr>
                <w:rFonts w:ascii="Times New Roman" w:hAnsi="Times New Roman"/>
                <w:sz w:val="24"/>
              </w:rPr>
              <w:t>Gauso</w:t>
            </w:r>
            <w:proofErr w:type="spellEnd"/>
            <w:r w:rsidRPr="00CB687F">
              <w:rPr>
                <w:rFonts w:ascii="Times New Roman" w:hAnsi="Times New Roman"/>
                <w:sz w:val="24"/>
              </w:rPr>
              <w:t>, transporto priemonės buvo pasirinktos viešųjų pirkimų procedūros metu, o paaiškinimas šiuo klausimu jau išsiųstas Susisiekimo ministerijai.</w:t>
            </w:r>
          </w:p>
        </w:tc>
        <w:tc>
          <w:tcPr>
            <w:tcW w:w="2411" w:type="dxa"/>
            <w:shd w:val="clear" w:color="auto" w:fill="auto"/>
            <w:tcMar>
              <w:top w:w="29" w:type="dxa"/>
              <w:left w:w="115" w:type="dxa"/>
              <w:bottom w:w="29" w:type="dxa"/>
              <w:right w:w="115" w:type="dxa"/>
            </w:tcMar>
          </w:tcPr>
          <w:p w:rsidR="0011371D" w:rsidRPr="00B943A9" w:rsidRDefault="0011371D"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rsidR="0011371D" w:rsidRPr="00B943A9" w:rsidRDefault="0011371D" w:rsidP="00B943A9">
            <w:pPr>
              <w:spacing w:after="0" w:line="240" w:lineRule="auto"/>
              <w:jc w:val="both"/>
              <w:rPr>
                <w:rFonts w:ascii="Times New Roman" w:hAnsi="Times New Roman"/>
                <w:sz w:val="24"/>
                <w:szCs w:val="24"/>
              </w:rPr>
            </w:pPr>
          </w:p>
        </w:tc>
      </w:tr>
      <w:tr w:rsidR="0011371D" w:rsidRPr="00B943A9" w:rsidTr="004317FE">
        <w:trPr>
          <w:trHeight w:val="216"/>
        </w:trPr>
        <w:tc>
          <w:tcPr>
            <w:tcW w:w="1575" w:type="dxa"/>
            <w:gridSpan w:val="2"/>
            <w:shd w:val="clear" w:color="auto" w:fill="auto"/>
            <w:tcMar>
              <w:top w:w="29" w:type="dxa"/>
              <w:left w:w="115" w:type="dxa"/>
              <w:bottom w:w="29" w:type="dxa"/>
              <w:right w:w="115" w:type="dxa"/>
            </w:tcMar>
          </w:tcPr>
          <w:p w:rsidR="0011371D" w:rsidRPr="00B943A9" w:rsidRDefault="008C1254" w:rsidP="00B943A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Kovo 30 d. </w:t>
            </w:r>
          </w:p>
        </w:tc>
        <w:tc>
          <w:tcPr>
            <w:tcW w:w="9192" w:type="dxa"/>
            <w:shd w:val="clear" w:color="auto" w:fill="auto"/>
            <w:tcMar>
              <w:top w:w="29" w:type="dxa"/>
              <w:left w:w="115" w:type="dxa"/>
              <w:bottom w:w="29" w:type="dxa"/>
              <w:right w:w="115" w:type="dxa"/>
            </w:tcMar>
          </w:tcPr>
          <w:p w:rsidR="00C8399E" w:rsidRDefault="008C1254" w:rsidP="00C8399E">
            <w:pPr>
              <w:spacing w:after="0" w:line="240" w:lineRule="auto"/>
              <w:jc w:val="both"/>
              <w:rPr>
                <w:rFonts w:ascii="Times New Roman" w:hAnsi="Times New Roman"/>
                <w:sz w:val="24"/>
              </w:rPr>
            </w:pPr>
            <w:r w:rsidRPr="00C8399E">
              <w:rPr>
                <w:rFonts w:ascii="Times New Roman" w:hAnsi="Times New Roman"/>
                <w:sz w:val="24"/>
              </w:rPr>
              <w:t>Šių metų sausio-vasario mėn. gamtinių dujų suvartojimas Latvijoje sumažėjo 11,9 proc., palyginti su tuo pačiu praėjusių metų laikotarpiu, rodo Centrinės statistikos tarnybos duomenys.</w:t>
            </w:r>
            <w:r w:rsidR="00C8399E">
              <w:rPr>
                <w:rFonts w:ascii="Times New Roman" w:hAnsi="Times New Roman"/>
                <w:sz w:val="24"/>
              </w:rPr>
              <w:t xml:space="preserve"> </w:t>
            </w:r>
          </w:p>
          <w:p w:rsidR="008C1254" w:rsidRPr="00C8399E" w:rsidRDefault="008C1254" w:rsidP="00C8399E">
            <w:pPr>
              <w:spacing w:after="0" w:line="240" w:lineRule="auto"/>
              <w:jc w:val="both"/>
              <w:rPr>
                <w:rFonts w:ascii="Times New Roman" w:hAnsi="Times New Roman"/>
                <w:sz w:val="24"/>
              </w:rPr>
            </w:pPr>
            <w:r w:rsidRPr="00C8399E">
              <w:rPr>
                <w:rFonts w:ascii="Times New Roman" w:hAnsi="Times New Roman"/>
                <w:sz w:val="24"/>
              </w:rPr>
              <w:t xml:space="preserve">Šių metų sausio-vasario mėn. dujų suvartojimas sudarė 2,318 </w:t>
            </w:r>
            <w:proofErr w:type="spellStart"/>
            <w:r w:rsidRPr="00C8399E">
              <w:rPr>
                <w:rFonts w:ascii="Times New Roman" w:hAnsi="Times New Roman"/>
                <w:sz w:val="24"/>
              </w:rPr>
              <w:t>teravatvalandės</w:t>
            </w:r>
            <w:proofErr w:type="spellEnd"/>
            <w:r w:rsidRPr="00C8399E">
              <w:rPr>
                <w:rFonts w:ascii="Times New Roman" w:hAnsi="Times New Roman"/>
                <w:sz w:val="24"/>
              </w:rPr>
              <w:t xml:space="preserve">, palyginti su 2,632 </w:t>
            </w:r>
            <w:proofErr w:type="spellStart"/>
            <w:r w:rsidRPr="00C8399E">
              <w:rPr>
                <w:rFonts w:ascii="Times New Roman" w:hAnsi="Times New Roman"/>
                <w:sz w:val="24"/>
              </w:rPr>
              <w:t>teravatvalandės</w:t>
            </w:r>
            <w:proofErr w:type="spellEnd"/>
            <w:r w:rsidRPr="00C8399E">
              <w:rPr>
                <w:rFonts w:ascii="Times New Roman" w:hAnsi="Times New Roman"/>
                <w:sz w:val="24"/>
              </w:rPr>
              <w:t xml:space="preserve"> tuo pačiu laikotarpiu pernai.</w:t>
            </w:r>
          </w:p>
          <w:p w:rsidR="008C1254" w:rsidRPr="00C8399E" w:rsidRDefault="008C1254" w:rsidP="00C8399E">
            <w:pPr>
              <w:spacing w:after="0" w:line="240" w:lineRule="auto"/>
              <w:jc w:val="both"/>
              <w:rPr>
                <w:rFonts w:ascii="Times New Roman" w:hAnsi="Times New Roman"/>
                <w:sz w:val="24"/>
              </w:rPr>
            </w:pPr>
            <w:r w:rsidRPr="00C8399E">
              <w:rPr>
                <w:rFonts w:ascii="Times New Roman" w:hAnsi="Times New Roman"/>
                <w:sz w:val="24"/>
              </w:rPr>
              <w:t xml:space="preserve">Vasario mėnesį gamtinių dujų suvartojimas sudarė 1,199 </w:t>
            </w:r>
            <w:proofErr w:type="spellStart"/>
            <w:r w:rsidRPr="00C8399E">
              <w:rPr>
                <w:rFonts w:ascii="Times New Roman" w:hAnsi="Times New Roman"/>
                <w:sz w:val="24"/>
              </w:rPr>
              <w:t>teravatvalandės</w:t>
            </w:r>
            <w:proofErr w:type="spellEnd"/>
            <w:r w:rsidRPr="00C8399E">
              <w:rPr>
                <w:rFonts w:ascii="Times New Roman" w:hAnsi="Times New Roman"/>
                <w:sz w:val="24"/>
              </w:rPr>
              <w:t>, t. y. 9,3 % daugiau nei 2022 m. vasarį ir 7,1 % daugiau nei sausį.</w:t>
            </w:r>
          </w:p>
          <w:p w:rsidR="0011371D" w:rsidRPr="003A3A30" w:rsidRDefault="008C1254" w:rsidP="00C8399E">
            <w:pPr>
              <w:spacing w:after="0" w:line="240" w:lineRule="auto"/>
              <w:jc w:val="both"/>
              <w:rPr>
                <w:rFonts w:ascii="Times New Roman" w:hAnsi="Times New Roman"/>
                <w:sz w:val="24"/>
                <w:szCs w:val="24"/>
              </w:rPr>
            </w:pPr>
            <w:r w:rsidRPr="00C8399E">
              <w:rPr>
                <w:rFonts w:ascii="Times New Roman" w:hAnsi="Times New Roman"/>
                <w:sz w:val="24"/>
              </w:rPr>
              <w:t xml:space="preserve">Kaip pranešama, pernai gamtinių dujų suvartojimas Latvijoje sumažėjo 30,3 proc. iki 8,887 </w:t>
            </w:r>
            <w:proofErr w:type="spellStart"/>
            <w:r w:rsidRPr="00C8399E">
              <w:rPr>
                <w:rFonts w:ascii="Times New Roman" w:hAnsi="Times New Roman"/>
                <w:sz w:val="24"/>
              </w:rPr>
              <w:t>teravatvalandės</w:t>
            </w:r>
            <w:proofErr w:type="spellEnd"/>
            <w:r w:rsidRPr="00C8399E">
              <w:rPr>
                <w:rFonts w:ascii="Times New Roman" w:hAnsi="Times New Roman"/>
                <w:sz w:val="24"/>
              </w:rPr>
              <w:t>.</w:t>
            </w:r>
          </w:p>
        </w:tc>
        <w:tc>
          <w:tcPr>
            <w:tcW w:w="2411" w:type="dxa"/>
            <w:shd w:val="clear" w:color="auto" w:fill="auto"/>
            <w:tcMar>
              <w:top w:w="29" w:type="dxa"/>
              <w:left w:w="115" w:type="dxa"/>
              <w:bottom w:w="29" w:type="dxa"/>
              <w:right w:w="115" w:type="dxa"/>
            </w:tcMar>
          </w:tcPr>
          <w:p w:rsidR="0011371D" w:rsidRPr="00B943A9" w:rsidRDefault="00C8399E" w:rsidP="00B943A9">
            <w:pPr>
              <w:spacing w:after="0" w:line="240" w:lineRule="auto"/>
              <w:jc w:val="both"/>
              <w:rPr>
                <w:rFonts w:ascii="Times New Roman" w:hAnsi="Times New Roman"/>
                <w:sz w:val="24"/>
                <w:szCs w:val="24"/>
              </w:rPr>
            </w:pPr>
            <w:r>
              <w:rPr>
                <w:rFonts w:ascii="Times New Roman" w:hAnsi="Times New Roman"/>
                <w:sz w:val="24"/>
                <w:szCs w:val="24"/>
              </w:rPr>
              <w:t xml:space="preserve">Leta.lv </w:t>
            </w:r>
          </w:p>
        </w:tc>
        <w:tc>
          <w:tcPr>
            <w:tcW w:w="1641" w:type="dxa"/>
            <w:shd w:val="clear" w:color="auto" w:fill="auto"/>
            <w:tcMar>
              <w:top w:w="29" w:type="dxa"/>
              <w:left w:w="115" w:type="dxa"/>
              <w:bottom w:w="29" w:type="dxa"/>
              <w:right w:w="115" w:type="dxa"/>
            </w:tcMar>
          </w:tcPr>
          <w:p w:rsidR="0011371D" w:rsidRPr="00B943A9" w:rsidRDefault="0011371D" w:rsidP="00B943A9">
            <w:pPr>
              <w:spacing w:after="0" w:line="240" w:lineRule="auto"/>
              <w:jc w:val="both"/>
              <w:rPr>
                <w:rFonts w:ascii="Times New Roman" w:hAnsi="Times New Roman"/>
                <w:sz w:val="24"/>
                <w:szCs w:val="24"/>
              </w:rPr>
            </w:pPr>
          </w:p>
        </w:tc>
      </w:tr>
      <w:tr w:rsidR="00B943A9" w:rsidRPr="00B943A9" w:rsidTr="00B943A9">
        <w:trPr>
          <w:trHeight w:val="234"/>
        </w:trPr>
        <w:tc>
          <w:tcPr>
            <w:tcW w:w="14819" w:type="dxa"/>
            <w:gridSpan w:val="5"/>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b/>
                <w:sz w:val="24"/>
                <w:szCs w:val="24"/>
              </w:rPr>
            </w:pPr>
            <w:r w:rsidRPr="00B943A9">
              <w:rPr>
                <w:rFonts w:ascii="Times New Roman" w:hAnsi="Times New Roman"/>
                <w:b/>
                <w:sz w:val="24"/>
                <w:szCs w:val="24"/>
              </w:rPr>
              <w:t>Bendra ekonominė informacija</w:t>
            </w:r>
          </w:p>
        </w:tc>
      </w:tr>
      <w:tr w:rsidR="00B943A9" w:rsidRPr="00B943A9" w:rsidTr="004317FE">
        <w:trPr>
          <w:trHeight w:val="216"/>
        </w:trPr>
        <w:tc>
          <w:tcPr>
            <w:tcW w:w="1575" w:type="dxa"/>
            <w:gridSpan w:val="2"/>
            <w:shd w:val="clear" w:color="auto" w:fill="auto"/>
            <w:tcMar>
              <w:top w:w="29" w:type="dxa"/>
              <w:left w:w="115" w:type="dxa"/>
              <w:bottom w:w="29" w:type="dxa"/>
              <w:right w:w="115" w:type="dxa"/>
            </w:tcMar>
          </w:tcPr>
          <w:p w:rsidR="00B943A9" w:rsidRPr="00B943A9" w:rsidRDefault="00A144EF" w:rsidP="00B943A9">
            <w:pPr>
              <w:spacing w:after="0" w:line="240" w:lineRule="auto"/>
              <w:jc w:val="both"/>
              <w:rPr>
                <w:rFonts w:ascii="Times New Roman" w:hAnsi="Times New Roman"/>
                <w:sz w:val="24"/>
                <w:szCs w:val="24"/>
              </w:rPr>
            </w:pPr>
            <w:r>
              <w:rPr>
                <w:rFonts w:ascii="Times New Roman" w:hAnsi="Times New Roman"/>
                <w:sz w:val="24"/>
                <w:szCs w:val="24"/>
              </w:rPr>
              <w:t xml:space="preserve">Kovo 1 d. </w:t>
            </w:r>
          </w:p>
        </w:tc>
        <w:tc>
          <w:tcPr>
            <w:tcW w:w="9192" w:type="dxa"/>
            <w:shd w:val="clear" w:color="auto" w:fill="auto"/>
            <w:tcMar>
              <w:top w:w="29" w:type="dxa"/>
              <w:left w:w="115" w:type="dxa"/>
              <w:bottom w:w="29" w:type="dxa"/>
              <w:right w:w="115" w:type="dxa"/>
            </w:tcMar>
          </w:tcPr>
          <w:p w:rsidR="00B943A9" w:rsidRPr="00F96BF4" w:rsidRDefault="00A144EF" w:rsidP="00B943A9">
            <w:pPr>
              <w:spacing w:after="0" w:line="240" w:lineRule="auto"/>
              <w:jc w:val="both"/>
              <w:rPr>
                <w:rFonts w:ascii="Times New Roman" w:hAnsi="Times New Roman"/>
                <w:sz w:val="24"/>
                <w:szCs w:val="24"/>
              </w:rPr>
            </w:pPr>
            <w:r w:rsidRPr="00B126E9">
              <w:rPr>
                <w:rFonts w:ascii="Times New Roman" w:hAnsi="Times New Roman"/>
                <w:sz w:val="24"/>
              </w:rPr>
              <w:t xml:space="preserve">Latvijos centrinės statistikos </w:t>
            </w:r>
            <w:r>
              <w:rPr>
                <w:rFonts w:ascii="Times New Roman" w:hAnsi="Times New Roman"/>
                <w:sz w:val="24"/>
              </w:rPr>
              <w:t>tarnybos</w:t>
            </w:r>
            <w:r w:rsidRPr="00B126E9">
              <w:rPr>
                <w:rFonts w:ascii="Times New Roman" w:hAnsi="Times New Roman"/>
                <w:sz w:val="24"/>
              </w:rPr>
              <w:t xml:space="preserve"> (CSB) duomenimis, 2022 m. vidutinis </w:t>
            </w:r>
            <w:proofErr w:type="spellStart"/>
            <w:r w:rsidRPr="00B126E9">
              <w:rPr>
                <w:rFonts w:ascii="Times New Roman" w:hAnsi="Times New Roman"/>
                <w:sz w:val="24"/>
              </w:rPr>
              <w:t>bruto</w:t>
            </w:r>
            <w:proofErr w:type="spellEnd"/>
            <w:r w:rsidRPr="00B126E9">
              <w:rPr>
                <w:rFonts w:ascii="Times New Roman" w:hAnsi="Times New Roman"/>
                <w:sz w:val="24"/>
              </w:rPr>
              <w:t xml:space="preserve"> darbo užmokestis už darbą visą darbo dieną siekė 1373 EUR. Palyginti su 2021 m., vidutinis mėnesinis darbo užmokestis išaugo 95 eurais, arba 7,5 %, o valandinis darbo užmokestis neatskaičius mokesčių - 6,6 % (nuo 8,54 iki 9,10 euro). Vidutinis </w:t>
            </w:r>
            <w:proofErr w:type="spellStart"/>
            <w:r w:rsidRPr="00B126E9">
              <w:rPr>
                <w:rFonts w:ascii="Times New Roman" w:hAnsi="Times New Roman"/>
                <w:sz w:val="24"/>
              </w:rPr>
              <w:t>neto</w:t>
            </w:r>
            <w:proofErr w:type="spellEnd"/>
            <w:r w:rsidRPr="00B126E9">
              <w:rPr>
                <w:rFonts w:ascii="Times New Roman" w:hAnsi="Times New Roman"/>
                <w:sz w:val="24"/>
              </w:rPr>
              <w:t xml:space="preserve"> darbo užmokestis (apskaičiuotas pagal darbdaviams taikomus darbo mokesčius) sudarė 1006 eurus, arba 73,3 proc. </w:t>
            </w:r>
            <w:proofErr w:type="spellStart"/>
            <w:r w:rsidRPr="00B126E9">
              <w:rPr>
                <w:rFonts w:ascii="Times New Roman" w:hAnsi="Times New Roman"/>
                <w:sz w:val="24"/>
              </w:rPr>
              <w:t>bruto</w:t>
            </w:r>
            <w:proofErr w:type="spellEnd"/>
            <w:r w:rsidRPr="00B126E9">
              <w:rPr>
                <w:rFonts w:ascii="Times New Roman" w:hAnsi="Times New Roman"/>
                <w:sz w:val="24"/>
              </w:rPr>
              <w:t xml:space="preserve"> darbo užmokesčio, ir per metus padidėjo 7,1 proc. Tačiau, atsižvelgiant į vartotojų kainų augimą, grynasis darbo užmokestis sumažėjo 8,7 procento, o tai rodo, kad smarkiai sumažėjo samdomų darbuotojų perkamoji galia.</w:t>
            </w:r>
          </w:p>
        </w:tc>
        <w:tc>
          <w:tcPr>
            <w:tcW w:w="241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rsidR="00B943A9" w:rsidRPr="00B943A9" w:rsidRDefault="00B943A9" w:rsidP="00B943A9">
            <w:pPr>
              <w:spacing w:after="0" w:line="240" w:lineRule="auto"/>
              <w:jc w:val="both"/>
              <w:rPr>
                <w:rFonts w:ascii="Times New Roman" w:hAnsi="Times New Roman"/>
                <w:sz w:val="24"/>
                <w:szCs w:val="24"/>
              </w:rPr>
            </w:pPr>
          </w:p>
        </w:tc>
      </w:tr>
      <w:tr w:rsidR="0011371D" w:rsidRPr="00B943A9" w:rsidTr="004317FE">
        <w:trPr>
          <w:trHeight w:val="216"/>
        </w:trPr>
        <w:tc>
          <w:tcPr>
            <w:tcW w:w="1575" w:type="dxa"/>
            <w:gridSpan w:val="2"/>
            <w:shd w:val="clear" w:color="auto" w:fill="auto"/>
            <w:tcMar>
              <w:top w:w="29" w:type="dxa"/>
              <w:left w:w="115" w:type="dxa"/>
              <w:bottom w:w="29" w:type="dxa"/>
              <w:right w:w="115" w:type="dxa"/>
            </w:tcMar>
          </w:tcPr>
          <w:p w:rsidR="0011371D" w:rsidRPr="00B943A9" w:rsidRDefault="00A144EF" w:rsidP="00B943A9">
            <w:pPr>
              <w:spacing w:after="0" w:line="240" w:lineRule="auto"/>
              <w:jc w:val="both"/>
              <w:rPr>
                <w:rFonts w:ascii="Times New Roman" w:hAnsi="Times New Roman"/>
                <w:sz w:val="24"/>
                <w:szCs w:val="24"/>
              </w:rPr>
            </w:pPr>
            <w:r>
              <w:rPr>
                <w:rFonts w:ascii="Times New Roman" w:hAnsi="Times New Roman"/>
                <w:sz w:val="24"/>
                <w:szCs w:val="24"/>
              </w:rPr>
              <w:t xml:space="preserve">Kovo 6 d. </w:t>
            </w:r>
          </w:p>
        </w:tc>
        <w:tc>
          <w:tcPr>
            <w:tcW w:w="9192" w:type="dxa"/>
            <w:shd w:val="clear" w:color="auto" w:fill="auto"/>
            <w:tcMar>
              <w:top w:w="29" w:type="dxa"/>
              <w:left w:w="115" w:type="dxa"/>
              <w:bottom w:w="29" w:type="dxa"/>
              <w:right w:w="115" w:type="dxa"/>
            </w:tcMar>
          </w:tcPr>
          <w:p w:rsidR="0011371D" w:rsidRPr="003A3A30" w:rsidRDefault="00A144EF" w:rsidP="0011371D">
            <w:pPr>
              <w:spacing w:after="0" w:line="240" w:lineRule="auto"/>
              <w:jc w:val="both"/>
              <w:rPr>
                <w:rFonts w:ascii="Times New Roman" w:hAnsi="Times New Roman"/>
                <w:sz w:val="24"/>
                <w:szCs w:val="24"/>
              </w:rPr>
            </w:pPr>
            <w:r w:rsidRPr="00B126E9">
              <w:rPr>
                <w:rFonts w:ascii="Times New Roman" w:hAnsi="Times New Roman"/>
                <w:sz w:val="24"/>
              </w:rPr>
              <w:t>Pagal akcizų mokėjimo laikino atidėjimo režimą 2022 m. iš Latvijos išvežta 109 242 t naftos produktų, arba 21,4 proc. daugiau nei 2021 m., rodo Latvijos valstybinės pajamų tarnybos Akcizinių prekių administracijos paskelbta informacija. Praėjusiais metais iš akcizinių sandėlių Latvijoje, taikant akcizų mokėjimo laikino atidėjimo režimo susitarimą, išvežta 619 272 tonos naftos produktų (degalų). Iš šio kiekio 457 994 tonos naftos produktų buvo išgabentos į kitas Europos Sąjungos valstybes nares. Biodyzelino eksportas per metus išaugo 54,7 proc. iki 144 352 tonų, o dyzelino - 58,1 proc. iki 196 618 tonų. Tuo pat metu suskystintų gamtinių dujų eksportas padidėjo 25,7 proc. iki 190 227 tonų.</w:t>
            </w:r>
          </w:p>
        </w:tc>
        <w:tc>
          <w:tcPr>
            <w:tcW w:w="2411" w:type="dxa"/>
            <w:shd w:val="clear" w:color="auto" w:fill="auto"/>
            <w:tcMar>
              <w:top w:w="29" w:type="dxa"/>
              <w:left w:w="115" w:type="dxa"/>
              <w:bottom w:w="29" w:type="dxa"/>
              <w:right w:w="115" w:type="dxa"/>
            </w:tcMar>
          </w:tcPr>
          <w:p w:rsidR="0011371D" w:rsidRPr="00B943A9" w:rsidRDefault="0011371D" w:rsidP="00B943A9">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rsidR="0011371D" w:rsidRPr="00B943A9" w:rsidRDefault="0011371D" w:rsidP="00B943A9">
            <w:pPr>
              <w:spacing w:after="0" w:line="240" w:lineRule="auto"/>
              <w:jc w:val="both"/>
              <w:rPr>
                <w:rFonts w:ascii="Times New Roman" w:hAnsi="Times New Roman"/>
                <w:sz w:val="24"/>
                <w:szCs w:val="24"/>
              </w:rPr>
            </w:pPr>
          </w:p>
        </w:tc>
      </w:tr>
      <w:tr w:rsidR="00A144EF" w:rsidRPr="00B943A9" w:rsidTr="004317FE">
        <w:trPr>
          <w:trHeight w:val="216"/>
        </w:trPr>
        <w:tc>
          <w:tcPr>
            <w:tcW w:w="1575" w:type="dxa"/>
            <w:gridSpan w:val="2"/>
            <w:shd w:val="clear" w:color="auto" w:fill="auto"/>
            <w:tcMar>
              <w:top w:w="29" w:type="dxa"/>
              <w:left w:w="115" w:type="dxa"/>
              <w:bottom w:w="29" w:type="dxa"/>
              <w:right w:w="115" w:type="dxa"/>
            </w:tcMar>
          </w:tcPr>
          <w:p w:rsidR="00A144EF" w:rsidRPr="00B943A9" w:rsidRDefault="00A144EF" w:rsidP="00A144EF">
            <w:pPr>
              <w:spacing w:after="0" w:line="240" w:lineRule="auto"/>
              <w:jc w:val="both"/>
              <w:rPr>
                <w:rFonts w:ascii="Times New Roman" w:hAnsi="Times New Roman"/>
                <w:sz w:val="24"/>
                <w:szCs w:val="24"/>
              </w:rPr>
            </w:pPr>
            <w:r>
              <w:rPr>
                <w:rFonts w:ascii="Times New Roman" w:hAnsi="Times New Roman"/>
                <w:sz w:val="24"/>
                <w:szCs w:val="24"/>
              </w:rPr>
              <w:t xml:space="preserve">Kovo 9 d. </w:t>
            </w:r>
          </w:p>
        </w:tc>
        <w:tc>
          <w:tcPr>
            <w:tcW w:w="9192" w:type="dxa"/>
            <w:shd w:val="clear" w:color="auto" w:fill="auto"/>
            <w:tcMar>
              <w:top w:w="29" w:type="dxa"/>
              <w:left w:w="115" w:type="dxa"/>
              <w:bottom w:w="29" w:type="dxa"/>
              <w:right w:w="115" w:type="dxa"/>
            </w:tcMar>
          </w:tcPr>
          <w:p w:rsidR="00A144EF" w:rsidRPr="00B943A9" w:rsidRDefault="00A144EF" w:rsidP="00C8399E">
            <w:pPr>
              <w:spacing w:after="0" w:line="240" w:lineRule="auto"/>
              <w:jc w:val="both"/>
              <w:rPr>
                <w:rFonts w:ascii="Times New Roman" w:hAnsi="Times New Roman"/>
                <w:sz w:val="24"/>
                <w:szCs w:val="24"/>
              </w:rPr>
            </w:pPr>
            <w:r w:rsidRPr="005F40DC">
              <w:rPr>
                <w:rFonts w:ascii="Times New Roman" w:hAnsi="Times New Roman"/>
                <w:sz w:val="24"/>
              </w:rPr>
              <w:t xml:space="preserve">Šių metų vasarį, palyginti su sausiu, Latvijos vartotojų kainos padidėjo 0,6 procento, o metinė infliacija - 2023 m. vasario mėn. palyginti su 2022 m. vasario mėn. sumažėjo iki 20,3 procento </w:t>
            </w:r>
            <w:r w:rsidRPr="005F40DC">
              <w:rPr>
                <w:rFonts w:ascii="Times New Roman" w:hAnsi="Times New Roman"/>
                <w:sz w:val="24"/>
              </w:rPr>
              <w:lastRenderedPageBreak/>
              <w:t xml:space="preserve">nuo 21,5 procento prieš mėnesį, rodo Centrinės statistikos </w:t>
            </w:r>
            <w:r w:rsidR="00C8399E">
              <w:rPr>
                <w:rFonts w:ascii="Times New Roman" w:hAnsi="Times New Roman"/>
                <w:sz w:val="24"/>
              </w:rPr>
              <w:t>tarnybo</w:t>
            </w:r>
            <w:r w:rsidRPr="005F40DC">
              <w:rPr>
                <w:rFonts w:ascii="Times New Roman" w:hAnsi="Times New Roman"/>
                <w:sz w:val="24"/>
              </w:rPr>
              <w:t>s (CSB) paskelbti duomenys.</w:t>
            </w:r>
          </w:p>
        </w:tc>
        <w:tc>
          <w:tcPr>
            <w:tcW w:w="2411" w:type="dxa"/>
            <w:shd w:val="clear" w:color="auto" w:fill="auto"/>
            <w:tcMar>
              <w:top w:w="29" w:type="dxa"/>
              <w:left w:w="115" w:type="dxa"/>
              <w:bottom w:w="29" w:type="dxa"/>
              <w:right w:w="115" w:type="dxa"/>
            </w:tcMar>
          </w:tcPr>
          <w:p w:rsidR="00A144EF" w:rsidRPr="00B943A9" w:rsidRDefault="00A144EF" w:rsidP="00A144EF">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rsidR="00A144EF" w:rsidRPr="00B943A9" w:rsidRDefault="00A144EF" w:rsidP="00A144EF">
            <w:pPr>
              <w:spacing w:after="0" w:line="240" w:lineRule="auto"/>
              <w:jc w:val="both"/>
              <w:rPr>
                <w:rFonts w:ascii="Times New Roman" w:hAnsi="Times New Roman"/>
                <w:sz w:val="24"/>
                <w:szCs w:val="24"/>
              </w:rPr>
            </w:pPr>
          </w:p>
        </w:tc>
      </w:tr>
      <w:tr w:rsidR="00A144EF" w:rsidRPr="00B943A9" w:rsidTr="004317FE">
        <w:trPr>
          <w:trHeight w:val="216"/>
        </w:trPr>
        <w:tc>
          <w:tcPr>
            <w:tcW w:w="1575" w:type="dxa"/>
            <w:gridSpan w:val="2"/>
            <w:shd w:val="clear" w:color="auto" w:fill="auto"/>
            <w:tcMar>
              <w:top w:w="29" w:type="dxa"/>
              <w:left w:w="115" w:type="dxa"/>
              <w:bottom w:w="29" w:type="dxa"/>
              <w:right w:w="115" w:type="dxa"/>
            </w:tcMar>
          </w:tcPr>
          <w:p w:rsidR="00A144EF" w:rsidRPr="00B943A9" w:rsidRDefault="00A144EF" w:rsidP="00A144EF">
            <w:pPr>
              <w:spacing w:after="0" w:line="240" w:lineRule="auto"/>
              <w:jc w:val="both"/>
              <w:rPr>
                <w:rFonts w:ascii="Times New Roman" w:hAnsi="Times New Roman"/>
                <w:sz w:val="24"/>
                <w:szCs w:val="24"/>
              </w:rPr>
            </w:pPr>
            <w:r>
              <w:rPr>
                <w:rFonts w:ascii="Times New Roman" w:hAnsi="Times New Roman"/>
                <w:sz w:val="24"/>
                <w:szCs w:val="24"/>
              </w:rPr>
              <w:t xml:space="preserve">Kovo 13 d. </w:t>
            </w:r>
          </w:p>
        </w:tc>
        <w:tc>
          <w:tcPr>
            <w:tcW w:w="9192" w:type="dxa"/>
            <w:shd w:val="clear" w:color="auto" w:fill="auto"/>
            <w:tcMar>
              <w:top w:w="29" w:type="dxa"/>
              <w:left w:w="115" w:type="dxa"/>
              <w:bottom w:w="29" w:type="dxa"/>
              <w:right w:w="115" w:type="dxa"/>
            </w:tcMar>
          </w:tcPr>
          <w:p w:rsidR="00A144EF" w:rsidRPr="00B128AA" w:rsidRDefault="00A144EF" w:rsidP="00A144EF">
            <w:pPr>
              <w:spacing w:after="0" w:line="240" w:lineRule="auto"/>
              <w:jc w:val="both"/>
              <w:rPr>
                <w:rFonts w:ascii="Times New Roman" w:hAnsi="Times New Roman"/>
                <w:sz w:val="24"/>
              </w:rPr>
            </w:pPr>
            <w:r w:rsidRPr="00B128AA">
              <w:rPr>
                <w:rFonts w:ascii="Times New Roman" w:hAnsi="Times New Roman"/>
                <w:sz w:val="24"/>
              </w:rPr>
              <w:t xml:space="preserve">Latvijos bendrasis vidaus produktas šiais metais bus toks pat kaip 2022 m., o 2024 m. Latvijos BVP padidės 2 procentais, teigiama atnaujintose Finansų ministerijos makroekonominėse prognozėse. Palyginti su ankstesnėmis prognozėmis, paskelbtomis 2022 m. gruodžio pradžioje, 2023 m. BVP augimo prognozė padidinta 0,6 procentinio punkto, o 2024 m. BVP augimo prognozė dabar yra 1 procentiniu punktu mažesnė nei pernai gruodį. Kitiems dvejiems metams - 2025 ir 2026 m. - prognozuojamas atitinkamai 2,9 ir 2,8 proc. ekonomikos augimas. </w:t>
            </w:r>
          </w:p>
          <w:p w:rsidR="00A144EF" w:rsidRPr="00B943A9" w:rsidRDefault="00A144EF" w:rsidP="00A144EF">
            <w:pPr>
              <w:spacing w:after="0" w:line="240" w:lineRule="auto"/>
              <w:jc w:val="both"/>
              <w:rPr>
                <w:rFonts w:ascii="Times New Roman" w:hAnsi="Times New Roman"/>
                <w:sz w:val="24"/>
                <w:szCs w:val="24"/>
              </w:rPr>
            </w:pPr>
          </w:p>
        </w:tc>
        <w:tc>
          <w:tcPr>
            <w:tcW w:w="2411" w:type="dxa"/>
            <w:shd w:val="clear" w:color="auto" w:fill="auto"/>
            <w:tcMar>
              <w:top w:w="29" w:type="dxa"/>
              <w:left w:w="115" w:type="dxa"/>
              <w:bottom w:w="29" w:type="dxa"/>
              <w:right w:w="115" w:type="dxa"/>
            </w:tcMar>
          </w:tcPr>
          <w:p w:rsidR="00A144EF" w:rsidRPr="00B943A9" w:rsidRDefault="00A144EF" w:rsidP="00A144EF">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rsidR="00A144EF" w:rsidRPr="00B943A9" w:rsidRDefault="00A144EF" w:rsidP="00A144EF">
            <w:pPr>
              <w:spacing w:after="0" w:line="240" w:lineRule="auto"/>
              <w:jc w:val="both"/>
              <w:rPr>
                <w:rFonts w:ascii="Times New Roman" w:hAnsi="Times New Roman"/>
                <w:sz w:val="24"/>
                <w:szCs w:val="24"/>
              </w:rPr>
            </w:pPr>
          </w:p>
        </w:tc>
      </w:tr>
      <w:tr w:rsidR="00A144EF" w:rsidRPr="00B943A9" w:rsidTr="004317FE">
        <w:trPr>
          <w:trHeight w:val="216"/>
        </w:trPr>
        <w:tc>
          <w:tcPr>
            <w:tcW w:w="1575" w:type="dxa"/>
            <w:gridSpan w:val="2"/>
            <w:shd w:val="clear" w:color="auto" w:fill="auto"/>
            <w:tcMar>
              <w:top w:w="29" w:type="dxa"/>
              <w:left w:w="115" w:type="dxa"/>
              <w:bottom w:w="29" w:type="dxa"/>
              <w:right w:w="115" w:type="dxa"/>
            </w:tcMar>
          </w:tcPr>
          <w:p w:rsidR="00A144EF" w:rsidRPr="00B943A9" w:rsidRDefault="00FF7E30" w:rsidP="00A144EF">
            <w:pPr>
              <w:spacing w:after="0" w:line="240" w:lineRule="auto"/>
              <w:jc w:val="both"/>
              <w:rPr>
                <w:rFonts w:ascii="Times New Roman" w:hAnsi="Times New Roman"/>
                <w:sz w:val="24"/>
                <w:szCs w:val="24"/>
              </w:rPr>
            </w:pPr>
            <w:r>
              <w:rPr>
                <w:rFonts w:ascii="Times New Roman" w:hAnsi="Times New Roman"/>
                <w:sz w:val="24"/>
                <w:szCs w:val="24"/>
              </w:rPr>
              <w:t xml:space="preserve">Kovo 23 d. </w:t>
            </w:r>
          </w:p>
        </w:tc>
        <w:tc>
          <w:tcPr>
            <w:tcW w:w="9192" w:type="dxa"/>
            <w:shd w:val="clear" w:color="auto" w:fill="auto"/>
            <w:tcMar>
              <w:top w:w="29" w:type="dxa"/>
              <w:left w:w="115" w:type="dxa"/>
              <w:bottom w:w="29" w:type="dxa"/>
              <w:right w:w="115" w:type="dxa"/>
            </w:tcMar>
          </w:tcPr>
          <w:p w:rsidR="00A144EF" w:rsidRPr="00C8399E" w:rsidRDefault="00FF7E30" w:rsidP="00C8399E">
            <w:pPr>
              <w:spacing w:after="0" w:line="240" w:lineRule="auto"/>
              <w:jc w:val="both"/>
              <w:rPr>
                <w:rFonts w:ascii="Times New Roman" w:hAnsi="Times New Roman"/>
                <w:sz w:val="24"/>
              </w:rPr>
            </w:pPr>
            <w:r w:rsidRPr="00003396">
              <w:rPr>
                <w:rFonts w:ascii="Times New Roman" w:hAnsi="Times New Roman"/>
                <w:sz w:val="24"/>
              </w:rPr>
              <w:t xml:space="preserve">Praėjusiais metais Latvijoje 7,8 proc. gyventojų patyrė didelį materialinį ir socialinį nepriteklių, t. y. 2,5 procentinio punkto daugiau nei 2021 m., kai šalies materialinio ir socialinio nepritekliaus lygis 7 buvo 5,3 proc. gyventojų, trečiadienį pranešė Centrinė statistikos </w:t>
            </w:r>
            <w:r w:rsidR="00C8399E">
              <w:rPr>
                <w:rFonts w:ascii="Times New Roman" w:hAnsi="Times New Roman"/>
                <w:sz w:val="24"/>
              </w:rPr>
              <w:t xml:space="preserve">tarnyba </w:t>
            </w:r>
            <w:r w:rsidRPr="00003396">
              <w:rPr>
                <w:rFonts w:ascii="Times New Roman" w:hAnsi="Times New Roman"/>
                <w:sz w:val="24"/>
              </w:rPr>
              <w:t xml:space="preserve">(CSB). 2022 m. didelio materialinio ir socialinio nepritekliaus lygis tarp mažiausias pajamas gaunančių gyventojų buvo 22,3 proc. ir, palyginti su praėjusiais metais, padidėjo 6,1 procentinio punkto. Tarp didžiausias pajamas gaunančių gyventojų  materialinio ir socialinio nepritekliaus lygis padidėjo nuo 0,2 proc. 2021 m. iki 1,1 proc. pernai. </w:t>
            </w:r>
          </w:p>
        </w:tc>
        <w:tc>
          <w:tcPr>
            <w:tcW w:w="2411" w:type="dxa"/>
            <w:shd w:val="clear" w:color="auto" w:fill="auto"/>
            <w:tcMar>
              <w:top w:w="29" w:type="dxa"/>
              <w:left w:w="115" w:type="dxa"/>
              <w:bottom w:w="29" w:type="dxa"/>
              <w:right w:w="115" w:type="dxa"/>
            </w:tcMar>
          </w:tcPr>
          <w:p w:rsidR="00A144EF" w:rsidRPr="00B943A9" w:rsidRDefault="00A144EF" w:rsidP="00A144EF">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rsidR="00A144EF" w:rsidRPr="00B943A9" w:rsidRDefault="00A144EF" w:rsidP="00A144EF">
            <w:pPr>
              <w:spacing w:after="0" w:line="240" w:lineRule="auto"/>
              <w:jc w:val="both"/>
              <w:rPr>
                <w:rFonts w:ascii="Times New Roman" w:hAnsi="Times New Roman"/>
                <w:sz w:val="24"/>
                <w:szCs w:val="24"/>
              </w:rPr>
            </w:pPr>
          </w:p>
        </w:tc>
      </w:tr>
      <w:tr w:rsidR="00FF7E30" w:rsidRPr="00B943A9" w:rsidTr="004317FE">
        <w:trPr>
          <w:trHeight w:val="216"/>
        </w:trPr>
        <w:tc>
          <w:tcPr>
            <w:tcW w:w="1575" w:type="dxa"/>
            <w:gridSpan w:val="2"/>
            <w:shd w:val="clear" w:color="auto" w:fill="auto"/>
            <w:tcMar>
              <w:top w:w="29" w:type="dxa"/>
              <w:left w:w="115" w:type="dxa"/>
              <w:bottom w:w="29" w:type="dxa"/>
              <w:right w:w="115" w:type="dxa"/>
            </w:tcMar>
          </w:tcPr>
          <w:p w:rsidR="00FF7E30" w:rsidRDefault="00FF7E30" w:rsidP="00A144EF">
            <w:pPr>
              <w:spacing w:after="0" w:line="240" w:lineRule="auto"/>
              <w:jc w:val="both"/>
              <w:rPr>
                <w:rFonts w:ascii="Times New Roman" w:hAnsi="Times New Roman"/>
                <w:sz w:val="24"/>
                <w:szCs w:val="24"/>
              </w:rPr>
            </w:pPr>
            <w:r>
              <w:rPr>
                <w:rFonts w:ascii="Times New Roman" w:hAnsi="Times New Roman"/>
                <w:sz w:val="24"/>
                <w:szCs w:val="24"/>
              </w:rPr>
              <w:t xml:space="preserve">Kovo 28 d. </w:t>
            </w:r>
          </w:p>
        </w:tc>
        <w:tc>
          <w:tcPr>
            <w:tcW w:w="9192" w:type="dxa"/>
            <w:shd w:val="clear" w:color="auto" w:fill="auto"/>
            <w:tcMar>
              <w:top w:w="29" w:type="dxa"/>
              <w:left w:w="115" w:type="dxa"/>
              <w:bottom w:w="29" w:type="dxa"/>
              <w:right w:w="115" w:type="dxa"/>
            </w:tcMar>
          </w:tcPr>
          <w:p w:rsidR="00FF7E30" w:rsidRPr="005950D7" w:rsidRDefault="00FF7E30" w:rsidP="00FF7E30">
            <w:pPr>
              <w:spacing w:after="0" w:line="240" w:lineRule="auto"/>
              <w:jc w:val="both"/>
              <w:rPr>
                <w:rFonts w:ascii="Times New Roman" w:hAnsi="Times New Roman"/>
                <w:sz w:val="24"/>
              </w:rPr>
            </w:pPr>
            <w:r w:rsidRPr="005950D7">
              <w:rPr>
                <w:rFonts w:ascii="Times New Roman" w:hAnsi="Times New Roman"/>
                <w:sz w:val="24"/>
              </w:rPr>
              <w:t>Latvijos pinigų finansinės institucijos (daugiausia bankai) per pirmuosius du šių metų mėnesius pranešė apie 87,1 mln. eurų pelną, kuris, palyginti su tuo pačiu laikotarpiu prieš metus, padidėjo 57,2 procento, pranešė Latvijos bankas. Vasario mėnesį pinigų finansų įstaigos uždirbo 35,2 mln. eurų pelno. 2023 m. vasario 28 d. Latvijos pinigų finansinių institucijų bendras turtas buvo 25,924 mlrd. eurų, t. y. 5,8 proc. arba 1,432 mlrd. eurų didesnis negu 2022 m. vasario pabaigoje, kai jų bendras turtas buvo vertas 24,492 mlrd. eurų. Latvijos pinigų finansinių institucijų rezidentams išduotų paskolų likutis vasario pabaigoje buvo 13,246 mlrd. eurų, t. y. 6,8 proc. didesnis negu prieš metus. Iš jų 13,163 mlrd. eurų sudarė rezidentams išduotos paskolos eurais, t. y. 7 % daugiau negu per metus, ir 83,2 mln. eurų vertės paskolos užsienio valiuta, t. y. 25 % mažiau. Rezidentų indėlių likutis vasario pabaigoje buvo 17,818 mlrd. eurų, t. y. 8 proc. didesnis negu pernai tuo pačiu laikotarpiu, iš jų 16,48 mlrd. eurų indėlių eurais, kurie, palyginti su 2022 m. vasario pabaiga, padidėjo 7,1 proc. ir 1,338 mlrd. eurų indėlių užsienio valiutomis, t. y. 20,7 proc. daugiau negu pernai tuo pačiu laikotarpiu.</w:t>
            </w:r>
          </w:p>
          <w:p w:rsidR="00FF7E30" w:rsidRPr="005950D7" w:rsidRDefault="00FF7E30" w:rsidP="00FF7E30">
            <w:pPr>
              <w:spacing w:after="0" w:line="240" w:lineRule="auto"/>
              <w:jc w:val="both"/>
              <w:rPr>
                <w:rFonts w:ascii="Times New Roman" w:hAnsi="Times New Roman"/>
                <w:sz w:val="24"/>
              </w:rPr>
            </w:pPr>
          </w:p>
          <w:p w:rsidR="00FF7E30" w:rsidRPr="00003396" w:rsidRDefault="00FF7E30" w:rsidP="00FF7E30">
            <w:pPr>
              <w:spacing w:after="0" w:line="240" w:lineRule="auto"/>
              <w:jc w:val="both"/>
              <w:rPr>
                <w:rFonts w:ascii="Times New Roman" w:hAnsi="Times New Roman"/>
                <w:sz w:val="24"/>
              </w:rPr>
            </w:pPr>
          </w:p>
        </w:tc>
        <w:tc>
          <w:tcPr>
            <w:tcW w:w="2411" w:type="dxa"/>
            <w:shd w:val="clear" w:color="auto" w:fill="auto"/>
            <w:tcMar>
              <w:top w:w="29" w:type="dxa"/>
              <w:left w:w="115" w:type="dxa"/>
              <w:bottom w:w="29" w:type="dxa"/>
              <w:right w:w="115" w:type="dxa"/>
            </w:tcMar>
          </w:tcPr>
          <w:p w:rsidR="00FF7E30" w:rsidRPr="00B943A9" w:rsidRDefault="00FF7E30" w:rsidP="00A144EF">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rsidR="00FF7E30" w:rsidRPr="00B943A9" w:rsidRDefault="00FF7E30" w:rsidP="00A144EF">
            <w:pPr>
              <w:spacing w:after="0" w:line="240" w:lineRule="auto"/>
              <w:jc w:val="both"/>
              <w:rPr>
                <w:rFonts w:ascii="Times New Roman" w:hAnsi="Times New Roman"/>
                <w:sz w:val="24"/>
                <w:szCs w:val="24"/>
              </w:rPr>
            </w:pPr>
          </w:p>
        </w:tc>
      </w:tr>
      <w:tr w:rsidR="00FF7E30" w:rsidRPr="00B943A9" w:rsidTr="004317FE">
        <w:trPr>
          <w:trHeight w:val="216"/>
        </w:trPr>
        <w:tc>
          <w:tcPr>
            <w:tcW w:w="1575" w:type="dxa"/>
            <w:gridSpan w:val="2"/>
            <w:shd w:val="clear" w:color="auto" w:fill="auto"/>
            <w:tcMar>
              <w:top w:w="29" w:type="dxa"/>
              <w:left w:w="115" w:type="dxa"/>
              <w:bottom w:w="29" w:type="dxa"/>
              <w:right w:w="115" w:type="dxa"/>
            </w:tcMar>
          </w:tcPr>
          <w:p w:rsidR="00FF7E30" w:rsidRDefault="008C1254" w:rsidP="00A144EF">
            <w:pPr>
              <w:spacing w:after="0" w:line="240" w:lineRule="auto"/>
              <w:jc w:val="both"/>
              <w:rPr>
                <w:rFonts w:ascii="Times New Roman" w:hAnsi="Times New Roman"/>
                <w:sz w:val="24"/>
                <w:szCs w:val="24"/>
              </w:rPr>
            </w:pPr>
            <w:r>
              <w:rPr>
                <w:rFonts w:ascii="Times New Roman" w:hAnsi="Times New Roman"/>
                <w:sz w:val="24"/>
                <w:szCs w:val="24"/>
              </w:rPr>
              <w:t xml:space="preserve">Kovo 29 d. </w:t>
            </w:r>
          </w:p>
        </w:tc>
        <w:tc>
          <w:tcPr>
            <w:tcW w:w="9192" w:type="dxa"/>
            <w:shd w:val="clear" w:color="auto" w:fill="auto"/>
            <w:tcMar>
              <w:top w:w="29" w:type="dxa"/>
              <w:left w:w="115" w:type="dxa"/>
              <w:bottom w:w="29" w:type="dxa"/>
              <w:right w:w="115" w:type="dxa"/>
            </w:tcMar>
          </w:tcPr>
          <w:p w:rsidR="008C1254" w:rsidRDefault="008C1254" w:rsidP="008C1254">
            <w:pPr>
              <w:spacing w:after="0" w:line="240" w:lineRule="auto"/>
              <w:jc w:val="both"/>
              <w:rPr>
                <w:rFonts w:ascii="Times New Roman" w:hAnsi="Times New Roman"/>
                <w:sz w:val="24"/>
              </w:rPr>
            </w:pPr>
            <w:r w:rsidRPr="005950D7">
              <w:rPr>
                <w:rFonts w:ascii="Times New Roman" w:hAnsi="Times New Roman"/>
                <w:sz w:val="24"/>
              </w:rPr>
              <w:t>Per pirmuosius du šių metų mėnesius surinkta 2,304 mlrd. eurų mokestinių pajamų, t. y. 141,5 mln. eurų arba 6,5 proc. daugiau nei planuota, pranešė Finansų ministerijos atstovai. Į valstybės biudžetą per pirmuosius du šių metų mėnesius surinkta 2,184 mlrd. eurų mokestinių pajamų - 149 mln. eurų arba 7,3 proc. daugiau nei planuota. Palyginti su praėjusių metų pirmaisiais dviem mėnesiais, įplaukos iš mokesčių į bendrąjį biudžetą padidėjo 270,9 mln. eurų, arba 14,2 proc. Iš viso 2023 m. planuojama surinkti 13,058 mlrd. eurų mokesčių.</w:t>
            </w:r>
          </w:p>
          <w:p w:rsidR="008C1254" w:rsidRPr="005950D7" w:rsidRDefault="008C1254" w:rsidP="008C1254">
            <w:pPr>
              <w:spacing w:after="0" w:line="240" w:lineRule="auto"/>
              <w:jc w:val="both"/>
              <w:rPr>
                <w:rFonts w:ascii="Times New Roman" w:hAnsi="Times New Roman"/>
                <w:sz w:val="24"/>
              </w:rPr>
            </w:pPr>
            <w:r>
              <w:rPr>
                <w:rFonts w:ascii="Times New Roman" w:hAnsi="Times New Roman"/>
                <w:sz w:val="24"/>
              </w:rPr>
              <w:t xml:space="preserve">Tačiau </w:t>
            </w:r>
            <w:r w:rsidRPr="005950D7">
              <w:rPr>
                <w:rFonts w:ascii="Times New Roman" w:hAnsi="Times New Roman"/>
                <w:sz w:val="24"/>
              </w:rPr>
              <w:t xml:space="preserve">Latvijoje surenkamų mokesčių sumos nepakanka visiems poreikiams finansuoti, todėl rengiant 2024-2027 m. mokesčių politikos gairių projektą bus diskutuojama dėl visų 14 mokesčių, </w:t>
            </w:r>
            <w:r w:rsidR="00C8399E">
              <w:rPr>
                <w:rFonts w:ascii="Times New Roman" w:hAnsi="Times New Roman"/>
                <w:sz w:val="24"/>
              </w:rPr>
              <w:t>kalbėdamas su žurnalistais teigė</w:t>
            </w:r>
            <w:r w:rsidRPr="005950D7">
              <w:rPr>
                <w:rFonts w:ascii="Times New Roman" w:hAnsi="Times New Roman"/>
                <w:sz w:val="24"/>
              </w:rPr>
              <w:t xml:space="preserve"> finansų ministras </w:t>
            </w:r>
            <w:proofErr w:type="spellStart"/>
            <w:r w:rsidR="00C8399E">
              <w:rPr>
                <w:rFonts w:ascii="Times New Roman" w:hAnsi="Times New Roman"/>
                <w:sz w:val="24"/>
              </w:rPr>
              <w:t>A.Ašeradens</w:t>
            </w:r>
            <w:proofErr w:type="spellEnd"/>
            <w:r w:rsidRPr="005950D7">
              <w:rPr>
                <w:rFonts w:ascii="Times New Roman" w:hAnsi="Times New Roman"/>
                <w:sz w:val="24"/>
              </w:rPr>
              <w:t>. Ministras paaiškino, kad bus iš naujo vertinami visi esami mokesčiai ir dėl to bus konsultuojamasi kartu su socialiniais partneriais i</w:t>
            </w:r>
            <w:r w:rsidR="00C8399E">
              <w:rPr>
                <w:rFonts w:ascii="Times New Roman" w:hAnsi="Times New Roman"/>
                <w:sz w:val="24"/>
              </w:rPr>
              <w:t xml:space="preserve">r politiniais partneriais. A. </w:t>
            </w:r>
            <w:proofErr w:type="spellStart"/>
            <w:r w:rsidR="00C8399E">
              <w:rPr>
                <w:rFonts w:ascii="Times New Roman" w:hAnsi="Times New Roman"/>
                <w:sz w:val="24"/>
              </w:rPr>
              <w:t>Aš</w:t>
            </w:r>
            <w:r w:rsidRPr="005950D7">
              <w:rPr>
                <w:rFonts w:ascii="Times New Roman" w:hAnsi="Times New Roman"/>
                <w:sz w:val="24"/>
              </w:rPr>
              <w:t>eradensas</w:t>
            </w:r>
            <w:proofErr w:type="spellEnd"/>
            <w:r w:rsidRPr="005950D7">
              <w:rPr>
                <w:rFonts w:ascii="Times New Roman" w:hAnsi="Times New Roman"/>
                <w:sz w:val="24"/>
              </w:rPr>
              <w:t xml:space="preserve"> paaiškino, kad koalicijos partneriai ir socialiniai partneriai akcentuoja darbo jėgos mokesčius, o Naujoji vienybė</w:t>
            </w:r>
            <w:r w:rsidR="00C8399E">
              <w:rPr>
                <w:rFonts w:ascii="Times New Roman" w:hAnsi="Times New Roman"/>
                <w:sz w:val="24"/>
              </w:rPr>
              <w:t xml:space="preserve"> partija </w:t>
            </w:r>
            <w:r w:rsidRPr="005950D7">
              <w:rPr>
                <w:rFonts w:ascii="Times New Roman" w:hAnsi="Times New Roman"/>
                <w:sz w:val="24"/>
              </w:rPr>
              <w:t xml:space="preserve"> diskusijose pasiūlys tvarų sveikatos priežiūros finansavimo modelį.</w:t>
            </w:r>
          </w:p>
          <w:p w:rsidR="00FF7E30" w:rsidRDefault="008C1254" w:rsidP="005F409F">
            <w:pPr>
              <w:spacing w:after="0" w:line="240" w:lineRule="auto"/>
              <w:jc w:val="both"/>
              <w:rPr>
                <w:rFonts w:ascii="Times New Roman" w:hAnsi="Times New Roman"/>
                <w:sz w:val="24"/>
              </w:rPr>
            </w:pPr>
            <w:r w:rsidRPr="005950D7">
              <w:rPr>
                <w:rFonts w:ascii="Times New Roman" w:hAnsi="Times New Roman"/>
                <w:sz w:val="24"/>
              </w:rPr>
              <w:t xml:space="preserve">Finansų ministerija užsibrėžė tikslą šiais metais surinkti 500 mln. eurų parduodama vyriausybės taupymo lakštus vidaus rinkoje, </w:t>
            </w:r>
            <w:r w:rsidR="00C8399E">
              <w:rPr>
                <w:rFonts w:ascii="Times New Roman" w:hAnsi="Times New Roman"/>
                <w:sz w:val="24"/>
              </w:rPr>
              <w:t>pranešė</w:t>
            </w:r>
            <w:r w:rsidRPr="005950D7">
              <w:rPr>
                <w:rFonts w:ascii="Times New Roman" w:hAnsi="Times New Roman"/>
                <w:sz w:val="24"/>
              </w:rPr>
              <w:t xml:space="preserve"> finansų ministras. Ministras informavo, kad 2023 m. kovo pabaigoje gyventojai įsigijo Vyriausybės obligacijų už 37,61 mln. eurų, palyginti su 14,74 mln. eurų 2022 m. pabaigoje ir 5,49 mln. eurų 2021 m. pabaigoje. "Šiais metais Latvijai reikia </w:t>
            </w:r>
            <w:proofErr w:type="spellStart"/>
            <w:r w:rsidRPr="005950D7">
              <w:rPr>
                <w:rFonts w:ascii="Times New Roman" w:hAnsi="Times New Roman"/>
                <w:sz w:val="24"/>
              </w:rPr>
              <w:t>refinansuoti</w:t>
            </w:r>
            <w:proofErr w:type="spellEnd"/>
            <w:r w:rsidRPr="005950D7">
              <w:rPr>
                <w:rFonts w:ascii="Times New Roman" w:hAnsi="Times New Roman"/>
                <w:sz w:val="24"/>
              </w:rPr>
              <w:t xml:space="preserve"> 2 mlrd. eurų vertės valstybės skolos, ir būtų gerai ketvirtadalį šios sumos - 500 mln. eurų - </w:t>
            </w:r>
            <w:proofErr w:type="spellStart"/>
            <w:r w:rsidRPr="005950D7">
              <w:rPr>
                <w:rFonts w:ascii="Times New Roman" w:hAnsi="Times New Roman"/>
                <w:sz w:val="24"/>
              </w:rPr>
              <w:t>refinansuoti</w:t>
            </w:r>
            <w:proofErr w:type="spellEnd"/>
            <w:r w:rsidRPr="005950D7">
              <w:rPr>
                <w:rFonts w:ascii="Times New Roman" w:hAnsi="Times New Roman"/>
                <w:sz w:val="24"/>
              </w:rPr>
              <w:t xml:space="preserve"> vidaus rinkoje", - </w:t>
            </w:r>
            <w:r w:rsidR="00C8399E">
              <w:rPr>
                <w:rFonts w:ascii="Times New Roman" w:hAnsi="Times New Roman"/>
                <w:sz w:val="24"/>
              </w:rPr>
              <w:t xml:space="preserve">teigė A. </w:t>
            </w:r>
            <w:proofErr w:type="spellStart"/>
            <w:r w:rsidR="00C8399E">
              <w:rPr>
                <w:rFonts w:ascii="Times New Roman" w:hAnsi="Times New Roman"/>
                <w:sz w:val="24"/>
              </w:rPr>
              <w:t>Aš</w:t>
            </w:r>
            <w:r w:rsidRPr="005950D7">
              <w:rPr>
                <w:rFonts w:ascii="Times New Roman" w:hAnsi="Times New Roman"/>
                <w:sz w:val="24"/>
              </w:rPr>
              <w:t>eradensas</w:t>
            </w:r>
            <w:proofErr w:type="spellEnd"/>
            <w:r w:rsidRPr="005950D7">
              <w:rPr>
                <w:rFonts w:ascii="Times New Roman" w:hAnsi="Times New Roman"/>
                <w:sz w:val="24"/>
              </w:rPr>
              <w:t>. Ministras nurodė, kad gyventojų indėliai bankuose siekia 10 mlrd. eurų, o investuoti 500 mln. eurų į vyriausybės obligacijas su garantuotu pelnu nėra nerealus tikslas.</w:t>
            </w:r>
          </w:p>
          <w:p w:rsidR="005F409F" w:rsidRPr="00003396" w:rsidRDefault="005F409F" w:rsidP="005F409F">
            <w:pPr>
              <w:spacing w:after="0" w:line="240" w:lineRule="auto"/>
              <w:jc w:val="both"/>
              <w:rPr>
                <w:rFonts w:ascii="Times New Roman" w:hAnsi="Times New Roman"/>
                <w:sz w:val="24"/>
              </w:rPr>
            </w:pPr>
          </w:p>
        </w:tc>
        <w:tc>
          <w:tcPr>
            <w:tcW w:w="2411" w:type="dxa"/>
            <w:shd w:val="clear" w:color="auto" w:fill="auto"/>
            <w:tcMar>
              <w:top w:w="29" w:type="dxa"/>
              <w:left w:w="115" w:type="dxa"/>
              <w:bottom w:w="29" w:type="dxa"/>
              <w:right w:w="115" w:type="dxa"/>
            </w:tcMar>
          </w:tcPr>
          <w:p w:rsidR="00FF7E30" w:rsidRPr="00B943A9" w:rsidRDefault="008C1254" w:rsidP="00A144EF">
            <w:pPr>
              <w:spacing w:after="0" w:line="240" w:lineRule="auto"/>
              <w:jc w:val="both"/>
              <w:rPr>
                <w:rFonts w:ascii="Times New Roman" w:hAnsi="Times New Roman"/>
                <w:sz w:val="24"/>
                <w:szCs w:val="24"/>
              </w:rPr>
            </w:pPr>
            <w:hyperlink r:id="rId10" w:history="1">
              <w:r w:rsidRPr="005C1324">
                <w:rPr>
                  <w:rStyle w:val="Hyperlink"/>
                  <w:rFonts w:ascii="Times New Roman" w:hAnsi="Times New Roman"/>
                  <w:sz w:val="24"/>
                  <w:szCs w:val="24"/>
                </w:rPr>
                <w:t>https://rus.delfi.lv/biznes/finances/nalogovye-postupleniya-za-dva-mesyaca-na-6-5-prevysili-plan.d?id=55380310</w:t>
              </w:r>
            </w:hyperlink>
            <w:r>
              <w:rPr>
                <w:rFonts w:ascii="Times New Roman" w:hAnsi="Times New Roman"/>
                <w:sz w:val="24"/>
                <w:szCs w:val="24"/>
              </w:rPr>
              <w:t xml:space="preserve"> </w:t>
            </w:r>
          </w:p>
        </w:tc>
        <w:tc>
          <w:tcPr>
            <w:tcW w:w="1641" w:type="dxa"/>
            <w:shd w:val="clear" w:color="auto" w:fill="auto"/>
            <w:tcMar>
              <w:top w:w="29" w:type="dxa"/>
              <w:left w:w="115" w:type="dxa"/>
              <w:bottom w:w="29" w:type="dxa"/>
              <w:right w:w="115" w:type="dxa"/>
            </w:tcMar>
          </w:tcPr>
          <w:p w:rsidR="00FF7E30" w:rsidRPr="00B943A9" w:rsidRDefault="00FF7E30" w:rsidP="00A144EF">
            <w:pPr>
              <w:spacing w:after="0" w:line="240" w:lineRule="auto"/>
              <w:jc w:val="both"/>
              <w:rPr>
                <w:rFonts w:ascii="Times New Roman" w:hAnsi="Times New Roman"/>
                <w:sz w:val="24"/>
                <w:szCs w:val="24"/>
              </w:rPr>
            </w:pPr>
          </w:p>
        </w:tc>
      </w:tr>
      <w:tr w:rsidR="005F409F" w:rsidRPr="00B943A9" w:rsidTr="004317FE">
        <w:trPr>
          <w:trHeight w:val="216"/>
        </w:trPr>
        <w:tc>
          <w:tcPr>
            <w:tcW w:w="1575" w:type="dxa"/>
            <w:gridSpan w:val="2"/>
            <w:shd w:val="clear" w:color="auto" w:fill="auto"/>
            <w:tcMar>
              <w:top w:w="29" w:type="dxa"/>
              <w:left w:w="115" w:type="dxa"/>
              <w:bottom w:w="29" w:type="dxa"/>
              <w:right w:w="115" w:type="dxa"/>
            </w:tcMar>
          </w:tcPr>
          <w:p w:rsidR="005F409F" w:rsidRDefault="005F409F" w:rsidP="00A144EF">
            <w:pPr>
              <w:spacing w:after="0" w:line="240" w:lineRule="auto"/>
              <w:jc w:val="both"/>
              <w:rPr>
                <w:rFonts w:ascii="Times New Roman" w:hAnsi="Times New Roman"/>
                <w:sz w:val="24"/>
                <w:szCs w:val="24"/>
              </w:rPr>
            </w:pPr>
            <w:r>
              <w:rPr>
                <w:rFonts w:ascii="Times New Roman" w:hAnsi="Times New Roman"/>
                <w:sz w:val="24"/>
                <w:szCs w:val="24"/>
              </w:rPr>
              <w:t xml:space="preserve">Kovo 31 d. </w:t>
            </w:r>
          </w:p>
        </w:tc>
        <w:tc>
          <w:tcPr>
            <w:tcW w:w="9192" w:type="dxa"/>
            <w:shd w:val="clear" w:color="auto" w:fill="auto"/>
            <w:tcMar>
              <w:top w:w="29" w:type="dxa"/>
              <w:left w:w="115" w:type="dxa"/>
              <w:bottom w:w="29" w:type="dxa"/>
              <w:right w:w="115" w:type="dxa"/>
            </w:tcMar>
          </w:tcPr>
          <w:p w:rsidR="005F409F" w:rsidRPr="005F409F" w:rsidRDefault="005F409F" w:rsidP="005F409F">
            <w:pPr>
              <w:spacing w:after="0" w:line="240" w:lineRule="auto"/>
              <w:jc w:val="both"/>
              <w:rPr>
                <w:rFonts w:ascii="Times New Roman" w:hAnsi="Times New Roman"/>
                <w:sz w:val="24"/>
              </w:rPr>
            </w:pPr>
            <w:r w:rsidRPr="005F409F">
              <w:rPr>
                <w:rFonts w:ascii="Times New Roman" w:hAnsi="Times New Roman"/>
                <w:sz w:val="24"/>
              </w:rPr>
              <w:t xml:space="preserve">Latvijos bankas padidino šių metų Latvijos vidaus produkto (BVP) augimo prognozę nuo anksčiau prognozuoto 0,3 proc. sumažėjimo iki 0,5 proc. padidėjimo, </w:t>
            </w:r>
          </w:p>
          <w:p w:rsidR="005F409F" w:rsidRPr="005F409F" w:rsidRDefault="005F409F" w:rsidP="005F409F">
            <w:pPr>
              <w:spacing w:after="0" w:line="240" w:lineRule="auto"/>
              <w:jc w:val="both"/>
              <w:rPr>
                <w:rFonts w:ascii="Times New Roman" w:hAnsi="Times New Roman"/>
                <w:sz w:val="24"/>
              </w:rPr>
            </w:pPr>
            <w:r>
              <w:rPr>
                <w:rFonts w:ascii="Times New Roman" w:hAnsi="Times New Roman"/>
                <w:sz w:val="24"/>
              </w:rPr>
              <w:t>Banko atstovų nuomone,</w:t>
            </w:r>
            <w:r w:rsidRPr="005F409F">
              <w:rPr>
                <w:rFonts w:ascii="Times New Roman" w:hAnsi="Times New Roman"/>
                <w:sz w:val="24"/>
              </w:rPr>
              <w:t xml:space="preserve"> Latvijos ekonomikos nuosmukis jau už nugaros, kartu pažymėdamas, kad šių metų BVP prognozių pakeitimai yra gana "kosmetiniai".</w:t>
            </w:r>
          </w:p>
          <w:p w:rsidR="005F409F" w:rsidRPr="005F409F" w:rsidRDefault="005F409F" w:rsidP="005F409F">
            <w:pPr>
              <w:spacing w:after="0" w:line="240" w:lineRule="auto"/>
              <w:jc w:val="both"/>
              <w:rPr>
                <w:rFonts w:ascii="Times New Roman" w:hAnsi="Times New Roman"/>
                <w:sz w:val="24"/>
              </w:rPr>
            </w:pPr>
          </w:p>
          <w:p w:rsidR="005F409F" w:rsidRDefault="005F409F" w:rsidP="005F409F">
            <w:pPr>
              <w:spacing w:after="0" w:line="240" w:lineRule="auto"/>
              <w:jc w:val="both"/>
              <w:rPr>
                <w:rFonts w:ascii="Times New Roman" w:hAnsi="Times New Roman"/>
                <w:sz w:val="24"/>
              </w:rPr>
            </w:pPr>
            <w:r w:rsidRPr="005F409F">
              <w:rPr>
                <w:rFonts w:ascii="Times New Roman" w:hAnsi="Times New Roman"/>
                <w:sz w:val="24"/>
              </w:rPr>
              <w:lastRenderedPageBreak/>
              <w:t>Latvijos bankas taip pat sumažino 2024 m. BVP augimo prognozę nuo anksčiau prognozuotų 4,4 proc. iki 3,7 procento, o 2025 m. ekonomikos augimo prognozė sumažinta nuo 3,5 proc. iki 3,3 procento.</w:t>
            </w:r>
          </w:p>
          <w:p w:rsidR="005F409F" w:rsidRPr="005950D7" w:rsidRDefault="005F409F" w:rsidP="005F409F">
            <w:pPr>
              <w:spacing w:after="0" w:line="240" w:lineRule="auto"/>
              <w:jc w:val="both"/>
              <w:rPr>
                <w:rFonts w:ascii="Times New Roman" w:hAnsi="Times New Roman"/>
                <w:sz w:val="24"/>
              </w:rPr>
            </w:pPr>
            <w:r>
              <w:rPr>
                <w:rFonts w:ascii="Times New Roman" w:hAnsi="Times New Roman"/>
                <w:sz w:val="24"/>
              </w:rPr>
              <w:t xml:space="preserve">Be to, </w:t>
            </w:r>
            <w:r w:rsidRPr="005F409F">
              <w:rPr>
                <w:rFonts w:ascii="Times New Roman" w:hAnsi="Times New Roman"/>
                <w:sz w:val="24"/>
              </w:rPr>
              <w:t>Latvijos bankas sumažino 2023 m. vidutinės metinės infliacijos progno</w:t>
            </w:r>
            <w:r>
              <w:rPr>
                <w:rFonts w:ascii="Times New Roman" w:hAnsi="Times New Roman"/>
                <w:sz w:val="24"/>
              </w:rPr>
              <w:t xml:space="preserve">zę nuo 10,9 proc. iki 10 proc. </w:t>
            </w:r>
            <w:r w:rsidRPr="005F409F">
              <w:rPr>
                <w:rFonts w:ascii="Times New Roman" w:hAnsi="Times New Roman"/>
                <w:sz w:val="24"/>
              </w:rPr>
              <w:t>Kita vertus, 2024 m. vidutinės metinės infliacijos prognozė sumažinta nuo 4,4 iki 2,7 procento, o 2025 m. vidutinės metinės infliacijos prognozė sumažinta nuo 3 iki 2,6 procento.</w:t>
            </w:r>
            <w:r>
              <w:rPr>
                <w:rFonts w:ascii="Times New Roman" w:hAnsi="Times New Roman"/>
                <w:sz w:val="24"/>
              </w:rPr>
              <w:t xml:space="preserve"> </w:t>
            </w:r>
          </w:p>
        </w:tc>
        <w:tc>
          <w:tcPr>
            <w:tcW w:w="2411" w:type="dxa"/>
            <w:shd w:val="clear" w:color="auto" w:fill="auto"/>
            <w:tcMar>
              <w:top w:w="29" w:type="dxa"/>
              <w:left w:w="115" w:type="dxa"/>
              <w:bottom w:w="29" w:type="dxa"/>
              <w:right w:w="115" w:type="dxa"/>
            </w:tcMar>
          </w:tcPr>
          <w:p w:rsidR="005F409F" w:rsidRDefault="005F409F" w:rsidP="00A144EF">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rsidR="005F409F" w:rsidRPr="00B943A9" w:rsidRDefault="005F409F" w:rsidP="00A144EF">
            <w:pPr>
              <w:spacing w:after="0" w:line="240" w:lineRule="auto"/>
              <w:jc w:val="both"/>
              <w:rPr>
                <w:rFonts w:ascii="Times New Roman" w:hAnsi="Times New Roman"/>
                <w:sz w:val="24"/>
                <w:szCs w:val="24"/>
              </w:rPr>
            </w:pPr>
          </w:p>
        </w:tc>
      </w:tr>
      <w:tr w:rsidR="00A144EF" w:rsidRPr="00B943A9" w:rsidTr="00B943A9">
        <w:trPr>
          <w:trHeight w:val="216"/>
        </w:trPr>
        <w:tc>
          <w:tcPr>
            <w:tcW w:w="14819" w:type="dxa"/>
            <w:gridSpan w:val="5"/>
            <w:shd w:val="clear" w:color="auto" w:fill="auto"/>
            <w:tcMar>
              <w:top w:w="29" w:type="dxa"/>
              <w:left w:w="115" w:type="dxa"/>
              <w:bottom w:w="29" w:type="dxa"/>
              <w:right w:w="115" w:type="dxa"/>
            </w:tcMar>
          </w:tcPr>
          <w:p w:rsidR="00A144EF" w:rsidRPr="00B943A9" w:rsidRDefault="00A144EF" w:rsidP="00A144EF">
            <w:pPr>
              <w:spacing w:after="0" w:line="240" w:lineRule="auto"/>
              <w:jc w:val="both"/>
              <w:rPr>
                <w:rFonts w:ascii="Times New Roman" w:hAnsi="Times New Roman"/>
                <w:b/>
                <w:sz w:val="24"/>
                <w:szCs w:val="24"/>
              </w:rPr>
            </w:pPr>
            <w:r w:rsidRPr="00B943A9">
              <w:rPr>
                <w:rFonts w:ascii="Times New Roman" w:hAnsi="Times New Roman"/>
                <w:b/>
                <w:sz w:val="24"/>
                <w:szCs w:val="24"/>
              </w:rPr>
              <w:t>Kita ekonominiam bendradarbiavimui aktuali informacija</w:t>
            </w:r>
          </w:p>
        </w:tc>
      </w:tr>
      <w:tr w:rsidR="00A144EF" w:rsidRPr="00B943A9" w:rsidTr="004317FE">
        <w:trPr>
          <w:trHeight w:val="216"/>
        </w:trPr>
        <w:tc>
          <w:tcPr>
            <w:tcW w:w="1575" w:type="dxa"/>
            <w:gridSpan w:val="2"/>
            <w:shd w:val="clear" w:color="auto" w:fill="auto"/>
            <w:tcMar>
              <w:top w:w="29" w:type="dxa"/>
              <w:left w:w="115" w:type="dxa"/>
              <w:bottom w:w="29" w:type="dxa"/>
              <w:right w:w="115" w:type="dxa"/>
            </w:tcMar>
          </w:tcPr>
          <w:p w:rsidR="00A144EF" w:rsidRPr="00B943A9" w:rsidRDefault="00A144EF" w:rsidP="00A144EF">
            <w:pPr>
              <w:spacing w:after="0" w:line="240" w:lineRule="auto"/>
              <w:jc w:val="both"/>
              <w:rPr>
                <w:rFonts w:ascii="Times New Roman" w:hAnsi="Times New Roman"/>
                <w:sz w:val="24"/>
                <w:szCs w:val="24"/>
              </w:rPr>
            </w:pPr>
          </w:p>
        </w:tc>
        <w:tc>
          <w:tcPr>
            <w:tcW w:w="9192" w:type="dxa"/>
            <w:shd w:val="clear" w:color="auto" w:fill="auto"/>
            <w:tcMar>
              <w:top w:w="29" w:type="dxa"/>
              <w:left w:w="115" w:type="dxa"/>
              <w:bottom w:w="29" w:type="dxa"/>
              <w:right w:w="115" w:type="dxa"/>
            </w:tcMar>
          </w:tcPr>
          <w:p w:rsidR="00A144EF" w:rsidRPr="00B943A9" w:rsidRDefault="00A144EF" w:rsidP="00A144EF">
            <w:pPr>
              <w:spacing w:after="0" w:line="240" w:lineRule="auto"/>
              <w:jc w:val="both"/>
              <w:rPr>
                <w:rFonts w:ascii="Times New Roman" w:hAnsi="Times New Roman"/>
                <w:b/>
                <w:sz w:val="24"/>
                <w:szCs w:val="24"/>
              </w:rPr>
            </w:pPr>
          </w:p>
        </w:tc>
        <w:tc>
          <w:tcPr>
            <w:tcW w:w="2411" w:type="dxa"/>
            <w:shd w:val="clear" w:color="auto" w:fill="auto"/>
            <w:tcMar>
              <w:top w:w="29" w:type="dxa"/>
              <w:left w:w="115" w:type="dxa"/>
              <w:bottom w:w="29" w:type="dxa"/>
              <w:right w:w="115" w:type="dxa"/>
            </w:tcMar>
          </w:tcPr>
          <w:p w:rsidR="00A144EF" w:rsidRPr="00B943A9" w:rsidRDefault="00A144EF" w:rsidP="00A144EF">
            <w:pPr>
              <w:spacing w:after="0" w:line="240" w:lineRule="auto"/>
              <w:jc w:val="both"/>
              <w:rPr>
                <w:rFonts w:ascii="Times New Roman" w:hAnsi="Times New Roman"/>
                <w:sz w:val="24"/>
                <w:szCs w:val="24"/>
              </w:rPr>
            </w:pPr>
          </w:p>
        </w:tc>
        <w:tc>
          <w:tcPr>
            <w:tcW w:w="1641" w:type="dxa"/>
            <w:shd w:val="clear" w:color="auto" w:fill="auto"/>
            <w:tcMar>
              <w:top w:w="29" w:type="dxa"/>
              <w:left w:w="115" w:type="dxa"/>
              <w:bottom w:w="29" w:type="dxa"/>
              <w:right w:w="115" w:type="dxa"/>
            </w:tcMar>
          </w:tcPr>
          <w:p w:rsidR="00A144EF" w:rsidRPr="00B943A9" w:rsidRDefault="00A144EF" w:rsidP="00A144EF">
            <w:pPr>
              <w:spacing w:after="0" w:line="240" w:lineRule="auto"/>
              <w:jc w:val="both"/>
              <w:rPr>
                <w:rFonts w:ascii="Times New Roman" w:hAnsi="Times New Roman"/>
                <w:sz w:val="24"/>
                <w:szCs w:val="24"/>
              </w:rPr>
            </w:pPr>
          </w:p>
        </w:tc>
      </w:tr>
    </w:tbl>
    <w:p w:rsidR="00A87864" w:rsidRPr="00B943A9" w:rsidRDefault="00A87864" w:rsidP="00E470DA">
      <w:pPr>
        <w:spacing w:after="0" w:line="240" w:lineRule="auto"/>
        <w:jc w:val="both"/>
        <w:rPr>
          <w:rFonts w:ascii="Times New Roman" w:hAnsi="Times New Roman"/>
          <w:sz w:val="24"/>
          <w:szCs w:val="24"/>
        </w:rPr>
      </w:pPr>
      <w:bookmarkStart w:id="0" w:name="_GoBack"/>
      <w:bookmarkEnd w:id="0"/>
    </w:p>
    <w:p w:rsidR="001139B1" w:rsidRPr="00B943A9" w:rsidRDefault="001139B1" w:rsidP="00E470DA">
      <w:pPr>
        <w:spacing w:after="0" w:line="240" w:lineRule="auto"/>
        <w:jc w:val="both"/>
        <w:rPr>
          <w:rFonts w:ascii="Times New Roman" w:hAnsi="Times New Roman"/>
          <w:bCs/>
          <w:i/>
          <w:color w:val="0D0D0D"/>
          <w:sz w:val="24"/>
          <w:szCs w:val="24"/>
          <w:lang w:eastAsia="lt-LT"/>
        </w:rPr>
      </w:pPr>
      <w:r w:rsidRPr="00B943A9">
        <w:rPr>
          <w:rFonts w:ascii="Times New Roman" w:hAnsi="Times New Roman"/>
          <w:bCs/>
          <w:i/>
          <w:color w:val="0D0D0D"/>
          <w:sz w:val="24"/>
          <w:szCs w:val="24"/>
          <w:lang w:eastAsia="lt-LT"/>
        </w:rPr>
        <w:t xml:space="preserve">Parengė : Mindaugas Stanys </w:t>
      </w:r>
    </w:p>
    <w:p w:rsidR="001139B1" w:rsidRPr="00B943A9" w:rsidRDefault="00010AAD" w:rsidP="00E470DA">
      <w:pPr>
        <w:spacing w:after="0" w:line="240" w:lineRule="auto"/>
        <w:jc w:val="both"/>
        <w:rPr>
          <w:rFonts w:ascii="Times New Roman" w:hAnsi="Times New Roman"/>
          <w:bCs/>
          <w:i/>
          <w:color w:val="0D0D0D"/>
          <w:sz w:val="24"/>
          <w:szCs w:val="24"/>
          <w:lang w:eastAsia="lt-LT"/>
        </w:rPr>
      </w:pPr>
      <w:r w:rsidRPr="00B943A9">
        <w:rPr>
          <w:rFonts w:ascii="Times New Roman" w:hAnsi="Times New Roman"/>
          <w:bCs/>
          <w:i/>
          <w:color w:val="0D0D0D"/>
          <w:sz w:val="24"/>
          <w:szCs w:val="24"/>
          <w:lang w:eastAsia="lt-LT"/>
        </w:rPr>
        <w:t>Pirmasis sekretorius</w:t>
      </w:r>
    </w:p>
    <w:p w:rsidR="001139B1" w:rsidRPr="00B943A9" w:rsidRDefault="001139B1" w:rsidP="00E470DA">
      <w:pPr>
        <w:spacing w:after="0" w:line="240" w:lineRule="auto"/>
        <w:jc w:val="both"/>
        <w:rPr>
          <w:rFonts w:ascii="Times New Roman" w:hAnsi="Times New Roman"/>
          <w:bCs/>
          <w:i/>
          <w:color w:val="0D0D0D"/>
          <w:sz w:val="24"/>
          <w:szCs w:val="24"/>
          <w:lang w:eastAsia="lt-LT"/>
        </w:rPr>
      </w:pPr>
      <w:r w:rsidRPr="00B943A9">
        <w:rPr>
          <w:rFonts w:ascii="Times New Roman" w:hAnsi="Times New Roman"/>
          <w:bCs/>
          <w:i/>
          <w:color w:val="0D0D0D"/>
          <w:sz w:val="24"/>
          <w:szCs w:val="24"/>
          <w:lang w:eastAsia="lt-LT"/>
        </w:rPr>
        <w:t>Tel.    +371 67321519</w:t>
      </w:r>
    </w:p>
    <w:p w:rsidR="001139B1" w:rsidRPr="00B943A9" w:rsidRDefault="001139B1" w:rsidP="00E470DA">
      <w:pPr>
        <w:spacing w:after="0" w:line="240" w:lineRule="auto"/>
        <w:jc w:val="both"/>
        <w:rPr>
          <w:rFonts w:ascii="Times New Roman" w:hAnsi="Times New Roman"/>
          <w:bCs/>
          <w:i/>
          <w:color w:val="0D0D0D"/>
          <w:sz w:val="24"/>
          <w:szCs w:val="24"/>
          <w:lang w:eastAsia="lt-LT"/>
        </w:rPr>
      </w:pPr>
      <w:r w:rsidRPr="00B943A9">
        <w:rPr>
          <w:rFonts w:ascii="Times New Roman" w:hAnsi="Times New Roman"/>
          <w:bCs/>
          <w:i/>
          <w:color w:val="0D0D0D"/>
          <w:sz w:val="24"/>
          <w:szCs w:val="24"/>
          <w:lang w:eastAsia="lt-LT"/>
        </w:rPr>
        <w:t>Mob. +371 26190198</w:t>
      </w:r>
    </w:p>
    <w:p w:rsidR="001139B1" w:rsidRPr="00B943A9" w:rsidRDefault="001139B1" w:rsidP="00E470DA">
      <w:pPr>
        <w:spacing w:after="0" w:line="240" w:lineRule="auto"/>
        <w:jc w:val="both"/>
        <w:rPr>
          <w:rFonts w:ascii="Times New Roman" w:hAnsi="Times New Roman"/>
          <w:i/>
          <w:sz w:val="24"/>
          <w:szCs w:val="24"/>
        </w:rPr>
      </w:pPr>
      <w:proofErr w:type="spellStart"/>
      <w:r w:rsidRPr="00B943A9">
        <w:rPr>
          <w:rFonts w:ascii="Times New Roman" w:hAnsi="Times New Roman"/>
          <w:i/>
          <w:sz w:val="24"/>
          <w:szCs w:val="24"/>
        </w:rPr>
        <w:t>Email</w:t>
      </w:r>
      <w:proofErr w:type="spellEnd"/>
      <w:r w:rsidRPr="00B943A9">
        <w:rPr>
          <w:rFonts w:ascii="Times New Roman" w:hAnsi="Times New Roman"/>
          <w:i/>
          <w:sz w:val="24"/>
          <w:szCs w:val="24"/>
        </w:rPr>
        <w:t xml:space="preserve">: </w:t>
      </w:r>
      <w:hyperlink r:id="rId11" w:history="1">
        <w:r w:rsidRPr="00B943A9">
          <w:rPr>
            <w:rStyle w:val="Hyperlink"/>
            <w:rFonts w:ascii="Times New Roman" w:hAnsi="Times New Roman"/>
            <w:i/>
            <w:sz w:val="24"/>
            <w:szCs w:val="24"/>
          </w:rPr>
          <w:t>mindaugas.stanys@urm.lt</w:t>
        </w:r>
      </w:hyperlink>
    </w:p>
    <w:p w:rsidR="001139B1" w:rsidRPr="00B943A9" w:rsidRDefault="001139B1" w:rsidP="00E470DA">
      <w:pPr>
        <w:spacing w:after="0" w:line="240" w:lineRule="auto"/>
        <w:jc w:val="both"/>
        <w:rPr>
          <w:rFonts w:ascii="Times New Roman" w:hAnsi="Times New Roman"/>
          <w:i/>
          <w:sz w:val="24"/>
          <w:szCs w:val="24"/>
        </w:rPr>
      </w:pPr>
      <w:r w:rsidRPr="00B943A9">
        <w:rPr>
          <w:rFonts w:ascii="Times New Roman" w:hAnsi="Times New Roman"/>
          <w:i/>
          <w:sz w:val="24"/>
          <w:szCs w:val="24"/>
        </w:rPr>
        <w:t>http://lv.urm.lt</w:t>
      </w:r>
    </w:p>
    <w:p w:rsidR="00A87864" w:rsidRPr="00B943A9" w:rsidRDefault="00A87864" w:rsidP="00E470DA">
      <w:pPr>
        <w:spacing w:after="0" w:line="240" w:lineRule="auto"/>
        <w:jc w:val="both"/>
        <w:rPr>
          <w:rFonts w:ascii="Times New Roman" w:hAnsi="Times New Roman"/>
          <w:sz w:val="24"/>
          <w:szCs w:val="24"/>
        </w:rPr>
      </w:pPr>
    </w:p>
    <w:sectPr w:rsidR="00A87864" w:rsidRPr="00B943A9" w:rsidSect="005D2D25">
      <w:footerReference w:type="default" r:id="rId12"/>
      <w:headerReference w:type="first" r:id="rId13"/>
      <w:pgSz w:w="16838" w:h="11906" w:orient="landscape"/>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E8" w:rsidRDefault="007B6FE8">
      <w:pPr>
        <w:spacing w:after="0" w:line="240" w:lineRule="auto"/>
      </w:pPr>
      <w:r>
        <w:separator/>
      </w:r>
    </w:p>
  </w:endnote>
  <w:endnote w:type="continuationSeparator" w:id="0">
    <w:p w:rsidR="007B6FE8" w:rsidRDefault="007B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172547"/>
      <w:docPartObj>
        <w:docPartGallery w:val="Page Numbers (Bottom of Page)"/>
        <w:docPartUnique/>
      </w:docPartObj>
    </w:sdtPr>
    <w:sdtEndPr>
      <w:rPr>
        <w:noProof/>
      </w:rPr>
    </w:sdtEndPr>
    <w:sdtContent>
      <w:p w:rsidR="00F96BF4" w:rsidRDefault="00F96BF4">
        <w:pPr>
          <w:pStyle w:val="Footer"/>
          <w:jc w:val="right"/>
        </w:pPr>
        <w:r>
          <w:fldChar w:fldCharType="begin"/>
        </w:r>
        <w:r>
          <w:instrText xml:space="preserve"> PAGE   \* MERGEFORMAT </w:instrText>
        </w:r>
        <w:r>
          <w:fldChar w:fldCharType="separate"/>
        </w:r>
        <w:r w:rsidR="005F409F">
          <w:rPr>
            <w:noProof/>
          </w:rPr>
          <w:t>10</w:t>
        </w:r>
        <w:r>
          <w:rPr>
            <w:noProof/>
          </w:rPr>
          <w:fldChar w:fldCharType="end"/>
        </w:r>
      </w:p>
    </w:sdtContent>
  </w:sdt>
  <w:p w:rsidR="00F96BF4" w:rsidRDefault="00F96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E8" w:rsidRDefault="007B6FE8">
      <w:pPr>
        <w:spacing w:after="0" w:line="240" w:lineRule="auto"/>
      </w:pPr>
      <w:r>
        <w:separator/>
      </w:r>
    </w:p>
  </w:footnote>
  <w:footnote w:type="continuationSeparator" w:id="0">
    <w:p w:rsidR="007B6FE8" w:rsidRDefault="007B6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BD" w:rsidRDefault="00C449BD" w:rsidP="00C33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255"/>
    <w:multiLevelType w:val="hybridMultilevel"/>
    <w:tmpl w:val="A7B2D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CF0E73"/>
    <w:multiLevelType w:val="hybridMultilevel"/>
    <w:tmpl w:val="43906ACA"/>
    <w:lvl w:ilvl="0" w:tplc="CA84D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8922AF"/>
    <w:multiLevelType w:val="hybridMultilevel"/>
    <w:tmpl w:val="D91EDAB2"/>
    <w:lvl w:ilvl="0" w:tplc="EDEE637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B12820"/>
    <w:multiLevelType w:val="hybridMultilevel"/>
    <w:tmpl w:val="1E7CCB04"/>
    <w:lvl w:ilvl="0" w:tplc="0DD878A0">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604239"/>
    <w:multiLevelType w:val="hybridMultilevel"/>
    <w:tmpl w:val="A466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52C0B"/>
    <w:multiLevelType w:val="hybridMultilevel"/>
    <w:tmpl w:val="B0DA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C11391B"/>
    <w:multiLevelType w:val="hybridMultilevel"/>
    <w:tmpl w:val="03DE9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C6F53B3"/>
    <w:multiLevelType w:val="hybridMultilevel"/>
    <w:tmpl w:val="198A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E893C12"/>
    <w:multiLevelType w:val="hybridMultilevel"/>
    <w:tmpl w:val="9E84D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67AAA"/>
    <w:multiLevelType w:val="hybridMultilevel"/>
    <w:tmpl w:val="4ABED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8"/>
  </w:num>
  <w:num w:numId="7">
    <w:abstractNumId w:val="9"/>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64"/>
    <w:rsid w:val="000056FB"/>
    <w:rsid w:val="00010AAD"/>
    <w:rsid w:val="00013D52"/>
    <w:rsid w:val="000173D1"/>
    <w:rsid w:val="000231F6"/>
    <w:rsid w:val="00031344"/>
    <w:rsid w:val="00034B5C"/>
    <w:rsid w:val="0004033A"/>
    <w:rsid w:val="00061E90"/>
    <w:rsid w:val="00065856"/>
    <w:rsid w:val="0007334D"/>
    <w:rsid w:val="000860D5"/>
    <w:rsid w:val="00091BD8"/>
    <w:rsid w:val="000B5691"/>
    <w:rsid w:val="000D15E0"/>
    <w:rsid w:val="00102B3C"/>
    <w:rsid w:val="0010553C"/>
    <w:rsid w:val="0011371D"/>
    <w:rsid w:val="001139B1"/>
    <w:rsid w:val="001262B7"/>
    <w:rsid w:val="00147B5A"/>
    <w:rsid w:val="00151A8D"/>
    <w:rsid w:val="00180193"/>
    <w:rsid w:val="00180A29"/>
    <w:rsid w:val="001957F3"/>
    <w:rsid w:val="00195E14"/>
    <w:rsid w:val="001A1216"/>
    <w:rsid w:val="001B5098"/>
    <w:rsid w:val="001B6CAD"/>
    <w:rsid w:val="001C13DA"/>
    <w:rsid w:val="001E5C3B"/>
    <w:rsid w:val="00201DC6"/>
    <w:rsid w:val="00205CAF"/>
    <w:rsid w:val="00226C1C"/>
    <w:rsid w:val="002310CA"/>
    <w:rsid w:val="002C72D6"/>
    <w:rsid w:val="003310BD"/>
    <w:rsid w:val="00331338"/>
    <w:rsid w:val="00332246"/>
    <w:rsid w:val="003861FB"/>
    <w:rsid w:val="003A3714"/>
    <w:rsid w:val="003A49BE"/>
    <w:rsid w:val="003A7835"/>
    <w:rsid w:val="003B71BE"/>
    <w:rsid w:val="003F1129"/>
    <w:rsid w:val="00411AB4"/>
    <w:rsid w:val="00425D37"/>
    <w:rsid w:val="00430EA7"/>
    <w:rsid w:val="00430F6A"/>
    <w:rsid w:val="004317FE"/>
    <w:rsid w:val="0043662A"/>
    <w:rsid w:val="004375D5"/>
    <w:rsid w:val="00441428"/>
    <w:rsid w:val="00444DD0"/>
    <w:rsid w:val="00452AA1"/>
    <w:rsid w:val="00467C2F"/>
    <w:rsid w:val="00480702"/>
    <w:rsid w:val="004B0BAA"/>
    <w:rsid w:val="004B275E"/>
    <w:rsid w:val="004B7235"/>
    <w:rsid w:val="004D24E4"/>
    <w:rsid w:val="004D6C56"/>
    <w:rsid w:val="004D7FE6"/>
    <w:rsid w:val="004E5D1B"/>
    <w:rsid w:val="004E66C0"/>
    <w:rsid w:val="005158E6"/>
    <w:rsid w:val="00526701"/>
    <w:rsid w:val="00534AE5"/>
    <w:rsid w:val="0055014E"/>
    <w:rsid w:val="00551A4F"/>
    <w:rsid w:val="005579B9"/>
    <w:rsid w:val="0056475B"/>
    <w:rsid w:val="00590B27"/>
    <w:rsid w:val="00596188"/>
    <w:rsid w:val="005A3046"/>
    <w:rsid w:val="005A44AB"/>
    <w:rsid w:val="005A79DA"/>
    <w:rsid w:val="005D2D25"/>
    <w:rsid w:val="005E5DA6"/>
    <w:rsid w:val="005E6A70"/>
    <w:rsid w:val="005F3788"/>
    <w:rsid w:val="005F409F"/>
    <w:rsid w:val="00600A55"/>
    <w:rsid w:val="00604A7E"/>
    <w:rsid w:val="00631B32"/>
    <w:rsid w:val="00670CB1"/>
    <w:rsid w:val="0067279E"/>
    <w:rsid w:val="006932F9"/>
    <w:rsid w:val="006A3D5F"/>
    <w:rsid w:val="006B68F5"/>
    <w:rsid w:val="006C3F9A"/>
    <w:rsid w:val="006D493F"/>
    <w:rsid w:val="006F183C"/>
    <w:rsid w:val="00710EF7"/>
    <w:rsid w:val="007122A0"/>
    <w:rsid w:val="007146C2"/>
    <w:rsid w:val="007166A7"/>
    <w:rsid w:val="007377A7"/>
    <w:rsid w:val="00757379"/>
    <w:rsid w:val="00761E23"/>
    <w:rsid w:val="00761FB9"/>
    <w:rsid w:val="007626B9"/>
    <w:rsid w:val="007974AB"/>
    <w:rsid w:val="0079786F"/>
    <w:rsid w:val="007A143F"/>
    <w:rsid w:val="007B6FE8"/>
    <w:rsid w:val="007C1CBC"/>
    <w:rsid w:val="00801B0C"/>
    <w:rsid w:val="00805396"/>
    <w:rsid w:val="008152E1"/>
    <w:rsid w:val="00817E12"/>
    <w:rsid w:val="00864FBA"/>
    <w:rsid w:val="00865692"/>
    <w:rsid w:val="00877BE1"/>
    <w:rsid w:val="00885842"/>
    <w:rsid w:val="00890C7B"/>
    <w:rsid w:val="008A0C19"/>
    <w:rsid w:val="008A5824"/>
    <w:rsid w:val="008C1254"/>
    <w:rsid w:val="008C485B"/>
    <w:rsid w:val="008D3156"/>
    <w:rsid w:val="008E0967"/>
    <w:rsid w:val="008F2503"/>
    <w:rsid w:val="008F3E17"/>
    <w:rsid w:val="0090402E"/>
    <w:rsid w:val="00916B06"/>
    <w:rsid w:val="00937808"/>
    <w:rsid w:val="009919DE"/>
    <w:rsid w:val="009959F8"/>
    <w:rsid w:val="009B5398"/>
    <w:rsid w:val="009C2E15"/>
    <w:rsid w:val="009C49C5"/>
    <w:rsid w:val="009D50BF"/>
    <w:rsid w:val="009D7CE9"/>
    <w:rsid w:val="009E2E6A"/>
    <w:rsid w:val="009E5FF0"/>
    <w:rsid w:val="00A03076"/>
    <w:rsid w:val="00A074EB"/>
    <w:rsid w:val="00A144EF"/>
    <w:rsid w:val="00A15253"/>
    <w:rsid w:val="00A3206B"/>
    <w:rsid w:val="00A87864"/>
    <w:rsid w:val="00A93B23"/>
    <w:rsid w:val="00A942AE"/>
    <w:rsid w:val="00AF1A46"/>
    <w:rsid w:val="00B22619"/>
    <w:rsid w:val="00B363ED"/>
    <w:rsid w:val="00B431E9"/>
    <w:rsid w:val="00B726C6"/>
    <w:rsid w:val="00B732A9"/>
    <w:rsid w:val="00B943A9"/>
    <w:rsid w:val="00BA70FF"/>
    <w:rsid w:val="00BB1354"/>
    <w:rsid w:val="00BF5EF0"/>
    <w:rsid w:val="00C330CC"/>
    <w:rsid w:val="00C332B6"/>
    <w:rsid w:val="00C41DEA"/>
    <w:rsid w:val="00C449BD"/>
    <w:rsid w:val="00C62DB4"/>
    <w:rsid w:val="00C6573E"/>
    <w:rsid w:val="00C6766E"/>
    <w:rsid w:val="00C73FA6"/>
    <w:rsid w:val="00C8399E"/>
    <w:rsid w:val="00CB5687"/>
    <w:rsid w:val="00CD6101"/>
    <w:rsid w:val="00CE51BB"/>
    <w:rsid w:val="00CF741C"/>
    <w:rsid w:val="00CF78C2"/>
    <w:rsid w:val="00D30242"/>
    <w:rsid w:val="00D47DEA"/>
    <w:rsid w:val="00D50312"/>
    <w:rsid w:val="00D653EF"/>
    <w:rsid w:val="00D84C98"/>
    <w:rsid w:val="00DC3F78"/>
    <w:rsid w:val="00E00E03"/>
    <w:rsid w:val="00E01774"/>
    <w:rsid w:val="00E13FBD"/>
    <w:rsid w:val="00E33EBF"/>
    <w:rsid w:val="00E470DA"/>
    <w:rsid w:val="00E8185D"/>
    <w:rsid w:val="00E82E93"/>
    <w:rsid w:val="00E8553A"/>
    <w:rsid w:val="00EC2098"/>
    <w:rsid w:val="00EC4751"/>
    <w:rsid w:val="00ED3465"/>
    <w:rsid w:val="00ED77D3"/>
    <w:rsid w:val="00EF4D0E"/>
    <w:rsid w:val="00F05CC2"/>
    <w:rsid w:val="00F142D5"/>
    <w:rsid w:val="00F15DCA"/>
    <w:rsid w:val="00F17459"/>
    <w:rsid w:val="00F24162"/>
    <w:rsid w:val="00F55B1B"/>
    <w:rsid w:val="00F634E7"/>
    <w:rsid w:val="00F8560B"/>
    <w:rsid w:val="00F96BF4"/>
    <w:rsid w:val="00FA00A6"/>
    <w:rsid w:val="00FA360B"/>
    <w:rsid w:val="00FB3206"/>
    <w:rsid w:val="00FB374D"/>
    <w:rsid w:val="00FC38AF"/>
    <w:rsid w:val="00FD45EA"/>
    <w:rsid w:val="00FD5EF8"/>
    <w:rsid w:val="00FE5123"/>
    <w:rsid w:val="00FE70ED"/>
    <w:rsid w:val="00FF4F01"/>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B8558"/>
  <w15:chartTrackingRefBased/>
  <w15:docId w15:val="{522B285C-F661-4EA3-9B33-B3F34D20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64"/>
    <w:pPr>
      <w:spacing w:after="200" w:line="276" w:lineRule="auto"/>
    </w:pPr>
    <w:rPr>
      <w:rFonts w:eastAsia="Calibri"/>
      <w:sz w:val="22"/>
      <w:szCs w:val="22"/>
      <w:lang w:val="lt-LT"/>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uiPriority w:val="99"/>
    <w:semiHidden/>
    <w:unhideWhenUsed/>
    <w:rsid w:val="00E8553A"/>
    <w:rPr>
      <w:vertAlign w:val="superscript"/>
    </w:rPr>
  </w:style>
  <w:style w:type="character" w:styleId="Hyperlink">
    <w:name w:val="Hyperlink"/>
    <w:uiPriority w:val="99"/>
    <w:unhideWhenUsed/>
    <w:rsid w:val="001139B1"/>
    <w:rPr>
      <w:color w:val="0563C1"/>
      <w:u w:val="single"/>
    </w:rPr>
  </w:style>
  <w:style w:type="character" w:styleId="FollowedHyperlink">
    <w:name w:val="FollowedHyperlink"/>
    <w:basedOn w:val="DefaultParagraphFont"/>
    <w:uiPriority w:val="99"/>
    <w:semiHidden/>
    <w:unhideWhenUsed/>
    <w:rsid w:val="00BB1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18037">
      <w:bodyDiv w:val="1"/>
      <w:marLeft w:val="0"/>
      <w:marRight w:val="0"/>
      <w:marTop w:val="0"/>
      <w:marBottom w:val="0"/>
      <w:divBdr>
        <w:top w:val="none" w:sz="0" w:space="0" w:color="auto"/>
        <w:left w:val="none" w:sz="0" w:space="0" w:color="auto"/>
        <w:bottom w:val="none" w:sz="0" w:space="0" w:color="auto"/>
        <w:right w:val="none" w:sz="0" w:space="0" w:color="auto"/>
      </w:divBdr>
    </w:div>
    <w:div w:id="478763730">
      <w:bodyDiv w:val="1"/>
      <w:marLeft w:val="0"/>
      <w:marRight w:val="0"/>
      <w:marTop w:val="0"/>
      <w:marBottom w:val="0"/>
      <w:divBdr>
        <w:top w:val="none" w:sz="0" w:space="0" w:color="auto"/>
        <w:left w:val="none" w:sz="0" w:space="0" w:color="auto"/>
        <w:bottom w:val="none" w:sz="0" w:space="0" w:color="auto"/>
        <w:right w:val="none" w:sz="0" w:space="0" w:color="auto"/>
      </w:divBdr>
    </w:div>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546574295">
      <w:bodyDiv w:val="1"/>
      <w:marLeft w:val="0"/>
      <w:marRight w:val="0"/>
      <w:marTop w:val="0"/>
      <w:marBottom w:val="0"/>
      <w:divBdr>
        <w:top w:val="none" w:sz="0" w:space="0" w:color="auto"/>
        <w:left w:val="none" w:sz="0" w:space="0" w:color="auto"/>
        <w:bottom w:val="none" w:sz="0" w:space="0" w:color="auto"/>
        <w:right w:val="none" w:sz="0" w:space="0" w:color="auto"/>
      </w:divBdr>
    </w:div>
    <w:div w:id="974722824">
      <w:bodyDiv w:val="1"/>
      <w:marLeft w:val="0"/>
      <w:marRight w:val="0"/>
      <w:marTop w:val="0"/>
      <w:marBottom w:val="0"/>
      <w:divBdr>
        <w:top w:val="none" w:sz="0" w:space="0" w:color="auto"/>
        <w:left w:val="none" w:sz="0" w:space="0" w:color="auto"/>
        <w:bottom w:val="none" w:sz="0" w:space="0" w:color="auto"/>
        <w:right w:val="none" w:sz="0" w:space="0" w:color="auto"/>
      </w:divBdr>
    </w:div>
    <w:div w:id="1412191405">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884832062">
      <w:bodyDiv w:val="1"/>
      <w:marLeft w:val="0"/>
      <w:marRight w:val="0"/>
      <w:marTop w:val="0"/>
      <w:marBottom w:val="0"/>
      <w:divBdr>
        <w:top w:val="none" w:sz="0" w:space="0" w:color="auto"/>
        <w:left w:val="none" w:sz="0" w:space="0" w:color="auto"/>
        <w:bottom w:val="none" w:sz="0" w:space="0" w:color="auto"/>
        <w:right w:val="none" w:sz="0" w:space="0" w:color="auto"/>
      </w:divBdr>
    </w:div>
    <w:div w:id="1915387825">
      <w:bodyDiv w:val="1"/>
      <w:marLeft w:val="0"/>
      <w:marRight w:val="0"/>
      <w:marTop w:val="0"/>
      <w:marBottom w:val="0"/>
      <w:divBdr>
        <w:top w:val="none" w:sz="0" w:space="0" w:color="auto"/>
        <w:left w:val="none" w:sz="0" w:space="0" w:color="auto"/>
        <w:bottom w:val="none" w:sz="0" w:space="0" w:color="auto"/>
        <w:right w:val="none" w:sz="0" w:space="0" w:color="auto"/>
      </w:divBdr>
    </w:div>
    <w:div w:id="1953053341">
      <w:bodyDiv w:val="1"/>
      <w:marLeft w:val="0"/>
      <w:marRight w:val="0"/>
      <w:marTop w:val="0"/>
      <w:marBottom w:val="0"/>
      <w:divBdr>
        <w:top w:val="none" w:sz="0" w:space="0" w:color="auto"/>
        <w:left w:val="none" w:sz="0" w:space="0" w:color="auto"/>
        <w:bottom w:val="none" w:sz="0" w:space="0" w:color="auto"/>
        <w:right w:val="none" w:sz="0" w:space="0" w:color="auto"/>
      </w:divBdr>
      <w:divsChild>
        <w:div w:id="1496411100">
          <w:marLeft w:val="0"/>
          <w:marRight w:val="0"/>
          <w:marTop w:val="0"/>
          <w:marBottom w:val="0"/>
          <w:divBdr>
            <w:top w:val="none" w:sz="0" w:space="0" w:color="auto"/>
            <w:left w:val="none" w:sz="0" w:space="0" w:color="auto"/>
            <w:bottom w:val="none" w:sz="0" w:space="0" w:color="auto"/>
            <w:right w:val="none" w:sz="0" w:space="0" w:color="auto"/>
          </w:divBdr>
        </w:div>
      </w:divsChild>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 w:id="20985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iga.com/en/12523-roche-to-establish-a-satellite-location-in-riga-latvia-as-part-of-roche-services-solutions-rs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daugas.stanys@urm.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s.delfi.lv/biznes/finances/nalogovye-postupleniya-za-dva-mesyaca-na-6-5-prevysili-plan.d?id=55380310" TargetMode="External"/><Relationship Id="rId4" Type="http://schemas.openxmlformats.org/officeDocument/2006/relationships/settings" Target="settings.xml"/><Relationship Id="rId9" Type="http://schemas.openxmlformats.org/officeDocument/2006/relationships/hyperlink" Target="https://rus.delfi.lv/biznes/bnews/associaciya-gostinic-i-restoranov-v-etom-turisticheskom-sezone-zapolnyaemost-gostinic-mozhet-dostich-90.d?id=553726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22BB1-7883-4AAF-B921-EFE8F519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10</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cp:lastModifiedBy>Mindaugas STANYS</cp:lastModifiedBy>
  <cp:revision>4</cp:revision>
  <cp:lastPrinted>2017-02-03T08:51:00Z</cp:lastPrinted>
  <dcterms:created xsi:type="dcterms:W3CDTF">2023-03-30T09:41:00Z</dcterms:created>
  <dcterms:modified xsi:type="dcterms:W3CDTF">2023-03-31T10:13:00Z</dcterms:modified>
</cp:coreProperties>
</file>