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10404D">
        <w:rPr>
          <w:rFonts w:ascii="Times New Roman" w:hAnsi="Times New Roman"/>
          <w:noProof/>
          <w:sz w:val="24"/>
          <w:szCs w:val="24"/>
        </w:rPr>
        <w:t>2022</w:t>
      </w:r>
      <w:r w:rsidR="00ED23CA" w:rsidRPr="0010404D">
        <w:rPr>
          <w:rFonts w:ascii="Times New Roman" w:hAnsi="Times New Roman"/>
          <w:noProof/>
          <w:sz w:val="24"/>
          <w:szCs w:val="24"/>
        </w:rPr>
        <w:t>-</w:t>
      </w:r>
      <w:r w:rsidR="00804E97">
        <w:rPr>
          <w:rFonts w:ascii="Times New Roman" w:hAnsi="Times New Roman"/>
          <w:noProof/>
          <w:sz w:val="24"/>
          <w:szCs w:val="24"/>
        </w:rPr>
        <w:t>1</w:t>
      </w:r>
      <w:r w:rsidR="0010404D">
        <w:rPr>
          <w:rFonts w:ascii="Times New Roman" w:hAnsi="Times New Roman"/>
          <w:noProof/>
          <w:sz w:val="24"/>
          <w:szCs w:val="24"/>
        </w:rPr>
        <w:t>0</w:t>
      </w:r>
      <w:r w:rsidR="00701393" w:rsidRPr="0010404D">
        <w:rPr>
          <w:rFonts w:ascii="Times New Roman" w:hAnsi="Times New Roman"/>
          <w:noProof/>
          <w:sz w:val="24"/>
          <w:szCs w:val="24"/>
        </w:rPr>
        <w:t>-</w:t>
      </w:r>
      <w:r w:rsidR="00C33E32" w:rsidRPr="0010404D">
        <w:rPr>
          <w:rFonts w:ascii="Times New Roman" w:hAnsi="Times New Roman"/>
          <w:noProof/>
          <w:sz w:val="24"/>
          <w:szCs w:val="24"/>
        </w:rPr>
        <w:t>01</w:t>
      </w:r>
      <w:r w:rsidR="00397C9E" w:rsidRPr="0010404D">
        <w:rPr>
          <w:rFonts w:ascii="Times New Roman" w:hAnsi="Times New Roman"/>
          <w:noProof/>
          <w:sz w:val="24"/>
          <w:szCs w:val="24"/>
        </w:rPr>
        <w:t xml:space="preserve"> – 20</w:t>
      </w:r>
      <w:r w:rsidRPr="0010404D">
        <w:rPr>
          <w:rFonts w:ascii="Times New Roman" w:hAnsi="Times New Roman"/>
          <w:noProof/>
          <w:sz w:val="24"/>
          <w:szCs w:val="24"/>
        </w:rPr>
        <w:t>22</w:t>
      </w:r>
      <w:r w:rsidR="00837FA3" w:rsidRPr="0010404D">
        <w:rPr>
          <w:rFonts w:ascii="Times New Roman" w:hAnsi="Times New Roman"/>
          <w:noProof/>
          <w:sz w:val="24"/>
          <w:szCs w:val="24"/>
        </w:rPr>
        <w:t>-</w:t>
      </w:r>
      <w:r w:rsidR="00804E97">
        <w:rPr>
          <w:rFonts w:ascii="Times New Roman" w:hAnsi="Times New Roman"/>
          <w:noProof/>
          <w:sz w:val="24"/>
          <w:szCs w:val="24"/>
        </w:rPr>
        <w:t>1</w:t>
      </w:r>
      <w:r w:rsidR="0010404D">
        <w:rPr>
          <w:rFonts w:ascii="Times New Roman" w:hAnsi="Times New Roman"/>
          <w:noProof/>
          <w:sz w:val="24"/>
          <w:szCs w:val="24"/>
        </w:rPr>
        <w:t>0</w:t>
      </w:r>
      <w:r w:rsidR="008745EE" w:rsidRPr="0010404D">
        <w:rPr>
          <w:rFonts w:ascii="Times New Roman" w:hAnsi="Times New Roman"/>
          <w:noProof/>
          <w:sz w:val="24"/>
          <w:szCs w:val="24"/>
        </w:rPr>
        <w:t>-3</w:t>
      </w:r>
      <w:r w:rsidR="00804E97">
        <w:rPr>
          <w:rFonts w:ascii="Times New Roman" w:hAnsi="Times New Roman"/>
          <w:noProof/>
          <w:sz w:val="24"/>
          <w:szCs w:val="24"/>
        </w:rPr>
        <w:t>1</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39175E">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AB5937" w:rsidRPr="00B561E0" w:rsidTr="0039175E">
        <w:trPr>
          <w:trHeight w:val="234"/>
        </w:trPr>
        <w:tc>
          <w:tcPr>
            <w:tcW w:w="1270" w:type="dxa"/>
            <w:shd w:val="clear" w:color="auto" w:fill="auto"/>
            <w:tcMar>
              <w:top w:w="29" w:type="dxa"/>
              <w:left w:w="115" w:type="dxa"/>
              <w:bottom w:w="29" w:type="dxa"/>
              <w:right w:w="115" w:type="dxa"/>
            </w:tcMar>
          </w:tcPr>
          <w:p w:rsidR="00AB5937" w:rsidRPr="0039175E" w:rsidRDefault="00AB5937" w:rsidP="0039175E">
            <w:pPr>
              <w:spacing w:before="120" w:after="120" w:line="240" w:lineRule="auto"/>
              <w:rPr>
                <w:rFonts w:ascii="Times New Roman" w:hAnsi="Times New Roman"/>
                <w:noProof/>
              </w:rPr>
            </w:pPr>
            <w:r>
              <w:rPr>
                <w:rFonts w:ascii="Times New Roman" w:hAnsi="Times New Roman"/>
                <w:noProof/>
              </w:rPr>
              <w:t>2022 10 12-14</w:t>
            </w:r>
          </w:p>
        </w:tc>
        <w:tc>
          <w:tcPr>
            <w:tcW w:w="4537" w:type="dxa"/>
            <w:shd w:val="clear" w:color="auto" w:fill="auto"/>
            <w:tcMar>
              <w:top w:w="29" w:type="dxa"/>
              <w:left w:w="115" w:type="dxa"/>
              <w:bottom w:w="29" w:type="dxa"/>
              <w:right w:w="115" w:type="dxa"/>
            </w:tcMar>
          </w:tcPr>
          <w:p w:rsidR="00AB5937" w:rsidRPr="0039175E" w:rsidRDefault="00ED12BE" w:rsidP="00ED12BE">
            <w:pPr>
              <w:spacing w:before="120" w:after="120" w:line="240" w:lineRule="auto"/>
              <w:jc w:val="both"/>
              <w:rPr>
                <w:rFonts w:ascii="Times New Roman" w:hAnsi="Times New Roman"/>
                <w:noProof/>
              </w:rPr>
            </w:pPr>
            <w:r>
              <w:rPr>
                <w:rFonts w:ascii="Times New Roman" w:hAnsi="Times New Roman"/>
                <w:noProof/>
              </w:rPr>
              <w:t>15-oji tarptautinė energijo</w:t>
            </w:r>
            <w:r w:rsidR="00AB5937">
              <w:rPr>
                <w:rFonts w:ascii="Times New Roman" w:hAnsi="Times New Roman"/>
                <w:noProof/>
              </w:rPr>
              <w:t>s ir klimatos kaitos konferencija</w:t>
            </w:r>
            <w:r w:rsidR="00A601FC">
              <w:rPr>
                <w:rFonts w:ascii="Times New Roman" w:hAnsi="Times New Roman"/>
                <w:noProof/>
              </w:rPr>
              <w:t xml:space="preserve"> Atėnuose</w:t>
            </w:r>
            <w:r w:rsidR="00AB5937">
              <w:rPr>
                <w:rFonts w:ascii="Times New Roman" w:hAnsi="Times New Roman"/>
                <w:noProof/>
              </w:rPr>
              <w:t xml:space="preserve">, skirta </w:t>
            </w:r>
            <w:r w:rsidR="00A601FC">
              <w:rPr>
                <w:rFonts w:ascii="Times New Roman" w:hAnsi="Times New Roman"/>
                <w:noProof/>
              </w:rPr>
              <w:t>r</w:t>
            </w:r>
            <w:r w:rsidR="00AB5937">
              <w:rPr>
                <w:rFonts w:ascii="Times New Roman" w:hAnsi="Times New Roman"/>
                <w:noProof/>
              </w:rPr>
              <w:t>egionini</w:t>
            </w:r>
            <w:r>
              <w:rPr>
                <w:rFonts w:ascii="Times New Roman" w:hAnsi="Times New Roman"/>
                <w:noProof/>
              </w:rPr>
              <w:t>am bendradarbiavimui</w:t>
            </w:r>
            <w:r w:rsidR="00AB5937">
              <w:rPr>
                <w:rFonts w:ascii="Times New Roman" w:hAnsi="Times New Roman"/>
                <w:noProof/>
              </w:rPr>
              <w:t xml:space="preserve"> </w:t>
            </w:r>
            <w:r>
              <w:rPr>
                <w:rFonts w:ascii="Times New Roman" w:hAnsi="Times New Roman"/>
                <w:noProof/>
              </w:rPr>
              <w:t xml:space="preserve">investicijų į </w:t>
            </w:r>
            <w:r w:rsidR="00AB5937">
              <w:rPr>
                <w:rFonts w:ascii="Times New Roman" w:hAnsi="Times New Roman"/>
                <w:noProof/>
              </w:rPr>
              <w:t>žali</w:t>
            </w:r>
            <w:r>
              <w:rPr>
                <w:rFonts w:ascii="Times New Roman" w:hAnsi="Times New Roman"/>
                <w:noProof/>
              </w:rPr>
              <w:t>ąją energiją srityje, kurių</w:t>
            </w:r>
            <w:r w:rsidR="000C323C">
              <w:rPr>
                <w:rFonts w:ascii="Times New Roman" w:hAnsi="Times New Roman"/>
                <w:noProof/>
              </w:rPr>
              <w:t xml:space="preserve"> pagalba spręsti energijos tiekimo saugumo</w:t>
            </w:r>
            <w:r w:rsidR="00AB5937">
              <w:rPr>
                <w:rFonts w:ascii="Times New Roman" w:hAnsi="Times New Roman"/>
                <w:noProof/>
              </w:rPr>
              <w:t xml:space="preserve"> problem</w:t>
            </w:r>
            <w:r w:rsidR="000C323C">
              <w:rPr>
                <w:rFonts w:ascii="Times New Roman" w:hAnsi="Times New Roman"/>
                <w:noProof/>
              </w:rPr>
              <w:t>as</w:t>
            </w:r>
            <w:r w:rsidR="00A601FC">
              <w:rPr>
                <w:rFonts w:ascii="Times New Roman" w:hAnsi="Times New Roman"/>
                <w:noProof/>
              </w:rPr>
              <w:t>.</w:t>
            </w:r>
            <w:r w:rsidR="00AB5937">
              <w:rPr>
                <w:rFonts w:ascii="Times New Roman" w:hAnsi="Times New Roman"/>
                <w:noProof/>
              </w:rPr>
              <w:t xml:space="preserve">   </w:t>
            </w:r>
          </w:p>
        </w:tc>
        <w:tc>
          <w:tcPr>
            <w:tcW w:w="2410" w:type="dxa"/>
            <w:shd w:val="clear" w:color="auto" w:fill="auto"/>
            <w:tcMar>
              <w:top w:w="29" w:type="dxa"/>
              <w:left w:w="115" w:type="dxa"/>
              <w:bottom w:w="29" w:type="dxa"/>
              <w:right w:w="115" w:type="dxa"/>
            </w:tcMar>
          </w:tcPr>
          <w:p w:rsidR="00AB5937" w:rsidRPr="00AB5937" w:rsidRDefault="00EA22F6" w:rsidP="0039175E">
            <w:pPr>
              <w:spacing w:before="120" w:after="120" w:line="240" w:lineRule="auto"/>
              <w:rPr>
                <w:rStyle w:val="Hyperlink"/>
                <w:rFonts w:ascii="Times New Roman" w:hAnsi="Times New Roman"/>
                <w:noProof/>
                <w:shd w:val="clear" w:color="auto" w:fill="FFFFFF"/>
              </w:rPr>
            </w:pPr>
            <w:hyperlink r:id="rId6" w:history="1">
              <w:r w:rsidR="00AB5937" w:rsidRPr="00AB5937">
                <w:rPr>
                  <w:rStyle w:val="Hyperlink"/>
                  <w:rFonts w:ascii="Times New Roman" w:hAnsi="Times New Roman"/>
                </w:rPr>
                <w:t>https://promitheasconference.wordpress.com</w:t>
              </w:r>
            </w:hyperlink>
          </w:p>
        </w:tc>
        <w:tc>
          <w:tcPr>
            <w:tcW w:w="1559" w:type="dxa"/>
            <w:shd w:val="clear" w:color="auto" w:fill="auto"/>
            <w:tcMar>
              <w:top w:w="29" w:type="dxa"/>
              <w:left w:w="115" w:type="dxa"/>
              <w:bottom w:w="29" w:type="dxa"/>
              <w:right w:w="115" w:type="dxa"/>
            </w:tcMar>
          </w:tcPr>
          <w:p w:rsidR="00AB5937" w:rsidRPr="0039175E" w:rsidRDefault="00AB5937" w:rsidP="0039175E">
            <w:pPr>
              <w:spacing w:before="120" w:after="120" w:line="240" w:lineRule="auto"/>
              <w:rPr>
                <w:rFonts w:ascii="Times New Roman" w:hAnsi="Times New Roman"/>
                <w:noProof/>
              </w:rPr>
            </w:pPr>
          </w:p>
        </w:tc>
      </w:tr>
      <w:tr w:rsidR="004F3A72" w:rsidRPr="00B561E0" w:rsidTr="0039175E">
        <w:trPr>
          <w:trHeight w:val="234"/>
        </w:trPr>
        <w:tc>
          <w:tcPr>
            <w:tcW w:w="1270"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rPr>
                <w:rFonts w:ascii="Times New Roman" w:hAnsi="Times New Roman"/>
                <w:noProof/>
              </w:rPr>
            </w:pPr>
            <w:r w:rsidRPr="0039175E">
              <w:rPr>
                <w:rFonts w:ascii="Times New Roman" w:hAnsi="Times New Roman"/>
                <w:noProof/>
              </w:rPr>
              <w:t>2022 10 20-23</w:t>
            </w:r>
          </w:p>
        </w:tc>
        <w:tc>
          <w:tcPr>
            <w:tcW w:w="4537"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jc w:val="both"/>
              <w:rPr>
                <w:rFonts w:ascii="Times New Roman" w:hAnsi="Times New Roman"/>
                <w:noProof/>
              </w:rPr>
            </w:pPr>
            <w:r w:rsidRPr="0039175E">
              <w:rPr>
                <w:rFonts w:ascii="Times New Roman" w:hAnsi="Times New Roman"/>
                <w:noProof/>
              </w:rPr>
              <w:t>29-oji tarptautinė žemės ūkio mašinų, įrangos ir reikmenų mugė „Agrotica“ Salonikuose. Parodoje pristatoma: žemės ūkio technikos įrankiai</w:t>
            </w:r>
            <w:r w:rsidR="00C464C2" w:rsidRPr="0039175E">
              <w:rPr>
                <w:rFonts w:ascii="Times New Roman" w:hAnsi="Times New Roman"/>
                <w:noProof/>
              </w:rPr>
              <w:t xml:space="preserve">, </w:t>
            </w:r>
            <w:r w:rsidRPr="0039175E">
              <w:rPr>
                <w:rFonts w:ascii="Times New Roman" w:hAnsi="Times New Roman"/>
                <w:noProof/>
              </w:rPr>
              <w:t>detalės, žemės apdorojimo ir gerinimo</w:t>
            </w:r>
            <w:r w:rsidR="002B237E" w:rsidRPr="0039175E">
              <w:rPr>
                <w:rFonts w:ascii="Times New Roman" w:hAnsi="Times New Roman"/>
                <w:noProof/>
              </w:rPr>
              <w:t>, sėjos, sodinimo, tręšimo</w:t>
            </w:r>
            <w:r w:rsidRPr="0039175E">
              <w:rPr>
                <w:rFonts w:ascii="Times New Roman" w:hAnsi="Times New Roman"/>
                <w:noProof/>
              </w:rPr>
              <w:t>, augalų apsaugos, genėjimo ir apželdinimo</w:t>
            </w:r>
            <w:r w:rsidR="002B237E" w:rsidRPr="0039175E">
              <w:rPr>
                <w:rFonts w:ascii="Times New Roman" w:hAnsi="Times New Roman"/>
                <w:noProof/>
              </w:rPr>
              <w:t>, drėkinimo</w:t>
            </w:r>
            <w:r w:rsidRPr="0039175E">
              <w:rPr>
                <w:rFonts w:ascii="Times New Roman" w:hAnsi="Times New Roman"/>
                <w:noProof/>
              </w:rPr>
              <w:t>, derliaus nuėmimo</w:t>
            </w:r>
            <w:r w:rsidR="002B237E" w:rsidRPr="0039175E">
              <w:rPr>
                <w:rFonts w:ascii="Times New Roman" w:hAnsi="Times New Roman"/>
                <w:noProof/>
              </w:rPr>
              <w:t>, konservavimo, pakavimo, sandėliavimo mašinos ir įrankiai</w:t>
            </w:r>
            <w:r w:rsidRPr="0039175E">
              <w:rPr>
                <w:rFonts w:ascii="Times New Roman" w:hAnsi="Times New Roman"/>
                <w:noProof/>
              </w:rPr>
              <w:t xml:space="preserve">, </w:t>
            </w:r>
            <w:r w:rsidR="002B237E" w:rsidRPr="0039175E">
              <w:rPr>
                <w:rFonts w:ascii="Times New Roman" w:hAnsi="Times New Roman"/>
                <w:noProof/>
              </w:rPr>
              <w:t>tvorų įranga ir reikmenys, augalų apsaugos produktai</w:t>
            </w:r>
            <w:r w:rsidRPr="0039175E">
              <w:rPr>
                <w:rFonts w:ascii="Times New Roman" w:hAnsi="Times New Roman"/>
                <w:noProof/>
              </w:rPr>
              <w:t>, vertikalios ir horizontalios transportavimo mašinos.</w:t>
            </w:r>
          </w:p>
        </w:tc>
        <w:tc>
          <w:tcPr>
            <w:tcW w:w="2410" w:type="dxa"/>
            <w:shd w:val="clear" w:color="auto" w:fill="auto"/>
            <w:tcMar>
              <w:top w:w="29" w:type="dxa"/>
              <w:left w:w="115" w:type="dxa"/>
              <w:bottom w:w="29" w:type="dxa"/>
              <w:right w:w="115" w:type="dxa"/>
            </w:tcMar>
          </w:tcPr>
          <w:p w:rsidR="004F3A72" w:rsidRPr="0039175E" w:rsidRDefault="00D278D3"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https://agrotica.helexpo.gr/en</w:t>
            </w:r>
          </w:p>
        </w:tc>
        <w:tc>
          <w:tcPr>
            <w:tcW w:w="1559"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rPr>
                <w:rFonts w:ascii="Times New Roman" w:hAnsi="Times New Roman"/>
                <w:noProof/>
              </w:rPr>
            </w:pPr>
          </w:p>
        </w:tc>
      </w:tr>
      <w:tr w:rsidR="0010404D" w:rsidRPr="00B561E0" w:rsidTr="0039175E">
        <w:trPr>
          <w:trHeight w:val="234"/>
        </w:trPr>
        <w:tc>
          <w:tcPr>
            <w:tcW w:w="1270" w:type="dxa"/>
            <w:shd w:val="clear" w:color="auto" w:fill="auto"/>
            <w:tcMar>
              <w:top w:w="29" w:type="dxa"/>
              <w:left w:w="115" w:type="dxa"/>
              <w:bottom w:w="29" w:type="dxa"/>
              <w:right w:w="115" w:type="dxa"/>
            </w:tcMar>
          </w:tcPr>
          <w:p w:rsidR="0010404D" w:rsidRPr="00A601FC" w:rsidRDefault="0010404D" w:rsidP="00A601FC">
            <w:pPr>
              <w:spacing w:before="120" w:after="120" w:line="240" w:lineRule="auto"/>
              <w:jc w:val="both"/>
              <w:rPr>
                <w:rFonts w:ascii="Times New Roman" w:hAnsi="Times New Roman"/>
                <w:noProof/>
              </w:rPr>
            </w:pPr>
            <w:r w:rsidRPr="00A601FC">
              <w:rPr>
                <w:rFonts w:ascii="Times New Roman" w:hAnsi="Times New Roman"/>
                <w:noProof/>
              </w:rPr>
              <w:t>2022 11 03-05</w:t>
            </w:r>
          </w:p>
        </w:tc>
        <w:tc>
          <w:tcPr>
            <w:tcW w:w="4537" w:type="dxa"/>
            <w:shd w:val="clear" w:color="auto" w:fill="auto"/>
            <w:tcMar>
              <w:top w:w="29" w:type="dxa"/>
              <w:left w:w="115" w:type="dxa"/>
              <w:bottom w:w="29" w:type="dxa"/>
              <w:right w:w="115" w:type="dxa"/>
            </w:tcMar>
          </w:tcPr>
          <w:p w:rsidR="00084A2E" w:rsidRPr="00A601FC" w:rsidRDefault="0010404D" w:rsidP="00D84217">
            <w:pPr>
              <w:pStyle w:val="HTMLPreformatted"/>
              <w:jc w:val="both"/>
              <w:rPr>
                <w:noProof/>
                <w:sz w:val="22"/>
                <w:szCs w:val="22"/>
              </w:rPr>
            </w:pPr>
            <w:r w:rsidRPr="00A601FC">
              <w:rPr>
                <w:rFonts w:ascii="Times New Roman" w:hAnsi="Times New Roman" w:cs="Times New Roman"/>
                <w:noProof/>
                <w:sz w:val="22"/>
                <w:szCs w:val="22"/>
              </w:rPr>
              <w:t>9-oji Atėnų tarptautinė turizmo ir kultūros mugė 2022</w:t>
            </w:r>
            <w:r w:rsidR="00084A2E" w:rsidRPr="00A601FC">
              <w:rPr>
                <w:rFonts w:ascii="Times New Roman" w:hAnsi="Times New Roman" w:cs="Times New Roman"/>
                <w:noProof/>
                <w:sz w:val="22"/>
                <w:szCs w:val="22"/>
              </w:rPr>
              <w:t>. Parodoje</w:t>
            </w:r>
            <w:r w:rsidR="00084A2E" w:rsidRPr="00A601FC">
              <w:rPr>
                <w:rFonts w:ascii="Times New Roman" w:hAnsi="Times New Roman"/>
                <w:noProof/>
                <w:sz w:val="22"/>
                <w:szCs w:val="22"/>
              </w:rPr>
              <w:t xml:space="preserve"> pristatoma </w:t>
            </w:r>
            <w:r w:rsidR="00084A2E" w:rsidRPr="00A601FC">
              <w:rPr>
                <w:rFonts w:ascii="Times New Roman" w:hAnsi="Times New Roman" w:cs="Times New Roman"/>
                <w:sz w:val="22"/>
                <w:szCs w:val="22"/>
              </w:rPr>
              <w:t xml:space="preserve">turizmo regionai, turizmo organizacijos ir turizmo įmonės, </w:t>
            </w:r>
            <w:r w:rsidR="00232505" w:rsidRPr="00A601FC">
              <w:rPr>
                <w:rFonts w:ascii="Times New Roman" w:hAnsi="Times New Roman" w:cs="Times New Roman"/>
                <w:sz w:val="22"/>
                <w:szCs w:val="22"/>
              </w:rPr>
              <w:t>teikiančios laisvalaikio, verslo, sveikatingumo, gastronominio, kultūrinio turizmo paslaugas bei produktus</w:t>
            </w:r>
            <w:r w:rsidR="00B65B5A" w:rsidRPr="00A601FC">
              <w:rPr>
                <w:rFonts w:ascii="Times New Roman" w:hAnsi="Times New Roman" w:cs="Times New Roman"/>
                <w:sz w:val="22"/>
                <w:szCs w:val="22"/>
              </w:rPr>
              <w:t>.</w:t>
            </w:r>
            <w:r w:rsidR="00D84217">
              <w:rPr>
                <w:rFonts w:ascii="Times New Roman" w:hAnsi="Times New Roman" w:cs="Times New Roman"/>
                <w:sz w:val="22"/>
                <w:szCs w:val="22"/>
              </w:rPr>
              <w:t xml:space="preserve"> </w:t>
            </w:r>
            <w:r w:rsidR="00B65B5A" w:rsidRPr="00A601FC">
              <w:rPr>
                <w:rFonts w:ascii="Times New Roman" w:hAnsi="Times New Roman" w:cs="Times New Roman"/>
                <w:sz w:val="22"/>
                <w:szCs w:val="22"/>
              </w:rPr>
              <w:t>Pristatoma skaitmeninės technologijos ir viešbučių vadybos naujienos bei pasiekimai turizmo versle.</w:t>
            </w:r>
            <w:r w:rsidR="00232505" w:rsidRPr="00A601FC">
              <w:rPr>
                <w:rFonts w:ascii="Times New Roman" w:hAnsi="Times New Roman" w:cs="Times New Roman"/>
                <w:sz w:val="22"/>
                <w:szCs w:val="22"/>
              </w:rPr>
              <w:t xml:space="preserve"> </w:t>
            </w:r>
            <w:r w:rsidR="00084A2E" w:rsidRPr="00A601FC">
              <w:rPr>
                <w:noProof/>
                <w:sz w:val="22"/>
                <w:szCs w:val="22"/>
              </w:rPr>
              <w:t xml:space="preserve"> </w:t>
            </w:r>
          </w:p>
        </w:tc>
        <w:tc>
          <w:tcPr>
            <w:tcW w:w="2410" w:type="dxa"/>
            <w:shd w:val="clear" w:color="auto" w:fill="auto"/>
            <w:tcMar>
              <w:top w:w="29" w:type="dxa"/>
              <w:left w:w="115" w:type="dxa"/>
              <w:bottom w:w="29" w:type="dxa"/>
              <w:right w:w="115" w:type="dxa"/>
            </w:tcMar>
          </w:tcPr>
          <w:p w:rsidR="0010404D" w:rsidRPr="0039175E" w:rsidRDefault="0010404D" w:rsidP="0039175E">
            <w:pPr>
              <w:spacing w:before="120" w:after="120" w:line="240" w:lineRule="auto"/>
              <w:rPr>
                <w:rStyle w:val="Hyperlink"/>
                <w:rFonts w:ascii="Times New Roman" w:hAnsi="Times New Roman"/>
                <w:noProof/>
                <w:shd w:val="clear" w:color="auto" w:fill="FFFFFF"/>
              </w:rPr>
            </w:pPr>
            <w:r w:rsidRPr="0010404D">
              <w:rPr>
                <w:rStyle w:val="Hyperlink"/>
                <w:rFonts w:ascii="Times New Roman" w:hAnsi="Times New Roman"/>
                <w:noProof/>
                <w:shd w:val="clear" w:color="auto" w:fill="FFFFFF"/>
              </w:rPr>
              <w:t>https://aite.gr/en/for-exhibitors/exhibitors-profile/</w:t>
            </w:r>
          </w:p>
        </w:tc>
        <w:tc>
          <w:tcPr>
            <w:tcW w:w="1559" w:type="dxa"/>
            <w:shd w:val="clear" w:color="auto" w:fill="auto"/>
            <w:tcMar>
              <w:top w:w="29" w:type="dxa"/>
              <w:left w:w="115" w:type="dxa"/>
              <w:bottom w:w="29" w:type="dxa"/>
              <w:right w:w="115" w:type="dxa"/>
            </w:tcMar>
          </w:tcPr>
          <w:p w:rsidR="0010404D" w:rsidRPr="0039175E" w:rsidRDefault="0010404D" w:rsidP="0039175E">
            <w:pPr>
              <w:spacing w:before="120" w:after="120" w:line="240" w:lineRule="auto"/>
              <w:rPr>
                <w:rFonts w:ascii="Times New Roman" w:hAnsi="Times New Roman"/>
                <w:noProof/>
              </w:rPr>
            </w:pPr>
          </w:p>
        </w:tc>
      </w:tr>
      <w:tr w:rsidR="00F04E78" w:rsidRPr="00B561E0" w:rsidTr="0039175E">
        <w:trPr>
          <w:trHeight w:val="234"/>
        </w:trPr>
        <w:tc>
          <w:tcPr>
            <w:tcW w:w="127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lang w:val="en-US"/>
              </w:rPr>
            </w:pPr>
            <w:r w:rsidRPr="0039175E">
              <w:rPr>
                <w:rFonts w:ascii="Times New Roman" w:hAnsi="Times New Roman"/>
                <w:noProof/>
                <w:lang w:val="en-US"/>
              </w:rPr>
              <w:t>2022 11 03-06</w:t>
            </w:r>
          </w:p>
        </w:tc>
        <w:tc>
          <w:tcPr>
            <w:tcW w:w="4537"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jc w:val="both"/>
              <w:rPr>
                <w:rFonts w:ascii="Times New Roman" w:hAnsi="Times New Roman"/>
                <w:noProof/>
              </w:rPr>
            </w:pPr>
            <w:r w:rsidRPr="0039175E">
              <w:rPr>
                <w:rFonts w:ascii="Times New Roman" w:hAnsi="Times New Roman"/>
                <w:noProof/>
              </w:rPr>
              <w:t xml:space="preserve">6-oji tarptautinė šiuolaikinio meno mugė Art-Thessaloniki. Art-Thessaloniki yra rinkodaros platforma </w:t>
            </w:r>
            <w:r w:rsidR="00DA78C8" w:rsidRPr="0039175E">
              <w:rPr>
                <w:rFonts w:ascii="Times New Roman" w:hAnsi="Times New Roman"/>
                <w:noProof/>
              </w:rPr>
              <w:t xml:space="preserve">skirta </w:t>
            </w:r>
            <w:r w:rsidRPr="0039175E">
              <w:rPr>
                <w:rFonts w:ascii="Times New Roman" w:hAnsi="Times New Roman"/>
                <w:noProof/>
              </w:rPr>
              <w:t>galerijoms, meno kūrėjams ir kitoms institucijoms</w:t>
            </w:r>
            <w:r w:rsidR="00A57C1F" w:rsidRPr="0039175E">
              <w:rPr>
                <w:rFonts w:ascii="Times New Roman" w:hAnsi="Times New Roman"/>
                <w:noProof/>
              </w:rPr>
              <w:t xml:space="preserve"> kontaktams užmegz</w:t>
            </w:r>
            <w:r w:rsidR="00DA78C8" w:rsidRPr="0039175E">
              <w:rPr>
                <w:rFonts w:ascii="Times New Roman" w:hAnsi="Times New Roman"/>
                <w:noProof/>
              </w:rPr>
              <w:t>ti ir jiems plėtoti.</w:t>
            </w:r>
          </w:p>
        </w:tc>
        <w:tc>
          <w:tcPr>
            <w:tcW w:w="241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https://art-thessaloniki.helexpo.gr/en</w:t>
            </w:r>
          </w:p>
        </w:tc>
        <w:tc>
          <w:tcPr>
            <w:tcW w:w="1559"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rPr>
            </w:pPr>
          </w:p>
        </w:tc>
      </w:tr>
      <w:tr w:rsidR="00A46E3C" w:rsidRPr="00B561E0" w:rsidTr="0039175E">
        <w:trPr>
          <w:trHeight w:val="234"/>
        </w:trPr>
        <w:tc>
          <w:tcPr>
            <w:tcW w:w="127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r w:rsidRPr="0039175E">
              <w:rPr>
                <w:rFonts w:ascii="Times New Roman" w:hAnsi="Times New Roman"/>
                <w:noProof/>
              </w:rPr>
              <w:t>2022 11 12-14</w:t>
            </w:r>
          </w:p>
        </w:tc>
        <w:tc>
          <w:tcPr>
            <w:tcW w:w="4537"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jc w:val="both"/>
              <w:rPr>
                <w:rFonts w:ascii="Times New Roman" w:hAnsi="Times New Roman"/>
                <w:noProof/>
              </w:rPr>
            </w:pPr>
            <w:r w:rsidRPr="0039175E">
              <w:rPr>
                <w:rFonts w:ascii="Times New Roman" w:hAnsi="Times New Roman"/>
                <w:noProof/>
              </w:rPr>
              <w:t xml:space="preserve">7-oji tarptautinė </w:t>
            </w:r>
            <w:r w:rsidR="007903AE" w:rsidRPr="0039175E">
              <w:rPr>
                <w:rFonts w:ascii="Times New Roman" w:hAnsi="Times New Roman"/>
                <w:noProof/>
              </w:rPr>
              <w:t xml:space="preserve">specializuota </w:t>
            </w:r>
            <w:r w:rsidRPr="0039175E">
              <w:rPr>
                <w:rFonts w:ascii="Times New Roman" w:hAnsi="Times New Roman"/>
                <w:noProof/>
              </w:rPr>
              <w:t>paroda Mėsos ir Grilio dienos (Meat</w:t>
            </w:r>
            <w:r w:rsidRPr="0039175E">
              <w:rPr>
                <w:rFonts w:ascii="Times New Roman" w:hAnsi="Times New Roman"/>
                <w:noProof/>
                <w:lang w:val="el-GR"/>
              </w:rPr>
              <w:t>&amp;</w:t>
            </w:r>
            <w:r w:rsidRPr="001506C5">
              <w:rPr>
                <w:rFonts w:ascii="Times New Roman" w:hAnsi="Times New Roman"/>
                <w:noProof/>
                <w:lang w:val="es-CU"/>
              </w:rPr>
              <w:t>Grill Days)</w:t>
            </w:r>
            <w:r w:rsidRPr="0039175E">
              <w:rPr>
                <w:rFonts w:ascii="Times New Roman" w:hAnsi="Times New Roman"/>
                <w:noProof/>
              </w:rPr>
              <w:t xml:space="preserve"> Atėnuose. </w:t>
            </w:r>
            <w:r w:rsidR="007903AE" w:rsidRPr="0039175E">
              <w:rPr>
                <w:rFonts w:ascii="Times New Roman" w:hAnsi="Times New Roman"/>
                <w:noProof/>
              </w:rPr>
              <w:t>Skirta mėsai ir jos produktams - nuo gamybos ir perdirbimo iki pateikimo galutiniam vartotojui ir viešojo maitinimo įstaigoms.</w:t>
            </w:r>
          </w:p>
        </w:tc>
        <w:tc>
          <w:tcPr>
            <w:tcW w:w="241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https://www.meatdays.com/en/</w:t>
            </w:r>
          </w:p>
        </w:tc>
        <w:tc>
          <w:tcPr>
            <w:tcW w:w="1559"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p>
        </w:tc>
      </w:tr>
      <w:tr w:rsidR="00CA19A6" w:rsidRPr="00B561E0" w:rsidTr="00CA19A6">
        <w:trPr>
          <w:trHeight w:val="528"/>
        </w:trPr>
        <w:tc>
          <w:tcPr>
            <w:tcW w:w="1270" w:type="dxa"/>
            <w:shd w:val="clear" w:color="auto" w:fill="auto"/>
            <w:tcMar>
              <w:top w:w="29" w:type="dxa"/>
              <w:left w:w="115" w:type="dxa"/>
              <w:bottom w:w="29" w:type="dxa"/>
              <w:right w:w="115" w:type="dxa"/>
            </w:tcMar>
          </w:tcPr>
          <w:p w:rsidR="00CA19A6" w:rsidRPr="0039175E" w:rsidRDefault="00CA19A6" w:rsidP="0039175E">
            <w:pPr>
              <w:spacing w:before="120" w:after="120" w:line="240" w:lineRule="auto"/>
              <w:rPr>
                <w:rFonts w:ascii="Times New Roman" w:hAnsi="Times New Roman"/>
                <w:noProof/>
              </w:rPr>
            </w:pPr>
            <w:r>
              <w:rPr>
                <w:rFonts w:ascii="Times New Roman" w:hAnsi="Times New Roman"/>
                <w:noProof/>
              </w:rPr>
              <w:t>2022 11 11-15</w:t>
            </w:r>
          </w:p>
        </w:tc>
        <w:tc>
          <w:tcPr>
            <w:tcW w:w="4537" w:type="dxa"/>
            <w:shd w:val="clear" w:color="auto" w:fill="auto"/>
            <w:tcMar>
              <w:top w:w="29" w:type="dxa"/>
              <w:left w:w="115" w:type="dxa"/>
              <w:bottom w:w="29" w:type="dxa"/>
              <w:right w:w="115" w:type="dxa"/>
            </w:tcMar>
          </w:tcPr>
          <w:p w:rsidR="00CA19A6" w:rsidRPr="00CA19A6" w:rsidRDefault="00CA19A6" w:rsidP="00CA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lt-LT"/>
              </w:rPr>
            </w:pPr>
            <w:r w:rsidRPr="00CA19A6">
              <w:rPr>
                <w:rFonts w:ascii="Times New Roman" w:eastAsia="Times New Roman" w:hAnsi="Times New Roman"/>
                <w:lang w:eastAsia="lt-LT"/>
              </w:rPr>
              <w:t xml:space="preserve">5-asis </w:t>
            </w:r>
            <w:proofErr w:type="spellStart"/>
            <w:r w:rsidRPr="00CA19A6">
              <w:rPr>
                <w:rFonts w:ascii="Times New Roman" w:eastAsia="Times New Roman" w:hAnsi="Times New Roman"/>
                <w:lang w:eastAsia="lt-LT"/>
              </w:rPr>
              <w:t>Agr</w:t>
            </w:r>
            <w:r>
              <w:rPr>
                <w:rFonts w:ascii="Times New Roman" w:eastAsia="Times New Roman" w:hAnsi="Times New Roman"/>
                <w:lang w:eastAsia="lt-LT"/>
              </w:rPr>
              <w:t>o</w:t>
            </w:r>
            <w:r w:rsidRPr="00CA19A6">
              <w:rPr>
                <w:rFonts w:ascii="Times New Roman" w:eastAsia="Times New Roman" w:hAnsi="Times New Roman"/>
                <w:lang w:eastAsia="lt-LT"/>
              </w:rPr>
              <w:t>Business</w:t>
            </w:r>
            <w:proofErr w:type="spellEnd"/>
            <w:r w:rsidRPr="00CA19A6">
              <w:rPr>
                <w:rFonts w:ascii="Times New Roman" w:eastAsia="Times New Roman" w:hAnsi="Times New Roman"/>
                <w:lang w:eastAsia="lt-LT"/>
              </w:rPr>
              <w:t xml:space="preserve"> Forumas</w:t>
            </w:r>
            <w:r>
              <w:rPr>
                <w:rFonts w:ascii="Times New Roman" w:eastAsia="Times New Roman" w:hAnsi="Times New Roman"/>
                <w:lang w:eastAsia="lt-LT"/>
              </w:rPr>
              <w:t>, skirtas</w:t>
            </w:r>
            <w:r w:rsidRPr="00CA19A6">
              <w:rPr>
                <w:rFonts w:ascii="Times New Roman" w:eastAsia="Times New Roman" w:hAnsi="Times New Roman"/>
                <w:lang w:eastAsia="lt-LT"/>
              </w:rPr>
              <w:t xml:space="preserve"> maisto saugos, saugumo ir atsparumo </w:t>
            </w:r>
            <w:r>
              <w:rPr>
                <w:rFonts w:ascii="Times New Roman" w:eastAsia="Times New Roman" w:hAnsi="Times New Roman"/>
                <w:lang w:eastAsia="lt-LT"/>
              </w:rPr>
              <w:t xml:space="preserve"> dėl </w:t>
            </w:r>
            <w:r w:rsidRPr="00CA19A6">
              <w:rPr>
                <w:rFonts w:ascii="Times New Roman" w:eastAsia="Times New Roman" w:hAnsi="Times New Roman"/>
                <w:lang w:eastAsia="lt-LT"/>
              </w:rPr>
              <w:t xml:space="preserve">ateities </w:t>
            </w:r>
            <w:r>
              <w:rPr>
                <w:rFonts w:ascii="Times New Roman" w:eastAsia="Times New Roman" w:hAnsi="Times New Roman"/>
                <w:lang w:eastAsia="lt-LT"/>
              </w:rPr>
              <w:lastRenderedPageBreak/>
              <w:t>neapibrėžtumo. Bus 8 aukšto lygio sesijo</w:t>
            </w:r>
            <w:r w:rsidRPr="00CA19A6">
              <w:rPr>
                <w:rFonts w:ascii="Times New Roman" w:eastAsia="Times New Roman" w:hAnsi="Times New Roman"/>
                <w:lang w:eastAsia="lt-LT"/>
              </w:rPr>
              <w:t xml:space="preserve">s ir 35 </w:t>
            </w:r>
            <w:r>
              <w:rPr>
                <w:rFonts w:ascii="Times New Roman" w:eastAsia="Times New Roman" w:hAnsi="Times New Roman"/>
                <w:lang w:eastAsia="lt-LT"/>
              </w:rPr>
              <w:t>žinomais</w:t>
            </w:r>
            <w:r w:rsidRPr="00CA19A6">
              <w:rPr>
                <w:rFonts w:ascii="Times New Roman" w:eastAsia="Times New Roman" w:hAnsi="Times New Roman"/>
                <w:lang w:eastAsia="lt-LT"/>
              </w:rPr>
              <w:t xml:space="preserve"> prane</w:t>
            </w:r>
            <w:r>
              <w:rPr>
                <w:rFonts w:ascii="Times New Roman" w:eastAsia="Times New Roman" w:hAnsi="Times New Roman"/>
                <w:lang w:eastAsia="lt-LT"/>
              </w:rPr>
              <w:t>šėjais iš Graikijos ir užsienio.</w:t>
            </w:r>
          </w:p>
        </w:tc>
        <w:tc>
          <w:tcPr>
            <w:tcW w:w="2410" w:type="dxa"/>
            <w:shd w:val="clear" w:color="auto" w:fill="auto"/>
            <w:tcMar>
              <w:top w:w="29" w:type="dxa"/>
              <w:left w:w="115" w:type="dxa"/>
              <w:bottom w:w="29" w:type="dxa"/>
              <w:right w:w="115" w:type="dxa"/>
            </w:tcMar>
          </w:tcPr>
          <w:p w:rsidR="00CA19A6" w:rsidRPr="0039175E" w:rsidRDefault="009971D4" w:rsidP="0039175E">
            <w:pPr>
              <w:spacing w:before="120" w:after="120" w:line="240" w:lineRule="auto"/>
              <w:rPr>
                <w:rStyle w:val="Hyperlink"/>
                <w:rFonts w:ascii="Times New Roman" w:hAnsi="Times New Roman"/>
                <w:noProof/>
                <w:shd w:val="clear" w:color="auto" w:fill="FFFFFF"/>
              </w:rPr>
            </w:pPr>
            <w:r w:rsidRPr="009971D4">
              <w:rPr>
                <w:rStyle w:val="Hyperlink"/>
                <w:rFonts w:ascii="Times New Roman" w:hAnsi="Times New Roman"/>
                <w:noProof/>
                <w:shd w:val="clear" w:color="auto" w:fill="FFFFFF"/>
              </w:rPr>
              <w:lastRenderedPageBreak/>
              <w:t>https://agribusinessforum.org/the-5th-international-</w:t>
            </w:r>
            <w:r w:rsidRPr="009971D4">
              <w:rPr>
                <w:rStyle w:val="Hyperlink"/>
                <w:rFonts w:ascii="Times New Roman" w:hAnsi="Times New Roman"/>
                <w:noProof/>
                <w:shd w:val="clear" w:color="auto" w:fill="FFFFFF"/>
              </w:rPr>
              <w:lastRenderedPageBreak/>
              <w:t>agribusiness-forum-15-16-11-2022-is-held-at-the-european-parliament-office-in-greece/</w:t>
            </w:r>
          </w:p>
        </w:tc>
        <w:tc>
          <w:tcPr>
            <w:tcW w:w="1559" w:type="dxa"/>
            <w:shd w:val="clear" w:color="auto" w:fill="auto"/>
            <w:tcMar>
              <w:top w:w="29" w:type="dxa"/>
              <w:left w:w="115" w:type="dxa"/>
              <w:bottom w:w="29" w:type="dxa"/>
              <w:right w:w="115" w:type="dxa"/>
            </w:tcMar>
          </w:tcPr>
          <w:p w:rsidR="00CA19A6" w:rsidRPr="0039175E" w:rsidRDefault="00CA19A6" w:rsidP="0039175E">
            <w:pPr>
              <w:spacing w:before="120" w:after="120" w:line="240" w:lineRule="auto"/>
              <w:rPr>
                <w:rFonts w:ascii="Times New Roman" w:hAnsi="Times New Roman"/>
                <w:noProof/>
              </w:rPr>
            </w:pPr>
          </w:p>
        </w:tc>
      </w:tr>
      <w:tr w:rsidR="00713CF6" w:rsidRPr="00B561E0" w:rsidTr="0039175E">
        <w:trPr>
          <w:trHeight w:val="234"/>
        </w:trPr>
        <w:tc>
          <w:tcPr>
            <w:tcW w:w="1270"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r w:rsidRPr="0039175E">
              <w:rPr>
                <w:rFonts w:ascii="Times New Roman" w:hAnsi="Times New Roman"/>
                <w:noProof/>
              </w:rPr>
              <w:t>2022 11 25 - 27</w:t>
            </w:r>
          </w:p>
        </w:tc>
        <w:tc>
          <w:tcPr>
            <w:tcW w:w="4537" w:type="dxa"/>
            <w:shd w:val="clear" w:color="auto" w:fill="auto"/>
            <w:tcMar>
              <w:top w:w="29" w:type="dxa"/>
              <w:left w:w="115" w:type="dxa"/>
              <w:bottom w:w="29" w:type="dxa"/>
              <w:right w:w="115" w:type="dxa"/>
            </w:tcMar>
          </w:tcPr>
          <w:p w:rsidR="00713CF6" w:rsidRPr="001506C5" w:rsidRDefault="00713CF6" w:rsidP="0039175E">
            <w:pPr>
              <w:spacing w:before="120" w:after="120" w:line="240" w:lineRule="auto"/>
              <w:jc w:val="both"/>
              <w:rPr>
                <w:rFonts w:ascii="Times New Roman" w:hAnsi="Times New Roman"/>
                <w:noProof/>
              </w:rPr>
            </w:pPr>
            <w:r w:rsidRPr="0039175E">
              <w:rPr>
                <w:rFonts w:ascii="Times New Roman" w:hAnsi="Times New Roman"/>
                <w:noProof/>
              </w:rPr>
              <w:t>9-oji Atėnų turizmo ir kultūros paroda AIT EXPO 2022.</w:t>
            </w:r>
            <w:r w:rsidR="00EE66AC" w:rsidRPr="0039175E">
              <w:rPr>
                <w:rFonts w:ascii="Times New Roman" w:hAnsi="Times New Roman"/>
                <w:noProof/>
              </w:rPr>
              <w:t xml:space="preserve"> Parodoje pristatoma: kultūrinis turizmas, turizmo IT spredimai, gastronomija, alternatyvus turizmas, Graikijos kryptys ir vietos, apgyvendinimas, jūrų turizmas, agentūros, konferencinis turizmas, paslaugos, skirtos viešbučiams, turizmo vienetams ir vietoms.</w:t>
            </w:r>
          </w:p>
        </w:tc>
        <w:tc>
          <w:tcPr>
            <w:tcW w:w="2410" w:type="dxa"/>
            <w:shd w:val="clear" w:color="auto" w:fill="auto"/>
            <w:tcMar>
              <w:top w:w="29" w:type="dxa"/>
              <w:left w:w="115" w:type="dxa"/>
              <w:bottom w:w="29" w:type="dxa"/>
              <w:right w:w="115" w:type="dxa"/>
            </w:tcMar>
          </w:tcPr>
          <w:p w:rsidR="00713CF6" w:rsidRPr="0039175E" w:rsidRDefault="00EE66A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https://aite.gr/en/</w:t>
            </w:r>
          </w:p>
        </w:tc>
        <w:tc>
          <w:tcPr>
            <w:tcW w:w="1559"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p>
        </w:tc>
      </w:tr>
      <w:tr w:rsidR="00813DCF" w:rsidRPr="00B561E0" w:rsidTr="0039175E">
        <w:trPr>
          <w:trHeight w:val="234"/>
        </w:trPr>
        <w:tc>
          <w:tcPr>
            <w:tcW w:w="1270" w:type="dxa"/>
            <w:shd w:val="clear" w:color="auto" w:fill="auto"/>
            <w:tcMar>
              <w:top w:w="29" w:type="dxa"/>
              <w:left w:w="115" w:type="dxa"/>
              <w:bottom w:w="29" w:type="dxa"/>
              <w:right w:w="115" w:type="dxa"/>
            </w:tcMar>
          </w:tcPr>
          <w:p w:rsidR="00813DCF" w:rsidRDefault="00813DCF" w:rsidP="0039175E">
            <w:pPr>
              <w:spacing w:before="120" w:after="120" w:line="240" w:lineRule="auto"/>
              <w:rPr>
                <w:rFonts w:ascii="Times New Roman" w:hAnsi="Times New Roman"/>
                <w:noProof/>
              </w:rPr>
            </w:pPr>
            <w:r>
              <w:rPr>
                <w:rFonts w:ascii="Times New Roman" w:hAnsi="Times New Roman"/>
                <w:noProof/>
              </w:rPr>
              <w:t>2022 11 30</w:t>
            </w:r>
          </w:p>
          <w:p w:rsidR="00813DCF" w:rsidRPr="0039175E" w:rsidRDefault="00813DCF" w:rsidP="0039175E">
            <w:pPr>
              <w:spacing w:before="120" w:after="120" w:line="240" w:lineRule="auto"/>
              <w:rPr>
                <w:rFonts w:ascii="Times New Roman" w:hAnsi="Times New Roman"/>
                <w:noProof/>
              </w:rPr>
            </w:pPr>
            <w:r>
              <w:rPr>
                <w:rFonts w:ascii="Times New Roman" w:hAnsi="Times New Roman"/>
                <w:noProof/>
              </w:rPr>
              <w:t>2022 12 01</w:t>
            </w:r>
          </w:p>
        </w:tc>
        <w:tc>
          <w:tcPr>
            <w:tcW w:w="4537" w:type="dxa"/>
            <w:shd w:val="clear" w:color="auto" w:fill="auto"/>
            <w:tcMar>
              <w:top w:w="29" w:type="dxa"/>
              <w:left w:w="115" w:type="dxa"/>
              <w:bottom w:w="29" w:type="dxa"/>
              <w:right w:w="115" w:type="dxa"/>
            </w:tcMar>
          </w:tcPr>
          <w:p w:rsidR="00813DCF" w:rsidRPr="00813DCF" w:rsidRDefault="00813DCF" w:rsidP="0081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proofErr w:type="spellStart"/>
            <w:r w:rsidRPr="00813DCF">
              <w:rPr>
                <w:rFonts w:ascii="Times New Roman" w:eastAsia="Times New Roman" w:hAnsi="Times New Roman"/>
                <w:lang w:eastAsia="lt-LT"/>
              </w:rPr>
              <w:t>Economist</w:t>
            </w:r>
            <w:proofErr w:type="spellEnd"/>
            <w:r w:rsidRPr="00813DCF">
              <w:rPr>
                <w:rFonts w:ascii="Times New Roman" w:eastAsia="Times New Roman" w:hAnsi="Times New Roman"/>
                <w:lang w:eastAsia="lt-LT"/>
              </w:rPr>
              <w:t xml:space="preserve"> rengiamas 6-asis metinis Pietryčių Europos ir Rytų Viduržemio jūros regiono šalių ekonomistų tvarumo viršūnių susitikimas Atėnuose</w:t>
            </w:r>
          </w:p>
        </w:tc>
        <w:tc>
          <w:tcPr>
            <w:tcW w:w="2410" w:type="dxa"/>
            <w:shd w:val="clear" w:color="auto" w:fill="auto"/>
            <w:tcMar>
              <w:top w:w="29" w:type="dxa"/>
              <w:left w:w="115" w:type="dxa"/>
              <w:bottom w:w="29" w:type="dxa"/>
              <w:right w:w="115" w:type="dxa"/>
            </w:tcMar>
          </w:tcPr>
          <w:p w:rsidR="00813DCF" w:rsidRPr="0039175E" w:rsidRDefault="002C5818" w:rsidP="0039175E">
            <w:pPr>
              <w:spacing w:before="120" w:after="120" w:line="240" w:lineRule="auto"/>
              <w:rPr>
                <w:rStyle w:val="Hyperlink"/>
                <w:rFonts w:ascii="Times New Roman" w:hAnsi="Times New Roman"/>
                <w:noProof/>
                <w:shd w:val="clear" w:color="auto" w:fill="FFFFFF"/>
              </w:rPr>
            </w:pPr>
            <w:r w:rsidRPr="002C5818">
              <w:rPr>
                <w:rStyle w:val="Hyperlink"/>
                <w:rFonts w:ascii="Times New Roman" w:hAnsi="Times New Roman"/>
                <w:noProof/>
                <w:shd w:val="clear" w:color="auto" w:fill="FFFFFF"/>
              </w:rPr>
              <w:t>https://events.economist.com/events-conferences/the-6th-sustainability-summit-for-south-east-europe-and-the-mediterranean/</w:t>
            </w:r>
          </w:p>
        </w:tc>
        <w:tc>
          <w:tcPr>
            <w:tcW w:w="1559" w:type="dxa"/>
            <w:shd w:val="clear" w:color="auto" w:fill="auto"/>
            <w:tcMar>
              <w:top w:w="29" w:type="dxa"/>
              <w:left w:w="115" w:type="dxa"/>
              <w:bottom w:w="29" w:type="dxa"/>
              <w:right w:w="115" w:type="dxa"/>
            </w:tcMar>
          </w:tcPr>
          <w:p w:rsidR="00813DCF" w:rsidRPr="0039175E" w:rsidRDefault="00813DCF" w:rsidP="0039175E">
            <w:pPr>
              <w:spacing w:before="120" w:after="120" w:line="240" w:lineRule="auto"/>
              <w:rPr>
                <w:rFonts w:ascii="Times New Roman" w:hAnsi="Times New Roman"/>
                <w:noProof/>
              </w:rPr>
            </w:pPr>
          </w:p>
        </w:tc>
      </w:tr>
      <w:tr w:rsidR="00E438BD" w:rsidRPr="00B561E0" w:rsidTr="0039175E">
        <w:trPr>
          <w:trHeight w:val="234"/>
        </w:trPr>
        <w:tc>
          <w:tcPr>
            <w:tcW w:w="1270"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r>
              <w:rPr>
                <w:rFonts w:ascii="Times New Roman" w:hAnsi="Times New Roman"/>
                <w:noProof/>
              </w:rPr>
              <w:t>2022 12 05-06</w:t>
            </w:r>
          </w:p>
        </w:tc>
        <w:tc>
          <w:tcPr>
            <w:tcW w:w="4537" w:type="dxa"/>
            <w:shd w:val="clear" w:color="auto" w:fill="auto"/>
            <w:tcMar>
              <w:top w:w="29" w:type="dxa"/>
              <w:left w:w="115" w:type="dxa"/>
              <w:bottom w:w="29" w:type="dxa"/>
              <w:right w:w="115" w:type="dxa"/>
            </w:tcMar>
          </w:tcPr>
          <w:p w:rsidR="00E438BD" w:rsidRPr="00E438BD" w:rsidRDefault="00E438BD" w:rsidP="009A69C4">
            <w:pPr>
              <w:pStyle w:val="HTMLPreformatted"/>
              <w:jc w:val="both"/>
              <w:rPr>
                <w:rFonts w:ascii="Times New Roman" w:hAnsi="Times New Roman" w:cs="Times New Roman"/>
                <w:sz w:val="22"/>
                <w:szCs w:val="22"/>
              </w:rPr>
            </w:pPr>
            <w:r w:rsidRPr="00E438BD">
              <w:rPr>
                <w:rStyle w:val="y2iqfc"/>
                <w:rFonts w:ascii="Times New Roman" w:hAnsi="Times New Roman" w:cs="Times New Roman"/>
                <w:sz w:val="22"/>
                <w:szCs w:val="22"/>
              </w:rPr>
              <w:t xml:space="preserve">2022 m. </w:t>
            </w:r>
            <w:r w:rsidR="00396142" w:rsidRPr="00396142">
              <w:rPr>
                <w:rStyle w:val="y2iqfc"/>
                <w:rFonts w:ascii="Times New Roman" w:hAnsi="Times New Roman" w:cs="Times New Roman"/>
                <w:sz w:val="22"/>
                <w:szCs w:val="22"/>
              </w:rPr>
              <w:t>Balkanų ir Juodosios jūros forumas yra nepriklausoma ekonomikos platforma ir pagrindinis aukščiausiojo lygio susitikimas,</w:t>
            </w:r>
            <w:r w:rsidR="009A69C4">
              <w:rPr>
                <w:rStyle w:val="y2iqfc"/>
                <w:rFonts w:ascii="Times New Roman" w:hAnsi="Times New Roman" w:cs="Times New Roman"/>
                <w:sz w:val="22"/>
                <w:szCs w:val="22"/>
              </w:rPr>
              <w:t xml:space="preserve"> kuris </w:t>
            </w:r>
            <w:r w:rsidR="00396142" w:rsidRPr="00396142">
              <w:rPr>
                <w:rStyle w:val="y2iqfc"/>
                <w:rFonts w:ascii="Times New Roman" w:hAnsi="Times New Roman" w:cs="Times New Roman"/>
                <w:sz w:val="22"/>
                <w:szCs w:val="22"/>
              </w:rPr>
              <w:t xml:space="preserve"> skirtas verslo ir politikos formuotojams,</w:t>
            </w:r>
            <w:r w:rsidR="009A69C4">
              <w:rPr>
                <w:rStyle w:val="y2iqfc"/>
                <w:rFonts w:ascii="Times New Roman" w:hAnsi="Times New Roman" w:cs="Times New Roman"/>
                <w:sz w:val="22"/>
                <w:szCs w:val="22"/>
              </w:rPr>
              <w:t xml:space="preserve"> ekspertų grupėms bei akademinės bendruomenės atstovams,</w:t>
            </w:r>
            <w:r w:rsidR="00396142" w:rsidRPr="00396142">
              <w:rPr>
                <w:rStyle w:val="y2iqfc"/>
                <w:rFonts w:ascii="Times New Roman" w:hAnsi="Times New Roman" w:cs="Times New Roman"/>
                <w:sz w:val="22"/>
                <w:szCs w:val="22"/>
              </w:rPr>
              <w:t xml:space="preserve"> įsipareigojusiems stiprinti stabilumą, augimą ir bendradarbiavimą Balkanų ir Juodosios jūros regionuose. </w:t>
            </w:r>
            <w:r w:rsidRPr="00E438BD">
              <w:rPr>
                <w:rStyle w:val="y2iqfc"/>
                <w:rFonts w:ascii="Times New Roman" w:hAnsi="Times New Roman" w:cs="Times New Roman"/>
                <w:sz w:val="22"/>
                <w:szCs w:val="22"/>
              </w:rPr>
              <w:t>Konfliktų ir nuolatinių trikdžių pasaulyje BBSF2022 siekia nutiesti kelią nuoširdžiam, nuosekliam ir konstruktyviam keitimuisi nuomonėmis ir dialogui, kurio šiandien reikia labiau nei bet kada anksčiau.</w:t>
            </w:r>
            <w:r w:rsidR="00396142">
              <w:rPr>
                <w:rStyle w:val="y2iqfc"/>
                <w:rFonts w:ascii="Times New Roman" w:hAnsi="Times New Roman" w:cs="Times New Roman"/>
                <w:sz w:val="22"/>
                <w:szCs w:val="22"/>
              </w:rPr>
              <w:t xml:space="preserve"> </w:t>
            </w:r>
            <w:r w:rsidRPr="00E438BD">
              <w:rPr>
                <w:rStyle w:val="y2iqfc"/>
                <w:rFonts w:ascii="Times New Roman" w:hAnsi="Times New Roman" w:cs="Times New Roman"/>
                <w:sz w:val="22"/>
                <w:szCs w:val="22"/>
              </w:rPr>
              <w:t xml:space="preserve">Konferencija apims 6 aukšto lygio sesijas, 30 pagrindinių sričių ir 35 pranešėjus iš Graikijos ir pasaulio. </w:t>
            </w:r>
          </w:p>
        </w:tc>
        <w:tc>
          <w:tcPr>
            <w:tcW w:w="2410" w:type="dxa"/>
            <w:shd w:val="clear" w:color="auto" w:fill="auto"/>
            <w:tcMar>
              <w:top w:w="29" w:type="dxa"/>
              <w:left w:w="115" w:type="dxa"/>
              <w:bottom w:w="29" w:type="dxa"/>
              <w:right w:w="115" w:type="dxa"/>
            </w:tcMar>
          </w:tcPr>
          <w:p w:rsidR="00E438BD" w:rsidRPr="00E438BD" w:rsidRDefault="00EA22F6" w:rsidP="00E438BD">
            <w:pPr>
              <w:rPr>
                <w:rFonts w:ascii="Times New Roman" w:eastAsiaTheme="minorHAnsi" w:hAnsi="Times New Roman"/>
              </w:rPr>
            </w:pPr>
            <w:hyperlink r:id="rId7" w:tgtFrame="_blank" w:history="1">
              <w:r w:rsidR="00E438BD" w:rsidRPr="00E438BD">
                <w:rPr>
                  <w:rStyle w:val="Hyperlink"/>
                  <w:rFonts w:ascii="Times New Roman" w:hAnsi="Times New Roman"/>
                </w:rPr>
                <w:t>https://balkansblackseaforum.org/</w:t>
              </w:r>
            </w:hyperlink>
            <w:r w:rsidR="00E438BD" w:rsidRPr="00E438BD">
              <w:rPr>
                <w:rFonts w:ascii="Times New Roman" w:hAnsi="Times New Roman"/>
              </w:rPr>
              <w:t> </w:t>
            </w:r>
          </w:p>
          <w:p w:rsidR="00E438BD" w:rsidRPr="00E438BD" w:rsidRDefault="00EA22F6" w:rsidP="00E438BD">
            <w:pPr>
              <w:rPr>
                <w:rFonts w:ascii="Times New Roman" w:hAnsi="Times New Roman"/>
              </w:rPr>
            </w:pPr>
            <w:hyperlink r:id="rId8" w:tgtFrame="_blank" w:history="1">
              <w:r w:rsidR="00E438BD" w:rsidRPr="00E438BD">
                <w:rPr>
                  <w:rStyle w:val="Hyperlink"/>
                  <w:rFonts w:ascii="Times New Roman" w:hAnsi="Times New Roman"/>
                </w:rPr>
                <w:t>https://balkansblackseaforum.org/bbsf-news/</w:t>
              </w:r>
            </w:hyperlink>
          </w:p>
          <w:p w:rsidR="00E438BD" w:rsidRPr="0039175E" w:rsidRDefault="00EA22F6" w:rsidP="00E438BD">
            <w:pPr>
              <w:spacing w:before="120" w:after="120" w:line="240" w:lineRule="auto"/>
              <w:rPr>
                <w:rStyle w:val="Hyperlink"/>
                <w:rFonts w:ascii="Times New Roman" w:hAnsi="Times New Roman"/>
                <w:noProof/>
                <w:shd w:val="clear" w:color="auto" w:fill="FFFFFF"/>
              </w:rPr>
            </w:pPr>
            <w:hyperlink r:id="rId9" w:history="1">
              <w:r w:rsidR="00E438BD" w:rsidRPr="00E438BD">
                <w:rPr>
                  <w:rStyle w:val="Hyperlink"/>
                  <w:rFonts w:ascii="Times New Roman" w:hAnsi="Times New Roman"/>
                </w:rPr>
                <w:t>https://balkansblackseaforum.org/high-level-meeting-with-the-ambassador-of-lithuania-for-bbsf2022/</w:t>
              </w:r>
            </w:hyperlink>
          </w:p>
        </w:tc>
        <w:tc>
          <w:tcPr>
            <w:tcW w:w="1559"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p>
        </w:tc>
      </w:tr>
      <w:tr w:rsidR="00824061" w:rsidRPr="00B561E0" w:rsidTr="0039175E">
        <w:trPr>
          <w:trHeight w:val="234"/>
        </w:trPr>
        <w:tc>
          <w:tcPr>
            <w:tcW w:w="1270" w:type="dxa"/>
            <w:shd w:val="clear" w:color="auto" w:fill="auto"/>
            <w:tcMar>
              <w:top w:w="29" w:type="dxa"/>
              <w:left w:w="115" w:type="dxa"/>
              <w:bottom w:w="29" w:type="dxa"/>
              <w:right w:w="115" w:type="dxa"/>
            </w:tcMar>
          </w:tcPr>
          <w:p w:rsidR="00824061" w:rsidRDefault="00824061" w:rsidP="0039175E">
            <w:pPr>
              <w:spacing w:before="120" w:after="120" w:line="240" w:lineRule="auto"/>
              <w:rPr>
                <w:rFonts w:ascii="Times New Roman" w:hAnsi="Times New Roman"/>
                <w:noProof/>
              </w:rPr>
            </w:pPr>
            <w:r>
              <w:rPr>
                <w:rFonts w:ascii="Times New Roman" w:hAnsi="Times New Roman"/>
                <w:noProof/>
              </w:rPr>
              <w:t>2023 01 26-27</w:t>
            </w:r>
          </w:p>
        </w:tc>
        <w:tc>
          <w:tcPr>
            <w:tcW w:w="4537" w:type="dxa"/>
            <w:shd w:val="clear" w:color="auto" w:fill="auto"/>
            <w:tcMar>
              <w:top w:w="29" w:type="dxa"/>
              <w:left w:w="115" w:type="dxa"/>
              <w:bottom w:w="29" w:type="dxa"/>
              <w:right w:w="115" w:type="dxa"/>
            </w:tcMar>
          </w:tcPr>
          <w:p w:rsidR="00824061"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Tarptautinis forumas </w:t>
            </w:r>
            <w:proofErr w:type="spellStart"/>
            <w:r w:rsidRPr="00CA19A6">
              <w:rPr>
                <w:rStyle w:val="y2iqfc"/>
                <w:rFonts w:ascii="Times New Roman" w:hAnsi="Times New Roman" w:cs="Times New Roman"/>
                <w:i/>
                <w:sz w:val="22"/>
                <w:szCs w:val="22"/>
              </w:rPr>
              <w:t>Thesaloniki</w:t>
            </w:r>
            <w:proofErr w:type="spellEnd"/>
            <w:r w:rsidRPr="00CA19A6">
              <w:rPr>
                <w:rStyle w:val="y2iqfc"/>
                <w:rFonts w:ascii="Times New Roman" w:hAnsi="Times New Roman" w:cs="Times New Roman"/>
                <w:i/>
                <w:sz w:val="22"/>
                <w:szCs w:val="22"/>
              </w:rPr>
              <w:t xml:space="preserve"> </w:t>
            </w:r>
            <w:proofErr w:type="spellStart"/>
            <w:r w:rsidRPr="00CA19A6">
              <w:rPr>
                <w:rStyle w:val="y2iqfc"/>
                <w:rFonts w:ascii="Times New Roman" w:hAnsi="Times New Roman" w:cs="Times New Roman"/>
                <w:i/>
                <w:sz w:val="22"/>
                <w:szCs w:val="22"/>
              </w:rPr>
              <w:t>Summit</w:t>
            </w:r>
            <w:proofErr w:type="spellEnd"/>
            <w:r w:rsidRPr="00CA19A6">
              <w:rPr>
                <w:rStyle w:val="y2iqfc"/>
                <w:rFonts w:ascii="Times New Roman" w:hAnsi="Times New Roman" w:cs="Times New Roman"/>
                <w:i/>
                <w:sz w:val="22"/>
                <w:szCs w:val="22"/>
              </w:rPr>
              <w:t xml:space="preserve"> 2023</w:t>
            </w:r>
          </w:p>
          <w:p w:rsidR="00824061" w:rsidRPr="00E438BD"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Kol kas renginio dalyviai ir temos nepaskelbtos</w:t>
            </w:r>
          </w:p>
        </w:tc>
        <w:tc>
          <w:tcPr>
            <w:tcW w:w="2410" w:type="dxa"/>
            <w:shd w:val="clear" w:color="auto" w:fill="auto"/>
            <w:tcMar>
              <w:top w:w="29" w:type="dxa"/>
              <w:left w:w="115" w:type="dxa"/>
              <w:bottom w:w="29" w:type="dxa"/>
              <w:right w:w="115" w:type="dxa"/>
            </w:tcMar>
          </w:tcPr>
          <w:p w:rsidR="00B369BC" w:rsidRPr="008749F0" w:rsidRDefault="00EA22F6" w:rsidP="00B369BC">
            <w:pPr>
              <w:rPr>
                <w:rFonts w:ascii="Times New Roman" w:hAnsi="Times New Roman"/>
              </w:rPr>
            </w:pPr>
            <w:hyperlink r:id="rId10" w:history="1">
              <w:r w:rsidR="00CA19A6" w:rsidRPr="008749F0">
                <w:rPr>
                  <w:rStyle w:val="Hyperlink"/>
                  <w:rFonts w:ascii="Times New Roman" w:hAnsi="Times New Roman"/>
                </w:rPr>
                <w:t xml:space="preserve">https://www.thessalonikisummit.gr/ </w:t>
              </w:r>
            </w:hyperlink>
          </w:p>
        </w:tc>
        <w:tc>
          <w:tcPr>
            <w:tcW w:w="1559" w:type="dxa"/>
            <w:shd w:val="clear" w:color="auto" w:fill="auto"/>
            <w:tcMar>
              <w:top w:w="29" w:type="dxa"/>
              <w:left w:w="115" w:type="dxa"/>
              <w:bottom w:w="29" w:type="dxa"/>
              <w:right w:w="115" w:type="dxa"/>
            </w:tcMar>
          </w:tcPr>
          <w:p w:rsidR="00824061" w:rsidRPr="0039175E" w:rsidRDefault="00824061" w:rsidP="0039175E">
            <w:pPr>
              <w:spacing w:before="120" w:after="120" w:line="240" w:lineRule="auto"/>
              <w:rPr>
                <w:rFonts w:ascii="Times New Roman" w:hAnsi="Times New Roman"/>
                <w:noProof/>
              </w:rPr>
            </w:pPr>
          </w:p>
        </w:tc>
      </w:tr>
      <w:tr w:rsidR="00410E09" w:rsidRPr="003B1D08" w:rsidTr="0039175E">
        <w:trPr>
          <w:trHeight w:val="234"/>
        </w:trPr>
        <w:tc>
          <w:tcPr>
            <w:tcW w:w="1270"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rPr>
                <w:rFonts w:ascii="Times New Roman" w:hAnsi="Times New Roman"/>
                <w:noProof/>
              </w:rPr>
            </w:pPr>
            <w:r w:rsidRPr="0039175E">
              <w:rPr>
                <w:rFonts w:ascii="Times New Roman" w:hAnsi="Times New Roman"/>
                <w:noProof/>
              </w:rPr>
              <w:t>2023 02 02-05</w:t>
            </w:r>
          </w:p>
        </w:tc>
        <w:tc>
          <w:tcPr>
            <w:tcW w:w="4537"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jc w:val="both"/>
              <w:rPr>
                <w:rFonts w:ascii="Times New Roman" w:hAnsi="Times New Roman"/>
                <w:noProof/>
              </w:rPr>
            </w:pPr>
            <w:r w:rsidRPr="0039175E">
              <w:rPr>
                <w:rFonts w:ascii="Times New Roman" w:hAnsi="Times New Roman"/>
                <w:noProof/>
              </w:rPr>
              <w:t>12-oji tarptautinė gyvulininkystės ir pauk</w:t>
            </w:r>
            <w:r w:rsidR="00BA77EA" w:rsidRPr="0039175E">
              <w:rPr>
                <w:rFonts w:ascii="Times New Roman" w:hAnsi="Times New Roman"/>
                <w:noProof/>
              </w:rPr>
              <w:t>štininkstės paroda „Zootechnia“, Saloninkų tarptautiniame parodų ir kongresų centre.</w:t>
            </w:r>
          </w:p>
        </w:tc>
        <w:tc>
          <w:tcPr>
            <w:tcW w:w="2410" w:type="dxa"/>
            <w:shd w:val="clear" w:color="auto" w:fill="auto"/>
            <w:tcMar>
              <w:top w:w="29" w:type="dxa"/>
              <w:left w:w="115" w:type="dxa"/>
              <w:bottom w:w="29" w:type="dxa"/>
              <w:right w:w="115" w:type="dxa"/>
            </w:tcMar>
          </w:tcPr>
          <w:p w:rsidR="00410E09"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https://zootechnia.helexpo.gr/en</w:t>
            </w:r>
          </w:p>
        </w:tc>
        <w:tc>
          <w:tcPr>
            <w:tcW w:w="1559" w:type="dxa"/>
            <w:shd w:val="clear" w:color="auto" w:fill="auto"/>
            <w:tcMar>
              <w:top w:w="29" w:type="dxa"/>
              <w:left w:w="115" w:type="dxa"/>
              <w:bottom w:w="29" w:type="dxa"/>
              <w:right w:w="115" w:type="dxa"/>
            </w:tcMar>
          </w:tcPr>
          <w:p w:rsidR="00410E09" w:rsidRPr="0039175E" w:rsidRDefault="00410E09" w:rsidP="0039175E">
            <w:pPr>
              <w:spacing w:before="120" w:after="120" w:line="240" w:lineRule="auto"/>
              <w:rPr>
                <w:rFonts w:ascii="Times New Roman" w:hAnsi="Times New Roman"/>
                <w:noProof/>
              </w:rPr>
            </w:pPr>
          </w:p>
        </w:tc>
      </w:tr>
      <w:tr w:rsidR="008745EE" w:rsidRPr="003B1D08" w:rsidTr="0039175E">
        <w:trPr>
          <w:trHeight w:val="234"/>
        </w:trPr>
        <w:tc>
          <w:tcPr>
            <w:tcW w:w="127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r w:rsidRPr="0039175E">
              <w:rPr>
                <w:rFonts w:ascii="Times New Roman" w:hAnsi="Times New Roman"/>
                <w:noProof/>
              </w:rPr>
              <w:t>2023 02 10-13</w:t>
            </w:r>
          </w:p>
        </w:tc>
        <w:tc>
          <w:tcPr>
            <w:tcW w:w="4537"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jc w:val="both"/>
              <w:rPr>
                <w:rFonts w:ascii="Times New Roman" w:hAnsi="Times New Roman"/>
                <w:noProof/>
              </w:rPr>
            </w:pPr>
            <w:r w:rsidRPr="0039175E">
              <w:rPr>
                <w:rFonts w:ascii="Times New Roman" w:hAnsi="Times New Roman"/>
                <w:noProof/>
              </w:rPr>
              <w:t xml:space="preserve">17-oji tarptautinė svetingumo ir maitinimo paslaugų (Hospitality and Foodservice) </w:t>
            </w:r>
            <w:r w:rsidR="008D0C36" w:rsidRPr="0039175E">
              <w:rPr>
                <w:rFonts w:ascii="Times New Roman" w:hAnsi="Times New Roman"/>
                <w:noProof/>
              </w:rPr>
              <w:t xml:space="preserve">paroda </w:t>
            </w:r>
            <w:r w:rsidRPr="0039175E">
              <w:rPr>
                <w:rFonts w:ascii="Times New Roman" w:hAnsi="Times New Roman"/>
                <w:noProof/>
              </w:rPr>
              <w:t>HORECA Atėnuose.</w:t>
            </w:r>
            <w:r w:rsidR="00ED791A" w:rsidRPr="0039175E">
              <w:rPr>
                <w:rFonts w:ascii="Times New Roman" w:hAnsi="Times New Roman"/>
                <w:noProof/>
              </w:rPr>
              <w:t xml:space="preserve"> Viena iš svarbiausių tarptautinių parodų, skirtų svetingumo, apgyvendinimo ir maitinimo paslaugas teikiančių įmonių aprūpinimui ir įrangai. </w:t>
            </w:r>
          </w:p>
        </w:tc>
        <w:tc>
          <w:tcPr>
            <w:tcW w:w="241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https://horecaexpo.gr/en/</w:t>
            </w:r>
          </w:p>
        </w:tc>
        <w:tc>
          <w:tcPr>
            <w:tcW w:w="1559"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p>
        </w:tc>
      </w:tr>
      <w:tr w:rsidR="002D3FFB" w:rsidRPr="003B1D08" w:rsidTr="0039175E">
        <w:trPr>
          <w:trHeight w:val="234"/>
        </w:trPr>
        <w:tc>
          <w:tcPr>
            <w:tcW w:w="1270"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r>
              <w:rPr>
                <w:rFonts w:ascii="Times New Roman" w:hAnsi="Times New Roman"/>
                <w:noProof/>
              </w:rPr>
              <w:t>2023 04 25-26</w:t>
            </w:r>
          </w:p>
        </w:tc>
        <w:tc>
          <w:tcPr>
            <w:tcW w:w="4537" w:type="dxa"/>
            <w:shd w:val="clear" w:color="auto" w:fill="auto"/>
            <w:tcMar>
              <w:top w:w="29" w:type="dxa"/>
              <w:left w:w="115" w:type="dxa"/>
              <w:bottom w:w="29" w:type="dxa"/>
              <w:right w:w="115" w:type="dxa"/>
            </w:tcMar>
          </w:tcPr>
          <w:p w:rsidR="002D3FFB" w:rsidRPr="00E438BD" w:rsidRDefault="002D3FFB" w:rsidP="00AB4443">
            <w:pPr>
              <w:pStyle w:val="HTMLPreformatted"/>
              <w:jc w:val="both"/>
              <w:rPr>
                <w:rFonts w:ascii="Times New Roman" w:hAnsi="Times New Roman" w:cs="Times New Roman"/>
                <w:sz w:val="22"/>
                <w:szCs w:val="22"/>
              </w:rPr>
            </w:pPr>
            <w:r w:rsidRPr="002D3FFB">
              <w:rPr>
                <w:rFonts w:ascii="Times New Roman" w:hAnsi="Times New Roman"/>
                <w:noProof/>
                <w:sz w:val="22"/>
                <w:szCs w:val="22"/>
              </w:rPr>
              <w:t xml:space="preserve">7-asis Posidonijos jūrinio turizmo forumas Salonikuose (konferencija ir paroda), </w:t>
            </w:r>
            <w:r w:rsidRPr="002D3FFB">
              <w:rPr>
                <w:rStyle w:val="y2iqfc"/>
                <w:rFonts w:ascii="Times New Roman" w:hAnsi="Times New Roman" w:cs="Times New Roman"/>
                <w:sz w:val="22"/>
                <w:szCs w:val="22"/>
              </w:rPr>
              <w:t>forume pagrindinis dėmesys bus sk</w:t>
            </w:r>
            <w:r w:rsidR="00AB4443">
              <w:rPr>
                <w:rStyle w:val="y2iqfc"/>
                <w:rFonts w:ascii="Times New Roman" w:hAnsi="Times New Roman" w:cs="Times New Roman"/>
                <w:sz w:val="22"/>
                <w:szCs w:val="22"/>
              </w:rPr>
              <w:t>iriamas tvarumo strategijoms ir</w:t>
            </w:r>
            <w:r w:rsidRPr="002D3FFB">
              <w:rPr>
                <w:rStyle w:val="y2iqfc"/>
                <w:rFonts w:ascii="Times New Roman" w:hAnsi="Times New Roman" w:cs="Times New Roman"/>
                <w:sz w:val="22"/>
                <w:szCs w:val="22"/>
              </w:rPr>
              <w:t xml:space="preserve"> </w:t>
            </w:r>
            <w:r w:rsidR="00AB4443">
              <w:rPr>
                <w:rStyle w:val="y2iqfc"/>
                <w:rFonts w:ascii="Times New Roman" w:hAnsi="Times New Roman" w:cs="Times New Roman"/>
                <w:sz w:val="22"/>
                <w:szCs w:val="22"/>
              </w:rPr>
              <w:t>kaip</w:t>
            </w:r>
            <w:r w:rsidRPr="002D3FFB">
              <w:rPr>
                <w:rStyle w:val="y2iqfc"/>
                <w:rFonts w:ascii="Times New Roman" w:hAnsi="Times New Roman" w:cs="Times New Roman"/>
                <w:sz w:val="22"/>
                <w:szCs w:val="22"/>
              </w:rPr>
              <w:t xml:space="preserve"> optimizuot</w:t>
            </w:r>
            <w:r w:rsidR="00AB4443">
              <w:rPr>
                <w:rStyle w:val="y2iqfc"/>
                <w:rFonts w:ascii="Times New Roman" w:hAnsi="Times New Roman" w:cs="Times New Roman"/>
                <w:sz w:val="22"/>
                <w:szCs w:val="22"/>
              </w:rPr>
              <w:t>i</w:t>
            </w:r>
            <w:r w:rsidRPr="002D3FFB">
              <w:rPr>
                <w:rStyle w:val="y2iqfc"/>
                <w:rFonts w:ascii="Times New Roman" w:hAnsi="Times New Roman" w:cs="Times New Roman"/>
                <w:sz w:val="22"/>
                <w:szCs w:val="22"/>
              </w:rPr>
              <w:t xml:space="preserve"> kruizini</w:t>
            </w:r>
            <w:r w:rsidR="00AB4443">
              <w:rPr>
                <w:rStyle w:val="y2iqfc"/>
                <w:rFonts w:ascii="Times New Roman" w:hAnsi="Times New Roman" w:cs="Times New Roman"/>
                <w:sz w:val="22"/>
                <w:szCs w:val="22"/>
              </w:rPr>
              <w:t>ų laivų eismo valdymą</w:t>
            </w:r>
            <w:r w:rsidRPr="002D3FFB">
              <w:rPr>
                <w:rStyle w:val="y2iqfc"/>
                <w:rFonts w:ascii="Times New Roman" w:hAnsi="Times New Roman" w:cs="Times New Roman"/>
                <w:sz w:val="22"/>
                <w:szCs w:val="22"/>
              </w:rPr>
              <w:t xml:space="preserve"> Viduržemio jūroje.</w:t>
            </w:r>
          </w:p>
        </w:tc>
        <w:tc>
          <w:tcPr>
            <w:tcW w:w="2410" w:type="dxa"/>
            <w:shd w:val="clear" w:color="auto" w:fill="auto"/>
            <w:tcMar>
              <w:top w:w="29" w:type="dxa"/>
              <w:left w:w="115" w:type="dxa"/>
              <w:bottom w:w="29" w:type="dxa"/>
              <w:right w:w="115" w:type="dxa"/>
            </w:tcMar>
          </w:tcPr>
          <w:p w:rsidR="002D3FFB" w:rsidRPr="007269D0" w:rsidRDefault="00EA22F6" w:rsidP="0039175E">
            <w:pPr>
              <w:spacing w:before="120" w:after="120" w:line="240" w:lineRule="auto"/>
              <w:rPr>
                <w:rStyle w:val="Hyperlink"/>
                <w:rFonts w:ascii="Times New Roman" w:hAnsi="Times New Roman"/>
                <w:noProof/>
                <w:shd w:val="clear" w:color="auto" w:fill="FFFFFF"/>
              </w:rPr>
            </w:pPr>
            <w:hyperlink r:id="rId11" w:history="1">
              <w:r w:rsidR="002D3FFB" w:rsidRPr="007269D0">
                <w:rPr>
                  <w:rStyle w:val="Hyperlink"/>
                  <w:rFonts w:ascii="Times New Roman" w:hAnsi="Times New Roman"/>
                </w:rPr>
                <w:t>www.posidoniaseatourism.com</w:t>
              </w:r>
            </w:hyperlink>
          </w:p>
        </w:tc>
        <w:tc>
          <w:tcPr>
            <w:tcW w:w="1559"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lastRenderedPageBreak/>
              <w:t>Investicijoms pritraukti į Lietuvą aktuali informacija</w:t>
            </w:r>
          </w:p>
        </w:tc>
      </w:tr>
      <w:tr w:rsidR="00EB568D" w:rsidRPr="003B1D08" w:rsidTr="0039175E">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39175E">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39175E">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0B71A1" w:rsidRPr="00B561E0" w:rsidTr="0039175E">
        <w:trPr>
          <w:trHeight w:val="216"/>
        </w:trPr>
        <w:tc>
          <w:tcPr>
            <w:tcW w:w="1270" w:type="dxa"/>
            <w:shd w:val="clear" w:color="auto" w:fill="auto"/>
            <w:tcMar>
              <w:top w:w="29" w:type="dxa"/>
              <w:left w:w="115" w:type="dxa"/>
              <w:bottom w:w="29" w:type="dxa"/>
              <w:right w:w="115" w:type="dxa"/>
            </w:tcMar>
          </w:tcPr>
          <w:p w:rsidR="000B71A1" w:rsidRDefault="000B71A1" w:rsidP="0039175E">
            <w:pPr>
              <w:spacing w:before="120" w:after="120" w:line="240" w:lineRule="auto"/>
              <w:rPr>
                <w:rFonts w:ascii="Times New Roman" w:hAnsi="Times New Roman"/>
              </w:rPr>
            </w:pPr>
            <w:r>
              <w:rPr>
                <w:rFonts w:ascii="Times New Roman" w:hAnsi="Times New Roman"/>
              </w:rPr>
              <w:t>2022 10 01</w:t>
            </w:r>
          </w:p>
        </w:tc>
        <w:tc>
          <w:tcPr>
            <w:tcW w:w="4537" w:type="dxa"/>
            <w:shd w:val="clear" w:color="auto" w:fill="auto"/>
            <w:tcMar>
              <w:top w:w="29" w:type="dxa"/>
              <w:left w:w="115" w:type="dxa"/>
              <w:bottom w:w="29" w:type="dxa"/>
              <w:right w:w="115" w:type="dxa"/>
            </w:tcMar>
          </w:tcPr>
          <w:p w:rsidR="000B71A1" w:rsidRPr="00962CCF" w:rsidRDefault="00962CCF" w:rsidP="000E5E6E">
            <w:pPr>
              <w:pStyle w:val="HTMLPreformatted"/>
              <w:jc w:val="both"/>
              <w:rPr>
                <w:rFonts w:ascii="Times New Roman" w:hAnsi="Times New Roman" w:cs="Times New Roman"/>
                <w:sz w:val="22"/>
                <w:szCs w:val="22"/>
              </w:rPr>
            </w:pPr>
            <w:r w:rsidRPr="00962CCF">
              <w:rPr>
                <w:rStyle w:val="y2iqfc"/>
                <w:rFonts w:ascii="Times New Roman" w:hAnsi="Times New Roman" w:cs="Times New Roman"/>
                <w:sz w:val="22"/>
                <w:szCs w:val="22"/>
              </w:rPr>
              <w:t>Atidaryta gamtinių dujų jungtis</w:t>
            </w:r>
            <w:r w:rsidR="000B71A1" w:rsidRPr="00962CCF">
              <w:rPr>
                <w:rStyle w:val="y2iqfc"/>
                <w:rFonts w:ascii="Times New Roman" w:hAnsi="Times New Roman" w:cs="Times New Roman"/>
                <w:sz w:val="22"/>
                <w:szCs w:val="22"/>
              </w:rPr>
              <w:t xml:space="preserve"> tarp </w:t>
            </w:r>
            <w:r w:rsidRPr="00962CCF">
              <w:rPr>
                <w:rStyle w:val="y2iqfc"/>
                <w:rFonts w:ascii="Times New Roman" w:hAnsi="Times New Roman" w:cs="Times New Roman"/>
                <w:sz w:val="22"/>
                <w:szCs w:val="22"/>
              </w:rPr>
              <w:t>Bulgarijos</w:t>
            </w:r>
            <w:r w:rsidR="000B71A1" w:rsidRPr="00962CCF">
              <w:rPr>
                <w:rStyle w:val="y2iqfc"/>
                <w:rFonts w:ascii="Times New Roman" w:hAnsi="Times New Roman" w:cs="Times New Roman"/>
                <w:sz w:val="22"/>
                <w:szCs w:val="22"/>
              </w:rPr>
              <w:t xml:space="preserve"> ir Graikijos</w:t>
            </w:r>
            <w:r w:rsidRPr="00962CCF">
              <w:rPr>
                <w:rStyle w:val="y2iqfc"/>
                <w:rFonts w:ascii="Times New Roman" w:hAnsi="Times New Roman" w:cs="Times New Roman"/>
                <w:sz w:val="22"/>
                <w:szCs w:val="22"/>
              </w:rPr>
              <w:t xml:space="preserve">. </w:t>
            </w:r>
            <w:r w:rsidR="000B71A1" w:rsidRPr="00962CCF">
              <w:rPr>
                <w:rStyle w:val="y2iqfc"/>
                <w:rFonts w:ascii="Times New Roman" w:hAnsi="Times New Roman" w:cs="Times New Roman"/>
                <w:sz w:val="22"/>
                <w:szCs w:val="22"/>
              </w:rPr>
              <w:t xml:space="preserve">Kalbėdama per </w:t>
            </w:r>
            <w:r w:rsidRPr="00962CCF">
              <w:rPr>
                <w:rStyle w:val="y2iqfc"/>
                <w:rFonts w:ascii="Times New Roman" w:hAnsi="Times New Roman" w:cs="Times New Roman"/>
                <w:sz w:val="22"/>
                <w:szCs w:val="22"/>
              </w:rPr>
              <w:t xml:space="preserve">atidarymo </w:t>
            </w:r>
            <w:r w:rsidR="000B71A1" w:rsidRPr="00962CCF">
              <w:rPr>
                <w:rStyle w:val="y2iqfc"/>
                <w:rFonts w:ascii="Times New Roman" w:hAnsi="Times New Roman" w:cs="Times New Roman"/>
                <w:sz w:val="22"/>
                <w:szCs w:val="22"/>
              </w:rPr>
              <w:t xml:space="preserve">ceremoniją Sofijoje, Europos Komisijos pirmininkė </w:t>
            </w:r>
            <w:proofErr w:type="spellStart"/>
            <w:r w:rsidR="000B71A1" w:rsidRPr="00962CCF">
              <w:rPr>
                <w:rStyle w:val="y2iqfc"/>
                <w:rFonts w:ascii="Times New Roman" w:hAnsi="Times New Roman" w:cs="Times New Roman"/>
                <w:sz w:val="22"/>
                <w:szCs w:val="22"/>
              </w:rPr>
              <w:t>Ursula</w:t>
            </w:r>
            <w:proofErr w:type="spellEnd"/>
            <w:r w:rsidR="000B71A1" w:rsidRPr="00962CCF">
              <w:rPr>
                <w:rStyle w:val="y2iqfc"/>
                <w:rFonts w:ascii="Times New Roman" w:hAnsi="Times New Roman" w:cs="Times New Roman"/>
                <w:sz w:val="22"/>
                <w:szCs w:val="22"/>
              </w:rPr>
              <w:t xml:space="preserve"> </w:t>
            </w:r>
            <w:proofErr w:type="spellStart"/>
            <w:r w:rsidR="000B71A1" w:rsidRPr="00962CCF">
              <w:rPr>
                <w:rStyle w:val="y2iqfc"/>
                <w:rFonts w:ascii="Times New Roman" w:hAnsi="Times New Roman" w:cs="Times New Roman"/>
                <w:sz w:val="22"/>
                <w:szCs w:val="22"/>
              </w:rPr>
              <w:t>von</w:t>
            </w:r>
            <w:proofErr w:type="spellEnd"/>
            <w:r w:rsidR="000B71A1" w:rsidRPr="00962CCF">
              <w:rPr>
                <w:rStyle w:val="y2iqfc"/>
                <w:rFonts w:ascii="Times New Roman" w:hAnsi="Times New Roman" w:cs="Times New Roman"/>
                <w:sz w:val="22"/>
                <w:szCs w:val="22"/>
              </w:rPr>
              <w:t xml:space="preserve"> </w:t>
            </w:r>
            <w:proofErr w:type="spellStart"/>
            <w:r w:rsidR="000B71A1" w:rsidRPr="00962CCF">
              <w:rPr>
                <w:rStyle w:val="y2iqfc"/>
                <w:rFonts w:ascii="Times New Roman" w:hAnsi="Times New Roman" w:cs="Times New Roman"/>
                <w:sz w:val="22"/>
                <w:szCs w:val="22"/>
              </w:rPr>
              <w:t>der</w:t>
            </w:r>
            <w:proofErr w:type="spellEnd"/>
            <w:r w:rsidR="000B71A1" w:rsidRPr="00962CCF">
              <w:rPr>
                <w:rStyle w:val="y2iqfc"/>
                <w:rFonts w:ascii="Times New Roman" w:hAnsi="Times New Roman" w:cs="Times New Roman"/>
                <w:sz w:val="22"/>
                <w:szCs w:val="22"/>
              </w:rPr>
              <w:t xml:space="preserve"> </w:t>
            </w:r>
            <w:proofErr w:type="spellStart"/>
            <w:r w:rsidR="000B71A1" w:rsidRPr="00962CCF">
              <w:rPr>
                <w:rStyle w:val="y2iqfc"/>
                <w:rFonts w:ascii="Times New Roman" w:hAnsi="Times New Roman" w:cs="Times New Roman"/>
                <w:sz w:val="22"/>
                <w:szCs w:val="22"/>
              </w:rPr>
              <w:t>Leyen</w:t>
            </w:r>
            <w:proofErr w:type="spellEnd"/>
            <w:r w:rsidR="000B71A1" w:rsidRPr="00962CCF">
              <w:rPr>
                <w:rStyle w:val="y2iqfc"/>
                <w:rFonts w:ascii="Times New Roman" w:hAnsi="Times New Roman" w:cs="Times New Roman"/>
                <w:sz w:val="22"/>
                <w:szCs w:val="22"/>
              </w:rPr>
              <w:t xml:space="preserve"> gyrė dujotiekį kaip svarbų indėlį ribojant Rusijos galimybes panaudoti savo dujų ir naftos išteklius ES šantažuoti ar nubausti.</w:t>
            </w:r>
            <w:r w:rsidRPr="00962CCF">
              <w:rPr>
                <w:rStyle w:val="y2iqfc"/>
                <w:rFonts w:ascii="Times New Roman" w:hAnsi="Times New Roman" w:cs="Times New Roman"/>
                <w:sz w:val="22"/>
                <w:szCs w:val="22"/>
              </w:rPr>
              <w:t xml:space="preserve"> </w:t>
            </w:r>
            <w:r w:rsidR="000B71A1" w:rsidRPr="00962CCF">
              <w:rPr>
                <w:rStyle w:val="y2iqfc"/>
                <w:rFonts w:ascii="Times New Roman" w:hAnsi="Times New Roman" w:cs="Times New Roman"/>
                <w:sz w:val="22"/>
                <w:szCs w:val="22"/>
              </w:rPr>
              <w:t>Europos Komisija skyrė beveik 250 milijonų eurų projektui finansuoti</w:t>
            </w:r>
            <w:r w:rsidRPr="00962CCF">
              <w:rPr>
                <w:rStyle w:val="y2iqfc"/>
                <w:rFonts w:ascii="Times New Roman" w:hAnsi="Times New Roman" w:cs="Times New Roman"/>
                <w:sz w:val="22"/>
                <w:szCs w:val="22"/>
              </w:rPr>
              <w:t xml:space="preserve">. </w:t>
            </w:r>
            <w:r w:rsidR="000B71A1" w:rsidRPr="00962CCF">
              <w:rPr>
                <w:rStyle w:val="y2iqfc"/>
                <w:rFonts w:ascii="Times New Roman" w:hAnsi="Times New Roman" w:cs="Times New Roman"/>
                <w:sz w:val="22"/>
                <w:szCs w:val="22"/>
              </w:rPr>
              <w:t xml:space="preserve">Liepą </w:t>
            </w:r>
            <w:r w:rsidRPr="00962CCF">
              <w:rPr>
                <w:rStyle w:val="y2iqfc"/>
                <w:rFonts w:ascii="Times New Roman" w:hAnsi="Times New Roman" w:cs="Times New Roman"/>
                <w:sz w:val="22"/>
                <w:szCs w:val="22"/>
              </w:rPr>
              <w:t xml:space="preserve">statyti </w:t>
            </w:r>
            <w:r w:rsidR="000B71A1" w:rsidRPr="00962CCF">
              <w:rPr>
                <w:rStyle w:val="y2iqfc"/>
                <w:rFonts w:ascii="Times New Roman" w:hAnsi="Times New Roman" w:cs="Times New Roman"/>
                <w:sz w:val="22"/>
                <w:szCs w:val="22"/>
              </w:rPr>
              <w:t xml:space="preserve">baigto dujotiekio </w:t>
            </w:r>
            <w:r w:rsidRPr="00962CCF">
              <w:rPr>
                <w:rStyle w:val="y2iqfc"/>
                <w:rFonts w:ascii="Times New Roman" w:hAnsi="Times New Roman" w:cs="Times New Roman"/>
                <w:sz w:val="22"/>
                <w:szCs w:val="22"/>
              </w:rPr>
              <w:t xml:space="preserve">tarp </w:t>
            </w:r>
            <w:r w:rsidR="000B71A1" w:rsidRPr="00962CCF">
              <w:rPr>
                <w:rStyle w:val="y2iqfc"/>
                <w:rFonts w:ascii="Times New Roman" w:hAnsi="Times New Roman" w:cs="Times New Roman"/>
                <w:sz w:val="22"/>
                <w:szCs w:val="22"/>
              </w:rPr>
              <w:t>Graikij</w:t>
            </w:r>
            <w:r w:rsidRPr="00962CCF">
              <w:rPr>
                <w:rStyle w:val="y2iqfc"/>
                <w:rFonts w:ascii="Times New Roman" w:hAnsi="Times New Roman" w:cs="Times New Roman"/>
                <w:sz w:val="22"/>
                <w:szCs w:val="22"/>
              </w:rPr>
              <w:t>os ir Bulgarijos</w:t>
            </w:r>
            <w:r w:rsidR="000B71A1" w:rsidRPr="00962CCF">
              <w:rPr>
                <w:rStyle w:val="y2iqfc"/>
                <w:rFonts w:ascii="Times New Roman" w:hAnsi="Times New Roman" w:cs="Times New Roman"/>
                <w:sz w:val="22"/>
                <w:szCs w:val="22"/>
              </w:rPr>
              <w:t xml:space="preserve"> svarba smarkiai išaugo Maskvai nusprendus gamtinių dujų tiekimą paversti politiniu ginklu.</w:t>
            </w:r>
            <w:r w:rsidRPr="00962CCF">
              <w:rPr>
                <w:rStyle w:val="y2iqfc"/>
                <w:rFonts w:ascii="Times New Roman" w:hAnsi="Times New Roman" w:cs="Times New Roman"/>
                <w:sz w:val="22"/>
                <w:szCs w:val="22"/>
              </w:rPr>
              <w:t xml:space="preserve"> </w:t>
            </w:r>
            <w:r w:rsidR="000B71A1" w:rsidRPr="00962CCF">
              <w:rPr>
                <w:rStyle w:val="y2iqfc"/>
                <w:rFonts w:ascii="Times New Roman" w:hAnsi="Times New Roman" w:cs="Times New Roman"/>
                <w:sz w:val="22"/>
                <w:szCs w:val="22"/>
              </w:rPr>
              <w:t xml:space="preserve">182 kilometrų vamzdynas eina nuo šiaurės rytų Graikijos miesto </w:t>
            </w:r>
            <w:proofErr w:type="spellStart"/>
            <w:r w:rsidR="000B71A1" w:rsidRPr="00962CCF">
              <w:rPr>
                <w:rStyle w:val="y2iqfc"/>
                <w:rFonts w:ascii="Times New Roman" w:hAnsi="Times New Roman" w:cs="Times New Roman"/>
                <w:sz w:val="22"/>
                <w:szCs w:val="22"/>
              </w:rPr>
              <w:t>Komotini</w:t>
            </w:r>
            <w:proofErr w:type="spellEnd"/>
            <w:r w:rsidR="000B71A1" w:rsidRPr="00962CCF">
              <w:rPr>
                <w:rStyle w:val="y2iqfc"/>
                <w:rFonts w:ascii="Times New Roman" w:hAnsi="Times New Roman" w:cs="Times New Roman"/>
                <w:sz w:val="22"/>
                <w:szCs w:val="22"/>
              </w:rPr>
              <w:t xml:space="preserve">, kur jis jungiasi su Adrijos jūros dujotiekiu, iki </w:t>
            </w:r>
            <w:proofErr w:type="spellStart"/>
            <w:r w:rsidR="000B71A1" w:rsidRPr="00962CCF">
              <w:rPr>
                <w:rStyle w:val="y2iqfc"/>
                <w:rFonts w:ascii="Times New Roman" w:hAnsi="Times New Roman" w:cs="Times New Roman"/>
                <w:sz w:val="22"/>
                <w:szCs w:val="22"/>
              </w:rPr>
              <w:t>Stara</w:t>
            </w:r>
            <w:proofErr w:type="spellEnd"/>
            <w:r w:rsidR="000B71A1" w:rsidRPr="00962CCF">
              <w:rPr>
                <w:rStyle w:val="y2iqfc"/>
                <w:rFonts w:ascii="Times New Roman" w:hAnsi="Times New Roman" w:cs="Times New Roman"/>
                <w:sz w:val="22"/>
                <w:szCs w:val="22"/>
              </w:rPr>
              <w:t xml:space="preserve"> </w:t>
            </w:r>
            <w:proofErr w:type="spellStart"/>
            <w:r w:rsidR="000B71A1" w:rsidRPr="00962CCF">
              <w:rPr>
                <w:rStyle w:val="y2iqfc"/>
                <w:rFonts w:ascii="Times New Roman" w:hAnsi="Times New Roman" w:cs="Times New Roman"/>
                <w:sz w:val="22"/>
                <w:szCs w:val="22"/>
              </w:rPr>
              <w:t>Zagora</w:t>
            </w:r>
            <w:proofErr w:type="spellEnd"/>
            <w:r w:rsidR="000B71A1" w:rsidRPr="00962CCF">
              <w:rPr>
                <w:rStyle w:val="y2iqfc"/>
                <w:rFonts w:ascii="Times New Roman" w:hAnsi="Times New Roman" w:cs="Times New Roman"/>
                <w:sz w:val="22"/>
                <w:szCs w:val="22"/>
              </w:rPr>
              <w:t xml:space="preserve"> centrinėje Bulgarijoje. Planuose numatyta, kad pradinis pajėgumas sieks 3 milijardus kubinių metrų dujų per metus, o ateityje – iki 5 milijardų kubinių metrų.</w:t>
            </w:r>
            <w:r w:rsidRPr="00962CCF">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B71A1" w:rsidRPr="00193841" w:rsidRDefault="000B71A1" w:rsidP="0039175E">
            <w:pPr>
              <w:spacing w:before="120" w:after="120" w:line="240" w:lineRule="auto"/>
              <w:rPr>
                <w:rStyle w:val="Hyperlink"/>
                <w:rFonts w:ascii="Times New Roman" w:hAnsi="Times New Roman"/>
                <w:noProof/>
              </w:rPr>
            </w:pPr>
            <w:r w:rsidRPr="000B71A1">
              <w:rPr>
                <w:rStyle w:val="Hyperlink"/>
                <w:rFonts w:ascii="Times New Roman" w:hAnsi="Times New Roman"/>
                <w:noProof/>
              </w:rPr>
              <w:t>https://www.ekathimerini.com/economy/1194626/eu-chief-new-greece-bulgaria-gas-pipeline-means-freedom/</w:t>
            </w:r>
          </w:p>
        </w:tc>
        <w:tc>
          <w:tcPr>
            <w:tcW w:w="1559" w:type="dxa"/>
            <w:shd w:val="clear" w:color="auto" w:fill="auto"/>
            <w:tcMar>
              <w:top w:w="29" w:type="dxa"/>
              <w:left w:w="115" w:type="dxa"/>
              <w:bottom w:w="29" w:type="dxa"/>
              <w:right w:w="115" w:type="dxa"/>
            </w:tcMar>
          </w:tcPr>
          <w:p w:rsidR="000B71A1" w:rsidRPr="0039175E" w:rsidRDefault="000B71A1" w:rsidP="0039175E">
            <w:pPr>
              <w:spacing w:before="120" w:after="120" w:line="240" w:lineRule="auto"/>
              <w:rPr>
                <w:rFonts w:ascii="Times New Roman" w:hAnsi="Times New Roman"/>
                <w:noProof/>
              </w:rPr>
            </w:pPr>
          </w:p>
        </w:tc>
      </w:tr>
      <w:tr w:rsidR="00604D30" w:rsidRPr="00B561E0" w:rsidTr="0039175E">
        <w:trPr>
          <w:trHeight w:val="216"/>
        </w:trPr>
        <w:tc>
          <w:tcPr>
            <w:tcW w:w="1270" w:type="dxa"/>
            <w:shd w:val="clear" w:color="auto" w:fill="auto"/>
            <w:tcMar>
              <w:top w:w="29" w:type="dxa"/>
              <w:left w:w="115" w:type="dxa"/>
              <w:bottom w:w="29" w:type="dxa"/>
              <w:right w:w="115" w:type="dxa"/>
            </w:tcMar>
          </w:tcPr>
          <w:p w:rsidR="00604D30" w:rsidRDefault="00604D30" w:rsidP="0039175E">
            <w:pPr>
              <w:spacing w:before="120" w:after="120" w:line="240" w:lineRule="auto"/>
              <w:rPr>
                <w:rFonts w:ascii="Times New Roman" w:hAnsi="Times New Roman"/>
              </w:rPr>
            </w:pPr>
            <w:r>
              <w:rPr>
                <w:rFonts w:ascii="Times New Roman" w:hAnsi="Times New Roman"/>
              </w:rPr>
              <w:t>2022 10 02</w:t>
            </w:r>
          </w:p>
        </w:tc>
        <w:tc>
          <w:tcPr>
            <w:tcW w:w="4537" w:type="dxa"/>
            <w:shd w:val="clear" w:color="auto" w:fill="auto"/>
            <w:tcMar>
              <w:top w:w="29" w:type="dxa"/>
              <w:left w:w="115" w:type="dxa"/>
              <w:bottom w:w="29" w:type="dxa"/>
              <w:right w:w="115" w:type="dxa"/>
            </w:tcMar>
          </w:tcPr>
          <w:p w:rsidR="00604D30" w:rsidRPr="007A0306" w:rsidRDefault="000E5E6E" w:rsidP="000E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Pr>
                <w:rFonts w:ascii="Times New Roman" w:eastAsia="Times New Roman" w:hAnsi="Times New Roman"/>
                <w:lang w:eastAsia="lt-LT"/>
              </w:rPr>
              <w:t>EL v</w:t>
            </w:r>
            <w:r w:rsidR="00604D30" w:rsidRPr="007A0306">
              <w:rPr>
                <w:rFonts w:ascii="Times New Roman" w:eastAsia="Times New Roman" w:hAnsi="Times New Roman"/>
                <w:lang w:eastAsia="lt-LT"/>
              </w:rPr>
              <w:t>yriausybė pateikė antrąjį prašymą išmokėti Europos Sąjungos ekonomikos atkūrimo ir atsparumo fondui, kurio bendra suma – 3,56 mlrd. eurų, įskaitant p</w:t>
            </w:r>
            <w:r>
              <w:rPr>
                <w:rFonts w:ascii="Times New Roman" w:eastAsia="Times New Roman" w:hAnsi="Times New Roman"/>
                <w:lang w:eastAsia="lt-LT"/>
              </w:rPr>
              <w:t>askolas – anksčiau nei planuota</w:t>
            </w:r>
            <w:r w:rsidR="00604D30" w:rsidRPr="007A0306">
              <w:rPr>
                <w:rFonts w:ascii="Times New Roman" w:eastAsia="Times New Roman" w:hAnsi="Times New Roman"/>
                <w:lang w:eastAsia="lt-LT"/>
              </w:rPr>
              <w:t>, nes jau įvykdė tris atitinkamus etapus.</w:t>
            </w:r>
            <w:r w:rsidR="007A0306" w:rsidRPr="007A0306">
              <w:rPr>
                <w:rFonts w:ascii="Times New Roman" w:eastAsia="Times New Roman" w:hAnsi="Times New Roman"/>
                <w:lang w:eastAsia="lt-LT"/>
              </w:rPr>
              <w:t xml:space="preserve"> </w:t>
            </w:r>
            <w:r w:rsidR="00604D30" w:rsidRPr="007A0306">
              <w:rPr>
                <w:rFonts w:ascii="Times New Roman" w:eastAsia="Times New Roman" w:hAnsi="Times New Roman"/>
                <w:lang w:eastAsia="lt-LT"/>
              </w:rPr>
              <w:t>Pažymima, kad šalis yra užsitikrinusi 17,8 mlrd. eurų dotacijų iš Atkūrimo fondo ir 12,7 mlrd. eurų paskolų</w:t>
            </w:r>
            <w:r w:rsidR="007A0306" w:rsidRPr="007A0306">
              <w:rPr>
                <w:rFonts w:ascii="Times New Roman" w:eastAsia="Times New Roman" w:hAnsi="Times New Roman"/>
                <w:lang w:eastAsia="lt-LT"/>
              </w:rPr>
              <w:t xml:space="preserve">. Šiame </w:t>
            </w:r>
            <w:r w:rsidR="00604D30" w:rsidRPr="007A0306">
              <w:rPr>
                <w:rFonts w:ascii="Times New Roman" w:eastAsia="Times New Roman" w:hAnsi="Times New Roman"/>
                <w:lang w:eastAsia="lt-LT"/>
              </w:rPr>
              <w:t>Graikijos prašyme, ku</w:t>
            </w:r>
            <w:r>
              <w:rPr>
                <w:rFonts w:ascii="Times New Roman" w:eastAsia="Times New Roman" w:hAnsi="Times New Roman"/>
                <w:lang w:eastAsia="lt-LT"/>
              </w:rPr>
              <w:t xml:space="preserve">rio suma siekia 3,56 mlrd. eurų: </w:t>
            </w:r>
            <w:r w:rsidR="00604D30" w:rsidRPr="007A0306">
              <w:rPr>
                <w:rFonts w:ascii="Times New Roman" w:eastAsia="Times New Roman" w:hAnsi="Times New Roman"/>
                <w:lang w:eastAsia="lt-LT"/>
              </w:rPr>
              <w:t xml:space="preserve"> 1,72 mlrd. eurų</w:t>
            </w:r>
            <w:r>
              <w:rPr>
                <w:rFonts w:ascii="Times New Roman" w:eastAsia="Times New Roman" w:hAnsi="Times New Roman"/>
                <w:lang w:eastAsia="lt-LT"/>
              </w:rPr>
              <w:t xml:space="preserve"> skirta</w:t>
            </w:r>
            <w:r w:rsidR="00604D30" w:rsidRPr="007A0306">
              <w:rPr>
                <w:rFonts w:ascii="Times New Roman" w:eastAsia="Times New Roman" w:hAnsi="Times New Roman"/>
                <w:lang w:eastAsia="lt-LT"/>
              </w:rPr>
              <w:t xml:space="preserve"> investicijoms ir 1,84 mlrd. eurų paskoloms</w:t>
            </w:r>
            <w:r w:rsidR="007A0306">
              <w:rPr>
                <w:rFonts w:ascii="Times New Roman" w:eastAsia="Times New Roman" w:hAnsi="Times New Roman"/>
                <w:lang w:eastAsia="lt-LT"/>
              </w:rPr>
              <w:t>, n</w:t>
            </w:r>
            <w:r w:rsidR="00604D30" w:rsidRPr="007A0306">
              <w:rPr>
                <w:rFonts w:ascii="Times New Roman" w:eastAsia="Times New Roman" w:hAnsi="Times New Roman"/>
                <w:lang w:eastAsia="lt-LT"/>
              </w:rPr>
              <w:t>orėdami jį pateikti, vyriausybė turėjo į</w:t>
            </w:r>
            <w:r>
              <w:rPr>
                <w:rFonts w:ascii="Times New Roman" w:eastAsia="Times New Roman" w:hAnsi="Times New Roman"/>
                <w:lang w:eastAsia="lt-LT"/>
              </w:rPr>
              <w:t xml:space="preserve">gyvendinti </w:t>
            </w:r>
            <w:r w:rsidR="00604D30" w:rsidRPr="007A0306">
              <w:rPr>
                <w:rFonts w:ascii="Times New Roman" w:eastAsia="Times New Roman" w:hAnsi="Times New Roman"/>
                <w:lang w:eastAsia="lt-LT"/>
              </w:rPr>
              <w:t xml:space="preserve">28 </w:t>
            </w:r>
            <w:r>
              <w:rPr>
                <w:rFonts w:ascii="Times New Roman" w:eastAsia="Times New Roman" w:hAnsi="Times New Roman"/>
                <w:lang w:eastAsia="lt-LT"/>
              </w:rPr>
              <w:t>gaires</w:t>
            </w:r>
            <w:r w:rsidR="00604D30" w:rsidRPr="007A0306">
              <w:rPr>
                <w:rFonts w:ascii="Times New Roman" w:eastAsia="Times New Roman" w:hAnsi="Times New Roman"/>
                <w:lang w:eastAsia="lt-LT"/>
              </w:rPr>
              <w:t>.</w:t>
            </w:r>
            <w:r w:rsidR="007A0306">
              <w:rPr>
                <w:rFonts w:ascii="Times New Roman" w:eastAsia="Times New Roman" w:hAnsi="Times New Roman"/>
                <w:lang w:eastAsia="lt-LT"/>
              </w:rPr>
              <w:t xml:space="preserve"> </w:t>
            </w:r>
            <w:r w:rsidR="00604D30" w:rsidRPr="007A0306">
              <w:rPr>
                <w:rFonts w:ascii="Times New Roman" w:eastAsia="Times New Roman" w:hAnsi="Times New Roman"/>
                <w:lang w:eastAsia="lt-LT"/>
              </w:rPr>
              <w:t xml:space="preserve">Iki šiol išmokėta apie 7,5 </w:t>
            </w:r>
            <w:r w:rsidR="00604D30" w:rsidRPr="007A0306">
              <w:rPr>
                <w:rFonts w:ascii="Times New Roman" w:eastAsia="Times New Roman" w:hAnsi="Times New Roman"/>
                <w:lang w:eastAsia="lt-LT"/>
              </w:rPr>
              <w:lastRenderedPageBreak/>
              <w:t>milijardo eurų, įskaitant 4 milijardus eurų dotacijų ir 3,5 milijardo eurų paskolų. Pirmoji dalis, išmokėta balandžio 8</w:t>
            </w:r>
            <w:r>
              <w:rPr>
                <w:rFonts w:ascii="Times New Roman" w:eastAsia="Times New Roman" w:hAnsi="Times New Roman"/>
                <w:lang w:eastAsia="lt-LT"/>
              </w:rPr>
              <w:t xml:space="preserve"> d., taip pat siekė 3,56 mlrd. eurų (1,72 mlrd. eurų</w:t>
            </w:r>
            <w:r w:rsidR="00604D30" w:rsidRPr="007A0306">
              <w:rPr>
                <w:rFonts w:ascii="Times New Roman" w:eastAsia="Times New Roman" w:hAnsi="Times New Roman"/>
                <w:lang w:eastAsia="lt-LT"/>
              </w:rPr>
              <w:t xml:space="preserve"> dotacijų ir 1,84</w:t>
            </w:r>
            <w:r>
              <w:rPr>
                <w:rFonts w:ascii="Times New Roman" w:eastAsia="Times New Roman" w:hAnsi="Times New Roman"/>
                <w:lang w:eastAsia="lt-LT"/>
              </w:rPr>
              <w:t xml:space="preserve"> eurų</w:t>
            </w:r>
            <w:r w:rsidR="00604D30" w:rsidRPr="007A0306">
              <w:rPr>
                <w:rFonts w:ascii="Times New Roman" w:eastAsia="Times New Roman" w:hAnsi="Times New Roman"/>
                <w:lang w:eastAsia="lt-LT"/>
              </w:rPr>
              <w:t xml:space="preserve"> paskolų). 2021 m. rugpjūčio 9 d. išmokėtas išankstinis finansavimas siekė 3,96 mlrd. Todėl, jei, kaip ir tikėtasi, iki metų pabaigos bus išmokėta antroji dalis, į valstybės kasą pateks daugiau nei 11 mlrd.</w:t>
            </w:r>
            <w:r w:rsidR="007A0306" w:rsidRPr="007A0306">
              <w:rPr>
                <w:rFonts w:ascii="Times New Roman" w:eastAsia="Times New Roman" w:hAnsi="Times New Roman"/>
                <w:lang w:eastAsia="lt-LT"/>
              </w:rPr>
              <w:t xml:space="preserve"> </w:t>
            </w:r>
            <w:r w:rsidR="00604D30" w:rsidRPr="007A0306">
              <w:rPr>
                <w:rFonts w:ascii="Times New Roman" w:eastAsia="Times New Roman" w:hAnsi="Times New Roman"/>
                <w:lang w:eastAsia="lt-LT"/>
              </w:rPr>
              <w:t>Dotacijų įsisavinimas pagal Valstybės investicijų programą iki šiol siekė 1,65 mlrd.</w:t>
            </w:r>
          </w:p>
        </w:tc>
        <w:tc>
          <w:tcPr>
            <w:tcW w:w="2410" w:type="dxa"/>
            <w:shd w:val="clear" w:color="auto" w:fill="auto"/>
            <w:tcMar>
              <w:top w:w="29" w:type="dxa"/>
              <w:left w:w="115" w:type="dxa"/>
              <w:bottom w:w="29" w:type="dxa"/>
              <w:right w:w="115" w:type="dxa"/>
            </w:tcMar>
          </w:tcPr>
          <w:p w:rsidR="00604D30" w:rsidRPr="000B71A1" w:rsidRDefault="00604D30" w:rsidP="0039175E">
            <w:pPr>
              <w:spacing w:before="120" w:after="120" w:line="240" w:lineRule="auto"/>
              <w:rPr>
                <w:rStyle w:val="Hyperlink"/>
                <w:rFonts w:ascii="Times New Roman" w:hAnsi="Times New Roman"/>
                <w:noProof/>
              </w:rPr>
            </w:pPr>
            <w:r w:rsidRPr="00604D30">
              <w:rPr>
                <w:rStyle w:val="Hyperlink"/>
                <w:rFonts w:ascii="Times New Roman" w:hAnsi="Times New Roman"/>
                <w:noProof/>
              </w:rPr>
              <w:lastRenderedPageBreak/>
              <w:t>https://www.ekathimerini.com/economy/1194617/greece-applies-for-e3-56-bln/</w:t>
            </w:r>
          </w:p>
        </w:tc>
        <w:tc>
          <w:tcPr>
            <w:tcW w:w="1559" w:type="dxa"/>
            <w:shd w:val="clear" w:color="auto" w:fill="auto"/>
            <w:tcMar>
              <w:top w:w="29" w:type="dxa"/>
              <w:left w:w="115" w:type="dxa"/>
              <w:bottom w:w="29" w:type="dxa"/>
              <w:right w:w="115" w:type="dxa"/>
            </w:tcMar>
          </w:tcPr>
          <w:p w:rsidR="00604D30" w:rsidRPr="0039175E" w:rsidRDefault="00604D30" w:rsidP="0039175E">
            <w:pPr>
              <w:spacing w:before="120" w:after="120" w:line="240" w:lineRule="auto"/>
              <w:rPr>
                <w:rFonts w:ascii="Times New Roman" w:hAnsi="Times New Roman"/>
                <w:noProof/>
              </w:rPr>
            </w:pPr>
          </w:p>
        </w:tc>
      </w:tr>
      <w:tr w:rsidR="00955C23" w:rsidRPr="00B561E0" w:rsidTr="0039175E">
        <w:trPr>
          <w:trHeight w:val="216"/>
        </w:trPr>
        <w:tc>
          <w:tcPr>
            <w:tcW w:w="1270" w:type="dxa"/>
            <w:shd w:val="clear" w:color="auto" w:fill="auto"/>
            <w:tcMar>
              <w:top w:w="29" w:type="dxa"/>
              <w:left w:w="115" w:type="dxa"/>
              <w:bottom w:w="29" w:type="dxa"/>
              <w:right w:w="115" w:type="dxa"/>
            </w:tcMar>
          </w:tcPr>
          <w:p w:rsidR="00955C23" w:rsidRDefault="00955C23" w:rsidP="0039175E">
            <w:pPr>
              <w:spacing w:before="120" w:after="120" w:line="240" w:lineRule="auto"/>
              <w:rPr>
                <w:rFonts w:ascii="Times New Roman" w:hAnsi="Times New Roman"/>
              </w:rPr>
            </w:pPr>
            <w:r>
              <w:rPr>
                <w:rFonts w:ascii="Times New Roman" w:hAnsi="Times New Roman"/>
              </w:rPr>
              <w:t>2022 10 03</w:t>
            </w:r>
          </w:p>
        </w:tc>
        <w:tc>
          <w:tcPr>
            <w:tcW w:w="4537" w:type="dxa"/>
            <w:shd w:val="clear" w:color="auto" w:fill="auto"/>
            <w:tcMar>
              <w:top w:w="29" w:type="dxa"/>
              <w:left w:w="115" w:type="dxa"/>
              <w:bottom w:w="29" w:type="dxa"/>
              <w:right w:w="115" w:type="dxa"/>
            </w:tcMar>
          </w:tcPr>
          <w:p w:rsidR="00955C23" w:rsidRPr="00C21AE0" w:rsidRDefault="00955C23" w:rsidP="00DB3C41">
            <w:pPr>
              <w:pStyle w:val="HTMLPreformatted"/>
              <w:jc w:val="both"/>
              <w:rPr>
                <w:lang w:val="en-US"/>
              </w:rPr>
            </w:pPr>
            <w:r w:rsidRPr="0092736D">
              <w:rPr>
                <w:rStyle w:val="y2iqfc"/>
                <w:rFonts w:ascii="Times New Roman" w:hAnsi="Times New Roman" w:cs="Times New Roman"/>
                <w:sz w:val="22"/>
                <w:szCs w:val="22"/>
              </w:rPr>
              <w:t>Prognozuojama, kad Graikijos ekonomika kitais metais augs lėčiau po stipraus atsigavimo šiais metais dėl turizmo, nes sparčiai didėjančios energijos sąnaudos ir infliacija turėtų apriboti vidaus paklausą ir eksportą.</w:t>
            </w:r>
            <w:r w:rsidR="0092736D">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Remiantis paskelbtu vyriausybės 2023 metų biudžeto projektu, šalies ekonomikos apimtys kitais metais padidės 2,1 proc</w:t>
            </w:r>
            <w:r w:rsidR="00363E9E">
              <w:rPr>
                <w:rStyle w:val="y2iqfc"/>
                <w:rFonts w:ascii="Times New Roman" w:hAnsi="Times New Roman" w:cs="Times New Roman"/>
                <w:sz w:val="22"/>
                <w:szCs w:val="22"/>
              </w:rPr>
              <w:t xml:space="preserve">., šiemet - </w:t>
            </w:r>
            <w:r w:rsidRPr="0092736D">
              <w:rPr>
                <w:rStyle w:val="y2iqfc"/>
                <w:rFonts w:ascii="Times New Roman" w:hAnsi="Times New Roman" w:cs="Times New Roman"/>
                <w:sz w:val="22"/>
                <w:szCs w:val="22"/>
              </w:rPr>
              <w:t>5,3 proc.</w:t>
            </w:r>
            <w:r w:rsidR="0092736D" w:rsidRPr="0092736D">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 xml:space="preserve">Kitais metais tikimasi, kad Graikija pasieks 0,7% bendrojo vidaus produkto pirminį perteklių, neįskaitant skolos aptarnavimo išlaidų, </w:t>
            </w:r>
            <w:r w:rsidR="00363E9E">
              <w:rPr>
                <w:rStyle w:val="y2iqfc"/>
                <w:rFonts w:ascii="Times New Roman" w:hAnsi="Times New Roman" w:cs="Times New Roman"/>
                <w:sz w:val="22"/>
                <w:szCs w:val="22"/>
              </w:rPr>
              <w:t xml:space="preserve">2022 m. - </w:t>
            </w:r>
            <w:r w:rsidRPr="0092736D">
              <w:rPr>
                <w:rStyle w:val="y2iqfc"/>
                <w:rFonts w:ascii="Times New Roman" w:hAnsi="Times New Roman" w:cs="Times New Roman"/>
                <w:sz w:val="22"/>
                <w:szCs w:val="22"/>
              </w:rPr>
              <w:t>1,7% biudžeto deficit</w:t>
            </w:r>
            <w:r w:rsidR="00363E9E">
              <w:rPr>
                <w:rStyle w:val="y2iqfc"/>
                <w:rFonts w:ascii="Times New Roman" w:hAnsi="Times New Roman" w:cs="Times New Roman"/>
                <w:sz w:val="22"/>
                <w:szCs w:val="22"/>
              </w:rPr>
              <w:t xml:space="preserve">as. </w:t>
            </w:r>
            <w:r w:rsidRPr="0092736D">
              <w:rPr>
                <w:rStyle w:val="y2iqfc"/>
                <w:rFonts w:ascii="Times New Roman" w:hAnsi="Times New Roman" w:cs="Times New Roman"/>
                <w:sz w:val="22"/>
                <w:szCs w:val="22"/>
              </w:rPr>
              <w:t>Šalies ekonomika 2022 m. auga labiau nei tikėtasi, o tai lemia didelės pajamos iš turizmo, vidaus paklausa ir investicijų šuolis. Tačiau vartotojų išlaidos susidūrė su iššūkiais – infliacija pasiekė aukščiausią lygį per tris dešimtmečius.</w:t>
            </w:r>
            <w:r w:rsidR="00363E9E">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 xml:space="preserve">„2023 metų biudžetas rengiamas itin didelio neapibrėžtumo sąlygomis dėl geopolitinių pokyčių pasauliniu mastu“, – sakoma finansų ministro </w:t>
            </w:r>
            <w:proofErr w:type="spellStart"/>
            <w:r w:rsidRPr="0092736D">
              <w:rPr>
                <w:rStyle w:val="y2iqfc"/>
                <w:rFonts w:ascii="Times New Roman" w:hAnsi="Times New Roman" w:cs="Times New Roman"/>
                <w:sz w:val="22"/>
                <w:szCs w:val="22"/>
              </w:rPr>
              <w:t>Christo</w:t>
            </w:r>
            <w:proofErr w:type="spellEnd"/>
            <w:r w:rsidRPr="0092736D">
              <w:rPr>
                <w:rStyle w:val="y2iqfc"/>
                <w:rFonts w:ascii="Times New Roman" w:hAnsi="Times New Roman" w:cs="Times New Roman"/>
                <w:sz w:val="22"/>
                <w:szCs w:val="22"/>
              </w:rPr>
              <w:t xml:space="preserve"> </w:t>
            </w:r>
            <w:proofErr w:type="spellStart"/>
            <w:r w:rsidRPr="0092736D">
              <w:rPr>
                <w:rStyle w:val="y2iqfc"/>
                <w:rFonts w:ascii="Times New Roman" w:hAnsi="Times New Roman" w:cs="Times New Roman"/>
                <w:sz w:val="22"/>
                <w:szCs w:val="22"/>
              </w:rPr>
              <w:t>Staikouro</w:t>
            </w:r>
            <w:proofErr w:type="spellEnd"/>
            <w:r w:rsidRPr="0092736D">
              <w:rPr>
                <w:rStyle w:val="y2iqfc"/>
                <w:rFonts w:ascii="Times New Roman" w:hAnsi="Times New Roman" w:cs="Times New Roman"/>
                <w:sz w:val="22"/>
                <w:szCs w:val="22"/>
              </w:rPr>
              <w:t xml:space="preserve"> </w:t>
            </w:r>
            <w:r w:rsidR="00363E9E">
              <w:rPr>
                <w:rStyle w:val="y2iqfc"/>
                <w:rFonts w:ascii="Times New Roman" w:hAnsi="Times New Roman" w:cs="Times New Roman"/>
                <w:sz w:val="22"/>
                <w:szCs w:val="22"/>
              </w:rPr>
              <w:t>p</w:t>
            </w:r>
            <w:r w:rsidRPr="0092736D">
              <w:rPr>
                <w:rStyle w:val="y2iqfc"/>
                <w:rFonts w:ascii="Times New Roman" w:hAnsi="Times New Roman" w:cs="Times New Roman"/>
                <w:sz w:val="22"/>
                <w:szCs w:val="22"/>
              </w:rPr>
              <w:t>ranešime</w:t>
            </w:r>
            <w:r w:rsidR="00363E9E">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 xml:space="preserve">Remiantis parlamentui pateiktu biudžeto projektu, šalies valstybės skola, kuri yra didžiausia euro zonoje, sumažėjo </w:t>
            </w:r>
            <w:r w:rsidR="00363E9E" w:rsidRPr="0092736D">
              <w:rPr>
                <w:rStyle w:val="y2iqfc"/>
                <w:rFonts w:ascii="Times New Roman" w:hAnsi="Times New Roman" w:cs="Times New Roman"/>
                <w:sz w:val="22"/>
                <w:szCs w:val="22"/>
              </w:rPr>
              <w:t xml:space="preserve">nuo 169,1% </w:t>
            </w:r>
            <w:r w:rsidR="00363E9E">
              <w:rPr>
                <w:rStyle w:val="y2iqfc"/>
                <w:rFonts w:ascii="Times New Roman" w:hAnsi="Times New Roman" w:cs="Times New Roman"/>
                <w:sz w:val="22"/>
                <w:szCs w:val="22"/>
              </w:rPr>
              <w:t xml:space="preserve">iki </w:t>
            </w:r>
            <w:r w:rsidRPr="0092736D">
              <w:rPr>
                <w:rStyle w:val="y2iqfc"/>
                <w:rFonts w:ascii="Times New Roman" w:hAnsi="Times New Roman" w:cs="Times New Roman"/>
                <w:sz w:val="22"/>
                <w:szCs w:val="22"/>
              </w:rPr>
              <w:t>161,6% BVP šiais metais.</w:t>
            </w:r>
            <w:r w:rsidR="0092736D" w:rsidRPr="0092736D">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 xml:space="preserve">Biudžeto projekte numatoma, kad metinė infliacija iki 2023 metų pabaigos sumažės iki 3 proc., o šiemet – </w:t>
            </w:r>
            <w:r w:rsidR="00363E9E">
              <w:rPr>
                <w:rStyle w:val="y2iqfc"/>
                <w:rFonts w:ascii="Times New Roman" w:hAnsi="Times New Roman" w:cs="Times New Roman"/>
                <w:sz w:val="22"/>
                <w:szCs w:val="22"/>
              </w:rPr>
              <w:t>sieks</w:t>
            </w:r>
            <w:r w:rsidRPr="0092736D">
              <w:rPr>
                <w:rStyle w:val="y2iqfc"/>
                <w:rFonts w:ascii="Times New Roman" w:hAnsi="Times New Roman" w:cs="Times New Roman"/>
                <w:sz w:val="22"/>
                <w:szCs w:val="22"/>
              </w:rPr>
              <w:t xml:space="preserve"> ​​8,8 proc. Be to, kitais metais nedarbas sumažės iki 12,6%</w:t>
            </w:r>
            <w:r w:rsidR="00363E9E">
              <w:rPr>
                <w:rStyle w:val="y2iqfc"/>
                <w:rFonts w:ascii="Times New Roman" w:hAnsi="Times New Roman" w:cs="Times New Roman"/>
                <w:sz w:val="22"/>
                <w:szCs w:val="22"/>
              </w:rPr>
              <w:t>, 2022 m. sieks 12,9%</w:t>
            </w:r>
            <w:r w:rsidRPr="0092736D">
              <w:rPr>
                <w:rStyle w:val="y2iqfc"/>
                <w:rFonts w:ascii="Times New Roman" w:hAnsi="Times New Roman" w:cs="Times New Roman"/>
                <w:sz w:val="22"/>
                <w:szCs w:val="22"/>
              </w:rPr>
              <w:t>.</w:t>
            </w:r>
            <w:r w:rsidR="00363E9E">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 xml:space="preserve">Graikija tikisi, kad 2022 m. pajamos iš turizmo viršys 18 </w:t>
            </w:r>
            <w:r w:rsidR="00363E9E">
              <w:rPr>
                <w:rStyle w:val="y2iqfc"/>
                <w:rFonts w:ascii="Times New Roman" w:hAnsi="Times New Roman" w:cs="Times New Roman"/>
                <w:sz w:val="22"/>
                <w:szCs w:val="22"/>
              </w:rPr>
              <w:t>mlrd. eurų</w:t>
            </w:r>
            <w:r w:rsidRPr="0092736D">
              <w:rPr>
                <w:rStyle w:val="y2iqfc"/>
                <w:rFonts w:ascii="Times New Roman" w:hAnsi="Times New Roman" w:cs="Times New Roman"/>
                <w:sz w:val="22"/>
                <w:szCs w:val="22"/>
              </w:rPr>
              <w:t>, o tai viršys rekordinius šio sektoriaus rezultatus 2019 m</w:t>
            </w:r>
            <w:r w:rsidR="00DB3C41">
              <w:rPr>
                <w:rStyle w:val="y2iqfc"/>
                <w:rFonts w:ascii="Times New Roman" w:hAnsi="Times New Roman" w:cs="Times New Roman"/>
                <w:sz w:val="22"/>
                <w:szCs w:val="22"/>
              </w:rPr>
              <w:t>etų</w:t>
            </w:r>
            <w:r w:rsidRPr="0092736D">
              <w:rPr>
                <w:rStyle w:val="y2iqfc"/>
                <w:rFonts w:ascii="Times New Roman" w:hAnsi="Times New Roman" w:cs="Times New Roman"/>
                <w:sz w:val="22"/>
                <w:szCs w:val="22"/>
              </w:rPr>
              <w:t>, kol COVID-19 pandemija nesustabdė kelionių.</w:t>
            </w:r>
            <w:r w:rsidR="0092736D" w:rsidRPr="0092736D">
              <w:rPr>
                <w:rStyle w:val="y2iqfc"/>
                <w:rFonts w:ascii="Times New Roman" w:hAnsi="Times New Roman" w:cs="Times New Roman"/>
                <w:sz w:val="22"/>
                <w:szCs w:val="22"/>
              </w:rPr>
              <w:t xml:space="preserve"> </w:t>
            </w:r>
            <w:r w:rsidRPr="0092736D">
              <w:rPr>
                <w:rStyle w:val="y2iqfc"/>
                <w:rFonts w:ascii="Times New Roman" w:hAnsi="Times New Roman" w:cs="Times New Roman"/>
                <w:sz w:val="22"/>
                <w:szCs w:val="22"/>
              </w:rPr>
              <w:t>Tačiau konservat</w:t>
            </w:r>
            <w:r w:rsidR="00DB3C41">
              <w:rPr>
                <w:rStyle w:val="y2iqfc"/>
                <w:rFonts w:ascii="Times New Roman" w:hAnsi="Times New Roman" w:cs="Times New Roman"/>
                <w:sz w:val="22"/>
                <w:szCs w:val="22"/>
              </w:rPr>
              <w:t>orių</w:t>
            </w:r>
            <w:r w:rsidRPr="0092736D">
              <w:rPr>
                <w:rStyle w:val="y2iqfc"/>
                <w:rFonts w:ascii="Times New Roman" w:hAnsi="Times New Roman" w:cs="Times New Roman"/>
                <w:sz w:val="22"/>
                <w:szCs w:val="22"/>
              </w:rPr>
              <w:t xml:space="preserve"> vyriausybė pažadėjo didžiąją da</w:t>
            </w:r>
            <w:r w:rsidR="00DB3C41">
              <w:rPr>
                <w:rStyle w:val="y2iqfc"/>
                <w:rFonts w:ascii="Times New Roman" w:hAnsi="Times New Roman" w:cs="Times New Roman"/>
                <w:sz w:val="22"/>
                <w:szCs w:val="22"/>
              </w:rPr>
              <w:t>lį didesnių fiskalinių išteklių</w:t>
            </w:r>
            <w:r w:rsidRPr="0092736D">
              <w:rPr>
                <w:rStyle w:val="y2iqfc"/>
                <w:rFonts w:ascii="Times New Roman" w:hAnsi="Times New Roman" w:cs="Times New Roman"/>
                <w:sz w:val="22"/>
                <w:szCs w:val="22"/>
              </w:rPr>
              <w:t xml:space="preserve"> skirti energijos subsidijoms, kad pare</w:t>
            </w:r>
            <w:r w:rsidR="00DB3C41">
              <w:rPr>
                <w:rStyle w:val="y2iqfc"/>
                <w:rFonts w:ascii="Times New Roman" w:hAnsi="Times New Roman" w:cs="Times New Roman"/>
                <w:sz w:val="22"/>
                <w:szCs w:val="22"/>
              </w:rPr>
              <w:t xml:space="preserve">mtų namų ūkius ir įmones, </w:t>
            </w:r>
            <w:r w:rsidRPr="0092736D">
              <w:rPr>
                <w:rStyle w:val="y2iqfc"/>
                <w:rFonts w:ascii="Times New Roman" w:hAnsi="Times New Roman" w:cs="Times New Roman"/>
                <w:sz w:val="22"/>
                <w:szCs w:val="22"/>
              </w:rPr>
              <w:t>kad būtų išvengta elektros sąskaitų didėjimo, kilus energijos krizei, kurią paaštrino karas Ukrainoje.</w:t>
            </w:r>
          </w:p>
        </w:tc>
        <w:tc>
          <w:tcPr>
            <w:tcW w:w="2410" w:type="dxa"/>
            <w:shd w:val="clear" w:color="auto" w:fill="auto"/>
            <w:tcMar>
              <w:top w:w="29" w:type="dxa"/>
              <w:left w:w="115" w:type="dxa"/>
              <w:bottom w:w="29" w:type="dxa"/>
              <w:right w:w="115" w:type="dxa"/>
            </w:tcMar>
          </w:tcPr>
          <w:p w:rsidR="00955C23" w:rsidRPr="00193841" w:rsidRDefault="00955C23" w:rsidP="0039175E">
            <w:pPr>
              <w:spacing w:before="120" w:after="120" w:line="240" w:lineRule="auto"/>
              <w:rPr>
                <w:rStyle w:val="Hyperlink"/>
                <w:rFonts w:ascii="Times New Roman" w:hAnsi="Times New Roman"/>
                <w:noProof/>
              </w:rPr>
            </w:pPr>
            <w:r w:rsidRPr="00955C23">
              <w:rPr>
                <w:rStyle w:val="Hyperlink"/>
                <w:rFonts w:ascii="Times New Roman" w:hAnsi="Times New Roman"/>
                <w:noProof/>
              </w:rPr>
              <w:t>https://www.ekathimerini.com/economy/1194723/greek-economic-rebound-to-slow-next-year-as-energy-costs-curb-growth/</w:t>
            </w:r>
          </w:p>
        </w:tc>
        <w:tc>
          <w:tcPr>
            <w:tcW w:w="1559" w:type="dxa"/>
            <w:shd w:val="clear" w:color="auto" w:fill="auto"/>
            <w:tcMar>
              <w:top w:w="29" w:type="dxa"/>
              <w:left w:w="115" w:type="dxa"/>
              <w:bottom w:w="29" w:type="dxa"/>
              <w:right w:w="115" w:type="dxa"/>
            </w:tcMar>
          </w:tcPr>
          <w:p w:rsidR="00955C23" w:rsidRPr="0039175E" w:rsidRDefault="00955C23" w:rsidP="0039175E">
            <w:pPr>
              <w:spacing w:before="120" w:after="120" w:line="240" w:lineRule="auto"/>
              <w:rPr>
                <w:rFonts w:ascii="Times New Roman" w:hAnsi="Times New Roman"/>
                <w:noProof/>
              </w:rPr>
            </w:pPr>
          </w:p>
        </w:tc>
      </w:tr>
      <w:tr w:rsidR="00193841" w:rsidRPr="00B561E0" w:rsidTr="0039175E">
        <w:trPr>
          <w:trHeight w:val="216"/>
        </w:trPr>
        <w:tc>
          <w:tcPr>
            <w:tcW w:w="1270" w:type="dxa"/>
            <w:shd w:val="clear" w:color="auto" w:fill="auto"/>
            <w:tcMar>
              <w:top w:w="29" w:type="dxa"/>
              <w:left w:w="115" w:type="dxa"/>
              <w:bottom w:w="29" w:type="dxa"/>
              <w:right w:w="115" w:type="dxa"/>
            </w:tcMar>
          </w:tcPr>
          <w:p w:rsidR="00193841" w:rsidRDefault="00193841" w:rsidP="0039175E">
            <w:pPr>
              <w:spacing w:before="120" w:after="120" w:line="240" w:lineRule="auto"/>
              <w:rPr>
                <w:rFonts w:ascii="Times New Roman" w:hAnsi="Times New Roman"/>
              </w:rPr>
            </w:pPr>
            <w:r>
              <w:rPr>
                <w:rFonts w:ascii="Times New Roman" w:hAnsi="Times New Roman"/>
              </w:rPr>
              <w:t>2022 10 04</w:t>
            </w:r>
          </w:p>
        </w:tc>
        <w:tc>
          <w:tcPr>
            <w:tcW w:w="4537" w:type="dxa"/>
            <w:shd w:val="clear" w:color="auto" w:fill="auto"/>
            <w:tcMar>
              <w:top w:w="29" w:type="dxa"/>
              <w:left w:w="115" w:type="dxa"/>
              <w:bottom w:w="29" w:type="dxa"/>
              <w:right w:w="115" w:type="dxa"/>
            </w:tcMar>
          </w:tcPr>
          <w:p w:rsidR="00193841" w:rsidRPr="00C21AE0" w:rsidRDefault="00193841" w:rsidP="0025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21AE0">
              <w:rPr>
                <w:rFonts w:ascii="Times New Roman" w:eastAsia="Times New Roman" w:hAnsi="Times New Roman"/>
                <w:lang w:eastAsia="lt-LT"/>
              </w:rPr>
              <w:t>Fin</w:t>
            </w:r>
            <w:r w:rsidR="00C21AE0" w:rsidRPr="00C21AE0">
              <w:rPr>
                <w:rFonts w:ascii="Times New Roman" w:eastAsia="Times New Roman" w:hAnsi="Times New Roman"/>
                <w:lang w:eastAsia="lt-LT"/>
              </w:rPr>
              <w:t>ansų ministerija Parlament</w:t>
            </w:r>
            <w:r w:rsidRPr="00C21AE0">
              <w:rPr>
                <w:rFonts w:ascii="Times New Roman" w:eastAsia="Times New Roman" w:hAnsi="Times New Roman"/>
                <w:lang w:eastAsia="lt-LT"/>
              </w:rPr>
              <w:t xml:space="preserve">ui pateikė didelių </w:t>
            </w:r>
            <w:proofErr w:type="spellStart"/>
            <w:r w:rsidRPr="00C21AE0">
              <w:rPr>
                <w:rFonts w:ascii="Times New Roman" w:eastAsia="Times New Roman" w:hAnsi="Times New Roman"/>
                <w:lang w:eastAsia="lt-LT"/>
              </w:rPr>
              <w:t>neaiškumų</w:t>
            </w:r>
            <w:proofErr w:type="spellEnd"/>
            <w:r w:rsidRPr="00C21AE0">
              <w:rPr>
                <w:rFonts w:ascii="Times New Roman" w:eastAsia="Times New Roman" w:hAnsi="Times New Roman"/>
                <w:lang w:eastAsia="lt-LT"/>
              </w:rPr>
              <w:t xml:space="preserve"> dėl energetinės krizės, geopolitinio nestabilumo ir galimos recesijos Europoje keliantį biudžeto projektą, balansuojantį tarp būtinybės toliau remti namų ūkius ir verslą bei siekį grįžti prie pirminio </w:t>
            </w:r>
            <w:r w:rsidR="00C21AE0" w:rsidRPr="00C21AE0">
              <w:rPr>
                <w:rFonts w:ascii="Times New Roman" w:eastAsia="Times New Roman" w:hAnsi="Times New Roman"/>
                <w:lang w:eastAsia="lt-LT"/>
              </w:rPr>
              <w:t xml:space="preserve">finansų </w:t>
            </w:r>
            <w:r w:rsidRPr="00C21AE0">
              <w:rPr>
                <w:rFonts w:ascii="Times New Roman" w:eastAsia="Times New Roman" w:hAnsi="Times New Roman"/>
                <w:lang w:eastAsia="lt-LT"/>
              </w:rPr>
              <w:t xml:space="preserve">pertekliaus. </w:t>
            </w:r>
            <w:r w:rsidR="00C21AE0" w:rsidRPr="00C21AE0">
              <w:rPr>
                <w:rFonts w:ascii="Times New Roman" w:eastAsia="Times New Roman" w:hAnsi="Times New Roman"/>
                <w:lang w:eastAsia="lt-LT"/>
              </w:rPr>
              <w:t>Netikrumą</w:t>
            </w:r>
            <w:r w:rsidRPr="00C21AE0">
              <w:rPr>
                <w:rFonts w:ascii="Times New Roman" w:eastAsia="Times New Roman" w:hAnsi="Times New Roman"/>
                <w:lang w:eastAsia="lt-LT"/>
              </w:rPr>
              <w:t xml:space="preserve"> didina ir 2023 m. pirmąjį pusmetį vyksiantys rinkimai.</w:t>
            </w:r>
            <w:r w:rsidR="00C21AE0">
              <w:rPr>
                <w:rFonts w:ascii="Times New Roman" w:eastAsia="Times New Roman" w:hAnsi="Times New Roman"/>
                <w:lang w:eastAsia="lt-LT"/>
              </w:rPr>
              <w:t xml:space="preserve"> </w:t>
            </w:r>
            <w:r w:rsidRPr="00C21AE0">
              <w:rPr>
                <w:rFonts w:ascii="Times New Roman" w:eastAsia="Times New Roman" w:hAnsi="Times New Roman"/>
                <w:lang w:eastAsia="lt-LT"/>
              </w:rPr>
              <w:t xml:space="preserve">Projekte 2023 m. </w:t>
            </w:r>
            <w:r w:rsidRPr="00C21AE0">
              <w:rPr>
                <w:rFonts w:ascii="Times New Roman" w:eastAsia="Times New Roman" w:hAnsi="Times New Roman"/>
                <w:lang w:eastAsia="lt-LT"/>
              </w:rPr>
              <w:lastRenderedPageBreak/>
              <w:t xml:space="preserve">numatomas 0,7 % bendrojo vidaus produkto pirminis perteklius, šiek tiek mažesnis nei Stabilumo programoje prognozuojamas 1,1 % BVP. Šis kartelės nuleidimas užtikrina </w:t>
            </w:r>
            <w:r w:rsidR="00D40801">
              <w:rPr>
                <w:rFonts w:ascii="Times New Roman" w:eastAsia="Times New Roman" w:hAnsi="Times New Roman"/>
                <w:lang w:eastAsia="lt-LT"/>
              </w:rPr>
              <w:t>galimybę</w:t>
            </w:r>
            <w:r w:rsidRPr="00C21AE0">
              <w:rPr>
                <w:rFonts w:ascii="Times New Roman" w:eastAsia="Times New Roman" w:hAnsi="Times New Roman"/>
                <w:lang w:eastAsia="lt-LT"/>
              </w:rPr>
              <w:t xml:space="preserve"> 1 mlrd. eurų išlaidoms, siekiant 2023 metais toliau</w:t>
            </w:r>
            <w:r w:rsidR="00D40801">
              <w:rPr>
                <w:rFonts w:ascii="Times New Roman" w:eastAsia="Times New Roman" w:hAnsi="Times New Roman"/>
                <w:lang w:eastAsia="lt-LT"/>
              </w:rPr>
              <w:t xml:space="preserve"> subsidijuoti elektros įkainius, kuri</w:t>
            </w:r>
            <w:r w:rsidRPr="00C21AE0">
              <w:rPr>
                <w:rFonts w:ascii="Times New Roman" w:eastAsia="Times New Roman" w:hAnsi="Times New Roman"/>
                <w:lang w:eastAsia="lt-LT"/>
              </w:rPr>
              <w:t xml:space="preserve"> nebuvo numatyta Stabilumo programoje balandį.</w:t>
            </w:r>
            <w:r w:rsidR="00C21AE0">
              <w:rPr>
                <w:rFonts w:ascii="Times New Roman" w:eastAsia="Times New Roman" w:hAnsi="Times New Roman"/>
                <w:lang w:eastAsia="lt-LT"/>
              </w:rPr>
              <w:t xml:space="preserve"> </w:t>
            </w:r>
            <w:r w:rsidR="00D40801">
              <w:rPr>
                <w:rFonts w:ascii="Times New Roman" w:eastAsia="Times New Roman" w:hAnsi="Times New Roman"/>
                <w:lang w:eastAsia="lt-LT"/>
              </w:rPr>
              <w:t>Planuojam</w:t>
            </w:r>
            <w:r w:rsidRPr="00C21AE0">
              <w:rPr>
                <w:rFonts w:ascii="Times New Roman" w:eastAsia="Times New Roman" w:hAnsi="Times New Roman"/>
                <w:lang w:eastAsia="lt-LT"/>
              </w:rPr>
              <w:t xml:space="preserve">, kad 2022 m. pradinis deficitas bus 1,7 % BVP, </w:t>
            </w:r>
            <w:proofErr w:type="spellStart"/>
            <w:r w:rsidRPr="00C21AE0">
              <w:rPr>
                <w:rFonts w:ascii="Times New Roman" w:eastAsia="Times New Roman" w:hAnsi="Times New Roman"/>
                <w:lang w:eastAsia="lt-LT"/>
              </w:rPr>
              <w:t>t</w:t>
            </w:r>
            <w:r w:rsidR="00D40801">
              <w:rPr>
                <w:rFonts w:ascii="Times New Roman" w:eastAsia="Times New Roman" w:hAnsi="Times New Roman"/>
                <w:lang w:eastAsia="lt-LT"/>
              </w:rPr>
              <w:t>.</w:t>
            </w:r>
            <w:r w:rsidRPr="00C21AE0">
              <w:rPr>
                <w:rFonts w:ascii="Times New Roman" w:eastAsia="Times New Roman" w:hAnsi="Times New Roman"/>
                <w:lang w:eastAsia="lt-LT"/>
              </w:rPr>
              <w:t>y</w:t>
            </w:r>
            <w:proofErr w:type="spellEnd"/>
            <w:r w:rsidR="00D40801">
              <w:rPr>
                <w:rFonts w:ascii="Times New Roman" w:eastAsia="Times New Roman" w:hAnsi="Times New Roman"/>
                <w:lang w:eastAsia="lt-LT"/>
              </w:rPr>
              <w:t>.</w:t>
            </w:r>
            <w:r w:rsidRPr="00C21AE0">
              <w:rPr>
                <w:rFonts w:ascii="Times New Roman" w:eastAsia="Times New Roman" w:hAnsi="Times New Roman"/>
                <w:lang w:eastAsia="lt-LT"/>
              </w:rPr>
              <w:t xml:space="preserve"> mažesnis nei Stabilumo programoje numatytas </w:t>
            </w:r>
            <w:r w:rsidR="00D40801">
              <w:rPr>
                <w:rFonts w:ascii="Times New Roman" w:eastAsia="Times New Roman" w:hAnsi="Times New Roman"/>
                <w:lang w:eastAsia="lt-LT"/>
              </w:rPr>
              <w:t xml:space="preserve">- </w:t>
            </w:r>
            <w:r w:rsidRPr="00C21AE0">
              <w:rPr>
                <w:rFonts w:ascii="Times New Roman" w:eastAsia="Times New Roman" w:hAnsi="Times New Roman"/>
                <w:lang w:eastAsia="lt-LT"/>
              </w:rPr>
              <w:t xml:space="preserve">2 % BVP. Vyriausybė nori pasiųsti žinią Briuseliui ir rinkoms, kad bendras koregavimo dydis per dvejus metus išlieka toks pat, todėl Atėnai neatsisako savo </w:t>
            </w:r>
            <w:r w:rsidR="00D40801">
              <w:rPr>
                <w:rFonts w:ascii="Times New Roman" w:eastAsia="Times New Roman" w:hAnsi="Times New Roman"/>
                <w:lang w:eastAsia="lt-LT"/>
              </w:rPr>
              <w:t>tikslų dėl fiskalinio stabilumo</w:t>
            </w:r>
            <w:r w:rsidRPr="00C21AE0">
              <w:rPr>
                <w:rFonts w:ascii="Times New Roman" w:eastAsia="Times New Roman" w:hAnsi="Times New Roman"/>
                <w:lang w:eastAsia="lt-LT"/>
              </w:rPr>
              <w:t xml:space="preserve">. </w:t>
            </w:r>
            <w:r w:rsidR="00D40801">
              <w:rPr>
                <w:rFonts w:ascii="Times New Roman" w:eastAsia="Times New Roman" w:hAnsi="Times New Roman"/>
                <w:lang w:eastAsia="lt-LT"/>
              </w:rPr>
              <w:t xml:space="preserve">Anot </w:t>
            </w:r>
            <w:r w:rsidRPr="00C21AE0">
              <w:rPr>
                <w:rFonts w:ascii="Times New Roman" w:eastAsia="Times New Roman" w:hAnsi="Times New Roman"/>
                <w:lang w:eastAsia="lt-LT"/>
              </w:rPr>
              <w:t>finansų ministr</w:t>
            </w:r>
            <w:r w:rsidR="00D40801">
              <w:rPr>
                <w:rFonts w:ascii="Times New Roman" w:eastAsia="Times New Roman" w:hAnsi="Times New Roman"/>
                <w:lang w:eastAsia="lt-LT"/>
              </w:rPr>
              <w:t>o</w:t>
            </w:r>
            <w:r w:rsidRPr="00C21AE0">
              <w:rPr>
                <w:rFonts w:ascii="Times New Roman" w:eastAsia="Times New Roman" w:hAnsi="Times New Roman"/>
                <w:lang w:eastAsia="lt-LT"/>
              </w:rPr>
              <w:t xml:space="preserve"> </w:t>
            </w:r>
            <w:proofErr w:type="spellStart"/>
            <w:r w:rsidRPr="00C21AE0">
              <w:rPr>
                <w:rFonts w:ascii="Times New Roman" w:eastAsia="Times New Roman" w:hAnsi="Times New Roman"/>
                <w:lang w:eastAsia="lt-LT"/>
              </w:rPr>
              <w:t>Christos</w:t>
            </w:r>
            <w:proofErr w:type="spellEnd"/>
            <w:r w:rsidRPr="00C21AE0">
              <w:rPr>
                <w:rFonts w:ascii="Times New Roman" w:eastAsia="Times New Roman" w:hAnsi="Times New Roman"/>
                <w:lang w:eastAsia="lt-LT"/>
              </w:rPr>
              <w:t xml:space="preserve"> </w:t>
            </w:r>
            <w:proofErr w:type="spellStart"/>
            <w:r w:rsidRPr="00C21AE0">
              <w:rPr>
                <w:rFonts w:ascii="Times New Roman" w:eastAsia="Times New Roman" w:hAnsi="Times New Roman"/>
                <w:lang w:eastAsia="lt-LT"/>
              </w:rPr>
              <w:t>Staikouras</w:t>
            </w:r>
            <w:proofErr w:type="spellEnd"/>
            <w:r w:rsidRPr="00C21AE0">
              <w:rPr>
                <w:rFonts w:ascii="Times New Roman" w:eastAsia="Times New Roman" w:hAnsi="Times New Roman"/>
                <w:lang w:eastAsia="lt-LT"/>
              </w:rPr>
              <w:t xml:space="preserve"> „realių fiskalinių tikslų pasiekimas yra leidimas patekti į rinkas, užtikrinti skolos tvarumą ir pasiekti investicijų lygį, siekiant išlaikyti teigiamą šalies ekonomikos augimo perspektyvą ateinančiais metais“.</w:t>
            </w:r>
            <w:r w:rsidR="00C21AE0">
              <w:rPr>
                <w:rFonts w:ascii="Times New Roman" w:eastAsia="Times New Roman" w:hAnsi="Times New Roman"/>
                <w:lang w:eastAsia="lt-LT"/>
              </w:rPr>
              <w:t xml:space="preserve"> </w:t>
            </w:r>
            <w:r w:rsidRPr="00C21AE0">
              <w:rPr>
                <w:rFonts w:ascii="Times New Roman" w:eastAsia="Times New Roman" w:hAnsi="Times New Roman"/>
                <w:lang w:eastAsia="lt-LT"/>
              </w:rPr>
              <w:t>Augimo tempas, be abejo, yra lemiamas biudžeto iššūkio veiksnys. Vyriausybė prognozuoja, kad šiemet BVP augs 5,3 proc., o 2023 m. – 2,1 proc. Šiais metais lemiamą vaidmenį vaidina turizmas (prekių ir paslaugų eksportas padidės 10,3 proc.) ir vartojimas (7,2 proc.).</w:t>
            </w:r>
            <w:r w:rsidR="00C21AE0">
              <w:rPr>
                <w:rFonts w:ascii="Times New Roman" w:eastAsia="Times New Roman" w:hAnsi="Times New Roman"/>
                <w:lang w:eastAsia="lt-LT"/>
              </w:rPr>
              <w:t xml:space="preserve"> </w:t>
            </w:r>
            <w:r w:rsidRPr="00C21AE0">
              <w:rPr>
                <w:rFonts w:ascii="Times New Roman" w:eastAsia="Times New Roman" w:hAnsi="Times New Roman"/>
                <w:lang w:eastAsia="lt-LT"/>
              </w:rPr>
              <w:t>2023 m. vyriausybės prognozėse svarbi</w:t>
            </w:r>
            <w:r w:rsidR="00C21AE0" w:rsidRPr="00C21AE0">
              <w:rPr>
                <w:rFonts w:ascii="Times New Roman" w:eastAsia="Times New Roman" w:hAnsi="Times New Roman"/>
                <w:lang w:eastAsia="lt-LT"/>
              </w:rPr>
              <w:t>ausia</w:t>
            </w:r>
            <w:r w:rsidR="002570F8">
              <w:rPr>
                <w:rFonts w:ascii="Times New Roman" w:eastAsia="Times New Roman" w:hAnsi="Times New Roman"/>
                <w:lang w:eastAsia="lt-LT"/>
              </w:rPr>
              <w:t>s dėmuo</w:t>
            </w:r>
            <w:r w:rsidR="00C21AE0" w:rsidRPr="00C21AE0">
              <w:rPr>
                <w:rFonts w:ascii="Times New Roman" w:eastAsia="Times New Roman" w:hAnsi="Times New Roman"/>
                <w:lang w:eastAsia="lt-LT"/>
              </w:rPr>
              <w:t xml:space="preserve"> yra investicijos, kurios </w:t>
            </w:r>
            <w:r w:rsidRPr="00C21AE0">
              <w:rPr>
                <w:rFonts w:ascii="Times New Roman" w:eastAsia="Times New Roman" w:hAnsi="Times New Roman"/>
                <w:lang w:eastAsia="lt-LT"/>
              </w:rPr>
              <w:t>padidės 16%, palygint</w:t>
            </w:r>
            <w:r w:rsidR="002570F8">
              <w:rPr>
                <w:rFonts w:ascii="Times New Roman" w:eastAsia="Times New Roman" w:hAnsi="Times New Roman"/>
                <w:lang w:eastAsia="lt-LT"/>
              </w:rPr>
              <w:t xml:space="preserve">i su 10% šiais metais, žinoma, įskaitant lėšas iš </w:t>
            </w:r>
            <w:r w:rsidRPr="00C21AE0">
              <w:rPr>
                <w:rFonts w:ascii="Times New Roman" w:eastAsia="Times New Roman" w:hAnsi="Times New Roman"/>
                <w:lang w:eastAsia="lt-LT"/>
              </w:rPr>
              <w:t>Atkūrimo fond</w:t>
            </w:r>
            <w:r w:rsidR="002570F8">
              <w:rPr>
                <w:rFonts w:ascii="Times New Roman" w:eastAsia="Times New Roman" w:hAnsi="Times New Roman"/>
                <w:lang w:eastAsia="lt-LT"/>
              </w:rPr>
              <w:t>o</w:t>
            </w:r>
            <w:r w:rsidRPr="00C21AE0">
              <w:rPr>
                <w:rFonts w:ascii="Times New Roman" w:eastAsia="Times New Roman" w:hAnsi="Times New Roman"/>
                <w:lang w:eastAsia="lt-LT"/>
              </w:rPr>
              <w:t>. Konkrečiai, 8,3 mlrd. eurų tikimasi iš Valstybės investicijų programos ir 5,6 mlrd. eurų iš Atkūrimo fondo.</w:t>
            </w:r>
          </w:p>
        </w:tc>
        <w:tc>
          <w:tcPr>
            <w:tcW w:w="2410" w:type="dxa"/>
            <w:shd w:val="clear" w:color="auto" w:fill="auto"/>
            <w:tcMar>
              <w:top w:w="29" w:type="dxa"/>
              <w:left w:w="115" w:type="dxa"/>
              <w:bottom w:w="29" w:type="dxa"/>
              <w:right w:w="115" w:type="dxa"/>
            </w:tcMar>
          </w:tcPr>
          <w:p w:rsidR="00193841" w:rsidRPr="00F36564" w:rsidRDefault="00193841" w:rsidP="0039175E">
            <w:pPr>
              <w:spacing w:before="120" w:after="120" w:line="240" w:lineRule="auto"/>
              <w:rPr>
                <w:rStyle w:val="Hyperlink"/>
                <w:rFonts w:ascii="Times New Roman" w:hAnsi="Times New Roman"/>
                <w:noProof/>
              </w:rPr>
            </w:pPr>
            <w:r w:rsidRPr="00193841">
              <w:rPr>
                <w:rStyle w:val="Hyperlink"/>
                <w:rFonts w:ascii="Times New Roman" w:hAnsi="Times New Roman"/>
                <w:noProof/>
              </w:rPr>
              <w:lastRenderedPageBreak/>
              <w:t>https://www.ekathimerini.com/economy/1194744/budget-full-of-uncertainties/</w:t>
            </w:r>
          </w:p>
        </w:tc>
        <w:tc>
          <w:tcPr>
            <w:tcW w:w="1559" w:type="dxa"/>
            <w:shd w:val="clear" w:color="auto" w:fill="auto"/>
            <w:tcMar>
              <w:top w:w="29" w:type="dxa"/>
              <w:left w:w="115" w:type="dxa"/>
              <w:bottom w:w="29" w:type="dxa"/>
              <w:right w:w="115" w:type="dxa"/>
            </w:tcMar>
          </w:tcPr>
          <w:p w:rsidR="00193841" w:rsidRPr="0039175E" w:rsidRDefault="00193841" w:rsidP="0039175E">
            <w:pPr>
              <w:spacing w:before="120" w:after="120" w:line="240" w:lineRule="auto"/>
              <w:rPr>
                <w:rFonts w:ascii="Times New Roman" w:hAnsi="Times New Roman"/>
                <w:noProof/>
              </w:rPr>
            </w:pPr>
          </w:p>
        </w:tc>
      </w:tr>
      <w:tr w:rsidR="00F36564" w:rsidRPr="00B561E0" w:rsidTr="0039175E">
        <w:trPr>
          <w:trHeight w:val="216"/>
        </w:trPr>
        <w:tc>
          <w:tcPr>
            <w:tcW w:w="1270" w:type="dxa"/>
            <w:shd w:val="clear" w:color="auto" w:fill="auto"/>
            <w:tcMar>
              <w:top w:w="29" w:type="dxa"/>
              <w:left w:w="115" w:type="dxa"/>
              <w:bottom w:w="29" w:type="dxa"/>
              <w:right w:w="115" w:type="dxa"/>
            </w:tcMar>
          </w:tcPr>
          <w:p w:rsidR="00F36564" w:rsidRDefault="00F36564" w:rsidP="0039175E">
            <w:pPr>
              <w:spacing w:before="120" w:after="120" w:line="240" w:lineRule="auto"/>
              <w:rPr>
                <w:rFonts w:ascii="Times New Roman" w:hAnsi="Times New Roman"/>
              </w:rPr>
            </w:pPr>
            <w:r>
              <w:rPr>
                <w:rFonts w:ascii="Times New Roman" w:hAnsi="Times New Roman"/>
              </w:rPr>
              <w:t>2022 10 05</w:t>
            </w:r>
          </w:p>
        </w:tc>
        <w:tc>
          <w:tcPr>
            <w:tcW w:w="4537" w:type="dxa"/>
            <w:shd w:val="clear" w:color="auto" w:fill="auto"/>
            <w:tcMar>
              <w:top w:w="29" w:type="dxa"/>
              <w:left w:w="115" w:type="dxa"/>
              <w:bottom w:w="29" w:type="dxa"/>
              <w:right w:w="115" w:type="dxa"/>
            </w:tcMar>
          </w:tcPr>
          <w:p w:rsidR="00F36564" w:rsidRPr="004928AB" w:rsidRDefault="002570F8" w:rsidP="0025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Parlamentui</w:t>
            </w:r>
            <w:r w:rsidR="00F36564" w:rsidRPr="004928AB">
              <w:rPr>
                <w:rFonts w:ascii="Times New Roman" w:eastAsia="Times New Roman" w:hAnsi="Times New Roman"/>
                <w:lang w:eastAsia="lt-LT"/>
              </w:rPr>
              <w:t xml:space="preserve"> pateiktame 2023 metų biudžeto projekte numatytos 3,5 mlrd. eurų lengvatos, dėl kurių padidės mokesčių mokėtojų disponuojamos pajamos, o kartu numatoma skirti papildomą 1 mlrd. susidoroti su energetikos krize, padidinant intervencijas iki 4,5 mlrd.</w:t>
            </w:r>
            <w:r>
              <w:rPr>
                <w:rFonts w:ascii="Times New Roman" w:eastAsia="Times New Roman" w:hAnsi="Times New Roman"/>
                <w:lang w:eastAsia="lt-LT"/>
              </w:rPr>
              <w:t xml:space="preserve"> </w:t>
            </w:r>
            <w:r w:rsidR="00F36564" w:rsidRPr="004928AB">
              <w:rPr>
                <w:rFonts w:ascii="Times New Roman" w:eastAsia="Times New Roman" w:hAnsi="Times New Roman"/>
                <w:lang w:eastAsia="lt-LT"/>
              </w:rPr>
              <w:t>Biudžete konkrečiai numatyta visam laikui panaikinti specialų solidarumo mokestį valstybės tarnautojams, pensininkams ir privačiam sektoriui (fiskal</w:t>
            </w:r>
            <w:r w:rsidR="004928AB" w:rsidRPr="004928AB">
              <w:rPr>
                <w:rFonts w:ascii="Times New Roman" w:eastAsia="Times New Roman" w:hAnsi="Times New Roman"/>
                <w:lang w:eastAsia="lt-LT"/>
              </w:rPr>
              <w:t xml:space="preserve">inės išlaidos </w:t>
            </w:r>
            <w:r>
              <w:rPr>
                <w:rFonts w:ascii="Times New Roman" w:eastAsia="Times New Roman" w:hAnsi="Times New Roman"/>
                <w:lang w:eastAsia="lt-LT"/>
              </w:rPr>
              <w:t>sieks</w:t>
            </w:r>
            <w:r w:rsidR="004928AB" w:rsidRPr="004928AB">
              <w:rPr>
                <w:rFonts w:ascii="Times New Roman" w:eastAsia="Times New Roman" w:hAnsi="Times New Roman"/>
                <w:lang w:eastAsia="lt-LT"/>
              </w:rPr>
              <w:t xml:space="preserve"> 1,24 mlrd. eurų</w:t>
            </w:r>
            <w:r>
              <w:rPr>
                <w:rFonts w:ascii="Times New Roman" w:eastAsia="Times New Roman" w:hAnsi="Times New Roman"/>
                <w:lang w:eastAsia="lt-LT"/>
              </w:rPr>
              <w:t>)</w:t>
            </w:r>
            <w:r w:rsidR="00F36564" w:rsidRPr="004928AB">
              <w:rPr>
                <w:rFonts w:ascii="Times New Roman" w:eastAsia="Times New Roman" w:hAnsi="Times New Roman"/>
                <w:lang w:eastAsia="lt-LT"/>
              </w:rPr>
              <w:t>.</w:t>
            </w:r>
            <w:r w:rsidR="004928AB" w:rsidRPr="004928AB">
              <w:rPr>
                <w:rFonts w:ascii="Times New Roman" w:eastAsia="Times New Roman" w:hAnsi="Times New Roman"/>
                <w:lang w:eastAsia="lt-LT"/>
              </w:rPr>
              <w:t xml:space="preserve"> </w:t>
            </w:r>
            <w:r w:rsidR="00F36564" w:rsidRPr="004928AB">
              <w:rPr>
                <w:rFonts w:ascii="Times New Roman" w:eastAsia="Times New Roman" w:hAnsi="Times New Roman"/>
                <w:lang w:eastAsia="lt-LT"/>
              </w:rPr>
              <w:t>Išlaikomi lengvatiniai PVM tarifai keleivių vežimo paslaugoms, nealkoholiniams gėrimams ir gėrimų platinimo paslaugoms, kino, teatro ir koncertų bilietams, sporto salėms ir šokių mokykloms bei turistiniam paketui (246 mln. eurų)</w:t>
            </w:r>
            <w:r>
              <w:rPr>
                <w:rFonts w:ascii="Times New Roman" w:eastAsia="Times New Roman" w:hAnsi="Times New Roman"/>
                <w:lang w:eastAsia="lt-LT"/>
              </w:rPr>
              <w:t>.</w:t>
            </w:r>
            <w:r w:rsidR="004928AB" w:rsidRPr="004928AB">
              <w:rPr>
                <w:rFonts w:ascii="Times New Roman" w:eastAsia="Times New Roman" w:hAnsi="Times New Roman"/>
                <w:lang w:eastAsia="lt-LT"/>
              </w:rPr>
              <w:t xml:space="preserve"> </w:t>
            </w:r>
            <w:r w:rsidR="00F36564" w:rsidRPr="004928AB">
              <w:rPr>
                <w:rFonts w:ascii="Times New Roman" w:eastAsia="Times New Roman" w:hAnsi="Times New Roman"/>
                <w:lang w:eastAsia="lt-LT"/>
              </w:rPr>
              <w:t>Bus išlaikytas privataus sektoriaus darbuotojų socialinio draudimo įmokų sumažinimas trimis procentiniais punktais (871 mln. eurų).</w:t>
            </w:r>
            <w:r w:rsidR="004928AB" w:rsidRPr="004928AB">
              <w:rPr>
                <w:rFonts w:ascii="Times New Roman" w:eastAsia="Times New Roman" w:hAnsi="Times New Roman"/>
                <w:lang w:eastAsia="lt-LT"/>
              </w:rPr>
              <w:t xml:space="preserve"> </w:t>
            </w:r>
            <w:r w:rsidR="00F36564" w:rsidRPr="004928AB">
              <w:rPr>
                <w:rFonts w:ascii="Times New Roman" w:eastAsia="Times New Roman" w:hAnsi="Times New Roman"/>
                <w:lang w:eastAsia="lt-LT"/>
              </w:rPr>
              <w:t>Biudžete taip pat numatytas 1 milijardo eurų fondas namų ūkiams ir įmonėms remti kovojant su energetikos krize. Iš šios sumos 700 mln. eurų skirta namų ūkiams ir įmonėms subsidijuoti, o likusi dalis – valdžios institucijoms.</w:t>
            </w:r>
            <w:r w:rsidR="004928AB" w:rsidRPr="004928AB">
              <w:rPr>
                <w:rFonts w:ascii="Times New Roman" w:eastAsia="Times New Roman" w:hAnsi="Times New Roman"/>
                <w:lang w:eastAsia="lt-LT"/>
              </w:rPr>
              <w:t xml:space="preserve"> </w:t>
            </w:r>
            <w:r w:rsidR="00F36564" w:rsidRPr="004928AB">
              <w:rPr>
                <w:rFonts w:ascii="Times New Roman" w:eastAsia="Times New Roman" w:hAnsi="Times New Roman"/>
                <w:lang w:eastAsia="lt-LT"/>
              </w:rPr>
              <w:t xml:space="preserve">Pagal projektą, mokesčiai kitais metais padidės 1,58 mlrd. eurų ir sieks 56,19 </w:t>
            </w:r>
            <w:r w:rsidR="00F36564" w:rsidRPr="004928AB">
              <w:rPr>
                <w:rFonts w:ascii="Times New Roman" w:eastAsia="Times New Roman" w:hAnsi="Times New Roman"/>
                <w:lang w:eastAsia="lt-LT"/>
              </w:rPr>
              <w:lastRenderedPageBreak/>
              <w:t>mlrd. eurų</w:t>
            </w:r>
            <w:r>
              <w:rPr>
                <w:rFonts w:ascii="Times New Roman" w:eastAsia="Times New Roman" w:hAnsi="Times New Roman"/>
                <w:lang w:eastAsia="lt-LT"/>
              </w:rPr>
              <w:t>, 2022 m. 54,6 mlrd. eurų</w:t>
            </w:r>
            <w:r w:rsidR="00F36564" w:rsidRPr="004928AB">
              <w:rPr>
                <w:rFonts w:ascii="Times New Roman" w:eastAsia="Times New Roman" w:hAnsi="Times New Roman"/>
                <w:lang w:eastAsia="lt-LT"/>
              </w:rPr>
              <w:t xml:space="preserve">. Papildomos pajamos, palyginti su šiais metais, bus iš netiesioginių mokesčių ir pajamų mokesčio, daugiausia juridinių asmenų. Prognozuojama, kad prekių ir paslaugų mokesčiai (netiesioginiai mokesčiai) sieks 32,14 mlrd. eurų, </w:t>
            </w:r>
            <w:proofErr w:type="spellStart"/>
            <w:r w:rsidR="00F36564" w:rsidRPr="004928AB">
              <w:rPr>
                <w:rFonts w:ascii="Times New Roman" w:eastAsia="Times New Roman" w:hAnsi="Times New Roman"/>
                <w:lang w:eastAsia="lt-LT"/>
              </w:rPr>
              <w:t>t</w:t>
            </w:r>
            <w:r>
              <w:rPr>
                <w:rFonts w:ascii="Times New Roman" w:eastAsia="Times New Roman" w:hAnsi="Times New Roman"/>
                <w:lang w:eastAsia="lt-LT"/>
              </w:rPr>
              <w:t>.</w:t>
            </w:r>
            <w:r w:rsidR="00F36564" w:rsidRPr="004928AB">
              <w:rPr>
                <w:rFonts w:ascii="Times New Roman" w:eastAsia="Times New Roman" w:hAnsi="Times New Roman"/>
                <w:lang w:eastAsia="lt-LT"/>
              </w:rPr>
              <w:t>y</w:t>
            </w:r>
            <w:proofErr w:type="spellEnd"/>
            <w:r>
              <w:rPr>
                <w:rFonts w:ascii="Times New Roman" w:eastAsia="Times New Roman" w:hAnsi="Times New Roman"/>
                <w:lang w:eastAsia="lt-LT"/>
              </w:rPr>
              <w:t>.</w:t>
            </w:r>
            <w:r w:rsidR="00F36564" w:rsidRPr="004928AB">
              <w:rPr>
                <w:rFonts w:ascii="Times New Roman" w:eastAsia="Times New Roman" w:hAnsi="Times New Roman"/>
                <w:lang w:eastAsia="lt-LT"/>
              </w:rPr>
              <w:t xml:space="preserve"> 668 mln. eurų daugiau nei 2022 m., iš kurių 563 mln. eurų sudarys iš padidėjusio PVM surinkimo. Prognozuojama, kad pajamų mokestis sieks 17,24 mlrd. eurų, </w:t>
            </w:r>
            <w:proofErr w:type="spellStart"/>
            <w:r w:rsidR="00F36564" w:rsidRPr="004928AB">
              <w:rPr>
                <w:rFonts w:ascii="Times New Roman" w:eastAsia="Times New Roman" w:hAnsi="Times New Roman"/>
                <w:lang w:eastAsia="lt-LT"/>
              </w:rPr>
              <w:t>t</w:t>
            </w:r>
            <w:r w:rsidR="00A33E0D">
              <w:rPr>
                <w:rFonts w:ascii="Times New Roman" w:eastAsia="Times New Roman" w:hAnsi="Times New Roman"/>
                <w:lang w:eastAsia="lt-LT"/>
              </w:rPr>
              <w:t>.</w:t>
            </w:r>
            <w:r w:rsidR="00F36564" w:rsidRPr="004928AB">
              <w:rPr>
                <w:rFonts w:ascii="Times New Roman" w:eastAsia="Times New Roman" w:hAnsi="Times New Roman"/>
                <w:lang w:eastAsia="lt-LT"/>
              </w:rPr>
              <w:t>y</w:t>
            </w:r>
            <w:proofErr w:type="spellEnd"/>
            <w:r w:rsidR="00A33E0D">
              <w:rPr>
                <w:rFonts w:ascii="Times New Roman" w:eastAsia="Times New Roman" w:hAnsi="Times New Roman"/>
                <w:lang w:eastAsia="lt-LT"/>
              </w:rPr>
              <w:t>.</w:t>
            </w:r>
            <w:r w:rsidR="00F36564" w:rsidRPr="004928AB">
              <w:rPr>
                <w:rFonts w:ascii="Times New Roman" w:eastAsia="Times New Roman" w:hAnsi="Times New Roman"/>
                <w:lang w:eastAsia="lt-LT"/>
              </w:rPr>
              <w:t xml:space="preserve"> 682 mln. eurų daugiau nei 2022 m.</w:t>
            </w:r>
            <w:r w:rsidR="004928AB" w:rsidRPr="004928AB">
              <w:rPr>
                <w:rFonts w:ascii="Times New Roman" w:eastAsia="Times New Roman" w:hAnsi="Times New Roman"/>
                <w:lang w:eastAsia="lt-LT"/>
              </w:rPr>
              <w:t xml:space="preserve"> </w:t>
            </w:r>
            <w:r w:rsidR="00F36564" w:rsidRPr="004928AB">
              <w:rPr>
                <w:rFonts w:ascii="Times New Roman" w:eastAsia="Times New Roman" w:hAnsi="Times New Roman"/>
                <w:lang w:eastAsia="lt-LT"/>
              </w:rPr>
              <w:t xml:space="preserve">Kalbant apie ENFIA nekilnojamojo turto mokestį, jis bus išlaikytas 2022 m. </w:t>
            </w:r>
            <w:r w:rsidR="004928AB" w:rsidRPr="004928AB">
              <w:rPr>
                <w:rFonts w:ascii="Times New Roman" w:hAnsi="Times New Roman"/>
              </w:rPr>
              <w:t xml:space="preserve">ir sieks </w:t>
            </w:r>
            <w:r w:rsidR="00F36564" w:rsidRPr="004928AB">
              <w:rPr>
                <w:rFonts w:ascii="Times New Roman" w:eastAsia="Times New Roman" w:hAnsi="Times New Roman"/>
                <w:lang w:eastAsia="lt-LT"/>
              </w:rPr>
              <w:t>2,38 mlrd.</w:t>
            </w:r>
            <w:r w:rsidR="00A33E0D">
              <w:rPr>
                <w:rFonts w:ascii="Times New Roman" w:eastAsia="Times New Roman" w:hAnsi="Times New Roman"/>
                <w:lang w:eastAsia="lt-LT"/>
              </w:rPr>
              <w:t xml:space="preserve"> </w:t>
            </w:r>
            <w:r w:rsidR="00A33E0D" w:rsidRPr="00A33E0D">
              <w:rPr>
                <w:rFonts w:ascii="Times New Roman" w:eastAsia="Times New Roman" w:hAnsi="Times New Roman"/>
                <w:i/>
                <w:sz w:val="18"/>
                <w:szCs w:val="18"/>
                <w:lang w:eastAsia="lt-LT"/>
              </w:rPr>
              <w:t xml:space="preserve">Žiniai: </w:t>
            </w:r>
            <w:r w:rsidR="00C21AE0" w:rsidRPr="00A33E0D">
              <w:rPr>
                <w:rFonts w:ascii="Times New Roman" w:eastAsia="Times New Roman" w:hAnsi="Times New Roman"/>
                <w:i/>
                <w:sz w:val="18"/>
                <w:szCs w:val="18"/>
                <w:lang w:eastAsia="lt-LT"/>
              </w:rPr>
              <w:t>(</w:t>
            </w:r>
            <w:r w:rsidR="00C21AE0" w:rsidRPr="00A33E0D">
              <w:rPr>
                <w:rStyle w:val="FootnoteTextChar"/>
                <w:rFonts w:ascii="Times New Roman" w:hAnsi="Times New Roman"/>
                <w:i/>
                <w:sz w:val="18"/>
                <w:szCs w:val="18"/>
              </w:rPr>
              <w:t xml:space="preserve"> </w:t>
            </w:r>
            <w:r w:rsidR="00C21AE0" w:rsidRPr="00A33E0D">
              <w:rPr>
                <w:rFonts w:ascii="Times New Roman" w:hAnsi="Times New Roman"/>
                <w:i/>
                <w:sz w:val="18"/>
                <w:szCs w:val="18"/>
              </w:rPr>
              <w:t>Pagal Įstatymą Nr. 4223/2013, nuo 2014 m. ir kiekvienus vėlesnius metus nekilnojamojo turto, esančio Graikijoje ir priklausančio fiziniams ar juridiniams asmenims arba bet kokiems juridiniams asmenims, taikomas vieningas nekilnojamojo turto mokestis (ENFIA)</w:t>
            </w:r>
            <w:r w:rsidR="00A33E0D" w:rsidRPr="00A33E0D">
              <w:rPr>
                <w:rFonts w:ascii="Times New Roman" w:hAnsi="Times New Roman"/>
                <w:i/>
                <w:sz w:val="18"/>
                <w:szCs w:val="18"/>
              </w:rPr>
              <w:t xml:space="preserve"> </w:t>
            </w:r>
            <w:r w:rsidR="00C21AE0" w:rsidRPr="00A33E0D">
              <w:rPr>
                <w:rFonts w:ascii="Times New Roman" w:hAnsi="Times New Roman"/>
                <w:i/>
                <w:sz w:val="18"/>
                <w:szCs w:val="18"/>
              </w:rPr>
              <w:t>kiekvienų metų sausio 1 d.</w:t>
            </w:r>
            <w:r w:rsidR="004928AB" w:rsidRPr="004928AB">
              <w:rPr>
                <w:rFonts w:ascii="Times New Roman" w:hAnsi="Times New Roman"/>
              </w:rPr>
              <w:t xml:space="preserve"> </w:t>
            </w:r>
          </w:p>
        </w:tc>
        <w:tc>
          <w:tcPr>
            <w:tcW w:w="2410" w:type="dxa"/>
            <w:shd w:val="clear" w:color="auto" w:fill="auto"/>
            <w:tcMar>
              <w:top w:w="29" w:type="dxa"/>
              <w:left w:w="115" w:type="dxa"/>
              <w:bottom w:w="29" w:type="dxa"/>
              <w:right w:w="115" w:type="dxa"/>
            </w:tcMar>
          </w:tcPr>
          <w:p w:rsidR="00F36564" w:rsidRPr="00340DFE" w:rsidRDefault="00F36564" w:rsidP="0039175E">
            <w:pPr>
              <w:spacing w:before="120" w:after="120" w:line="240" w:lineRule="auto"/>
              <w:rPr>
                <w:rStyle w:val="Hyperlink"/>
                <w:rFonts w:ascii="Times New Roman" w:hAnsi="Times New Roman"/>
                <w:noProof/>
              </w:rPr>
            </w:pPr>
            <w:r w:rsidRPr="00F36564">
              <w:rPr>
                <w:rStyle w:val="Hyperlink"/>
                <w:rFonts w:ascii="Times New Roman" w:hAnsi="Times New Roman"/>
                <w:noProof/>
              </w:rPr>
              <w:lastRenderedPageBreak/>
              <w:t>https://www.ekathimerini.com/economy/1194746/extra-relief-for-taxpayers/</w:t>
            </w:r>
          </w:p>
        </w:tc>
        <w:tc>
          <w:tcPr>
            <w:tcW w:w="1559" w:type="dxa"/>
            <w:shd w:val="clear" w:color="auto" w:fill="auto"/>
            <w:tcMar>
              <w:top w:w="29" w:type="dxa"/>
              <w:left w:w="115" w:type="dxa"/>
              <w:bottom w:w="29" w:type="dxa"/>
              <w:right w:w="115" w:type="dxa"/>
            </w:tcMar>
          </w:tcPr>
          <w:p w:rsidR="00F36564" w:rsidRPr="0039175E" w:rsidRDefault="00F36564" w:rsidP="0039175E">
            <w:pPr>
              <w:spacing w:before="120" w:after="120" w:line="240" w:lineRule="auto"/>
              <w:rPr>
                <w:rFonts w:ascii="Times New Roman" w:hAnsi="Times New Roman"/>
                <w:noProof/>
              </w:rPr>
            </w:pPr>
          </w:p>
        </w:tc>
      </w:tr>
      <w:tr w:rsidR="00340DFE" w:rsidRPr="00B561E0" w:rsidTr="0039175E">
        <w:trPr>
          <w:trHeight w:val="216"/>
        </w:trPr>
        <w:tc>
          <w:tcPr>
            <w:tcW w:w="1270" w:type="dxa"/>
            <w:shd w:val="clear" w:color="auto" w:fill="auto"/>
            <w:tcMar>
              <w:top w:w="29" w:type="dxa"/>
              <w:left w:w="115" w:type="dxa"/>
              <w:bottom w:w="29" w:type="dxa"/>
              <w:right w:w="115" w:type="dxa"/>
            </w:tcMar>
          </w:tcPr>
          <w:p w:rsidR="00340DFE" w:rsidRDefault="00340DFE" w:rsidP="0039175E">
            <w:pPr>
              <w:spacing w:before="120" w:after="120" w:line="240" w:lineRule="auto"/>
              <w:rPr>
                <w:rFonts w:ascii="Times New Roman" w:hAnsi="Times New Roman"/>
              </w:rPr>
            </w:pPr>
            <w:r>
              <w:rPr>
                <w:rFonts w:ascii="Times New Roman" w:hAnsi="Times New Roman"/>
              </w:rPr>
              <w:t>2022 10 06</w:t>
            </w:r>
          </w:p>
        </w:tc>
        <w:tc>
          <w:tcPr>
            <w:tcW w:w="4537" w:type="dxa"/>
            <w:shd w:val="clear" w:color="auto" w:fill="auto"/>
            <w:tcMar>
              <w:top w:w="29" w:type="dxa"/>
              <w:left w:w="115" w:type="dxa"/>
              <w:bottom w:w="29" w:type="dxa"/>
              <w:right w:w="115" w:type="dxa"/>
            </w:tcMar>
          </w:tcPr>
          <w:p w:rsidR="00340DFE" w:rsidRPr="00055864" w:rsidRDefault="00340DFE" w:rsidP="0005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55864">
              <w:rPr>
                <w:rFonts w:ascii="Times New Roman" w:eastAsia="Times New Roman" w:hAnsi="Times New Roman"/>
                <w:lang w:eastAsia="lt-LT"/>
              </w:rPr>
              <w:t xml:space="preserve">Pasak Graikijos turizmo konfederacijos (SETE) prezidento </w:t>
            </w:r>
            <w:proofErr w:type="spellStart"/>
            <w:r w:rsidRPr="00055864">
              <w:rPr>
                <w:rFonts w:ascii="Times New Roman" w:eastAsia="Times New Roman" w:hAnsi="Times New Roman"/>
                <w:lang w:eastAsia="lt-LT"/>
              </w:rPr>
              <w:t>Yiannis</w:t>
            </w:r>
            <w:proofErr w:type="spellEnd"/>
            <w:r w:rsidRPr="00055864">
              <w:rPr>
                <w:rFonts w:ascii="Times New Roman" w:eastAsia="Times New Roman" w:hAnsi="Times New Roman"/>
                <w:lang w:eastAsia="lt-LT"/>
              </w:rPr>
              <w:t xml:space="preserve"> </w:t>
            </w:r>
            <w:proofErr w:type="spellStart"/>
            <w:r w:rsidRPr="00055864">
              <w:rPr>
                <w:rFonts w:ascii="Times New Roman" w:eastAsia="Times New Roman" w:hAnsi="Times New Roman"/>
                <w:lang w:eastAsia="lt-LT"/>
              </w:rPr>
              <w:t>Retsos</w:t>
            </w:r>
            <w:proofErr w:type="spellEnd"/>
            <w:r w:rsidRPr="00055864">
              <w:rPr>
                <w:rFonts w:ascii="Times New Roman" w:eastAsia="Times New Roman" w:hAnsi="Times New Roman"/>
                <w:lang w:eastAsia="lt-LT"/>
              </w:rPr>
              <w:t xml:space="preserve">, turizmo </w:t>
            </w:r>
            <w:r w:rsidR="00312FA5" w:rsidRPr="00055864">
              <w:rPr>
                <w:rFonts w:ascii="Times New Roman" w:eastAsia="Times New Roman" w:hAnsi="Times New Roman"/>
                <w:lang w:eastAsia="lt-LT"/>
              </w:rPr>
              <w:t xml:space="preserve">sektorius </w:t>
            </w:r>
            <w:r w:rsidR="00055864" w:rsidRPr="00055864">
              <w:rPr>
                <w:rFonts w:ascii="Times New Roman" w:eastAsia="Times New Roman" w:hAnsi="Times New Roman"/>
                <w:lang w:eastAsia="lt-LT"/>
              </w:rPr>
              <w:t>tikisi, kad šie metai</w:t>
            </w:r>
            <w:r w:rsidRPr="00055864">
              <w:rPr>
                <w:rFonts w:ascii="Times New Roman" w:eastAsia="Times New Roman" w:hAnsi="Times New Roman"/>
                <w:lang w:eastAsia="lt-LT"/>
              </w:rPr>
              <w:t xml:space="preserve"> </w:t>
            </w:r>
            <w:r w:rsidR="00055864" w:rsidRPr="00055864">
              <w:rPr>
                <w:rFonts w:ascii="Times New Roman" w:eastAsia="Times New Roman" w:hAnsi="Times New Roman"/>
                <w:lang w:eastAsia="lt-LT"/>
              </w:rPr>
              <w:t xml:space="preserve">bus rekordiniai: pajamos iš turizmo </w:t>
            </w:r>
            <w:r w:rsidRPr="00055864">
              <w:rPr>
                <w:rFonts w:ascii="Times New Roman" w:eastAsia="Times New Roman" w:hAnsi="Times New Roman"/>
                <w:lang w:eastAsia="lt-LT"/>
              </w:rPr>
              <w:t xml:space="preserve">2022 m. </w:t>
            </w:r>
            <w:r w:rsidR="00055864" w:rsidRPr="00055864">
              <w:rPr>
                <w:rFonts w:ascii="Times New Roman" w:eastAsia="Times New Roman" w:hAnsi="Times New Roman"/>
                <w:lang w:eastAsia="lt-LT"/>
              </w:rPr>
              <w:t>sieks</w:t>
            </w:r>
            <w:r w:rsidRPr="00055864">
              <w:rPr>
                <w:rFonts w:ascii="Times New Roman" w:eastAsia="Times New Roman" w:hAnsi="Times New Roman"/>
                <w:lang w:eastAsia="lt-LT"/>
              </w:rPr>
              <w:t xml:space="preserve"> apie 18,9–19 mlrd. eurų, o 2019 m. – 18,2 mlrd.</w:t>
            </w:r>
          </w:p>
        </w:tc>
        <w:tc>
          <w:tcPr>
            <w:tcW w:w="2410" w:type="dxa"/>
            <w:shd w:val="clear" w:color="auto" w:fill="auto"/>
            <w:tcMar>
              <w:top w:w="29" w:type="dxa"/>
              <w:left w:w="115" w:type="dxa"/>
              <w:bottom w:w="29" w:type="dxa"/>
              <w:right w:w="115" w:type="dxa"/>
            </w:tcMar>
          </w:tcPr>
          <w:p w:rsidR="00340DFE" w:rsidRPr="00085B75" w:rsidRDefault="00340DFE" w:rsidP="0039175E">
            <w:pPr>
              <w:spacing w:before="120" w:after="120" w:line="240" w:lineRule="auto"/>
              <w:rPr>
                <w:rStyle w:val="Hyperlink"/>
                <w:rFonts w:ascii="Times New Roman" w:hAnsi="Times New Roman"/>
                <w:noProof/>
              </w:rPr>
            </w:pPr>
            <w:r w:rsidRPr="00340DFE">
              <w:rPr>
                <w:rStyle w:val="Hyperlink"/>
                <w:rFonts w:ascii="Times New Roman" w:hAnsi="Times New Roman"/>
                <w:noProof/>
              </w:rPr>
              <w:t>https://www.ekathimerini.com/economy/1194932/tourism-takings-seen-at-e19-bln/</w:t>
            </w:r>
          </w:p>
        </w:tc>
        <w:tc>
          <w:tcPr>
            <w:tcW w:w="1559" w:type="dxa"/>
            <w:shd w:val="clear" w:color="auto" w:fill="auto"/>
            <w:tcMar>
              <w:top w:w="29" w:type="dxa"/>
              <w:left w:w="115" w:type="dxa"/>
              <w:bottom w:w="29" w:type="dxa"/>
              <w:right w:w="115" w:type="dxa"/>
            </w:tcMar>
          </w:tcPr>
          <w:p w:rsidR="00340DFE" w:rsidRPr="0039175E" w:rsidRDefault="00340DFE" w:rsidP="0039175E">
            <w:pPr>
              <w:spacing w:before="120" w:after="120" w:line="240" w:lineRule="auto"/>
              <w:rPr>
                <w:rFonts w:ascii="Times New Roman" w:hAnsi="Times New Roman"/>
                <w:noProof/>
              </w:rPr>
            </w:pPr>
          </w:p>
        </w:tc>
      </w:tr>
      <w:tr w:rsidR="00085B75" w:rsidRPr="00B561E0" w:rsidTr="0039175E">
        <w:trPr>
          <w:trHeight w:val="216"/>
        </w:trPr>
        <w:tc>
          <w:tcPr>
            <w:tcW w:w="1270" w:type="dxa"/>
            <w:shd w:val="clear" w:color="auto" w:fill="auto"/>
            <w:tcMar>
              <w:top w:w="29" w:type="dxa"/>
              <w:left w:w="115" w:type="dxa"/>
              <w:bottom w:w="29" w:type="dxa"/>
              <w:right w:w="115" w:type="dxa"/>
            </w:tcMar>
          </w:tcPr>
          <w:p w:rsidR="00085B75" w:rsidRDefault="00085B75" w:rsidP="0039175E">
            <w:pPr>
              <w:spacing w:before="120" w:after="120" w:line="240" w:lineRule="auto"/>
              <w:rPr>
                <w:rFonts w:ascii="Times New Roman" w:hAnsi="Times New Roman"/>
              </w:rPr>
            </w:pPr>
            <w:r>
              <w:rPr>
                <w:rFonts w:ascii="Times New Roman" w:hAnsi="Times New Roman"/>
              </w:rPr>
              <w:t>2022 10 09</w:t>
            </w:r>
          </w:p>
        </w:tc>
        <w:tc>
          <w:tcPr>
            <w:tcW w:w="4537" w:type="dxa"/>
            <w:shd w:val="clear" w:color="auto" w:fill="auto"/>
            <w:tcMar>
              <w:top w:w="29" w:type="dxa"/>
              <w:left w:w="115" w:type="dxa"/>
              <w:bottom w:w="29" w:type="dxa"/>
              <w:right w:w="115" w:type="dxa"/>
            </w:tcMar>
          </w:tcPr>
          <w:p w:rsidR="00085B75" w:rsidRPr="00312FA5" w:rsidRDefault="00085B75" w:rsidP="0053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223AE">
              <w:rPr>
                <w:rFonts w:ascii="Times New Roman" w:eastAsia="Times New Roman" w:hAnsi="Times New Roman"/>
                <w:lang w:eastAsia="lt-LT"/>
              </w:rPr>
              <w:t>„</w:t>
            </w:r>
            <w:proofErr w:type="spellStart"/>
            <w:r w:rsidRPr="000223AE">
              <w:rPr>
                <w:rFonts w:ascii="Times New Roman" w:eastAsia="Times New Roman" w:hAnsi="Times New Roman"/>
                <w:lang w:eastAsia="lt-LT"/>
              </w:rPr>
              <w:t>Fitch</w:t>
            </w:r>
            <w:proofErr w:type="spellEnd"/>
            <w:r w:rsidRPr="000223AE">
              <w:rPr>
                <w:rFonts w:ascii="Times New Roman" w:eastAsia="Times New Roman" w:hAnsi="Times New Roman"/>
                <w:lang w:eastAsia="lt-LT"/>
              </w:rPr>
              <w:t xml:space="preserve"> </w:t>
            </w:r>
            <w:proofErr w:type="spellStart"/>
            <w:r w:rsidRPr="000223AE">
              <w:rPr>
                <w:rFonts w:ascii="Times New Roman" w:eastAsia="Times New Roman" w:hAnsi="Times New Roman"/>
                <w:lang w:eastAsia="lt-LT"/>
              </w:rPr>
              <w:t>Ratings</w:t>
            </w:r>
            <w:proofErr w:type="spellEnd"/>
            <w:r w:rsidRPr="000223AE">
              <w:rPr>
                <w:rFonts w:ascii="Times New Roman" w:eastAsia="Times New Roman" w:hAnsi="Times New Roman"/>
                <w:lang w:eastAsia="lt-LT"/>
              </w:rPr>
              <w:t xml:space="preserve">“ patvirtino Graikijos kredito reitingą „BB“, dviem </w:t>
            </w:r>
            <w:r w:rsidR="00312FA5">
              <w:rPr>
                <w:rFonts w:ascii="Times New Roman" w:eastAsia="Times New Roman" w:hAnsi="Times New Roman"/>
                <w:lang w:eastAsia="lt-LT"/>
              </w:rPr>
              <w:t>punkt</w:t>
            </w:r>
            <w:r w:rsidRPr="000223AE">
              <w:rPr>
                <w:rFonts w:ascii="Times New Roman" w:eastAsia="Times New Roman" w:hAnsi="Times New Roman"/>
                <w:lang w:eastAsia="lt-LT"/>
              </w:rPr>
              <w:t>ais žemiau investicinio lygio, taip pat išlaikė teigiamą šalies perspektyvą.</w:t>
            </w:r>
            <w:r w:rsidR="000223AE" w:rsidRPr="000223AE">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085B75" w:rsidRPr="00F80BD0" w:rsidRDefault="00085B75" w:rsidP="0039175E">
            <w:pPr>
              <w:spacing w:before="120" w:after="120" w:line="240" w:lineRule="auto"/>
              <w:rPr>
                <w:rStyle w:val="Hyperlink"/>
                <w:rFonts w:ascii="Times New Roman" w:hAnsi="Times New Roman"/>
                <w:noProof/>
              </w:rPr>
            </w:pPr>
            <w:r w:rsidRPr="00085B75">
              <w:rPr>
                <w:rStyle w:val="Hyperlink"/>
                <w:rFonts w:ascii="Times New Roman" w:hAnsi="Times New Roman"/>
                <w:noProof/>
              </w:rPr>
              <w:t>https://www.ekathimerini.com/economy/1195232/fitch-keeps-greek-rating-at-bb-level/</w:t>
            </w:r>
          </w:p>
        </w:tc>
        <w:tc>
          <w:tcPr>
            <w:tcW w:w="1559" w:type="dxa"/>
            <w:shd w:val="clear" w:color="auto" w:fill="auto"/>
            <w:tcMar>
              <w:top w:w="29" w:type="dxa"/>
              <w:left w:w="115" w:type="dxa"/>
              <w:bottom w:w="29" w:type="dxa"/>
              <w:right w:w="115" w:type="dxa"/>
            </w:tcMar>
          </w:tcPr>
          <w:p w:rsidR="00085B75" w:rsidRPr="0039175E" w:rsidRDefault="00085B75"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035BD3" w:rsidP="0039175E">
            <w:pPr>
              <w:spacing w:before="120" w:after="120" w:line="240" w:lineRule="auto"/>
              <w:rPr>
                <w:rFonts w:ascii="Times New Roman" w:hAnsi="Times New Roman"/>
              </w:rPr>
            </w:pPr>
            <w:r>
              <w:rPr>
                <w:rFonts w:ascii="Times New Roman" w:hAnsi="Times New Roman"/>
              </w:rPr>
              <w:t xml:space="preserve">2022 10 10 </w:t>
            </w:r>
          </w:p>
        </w:tc>
        <w:tc>
          <w:tcPr>
            <w:tcW w:w="4537" w:type="dxa"/>
            <w:shd w:val="clear" w:color="auto" w:fill="auto"/>
            <w:tcMar>
              <w:top w:w="29" w:type="dxa"/>
              <w:left w:w="115" w:type="dxa"/>
              <w:bottom w:w="29" w:type="dxa"/>
              <w:right w:w="115" w:type="dxa"/>
            </w:tcMar>
          </w:tcPr>
          <w:p w:rsidR="00035BD3" w:rsidRPr="007B640D" w:rsidRDefault="00035BD3" w:rsidP="00B1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B41808">
              <w:rPr>
                <w:rFonts w:ascii="Times New Roman" w:eastAsia="Times New Roman" w:hAnsi="Times New Roman"/>
                <w:lang w:eastAsia="lt-LT"/>
              </w:rPr>
              <w:t>Graikijos metinė vartotojų infliacija rugsėjį pa</w:t>
            </w:r>
            <w:r w:rsidR="00EB28FA" w:rsidRPr="00B41808">
              <w:rPr>
                <w:rFonts w:ascii="Times New Roman" w:eastAsia="Times New Roman" w:hAnsi="Times New Roman"/>
                <w:lang w:eastAsia="lt-LT"/>
              </w:rPr>
              <w:t>didėjo</w:t>
            </w:r>
            <w:r w:rsidR="00B10FA6">
              <w:rPr>
                <w:rFonts w:ascii="Times New Roman" w:eastAsia="Times New Roman" w:hAnsi="Times New Roman"/>
                <w:lang w:eastAsia="lt-LT"/>
              </w:rPr>
              <w:t xml:space="preserve"> </w:t>
            </w:r>
            <w:r w:rsidR="00B10FA6" w:rsidRPr="00B41808">
              <w:rPr>
                <w:rFonts w:ascii="Times New Roman" w:eastAsia="Times New Roman" w:hAnsi="Times New Roman"/>
                <w:lang w:eastAsia="lt-LT"/>
              </w:rPr>
              <w:t>nuo 11,4% praėjusį mėnesį</w:t>
            </w:r>
            <w:r w:rsidRPr="00B41808">
              <w:rPr>
                <w:rFonts w:ascii="Times New Roman" w:eastAsia="Times New Roman" w:hAnsi="Times New Roman"/>
                <w:lang w:eastAsia="lt-LT"/>
              </w:rPr>
              <w:t xml:space="preserve"> iki 12,0% ir išliko aukščiausia per beveik tris dešimtmečius.</w:t>
            </w:r>
            <w:r w:rsidR="00B10FA6">
              <w:rPr>
                <w:rFonts w:ascii="Times New Roman" w:eastAsia="Times New Roman" w:hAnsi="Times New Roman"/>
                <w:lang w:eastAsia="lt-LT"/>
              </w:rPr>
              <w:t xml:space="preserve"> </w:t>
            </w:r>
            <w:r w:rsidR="00EB28FA" w:rsidRPr="00B41808">
              <w:rPr>
                <w:rFonts w:ascii="Times New Roman" w:eastAsia="Times New Roman" w:hAnsi="Times New Roman"/>
                <w:lang w:eastAsia="lt-LT"/>
              </w:rPr>
              <w:t>Remiantis s</w:t>
            </w:r>
            <w:r w:rsidRPr="00B41808">
              <w:rPr>
                <w:rFonts w:ascii="Times New Roman" w:eastAsia="Times New Roman" w:hAnsi="Times New Roman"/>
                <w:lang w:eastAsia="lt-LT"/>
              </w:rPr>
              <w:t xml:space="preserve">tatistikos tarnybos ELSTAT </w:t>
            </w:r>
            <w:r w:rsidR="00EB28FA" w:rsidRPr="00B41808">
              <w:rPr>
                <w:rFonts w:ascii="Times New Roman" w:eastAsia="Times New Roman" w:hAnsi="Times New Roman"/>
                <w:lang w:eastAsia="lt-LT"/>
              </w:rPr>
              <w:t>duomenimis,</w:t>
            </w:r>
            <w:r w:rsidRPr="00B41808">
              <w:rPr>
                <w:rFonts w:ascii="Times New Roman" w:eastAsia="Times New Roman" w:hAnsi="Times New Roman"/>
                <w:lang w:eastAsia="lt-LT"/>
              </w:rPr>
              <w:t xml:space="preserve"> pagrindiniai veiksniai, nulėmę šiuos skaičius, buvo didėjančios išlaidos energijai, būstui, transportui ir maistui. Gamtinių dujų kainos per metus išaugo 332 proc., o elektros – 30,5 proc., o kuro – 65,1 proc.</w:t>
            </w:r>
            <w:r w:rsidR="00B10FA6">
              <w:rPr>
                <w:rFonts w:ascii="Times New Roman" w:eastAsia="Times New Roman" w:hAnsi="Times New Roman"/>
                <w:lang w:eastAsia="lt-LT"/>
              </w:rPr>
              <w:t xml:space="preserve"> </w:t>
            </w:r>
            <w:r w:rsidRPr="00B41808">
              <w:rPr>
                <w:rFonts w:ascii="Times New Roman" w:eastAsia="Times New Roman" w:hAnsi="Times New Roman"/>
                <w:lang w:eastAsia="lt-LT"/>
              </w:rPr>
              <w:t>Būstas rugsėjį, lyginant su 2013 m., pabrango 35,4 proc., o transporto kainos – 14,2 proc., maisto produktai ir nealkoholiniai gėrimai – 13,5 proc.</w:t>
            </w:r>
          </w:p>
        </w:tc>
        <w:tc>
          <w:tcPr>
            <w:tcW w:w="2410" w:type="dxa"/>
            <w:shd w:val="clear" w:color="auto" w:fill="auto"/>
            <w:tcMar>
              <w:top w:w="29" w:type="dxa"/>
              <w:left w:w="115" w:type="dxa"/>
              <w:bottom w:w="29" w:type="dxa"/>
              <w:right w:w="115" w:type="dxa"/>
            </w:tcMar>
          </w:tcPr>
          <w:p w:rsidR="00C472EB" w:rsidRPr="0039175E" w:rsidRDefault="00035BD3" w:rsidP="0039175E">
            <w:pPr>
              <w:spacing w:before="120" w:after="120" w:line="240" w:lineRule="auto"/>
              <w:rPr>
                <w:rStyle w:val="Hyperlink"/>
                <w:rFonts w:ascii="Times New Roman" w:hAnsi="Times New Roman"/>
                <w:noProof/>
              </w:rPr>
            </w:pPr>
            <w:r w:rsidRPr="00035BD3">
              <w:rPr>
                <w:rStyle w:val="Hyperlink"/>
                <w:rFonts w:ascii="Times New Roman" w:hAnsi="Times New Roman"/>
                <w:noProof/>
              </w:rPr>
              <w:t>https://www.ekathimerini.com/economy/1195283/greek-inflation-rises-to-12-y-y-in-september-near-three-decade-high/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214E6F" w:rsidRPr="00B561E0" w:rsidTr="00525DAD">
        <w:trPr>
          <w:trHeight w:val="1342"/>
        </w:trPr>
        <w:tc>
          <w:tcPr>
            <w:tcW w:w="1270" w:type="dxa"/>
            <w:shd w:val="clear" w:color="auto" w:fill="auto"/>
            <w:tcMar>
              <w:top w:w="29" w:type="dxa"/>
              <w:left w:w="115" w:type="dxa"/>
              <w:bottom w:w="29" w:type="dxa"/>
              <w:right w:w="115" w:type="dxa"/>
            </w:tcMar>
          </w:tcPr>
          <w:p w:rsidR="00214E6F" w:rsidRDefault="00214E6F" w:rsidP="0039175E">
            <w:pPr>
              <w:spacing w:before="120" w:after="120" w:line="240" w:lineRule="auto"/>
              <w:rPr>
                <w:rFonts w:ascii="Times New Roman" w:hAnsi="Times New Roman"/>
              </w:rPr>
            </w:pPr>
            <w:r>
              <w:rPr>
                <w:rFonts w:ascii="Times New Roman" w:hAnsi="Times New Roman"/>
              </w:rPr>
              <w:t xml:space="preserve">2022 10 10 </w:t>
            </w:r>
          </w:p>
        </w:tc>
        <w:tc>
          <w:tcPr>
            <w:tcW w:w="4537" w:type="dxa"/>
            <w:shd w:val="clear" w:color="auto" w:fill="auto"/>
            <w:tcMar>
              <w:top w:w="29" w:type="dxa"/>
              <w:left w:w="115" w:type="dxa"/>
              <w:bottom w:w="29" w:type="dxa"/>
              <w:right w:w="115" w:type="dxa"/>
            </w:tcMar>
          </w:tcPr>
          <w:p w:rsidR="00214E6F" w:rsidRPr="00525DAD" w:rsidRDefault="00214E6F" w:rsidP="00525DAD">
            <w:pPr>
              <w:pStyle w:val="HTMLPreformatted"/>
              <w:jc w:val="both"/>
              <w:rPr>
                <w:rFonts w:ascii="Times New Roman" w:hAnsi="Times New Roman" w:cs="Times New Roman"/>
                <w:sz w:val="22"/>
                <w:szCs w:val="22"/>
              </w:rPr>
            </w:pPr>
            <w:r w:rsidRPr="00525DAD">
              <w:rPr>
                <w:rStyle w:val="y2iqfc"/>
                <w:rFonts w:ascii="Times New Roman" w:hAnsi="Times New Roman" w:cs="Times New Roman"/>
                <w:sz w:val="22"/>
                <w:szCs w:val="22"/>
              </w:rPr>
              <w:t>Bulgarijos valstybinė dujų įmonė „</w:t>
            </w:r>
            <w:proofErr w:type="spellStart"/>
            <w:r w:rsidRPr="00525DAD">
              <w:rPr>
                <w:rStyle w:val="y2iqfc"/>
                <w:rFonts w:ascii="Times New Roman" w:hAnsi="Times New Roman" w:cs="Times New Roman"/>
                <w:sz w:val="22"/>
                <w:szCs w:val="22"/>
              </w:rPr>
              <w:t>Bulgargaz</w:t>
            </w:r>
            <w:proofErr w:type="spellEnd"/>
            <w:r w:rsidRPr="00525DAD">
              <w:rPr>
                <w:rStyle w:val="y2iqfc"/>
                <w:rFonts w:ascii="Times New Roman" w:hAnsi="Times New Roman" w:cs="Times New Roman"/>
                <w:sz w:val="22"/>
                <w:szCs w:val="22"/>
              </w:rPr>
              <w:t>“ pranešė, kad pasirinko dvi Graikijos įmones „</w:t>
            </w:r>
            <w:proofErr w:type="spellStart"/>
            <w:r w:rsidRPr="00525DAD">
              <w:rPr>
                <w:rStyle w:val="y2iqfc"/>
                <w:rFonts w:ascii="Times New Roman" w:hAnsi="Times New Roman" w:cs="Times New Roman"/>
                <w:sz w:val="22"/>
                <w:szCs w:val="22"/>
              </w:rPr>
              <w:t>Mytilineos</w:t>
            </w:r>
            <w:proofErr w:type="spellEnd"/>
            <w:r w:rsidRPr="00525DAD">
              <w:rPr>
                <w:rStyle w:val="y2iqfc"/>
                <w:rFonts w:ascii="Times New Roman" w:hAnsi="Times New Roman" w:cs="Times New Roman"/>
                <w:sz w:val="22"/>
                <w:szCs w:val="22"/>
              </w:rPr>
              <w:t xml:space="preserve">“ ir „DEPA </w:t>
            </w:r>
            <w:proofErr w:type="spellStart"/>
            <w:r w:rsidRPr="00525DAD">
              <w:rPr>
                <w:rStyle w:val="y2iqfc"/>
                <w:rFonts w:ascii="Times New Roman" w:hAnsi="Times New Roman" w:cs="Times New Roman"/>
                <w:sz w:val="22"/>
                <w:szCs w:val="22"/>
              </w:rPr>
              <w:t>Commercial</w:t>
            </w:r>
            <w:proofErr w:type="spellEnd"/>
            <w:r w:rsidRPr="00525DAD">
              <w:rPr>
                <w:rStyle w:val="y2iqfc"/>
                <w:rFonts w:ascii="Times New Roman" w:hAnsi="Times New Roman" w:cs="Times New Roman"/>
                <w:sz w:val="22"/>
                <w:szCs w:val="22"/>
              </w:rPr>
              <w:t>“, kurios lapkričio mėnesį jai ti</w:t>
            </w:r>
            <w:r w:rsidR="00525DAD">
              <w:rPr>
                <w:rStyle w:val="y2iqfc"/>
                <w:rFonts w:ascii="Times New Roman" w:hAnsi="Times New Roman" w:cs="Times New Roman"/>
                <w:sz w:val="22"/>
                <w:szCs w:val="22"/>
              </w:rPr>
              <w:t>eks suskystintas gamtines dujas.</w:t>
            </w:r>
          </w:p>
        </w:tc>
        <w:tc>
          <w:tcPr>
            <w:tcW w:w="2410" w:type="dxa"/>
            <w:shd w:val="clear" w:color="auto" w:fill="auto"/>
            <w:tcMar>
              <w:top w:w="29" w:type="dxa"/>
              <w:left w:w="115" w:type="dxa"/>
              <w:bottom w:w="29" w:type="dxa"/>
              <w:right w:w="115" w:type="dxa"/>
            </w:tcMar>
          </w:tcPr>
          <w:p w:rsidR="00214E6F" w:rsidRPr="00035BD3" w:rsidRDefault="00214E6F" w:rsidP="0039175E">
            <w:pPr>
              <w:spacing w:before="120" w:after="120" w:line="240" w:lineRule="auto"/>
              <w:rPr>
                <w:rStyle w:val="Hyperlink"/>
                <w:rFonts w:ascii="Times New Roman" w:hAnsi="Times New Roman"/>
                <w:noProof/>
              </w:rPr>
            </w:pPr>
            <w:r w:rsidRPr="00214E6F">
              <w:rPr>
                <w:rStyle w:val="Hyperlink"/>
                <w:rFonts w:ascii="Times New Roman" w:hAnsi="Times New Roman"/>
                <w:noProof/>
              </w:rPr>
              <w:t>https://www.ekathimerini.com/economy/1195298/bulgaria-picks-two-greek-firms-for-lng-delivery/</w:t>
            </w:r>
          </w:p>
        </w:tc>
        <w:tc>
          <w:tcPr>
            <w:tcW w:w="1559" w:type="dxa"/>
            <w:shd w:val="clear" w:color="auto" w:fill="auto"/>
            <w:tcMar>
              <w:top w:w="29" w:type="dxa"/>
              <w:left w:w="115" w:type="dxa"/>
              <w:bottom w:w="29" w:type="dxa"/>
              <w:right w:w="115" w:type="dxa"/>
            </w:tcMar>
          </w:tcPr>
          <w:p w:rsidR="00214E6F" w:rsidRPr="0039175E" w:rsidRDefault="00214E6F" w:rsidP="0039175E">
            <w:pPr>
              <w:spacing w:before="120" w:after="120" w:line="240" w:lineRule="auto"/>
              <w:rPr>
                <w:rFonts w:ascii="Times New Roman" w:hAnsi="Times New Roman"/>
                <w:noProof/>
              </w:rPr>
            </w:pPr>
          </w:p>
        </w:tc>
      </w:tr>
      <w:tr w:rsidR="008D3C00" w:rsidRPr="00B561E0" w:rsidTr="0039175E">
        <w:trPr>
          <w:trHeight w:val="533"/>
        </w:trPr>
        <w:tc>
          <w:tcPr>
            <w:tcW w:w="1270" w:type="dxa"/>
            <w:shd w:val="clear" w:color="auto" w:fill="auto"/>
            <w:tcMar>
              <w:top w:w="29" w:type="dxa"/>
              <w:left w:w="115" w:type="dxa"/>
              <w:bottom w:w="29" w:type="dxa"/>
              <w:right w:w="115" w:type="dxa"/>
            </w:tcMar>
          </w:tcPr>
          <w:p w:rsidR="008D3C00" w:rsidRPr="0039175E" w:rsidRDefault="002708D6" w:rsidP="0039175E">
            <w:pPr>
              <w:spacing w:before="120" w:after="120" w:line="240" w:lineRule="auto"/>
              <w:rPr>
                <w:rFonts w:ascii="Times New Roman" w:hAnsi="Times New Roman"/>
              </w:rPr>
            </w:pPr>
            <w:r>
              <w:rPr>
                <w:rFonts w:ascii="Times New Roman" w:hAnsi="Times New Roman"/>
              </w:rPr>
              <w:t>2022 10 11</w:t>
            </w:r>
          </w:p>
        </w:tc>
        <w:tc>
          <w:tcPr>
            <w:tcW w:w="4537" w:type="dxa"/>
            <w:shd w:val="clear" w:color="auto" w:fill="auto"/>
            <w:tcMar>
              <w:top w:w="29" w:type="dxa"/>
              <w:left w:w="115" w:type="dxa"/>
              <w:bottom w:w="29" w:type="dxa"/>
              <w:right w:w="115" w:type="dxa"/>
            </w:tcMar>
          </w:tcPr>
          <w:p w:rsidR="002708D6" w:rsidRPr="00A636FF" w:rsidRDefault="002708D6" w:rsidP="00A6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A636FF">
              <w:rPr>
                <w:rFonts w:ascii="Times New Roman" w:eastAsia="Times New Roman" w:hAnsi="Times New Roman"/>
                <w:lang w:eastAsia="lt-LT"/>
              </w:rPr>
              <w:t>Naujausioje nekilnojamojo turto ekspertų „</w:t>
            </w:r>
            <w:proofErr w:type="spellStart"/>
            <w:r w:rsidRPr="00A636FF">
              <w:rPr>
                <w:rFonts w:ascii="Times New Roman" w:eastAsia="Times New Roman" w:hAnsi="Times New Roman"/>
                <w:lang w:eastAsia="lt-LT"/>
              </w:rPr>
              <w:t>Berkshire</w:t>
            </w:r>
            <w:proofErr w:type="spellEnd"/>
            <w:r w:rsidRPr="00A636FF">
              <w:rPr>
                <w:rFonts w:ascii="Times New Roman" w:eastAsia="Times New Roman" w:hAnsi="Times New Roman"/>
                <w:lang w:eastAsia="lt-LT"/>
              </w:rPr>
              <w:t xml:space="preserve"> </w:t>
            </w:r>
            <w:proofErr w:type="spellStart"/>
            <w:r w:rsidRPr="00A636FF">
              <w:rPr>
                <w:rFonts w:ascii="Times New Roman" w:eastAsia="Times New Roman" w:hAnsi="Times New Roman"/>
                <w:lang w:eastAsia="lt-LT"/>
              </w:rPr>
              <w:t>Hathaway</w:t>
            </w:r>
            <w:proofErr w:type="spellEnd"/>
            <w:r w:rsidRPr="00A636FF">
              <w:rPr>
                <w:rFonts w:ascii="Times New Roman" w:eastAsia="Times New Roman" w:hAnsi="Times New Roman"/>
                <w:lang w:eastAsia="lt-LT"/>
              </w:rPr>
              <w:t xml:space="preserve"> </w:t>
            </w:r>
            <w:proofErr w:type="spellStart"/>
            <w:r w:rsidRPr="00A636FF">
              <w:rPr>
                <w:rFonts w:ascii="Times New Roman" w:eastAsia="Times New Roman" w:hAnsi="Times New Roman"/>
                <w:lang w:eastAsia="lt-LT"/>
              </w:rPr>
              <w:t>HomeServices</w:t>
            </w:r>
            <w:proofErr w:type="spellEnd"/>
            <w:r w:rsidRPr="00A636FF">
              <w:rPr>
                <w:rFonts w:ascii="Times New Roman" w:eastAsia="Times New Roman" w:hAnsi="Times New Roman"/>
                <w:lang w:eastAsia="lt-LT"/>
              </w:rPr>
              <w:t>“ ataskaitoje teigiama, kad amerikiečių susidomėjimas Graikijos „</w:t>
            </w:r>
            <w:proofErr w:type="spellStart"/>
            <w:r w:rsidRPr="00A636FF">
              <w:rPr>
                <w:rFonts w:ascii="Times New Roman" w:eastAsia="Times New Roman" w:hAnsi="Times New Roman"/>
                <w:lang w:eastAsia="lt-LT"/>
              </w:rPr>
              <w:t>Golden</w:t>
            </w:r>
            <w:proofErr w:type="spellEnd"/>
            <w:r w:rsidRPr="00A636FF">
              <w:rPr>
                <w:rFonts w:ascii="Times New Roman" w:eastAsia="Times New Roman" w:hAnsi="Times New Roman"/>
                <w:lang w:eastAsia="lt-LT"/>
              </w:rPr>
              <w:t xml:space="preserve"> Visa“ programa pastaruoju metu labai išaugo.</w:t>
            </w:r>
            <w:r w:rsidR="00A636FF">
              <w:rPr>
                <w:rFonts w:ascii="Times New Roman" w:eastAsia="Times New Roman" w:hAnsi="Times New Roman"/>
                <w:lang w:eastAsia="lt-LT"/>
              </w:rPr>
              <w:t xml:space="preserve"> </w:t>
            </w:r>
            <w:r w:rsidRPr="00A636FF">
              <w:rPr>
                <w:rFonts w:ascii="Times New Roman" w:eastAsia="Times New Roman" w:hAnsi="Times New Roman"/>
                <w:lang w:eastAsia="lt-LT"/>
              </w:rPr>
              <w:t>Neseniai paskelbta nekilnojamojo turto brokerių „</w:t>
            </w:r>
            <w:proofErr w:type="spellStart"/>
            <w:r w:rsidRPr="00A636FF">
              <w:rPr>
                <w:rFonts w:ascii="Times New Roman" w:eastAsia="Times New Roman" w:hAnsi="Times New Roman"/>
                <w:lang w:eastAsia="lt-LT"/>
              </w:rPr>
              <w:t>Traino</w:t>
            </w:r>
            <w:proofErr w:type="spellEnd"/>
            <w:r w:rsidRPr="00A636FF">
              <w:rPr>
                <w:rFonts w:ascii="Times New Roman" w:eastAsia="Times New Roman" w:hAnsi="Times New Roman"/>
                <w:lang w:eastAsia="lt-LT"/>
              </w:rPr>
              <w:t>“ ataskaita parodė, kad Graikija yra tarp penkių geriausių „</w:t>
            </w:r>
            <w:proofErr w:type="spellStart"/>
            <w:r w:rsidRPr="00A636FF">
              <w:rPr>
                <w:rFonts w:ascii="Times New Roman" w:eastAsia="Times New Roman" w:hAnsi="Times New Roman"/>
                <w:lang w:eastAsia="lt-LT"/>
              </w:rPr>
              <w:t>Residency</w:t>
            </w:r>
            <w:proofErr w:type="spellEnd"/>
            <w:r w:rsidRPr="00A636FF">
              <w:rPr>
                <w:rFonts w:ascii="Times New Roman" w:eastAsia="Times New Roman" w:hAnsi="Times New Roman"/>
                <w:lang w:eastAsia="lt-LT"/>
              </w:rPr>
              <w:t xml:space="preserve"> </w:t>
            </w:r>
            <w:proofErr w:type="spellStart"/>
            <w:r w:rsidRPr="00A636FF">
              <w:rPr>
                <w:rFonts w:ascii="Times New Roman" w:eastAsia="Times New Roman" w:hAnsi="Times New Roman"/>
                <w:lang w:eastAsia="lt-LT"/>
              </w:rPr>
              <w:t>by</w:t>
            </w:r>
            <w:proofErr w:type="spellEnd"/>
            <w:r w:rsidRPr="00A636FF">
              <w:rPr>
                <w:rFonts w:ascii="Times New Roman" w:eastAsia="Times New Roman" w:hAnsi="Times New Roman"/>
                <w:lang w:eastAsia="lt-LT"/>
              </w:rPr>
              <w:t xml:space="preserve"> </w:t>
            </w:r>
            <w:proofErr w:type="spellStart"/>
            <w:r w:rsidRPr="00A636FF">
              <w:rPr>
                <w:rFonts w:ascii="Times New Roman" w:eastAsia="Times New Roman" w:hAnsi="Times New Roman"/>
                <w:lang w:eastAsia="lt-LT"/>
              </w:rPr>
              <w:t>Investments</w:t>
            </w:r>
            <w:proofErr w:type="spellEnd"/>
            <w:r w:rsidRPr="00A636FF">
              <w:rPr>
                <w:rFonts w:ascii="Times New Roman" w:eastAsia="Times New Roman" w:hAnsi="Times New Roman"/>
                <w:lang w:eastAsia="lt-LT"/>
              </w:rPr>
              <w:t>“ programų, kurios labiausiai pritraukia tarptautinius investuotojus.</w:t>
            </w:r>
            <w:r w:rsidR="00A636FF">
              <w:rPr>
                <w:rFonts w:ascii="Times New Roman" w:eastAsia="Times New Roman" w:hAnsi="Times New Roman"/>
                <w:lang w:eastAsia="lt-LT"/>
              </w:rPr>
              <w:t xml:space="preserve"> </w:t>
            </w:r>
          </w:p>
          <w:p w:rsidR="008D3C00" w:rsidRPr="00A636FF" w:rsidRDefault="002708D6" w:rsidP="004D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A636FF">
              <w:rPr>
                <w:rFonts w:ascii="Times New Roman" w:eastAsia="Times New Roman" w:hAnsi="Times New Roman"/>
                <w:lang w:eastAsia="lt-LT"/>
              </w:rPr>
              <w:lastRenderedPageBreak/>
              <w:t xml:space="preserve">Ataskaitoje pabrėžta, kad Graikija turi daug </w:t>
            </w:r>
            <w:proofErr w:type="spellStart"/>
            <w:r w:rsidR="00A8367B">
              <w:rPr>
                <w:rFonts w:ascii="Times New Roman" w:eastAsia="Times New Roman" w:hAnsi="Times New Roman"/>
                <w:lang w:eastAsia="lt-LT"/>
              </w:rPr>
              <w:t>privalumų</w:t>
            </w:r>
            <w:proofErr w:type="spellEnd"/>
            <w:r w:rsidRPr="00A636FF">
              <w:rPr>
                <w:rFonts w:ascii="Times New Roman" w:eastAsia="Times New Roman" w:hAnsi="Times New Roman"/>
                <w:lang w:eastAsia="lt-LT"/>
              </w:rPr>
              <w:t xml:space="preserve">, kurie pritraukia JAV piliečius investuoti į šią šalį, pavyzdžiui, gyvenimo kokybė, draugiškesni mokesčiai, </w:t>
            </w:r>
            <w:r w:rsidR="004D133A">
              <w:rPr>
                <w:rFonts w:ascii="Times New Roman" w:eastAsia="Times New Roman" w:hAnsi="Times New Roman"/>
                <w:lang w:eastAsia="lt-LT"/>
              </w:rPr>
              <w:t>klimatas</w:t>
            </w:r>
            <w:r w:rsidRPr="00A636FF">
              <w:rPr>
                <w:rFonts w:ascii="Times New Roman" w:eastAsia="Times New Roman" w:hAnsi="Times New Roman"/>
                <w:lang w:eastAsia="lt-LT"/>
              </w:rPr>
              <w:t>, taip pat pragyvenimo išlaidos.</w:t>
            </w:r>
            <w:r w:rsidR="00A636FF">
              <w:rPr>
                <w:rFonts w:ascii="Times New Roman" w:eastAsia="Times New Roman" w:hAnsi="Times New Roman"/>
                <w:lang w:eastAsia="lt-LT"/>
              </w:rPr>
              <w:t xml:space="preserve"> </w:t>
            </w:r>
            <w:r w:rsidRPr="00A636FF">
              <w:rPr>
                <w:rFonts w:ascii="Times New Roman" w:eastAsia="Times New Roman" w:hAnsi="Times New Roman"/>
                <w:lang w:eastAsia="lt-LT"/>
              </w:rPr>
              <w:t xml:space="preserve">Neseniai Graikijos ministras pirmininkas </w:t>
            </w:r>
            <w:proofErr w:type="spellStart"/>
            <w:r w:rsidRPr="00A636FF">
              <w:rPr>
                <w:rFonts w:ascii="Times New Roman" w:eastAsia="Times New Roman" w:hAnsi="Times New Roman"/>
                <w:lang w:eastAsia="lt-LT"/>
              </w:rPr>
              <w:t>Kyriakos</w:t>
            </w:r>
            <w:proofErr w:type="spellEnd"/>
            <w:r w:rsidRPr="00A636FF">
              <w:rPr>
                <w:rFonts w:ascii="Times New Roman" w:eastAsia="Times New Roman" w:hAnsi="Times New Roman"/>
                <w:lang w:eastAsia="lt-LT"/>
              </w:rPr>
              <w:t xml:space="preserve"> </w:t>
            </w:r>
            <w:proofErr w:type="spellStart"/>
            <w:r w:rsidRPr="00A636FF">
              <w:rPr>
                <w:rFonts w:ascii="Times New Roman" w:eastAsia="Times New Roman" w:hAnsi="Times New Roman"/>
                <w:lang w:eastAsia="lt-LT"/>
              </w:rPr>
              <w:t>Mitsotakis</w:t>
            </w:r>
            <w:proofErr w:type="spellEnd"/>
            <w:r w:rsidRPr="00A636FF">
              <w:rPr>
                <w:rFonts w:ascii="Times New Roman" w:eastAsia="Times New Roman" w:hAnsi="Times New Roman"/>
                <w:lang w:eastAsia="lt-LT"/>
              </w:rPr>
              <w:t xml:space="preserve"> pristatė naujus Graikijos auksinių vizų sistemos pakeitimus. Tarp naujų pakeitimų buvo minimos investicijų sumos, reikalingos tokiai vizai </w:t>
            </w:r>
            <w:r w:rsidR="00A636FF" w:rsidRPr="00A636FF">
              <w:rPr>
                <w:rFonts w:ascii="Times New Roman" w:eastAsia="Times New Roman" w:hAnsi="Times New Roman"/>
                <w:lang w:eastAsia="lt-LT"/>
              </w:rPr>
              <w:t>gauti</w:t>
            </w:r>
            <w:r w:rsidRPr="00A636FF">
              <w:rPr>
                <w:rFonts w:ascii="Times New Roman" w:eastAsia="Times New Roman" w:hAnsi="Times New Roman"/>
                <w:lang w:eastAsia="lt-LT"/>
              </w:rPr>
              <w:t>, padidinimas iki 500 000 eurų.</w:t>
            </w:r>
            <w:r w:rsidR="00A636FF">
              <w:rPr>
                <w:rFonts w:ascii="Times New Roman" w:eastAsia="Times New Roman" w:hAnsi="Times New Roman"/>
                <w:lang w:eastAsia="lt-LT"/>
              </w:rPr>
              <w:t xml:space="preserve"> </w:t>
            </w:r>
            <w:r w:rsidRPr="00A636FF">
              <w:rPr>
                <w:rFonts w:ascii="Times New Roman" w:eastAsia="Times New Roman" w:hAnsi="Times New Roman"/>
                <w:lang w:eastAsia="lt-LT"/>
              </w:rPr>
              <w:t>Anksčiau užsieniečiai galėjo įgyti teisę gyventi šioje šalyje tik investuodami ne mažiau kaip 250 000 eurų.</w:t>
            </w:r>
            <w:r w:rsidR="00A636FF">
              <w:rPr>
                <w:rFonts w:ascii="Times New Roman" w:eastAsia="Times New Roman" w:hAnsi="Times New Roman"/>
                <w:lang w:eastAsia="lt-LT"/>
              </w:rPr>
              <w:t xml:space="preserve"> </w:t>
            </w:r>
            <w:r w:rsidRPr="00A636FF">
              <w:rPr>
                <w:rFonts w:ascii="Times New Roman" w:eastAsia="Times New Roman" w:hAnsi="Times New Roman"/>
                <w:lang w:eastAsia="lt-LT"/>
              </w:rPr>
              <w:t>Tačiau, nepaisant to, kad Graikijos „Auksinės vizos“ programa labai prisideda prie šalies ekonomikos sektoriaus</w:t>
            </w:r>
            <w:r w:rsidR="00A636FF" w:rsidRPr="00A636FF">
              <w:rPr>
                <w:rFonts w:ascii="Times New Roman" w:eastAsia="Times New Roman" w:hAnsi="Times New Roman"/>
                <w:lang w:eastAsia="lt-LT"/>
              </w:rPr>
              <w:t xml:space="preserve"> vystymo</w:t>
            </w:r>
            <w:r w:rsidRPr="00A636FF">
              <w:rPr>
                <w:rFonts w:ascii="Times New Roman" w:eastAsia="Times New Roman" w:hAnsi="Times New Roman"/>
                <w:lang w:eastAsia="lt-LT"/>
              </w:rPr>
              <w:t xml:space="preserve">, </w:t>
            </w:r>
            <w:r w:rsidR="00A636FF" w:rsidRPr="00A636FF">
              <w:rPr>
                <w:rFonts w:ascii="Times New Roman" w:eastAsia="Times New Roman" w:hAnsi="Times New Roman"/>
                <w:lang w:eastAsia="lt-LT"/>
              </w:rPr>
              <w:t xml:space="preserve">bet tuo pat metu </w:t>
            </w:r>
            <w:r w:rsidRPr="00A636FF">
              <w:rPr>
                <w:rFonts w:ascii="Times New Roman" w:eastAsia="Times New Roman" w:hAnsi="Times New Roman"/>
                <w:lang w:eastAsia="lt-LT"/>
              </w:rPr>
              <w:t xml:space="preserve">ji dažnai </w:t>
            </w:r>
            <w:r w:rsidR="004D133A">
              <w:rPr>
                <w:rFonts w:ascii="Times New Roman" w:eastAsia="Times New Roman" w:hAnsi="Times New Roman"/>
                <w:lang w:eastAsia="lt-LT"/>
              </w:rPr>
              <w:t>k</w:t>
            </w:r>
            <w:r w:rsidRPr="00A636FF">
              <w:rPr>
                <w:rFonts w:ascii="Times New Roman" w:eastAsia="Times New Roman" w:hAnsi="Times New Roman"/>
                <w:lang w:eastAsia="lt-LT"/>
              </w:rPr>
              <w:t xml:space="preserve">ritikuojama už tai, kad ji atveria </w:t>
            </w:r>
            <w:r w:rsidR="00A636FF" w:rsidRPr="00A636FF">
              <w:rPr>
                <w:rFonts w:ascii="Times New Roman" w:eastAsia="Times New Roman" w:hAnsi="Times New Roman"/>
                <w:lang w:eastAsia="lt-LT"/>
              </w:rPr>
              <w:t xml:space="preserve">galimybes </w:t>
            </w:r>
            <w:r w:rsidRPr="00A636FF">
              <w:rPr>
                <w:rFonts w:ascii="Times New Roman" w:eastAsia="Times New Roman" w:hAnsi="Times New Roman"/>
                <w:lang w:eastAsia="lt-LT"/>
              </w:rPr>
              <w:t xml:space="preserve">daugeliui neteisėtų </w:t>
            </w:r>
            <w:r w:rsidR="00A636FF" w:rsidRPr="00A636FF">
              <w:rPr>
                <w:rFonts w:ascii="Times New Roman" w:eastAsia="Times New Roman" w:hAnsi="Times New Roman"/>
                <w:lang w:eastAsia="lt-LT"/>
              </w:rPr>
              <w:t>veiksmų</w:t>
            </w:r>
            <w:r w:rsidRPr="00A636FF">
              <w:rPr>
                <w:rFonts w:ascii="Times New Roman" w:eastAsia="Times New Roman" w:hAnsi="Times New Roman"/>
                <w:lang w:eastAsia="lt-LT"/>
              </w:rPr>
              <w:t>, tokių kaip korupcija ir pinigų plovimas.</w:t>
            </w:r>
          </w:p>
        </w:tc>
        <w:tc>
          <w:tcPr>
            <w:tcW w:w="2410" w:type="dxa"/>
            <w:shd w:val="clear" w:color="auto" w:fill="auto"/>
            <w:tcMar>
              <w:top w:w="29" w:type="dxa"/>
              <w:left w:w="115" w:type="dxa"/>
              <w:bottom w:w="29" w:type="dxa"/>
              <w:right w:w="115" w:type="dxa"/>
            </w:tcMar>
          </w:tcPr>
          <w:p w:rsidR="008D3C00" w:rsidRPr="0039175E" w:rsidRDefault="002708D6" w:rsidP="00B5393F">
            <w:pPr>
              <w:spacing w:before="120" w:after="120" w:line="240" w:lineRule="auto"/>
              <w:rPr>
                <w:rStyle w:val="Hyperlink"/>
                <w:rFonts w:ascii="Times New Roman" w:hAnsi="Times New Roman"/>
                <w:noProof/>
              </w:rPr>
            </w:pPr>
            <w:r w:rsidRPr="002708D6">
              <w:rPr>
                <w:rStyle w:val="Hyperlink"/>
                <w:rFonts w:ascii="Times New Roman" w:hAnsi="Times New Roman"/>
                <w:noProof/>
              </w:rPr>
              <w:lastRenderedPageBreak/>
              <w:t>https://knews.kathimerini.com.cy/en/news/americans-show-more-interest-in-greece-s-golden-visa-program</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136D2E" w:rsidRPr="00B561E0" w:rsidTr="0039175E">
        <w:trPr>
          <w:trHeight w:val="533"/>
        </w:trPr>
        <w:tc>
          <w:tcPr>
            <w:tcW w:w="1270" w:type="dxa"/>
            <w:shd w:val="clear" w:color="auto" w:fill="auto"/>
            <w:tcMar>
              <w:top w:w="29" w:type="dxa"/>
              <w:left w:w="115" w:type="dxa"/>
              <w:bottom w:w="29" w:type="dxa"/>
              <w:right w:w="115" w:type="dxa"/>
            </w:tcMar>
          </w:tcPr>
          <w:p w:rsidR="00136D2E" w:rsidRDefault="00136D2E" w:rsidP="0039175E">
            <w:pPr>
              <w:spacing w:before="120" w:after="120" w:line="240" w:lineRule="auto"/>
              <w:rPr>
                <w:rFonts w:ascii="Times New Roman" w:hAnsi="Times New Roman"/>
              </w:rPr>
            </w:pPr>
            <w:r>
              <w:rPr>
                <w:rFonts w:ascii="Times New Roman" w:hAnsi="Times New Roman"/>
              </w:rPr>
              <w:t>2022 10 12</w:t>
            </w:r>
          </w:p>
        </w:tc>
        <w:tc>
          <w:tcPr>
            <w:tcW w:w="4537" w:type="dxa"/>
            <w:shd w:val="clear" w:color="auto" w:fill="auto"/>
            <w:tcMar>
              <w:top w:w="29" w:type="dxa"/>
              <w:left w:w="115" w:type="dxa"/>
              <w:bottom w:w="29" w:type="dxa"/>
              <w:right w:w="115" w:type="dxa"/>
            </w:tcMar>
          </w:tcPr>
          <w:p w:rsidR="00136D2E" w:rsidRPr="00037FC0" w:rsidRDefault="00136D2E" w:rsidP="00613B9D">
            <w:pPr>
              <w:pStyle w:val="HTMLPreformatted"/>
              <w:jc w:val="both"/>
              <w:rPr>
                <w:rFonts w:ascii="Times New Roman" w:hAnsi="Times New Roman" w:cs="Times New Roman"/>
                <w:sz w:val="22"/>
                <w:szCs w:val="22"/>
              </w:rPr>
            </w:pPr>
            <w:r w:rsidRPr="00037FC0">
              <w:rPr>
                <w:rStyle w:val="y2iqfc"/>
                <w:rFonts w:ascii="Times New Roman" w:hAnsi="Times New Roman" w:cs="Times New Roman"/>
                <w:sz w:val="22"/>
                <w:szCs w:val="22"/>
              </w:rPr>
              <w:t>Šiaurės Makedonijos vyriausybė ministrų kabineto posėdyje suteikė strateginio investicijų plano statusą Graikijoje įsikūrusios bendrovės „</w:t>
            </w:r>
            <w:proofErr w:type="spellStart"/>
            <w:r w:rsidRPr="00037FC0">
              <w:rPr>
                <w:rStyle w:val="y2iqfc"/>
                <w:rFonts w:ascii="Times New Roman" w:hAnsi="Times New Roman" w:cs="Times New Roman"/>
                <w:sz w:val="22"/>
                <w:szCs w:val="22"/>
              </w:rPr>
              <w:t>Mytilineos</w:t>
            </w:r>
            <w:proofErr w:type="spellEnd"/>
            <w:r w:rsidRPr="00037FC0">
              <w:rPr>
                <w:rStyle w:val="y2iqfc"/>
                <w:rFonts w:ascii="Times New Roman" w:hAnsi="Times New Roman" w:cs="Times New Roman"/>
                <w:sz w:val="22"/>
                <w:szCs w:val="22"/>
              </w:rPr>
              <w:t>“ projektui statyti naują kombinuotą elektros ir šilumos energijos gamybos įrenginį.</w:t>
            </w:r>
            <w:r w:rsidR="00037FC0" w:rsidRPr="00037FC0">
              <w:rPr>
                <w:rStyle w:val="y2iqfc"/>
                <w:rFonts w:ascii="Times New Roman" w:hAnsi="Times New Roman" w:cs="Times New Roman"/>
                <w:sz w:val="22"/>
                <w:szCs w:val="22"/>
              </w:rPr>
              <w:t xml:space="preserve"> </w:t>
            </w:r>
            <w:r w:rsidRPr="00037FC0">
              <w:rPr>
                <w:rStyle w:val="y2iqfc"/>
                <w:rFonts w:ascii="Times New Roman" w:hAnsi="Times New Roman" w:cs="Times New Roman"/>
                <w:sz w:val="22"/>
                <w:szCs w:val="22"/>
              </w:rPr>
              <w:t>Šiaurės Makedonijos vyriausybės pranešime teigiama, kad „investicijos turėtų siekti 211 mln. eurų ir pagal nuostatas su</w:t>
            </w:r>
            <w:r w:rsidR="00613B9D">
              <w:rPr>
                <w:rStyle w:val="y2iqfc"/>
                <w:rFonts w:ascii="Times New Roman" w:hAnsi="Times New Roman" w:cs="Times New Roman"/>
                <w:sz w:val="22"/>
                <w:szCs w:val="22"/>
              </w:rPr>
              <w:t>sideda</w:t>
            </w:r>
            <w:r w:rsidRPr="00037FC0">
              <w:rPr>
                <w:rStyle w:val="y2iqfc"/>
                <w:rFonts w:ascii="Times New Roman" w:hAnsi="Times New Roman" w:cs="Times New Roman"/>
                <w:sz w:val="22"/>
                <w:szCs w:val="22"/>
              </w:rPr>
              <w:t xml:space="preserve"> iš elektros energijos bloko (90-105 megavatai) ir šilumos energijos bloko (135-150 MW).</w:t>
            </w:r>
            <w:r w:rsidR="00037FC0" w:rsidRPr="00037FC0">
              <w:rPr>
                <w:rStyle w:val="y2iqfc"/>
                <w:rFonts w:ascii="Times New Roman" w:hAnsi="Times New Roman" w:cs="Times New Roman"/>
                <w:sz w:val="22"/>
                <w:szCs w:val="22"/>
              </w:rPr>
              <w:t xml:space="preserve"> </w:t>
            </w:r>
            <w:r w:rsidRPr="00037FC0">
              <w:rPr>
                <w:rStyle w:val="y2iqfc"/>
                <w:rFonts w:ascii="Times New Roman" w:hAnsi="Times New Roman" w:cs="Times New Roman"/>
                <w:sz w:val="22"/>
                <w:szCs w:val="22"/>
              </w:rPr>
              <w:t xml:space="preserve">Tikimasi, kad metinė elektros energijos gamyba pasieks beveik 1150 </w:t>
            </w:r>
            <w:proofErr w:type="spellStart"/>
            <w:r w:rsidRPr="00037FC0">
              <w:rPr>
                <w:rStyle w:val="y2iqfc"/>
                <w:rFonts w:ascii="Times New Roman" w:hAnsi="Times New Roman" w:cs="Times New Roman"/>
                <w:sz w:val="22"/>
                <w:szCs w:val="22"/>
              </w:rPr>
              <w:t>gigavatų</w:t>
            </w:r>
            <w:proofErr w:type="spellEnd"/>
            <w:r w:rsidRPr="00037FC0">
              <w:rPr>
                <w:rStyle w:val="y2iqfc"/>
                <w:rFonts w:ascii="Times New Roman" w:hAnsi="Times New Roman" w:cs="Times New Roman"/>
                <w:sz w:val="22"/>
                <w:szCs w:val="22"/>
              </w:rPr>
              <w:t xml:space="preserve"> elektros energijos ir beveik 275 GW šiluminės energijos, kuri bus tiekiama į atitinkam</w:t>
            </w:r>
            <w:r w:rsidR="00037FC0" w:rsidRPr="00037FC0">
              <w:rPr>
                <w:rStyle w:val="y2iqfc"/>
                <w:rFonts w:ascii="Times New Roman" w:hAnsi="Times New Roman" w:cs="Times New Roman"/>
                <w:sz w:val="22"/>
                <w:szCs w:val="22"/>
              </w:rPr>
              <w:t xml:space="preserve">as energijos sistemas </w:t>
            </w:r>
            <w:proofErr w:type="spellStart"/>
            <w:r w:rsidR="00037FC0" w:rsidRPr="00037FC0">
              <w:rPr>
                <w:rStyle w:val="y2iqfc"/>
                <w:rFonts w:ascii="Times New Roman" w:hAnsi="Times New Roman" w:cs="Times New Roman"/>
                <w:sz w:val="22"/>
                <w:szCs w:val="22"/>
              </w:rPr>
              <w:t>Skopj</w:t>
            </w:r>
            <w:r w:rsidR="00613B9D">
              <w:rPr>
                <w:rStyle w:val="y2iqfc"/>
                <w:rFonts w:ascii="Times New Roman" w:hAnsi="Times New Roman" w:cs="Times New Roman"/>
                <w:sz w:val="22"/>
                <w:szCs w:val="22"/>
              </w:rPr>
              <w:t>o</w:t>
            </w:r>
            <w:r w:rsidR="00037FC0" w:rsidRPr="00037FC0">
              <w:rPr>
                <w:rStyle w:val="y2iqfc"/>
                <w:rFonts w:ascii="Times New Roman" w:hAnsi="Times New Roman" w:cs="Times New Roman"/>
                <w:sz w:val="22"/>
                <w:szCs w:val="22"/>
              </w:rPr>
              <w:t>je</w:t>
            </w:r>
            <w:proofErr w:type="spellEnd"/>
            <w:r w:rsidR="00037FC0" w:rsidRPr="00037FC0">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136D2E" w:rsidRPr="002708D6" w:rsidRDefault="00136D2E" w:rsidP="00B5393F">
            <w:pPr>
              <w:spacing w:before="120" w:after="120" w:line="240" w:lineRule="auto"/>
              <w:rPr>
                <w:rStyle w:val="Hyperlink"/>
                <w:rFonts w:ascii="Times New Roman" w:hAnsi="Times New Roman"/>
                <w:noProof/>
              </w:rPr>
            </w:pPr>
            <w:r w:rsidRPr="00136D2E">
              <w:rPr>
                <w:rStyle w:val="Hyperlink"/>
                <w:rFonts w:ascii="Times New Roman" w:hAnsi="Times New Roman"/>
                <w:noProof/>
              </w:rPr>
              <w:t>https://www.ekathimerini.com/economy/1195374/skopje-grants-strategic-status-to-mytilineos-project/</w:t>
            </w:r>
          </w:p>
        </w:tc>
        <w:tc>
          <w:tcPr>
            <w:tcW w:w="1559" w:type="dxa"/>
            <w:shd w:val="clear" w:color="auto" w:fill="auto"/>
            <w:tcMar>
              <w:top w:w="29" w:type="dxa"/>
              <w:left w:w="115" w:type="dxa"/>
              <w:bottom w:w="29" w:type="dxa"/>
              <w:right w:w="115" w:type="dxa"/>
            </w:tcMar>
          </w:tcPr>
          <w:p w:rsidR="00136D2E" w:rsidRPr="0039175E" w:rsidRDefault="00136D2E" w:rsidP="0039175E">
            <w:pPr>
              <w:spacing w:before="120" w:after="120" w:line="240" w:lineRule="auto"/>
              <w:rPr>
                <w:rFonts w:ascii="Times New Roman" w:hAnsi="Times New Roman"/>
                <w:noProof/>
              </w:rPr>
            </w:pPr>
          </w:p>
        </w:tc>
      </w:tr>
      <w:tr w:rsidR="003254C3" w:rsidRPr="00B561E0" w:rsidTr="0039175E">
        <w:trPr>
          <w:trHeight w:val="533"/>
        </w:trPr>
        <w:tc>
          <w:tcPr>
            <w:tcW w:w="1270" w:type="dxa"/>
            <w:shd w:val="clear" w:color="auto" w:fill="auto"/>
            <w:tcMar>
              <w:top w:w="29" w:type="dxa"/>
              <w:left w:w="115" w:type="dxa"/>
              <w:bottom w:w="29" w:type="dxa"/>
              <w:right w:w="115" w:type="dxa"/>
            </w:tcMar>
          </w:tcPr>
          <w:p w:rsidR="003254C3" w:rsidRDefault="003254C3" w:rsidP="0039175E">
            <w:pPr>
              <w:spacing w:before="120" w:after="120" w:line="240" w:lineRule="auto"/>
              <w:rPr>
                <w:rFonts w:ascii="Times New Roman" w:hAnsi="Times New Roman"/>
              </w:rPr>
            </w:pPr>
            <w:r>
              <w:rPr>
                <w:rFonts w:ascii="Times New Roman" w:hAnsi="Times New Roman"/>
              </w:rPr>
              <w:t>2022 10 13</w:t>
            </w:r>
          </w:p>
        </w:tc>
        <w:tc>
          <w:tcPr>
            <w:tcW w:w="4537" w:type="dxa"/>
            <w:shd w:val="clear" w:color="auto" w:fill="auto"/>
            <w:tcMar>
              <w:top w:w="29" w:type="dxa"/>
              <w:left w:w="115" w:type="dxa"/>
              <w:bottom w:w="29" w:type="dxa"/>
              <w:right w:w="115" w:type="dxa"/>
            </w:tcMar>
          </w:tcPr>
          <w:p w:rsidR="003254C3" w:rsidRPr="00037FC0" w:rsidRDefault="003254C3" w:rsidP="00943DF5">
            <w:pPr>
              <w:pStyle w:val="HTMLPreformatted"/>
              <w:jc w:val="both"/>
              <w:rPr>
                <w:rFonts w:ascii="Times New Roman" w:hAnsi="Times New Roman" w:cs="Times New Roman"/>
                <w:sz w:val="22"/>
                <w:szCs w:val="22"/>
              </w:rPr>
            </w:pPr>
            <w:r w:rsidRPr="00037FC0">
              <w:rPr>
                <w:rStyle w:val="y2iqfc"/>
                <w:rFonts w:ascii="Times New Roman" w:hAnsi="Times New Roman" w:cs="Times New Roman"/>
                <w:sz w:val="22"/>
                <w:szCs w:val="22"/>
              </w:rPr>
              <w:t xml:space="preserve">Graikija grįš į pirminį </w:t>
            </w:r>
            <w:r w:rsidR="00943DF5">
              <w:rPr>
                <w:rStyle w:val="y2iqfc"/>
                <w:rFonts w:ascii="Times New Roman" w:hAnsi="Times New Roman" w:cs="Times New Roman"/>
                <w:sz w:val="22"/>
                <w:szCs w:val="22"/>
              </w:rPr>
              <w:t xml:space="preserve">biudžeto </w:t>
            </w:r>
            <w:r w:rsidRPr="00037FC0">
              <w:rPr>
                <w:rStyle w:val="y2iqfc"/>
                <w:rFonts w:ascii="Times New Roman" w:hAnsi="Times New Roman" w:cs="Times New Roman"/>
                <w:sz w:val="22"/>
                <w:szCs w:val="22"/>
              </w:rPr>
              <w:t>perteklių nuo 2023 m. ir toliau mažins savo valstybės skolą, sakoma Tarptautinio valiutos fondo paskelbtoje „</w:t>
            </w:r>
            <w:proofErr w:type="spellStart"/>
            <w:r w:rsidRPr="00037FC0">
              <w:rPr>
                <w:rStyle w:val="y2iqfc"/>
                <w:rFonts w:ascii="Times New Roman" w:hAnsi="Times New Roman" w:cs="Times New Roman"/>
                <w:sz w:val="22"/>
                <w:szCs w:val="22"/>
              </w:rPr>
              <w:t>Fiscal</w:t>
            </w:r>
            <w:proofErr w:type="spellEnd"/>
            <w:r w:rsidRPr="00037FC0">
              <w:rPr>
                <w:rStyle w:val="y2iqfc"/>
                <w:rFonts w:ascii="Times New Roman" w:hAnsi="Times New Roman" w:cs="Times New Roman"/>
                <w:sz w:val="22"/>
                <w:szCs w:val="22"/>
              </w:rPr>
              <w:t xml:space="preserve"> </w:t>
            </w:r>
            <w:proofErr w:type="spellStart"/>
            <w:r w:rsidRPr="00037FC0">
              <w:rPr>
                <w:rStyle w:val="y2iqfc"/>
                <w:rFonts w:ascii="Times New Roman" w:hAnsi="Times New Roman" w:cs="Times New Roman"/>
                <w:sz w:val="22"/>
                <w:szCs w:val="22"/>
              </w:rPr>
              <w:t>Monitor</w:t>
            </w:r>
            <w:proofErr w:type="spellEnd"/>
            <w:r w:rsidRPr="00037FC0">
              <w:rPr>
                <w:rStyle w:val="y2iqfc"/>
                <w:rFonts w:ascii="Times New Roman" w:hAnsi="Times New Roman" w:cs="Times New Roman"/>
                <w:sz w:val="22"/>
                <w:szCs w:val="22"/>
              </w:rPr>
              <w:t>“ ataskaitoje.</w:t>
            </w:r>
            <w:r w:rsidR="00037FC0">
              <w:rPr>
                <w:rStyle w:val="y2iqfc"/>
                <w:rFonts w:ascii="Times New Roman" w:hAnsi="Times New Roman" w:cs="Times New Roman"/>
                <w:sz w:val="22"/>
                <w:szCs w:val="22"/>
              </w:rPr>
              <w:t xml:space="preserve"> </w:t>
            </w:r>
            <w:r w:rsidRPr="00037FC0">
              <w:rPr>
                <w:rStyle w:val="y2iqfc"/>
                <w:rFonts w:ascii="Times New Roman" w:hAnsi="Times New Roman" w:cs="Times New Roman"/>
                <w:sz w:val="22"/>
                <w:szCs w:val="22"/>
              </w:rPr>
              <w:t xml:space="preserve">Fondas </w:t>
            </w:r>
            <w:r w:rsidR="00943DF5">
              <w:rPr>
                <w:rStyle w:val="y2iqfc"/>
                <w:rFonts w:ascii="Times New Roman" w:hAnsi="Times New Roman" w:cs="Times New Roman"/>
                <w:sz w:val="22"/>
                <w:szCs w:val="22"/>
              </w:rPr>
              <w:t>prognozuoja</w:t>
            </w:r>
            <w:r w:rsidRPr="00037FC0">
              <w:rPr>
                <w:rStyle w:val="y2iqfc"/>
                <w:rFonts w:ascii="Times New Roman" w:hAnsi="Times New Roman" w:cs="Times New Roman"/>
                <w:sz w:val="22"/>
                <w:szCs w:val="22"/>
              </w:rPr>
              <w:t>, kad 2023 m. valdžios sektoriaus pirminis perteklius bus 0,9 % BVP, o 2027 m. padidės iki 2 %, o 2021 m. – 1,8 % pirminio deficito ir 5,5 % BVP.</w:t>
            </w:r>
            <w:r w:rsidR="00037FC0">
              <w:rPr>
                <w:rStyle w:val="y2iqfc"/>
                <w:rFonts w:ascii="Times New Roman" w:hAnsi="Times New Roman" w:cs="Times New Roman"/>
                <w:sz w:val="22"/>
                <w:szCs w:val="22"/>
              </w:rPr>
              <w:t xml:space="preserve"> </w:t>
            </w:r>
            <w:r w:rsidRPr="00037FC0">
              <w:rPr>
                <w:rStyle w:val="y2iqfc"/>
                <w:rFonts w:ascii="Times New Roman" w:hAnsi="Times New Roman" w:cs="Times New Roman"/>
                <w:sz w:val="22"/>
                <w:szCs w:val="22"/>
              </w:rPr>
              <w:t xml:space="preserve">Ataskaitoje teigiama, kad valdžios sektoriaus balansas, įskaitant kapitalo </w:t>
            </w:r>
            <w:proofErr w:type="spellStart"/>
            <w:r w:rsidRPr="00037FC0">
              <w:rPr>
                <w:rStyle w:val="y2iqfc"/>
                <w:rFonts w:ascii="Times New Roman" w:hAnsi="Times New Roman" w:cs="Times New Roman"/>
                <w:sz w:val="22"/>
                <w:szCs w:val="22"/>
              </w:rPr>
              <w:t>mokėjimus</w:t>
            </w:r>
            <w:proofErr w:type="spellEnd"/>
            <w:r w:rsidRPr="00037FC0">
              <w:rPr>
                <w:rStyle w:val="y2iqfc"/>
                <w:rFonts w:ascii="Times New Roman" w:hAnsi="Times New Roman" w:cs="Times New Roman"/>
                <w:sz w:val="22"/>
                <w:szCs w:val="22"/>
              </w:rPr>
              <w:t xml:space="preserve"> už skolą, 2023 metais bus 1,9% BVP deficitas, o šiais metais deficitas sieks 4,4%, o 2027 metais jis sumažės iki 0,7%.</w:t>
            </w:r>
            <w:r w:rsidR="00037FC0">
              <w:rPr>
                <w:rStyle w:val="y2iqfc"/>
                <w:rFonts w:ascii="Times New Roman" w:hAnsi="Times New Roman" w:cs="Times New Roman"/>
                <w:sz w:val="22"/>
                <w:szCs w:val="22"/>
              </w:rPr>
              <w:t xml:space="preserve"> </w:t>
            </w:r>
            <w:r w:rsidRPr="00037FC0">
              <w:rPr>
                <w:rStyle w:val="y2iqfc"/>
                <w:rFonts w:ascii="Times New Roman" w:hAnsi="Times New Roman" w:cs="Times New Roman"/>
                <w:sz w:val="22"/>
                <w:szCs w:val="22"/>
              </w:rPr>
              <w:t>Numatoma, kad valstybės pajamos sumažės nuo 47,6 % BVP šiais metais iki 45,9 % 2023 m</w:t>
            </w:r>
            <w:r w:rsidR="00943DF5">
              <w:rPr>
                <w:rStyle w:val="y2iqfc"/>
                <w:rFonts w:ascii="Times New Roman" w:hAnsi="Times New Roman" w:cs="Times New Roman"/>
                <w:sz w:val="22"/>
                <w:szCs w:val="22"/>
              </w:rPr>
              <w:t>etais</w:t>
            </w:r>
            <w:r w:rsidRPr="00037FC0">
              <w:rPr>
                <w:rStyle w:val="y2iqfc"/>
                <w:rFonts w:ascii="Times New Roman" w:hAnsi="Times New Roman" w:cs="Times New Roman"/>
                <w:sz w:val="22"/>
                <w:szCs w:val="22"/>
              </w:rPr>
              <w:t xml:space="preserve"> ir iki 43,6 % 2027 m</w:t>
            </w:r>
            <w:r w:rsidR="00943DF5">
              <w:rPr>
                <w:rStyle w:val="y2iqfc"/>
                <w:rFonts w:ascii="Times New Roman" w:hAnsi="Times New Roman" w:cs="Times New Roman"/>
                <w:sz w:val="22"/>
                <w:szCs w:val="22"/>
              </w:rPr>
              <w:t>etais</w:t>
            </w:r>
            <w:r w:rsidRPr="00037FC0">
              <w:rPr>
                <w:rStyle w:val="y2iqfc"/>
                <w:rFonts w:ascii="Times New Roman" w:hAnsi="Times New Roman" w:cs="Times New Roman"/>
                <w:sz w:val="22"/>
                <w:szCs w:val="22"/>
              </w:rPr>
              <w:t>, o valstybės išlaidos sumažės nuo 52 % šiais metais iki 47,8 % 2023 m</w:t>
            </w:r>
            <w:r w:rsidR="00943DF5">
              <w:rPr>
                <w:rStyle w:val="y2iqfc"/>
                <w:rFonts w:ascii="Times New Roman" w:hAnsi="Times New Roman" w:cs="Times New Roman"/>
                <w:sz w:val="22"/>
                <w:szCs w:val="22"/>
              </w:rPr>
              <w:t>etais</w:t>
            </w:r>
            <w:r w:rsidRPr="00037FC0">
              <w:rPr>
                <w:rStyle w:val="y2iqfc"/>
                <w:rFonts w:ascii="Times New Roman" w:hAnsi="Times New Roman" w:cs="Times New Roman"/>
                <w:sz w:val="22"/>
                <w:szCs w:val="22"/>
              </w:rPr>
              <w:t>, o iki 44,3 % 2027 m</w:t>
            </w:r>
            <w:r w:rsidR="00943DF5">
              <w:rPr>
                <w:rStyle w:val="y2iqfc"/>
                <w:rFonts w:ascii="Times New Roman" w:hAnsi="Times New Roman" w:cs="Times New Roman"/>
                <w:sz w:val="22"/>
                <w:szCs w:val="22"/>
              </w:rPr>
              <w:t>etais</w:t>
            </w:r>
            <w:r w:rsidRPr="00037FC0">
              <w:rPr>
                <w:rStyle w:val="y2iqfc"/>
                <w:rFonts w:ascii="Times New Roman" w:hAnsi="Times New Roman" w:cs="Times New Roman"/>
                <w:sz w:val="22"/>
                <w:szCs w:val="22"/>
              </w:rPr>
              <w:t>.</w:t>
            </w:r>
            <w:r w:rsidR="00037FC0">
              <w:rPr>
                <w:rStyle w:val="y2iqfc"/>
                <w:rFonts w:ascii="Times New Roman" w:hAnsi="Times New Roman" w:cs="Times New Roman"/>
                <w:sz w:val="22"/>
                <w:szCs w:val="22"/>
              </w:rPr>
              <w:t xml:space="preserve"> </w:t>
            </w:r>
            <w:r w:rsidRPr="00037FC0">
              <w:rPr>
                <w:rStyle w:val="y2iqfc"/>
                <w:rFonts w:ascii="Times New Roman" w:hAnsi="Times New Roman" w:cs="Times New Roman"/>
                <w:sz w:val="22"/>
                <w:szCs w:val="22"/>
              </w:rPr>
              <w:t>Numatoma, kad valdžios sektoriaus skola sumažės nuo 199,4% BVP 2021 metais iki 177,6% šiais metais, iki 169,8% 2023 metais ir iki 149,9% 2027 metais.</w:t>
            </w:r>
          </w:p>
        </w:tc>
        <w:tc>
          <w:tcPr>
            <w:tcW w:w="2410" w:type="dxa"/>
            <w:shd w:val="clear" w:color="auto" w:fill="auto"/>
            <w:tcMar>
              <w:top w:w="29" w:type="dxa"/>
              <w:left w:w="115" w:type="dxa"/>
              <w:bottom w:w="29" w:type="dxa"/>
              <w:right w:w="115" w:type="dxa"/>
            </w:tcMar>
          </w:tcPr>
          <w:p w:rsidR="003254C3" w:rsidRPr="002708D6" w:rsidRDefault="003254C3" w:rsidP="00B5393F">
            <w:pPr>
              <w:spacing w:before="120" w:after="120" w:line="240" w:lineRule="auto"/>
              <w:rPr>
                <w:rStyle w:val="Hyperlink"/>
                <w:rFonts w:ascii="Times New Roman" w:hAnsi="Times New Roman"/>
                <w:noProof/>
              </w:rPr>
            </w:pPr>
            <w:r w:rsidRPr="003254C3">
              <w:rPr>
                <w:rStyle w:val="Hyperlink"/>
                <w:rFonts w:ascii="Times New Roman" w:hAnsi="Times New Roman"/>
                <w:noProof/>
              </w:rPr>
              <w:t>https://www.ekathimerini.com/economy/1195474/imf-greece-to-return-to-primary-surplus-in-2023/</w:t>
            </w:r>
          </w:p>
        </w:tc>
        <w:tc>
          <w:tcPr>
            <w:tcW w:w="1559" w:type="dxa"/>
            <w:shd w:val="clear" w:color="auto" w:fill="auto"/>
            <w:tcMar>
              <w:top w:w="29" w:type="dxa"/>
              <w:left w:w="115" w:type="dxa"/>
              <w:bottom w:w="29" w:type="dxa"/>
              <w:right w:w="115" w:type="dxa"/>
            </w:tcMar>
          </w:tcPr>
          <w:p w:rsidR="003254C3" w:rsidRPr="0039175E" w:rsidRDefault="003254C3" w:rsidP="0039175E">
            <w:pPr>
              <w:spacing w:before="120" w:after="120" w:line="240" w:lineRule="auto"/>
              <w:rPr>
                <w:rFonts w:ascii="Times New Roman" w:hAnsi="Times New Roman"/>
                <w:noProof/>
              </w:rPr>
            </w:pPr>
          </w:p>
        </w:tc>
      </w:tr>
      <w:tr w:rsidR="000130C2" w:rsidRPr="00B561E0" w:rsidTr="0039175E">
        <w:trPr>
          <w:trHeight w:val="533"/>
        </w:trPr>
        <w:tc>
          <w:tcPr>
            <w:tcW w:w="1270" w:type="dxa"/>
            <w:shd w:val="clear" w:color="auto" w:fill="auto"/>
            <w:tcMar>
              <w:top w:w="29" w:type="dxa"/>
              <w:left w:w="115" w:type="dxa"/>
              <w:bottom w:w="29" w:type="dxa"/>
              <w:right w:w="115" w:type="dxa"/>
            </w:tcMar>
          </w:tcPr>
          <w:p w:rsidR="000130C2" w:rsidRDefault="000130C2" w:rsidP="0039175E">
            <w:pPr>
              <w:spacing w:before="120" w:after="120" w:line="240" w:lineRule="auto"/>
              <w:rPr>
                <w:rFonts w:ascii="Times New Roman" w:hAnsi="Times New Roman"/>
              </w:rPr>
            </w:pPr>
            <w:r>
              <w:rPr>
                <w:rFonts w:ascii="Times New Roman" w:hAnsi="Times New Roman"/>
              </w:rPr>
              <w:t>2022 10 13</w:t>
            </w:r>
          </w:p>
        </w:tc>
        <w:tc>
          <w:tcPr>
            <w:tcW w:w="4537" w:type="dxa"/>
            <w:shd w:val="clear" w:color="auto" w:fill="auto"/>
            <w:tcMar>
              <w:top w:w="29" w:type="dxa"/>
              <w:left w:w="115" w:type="dxa"/>
              <w:bottom w:w="29" w:type="dxa"/>
              <w:right w:w="115" w:type="dxa"/>
            </w:tcMar>
          </w:tcPr>
          <w:p w:rsidR="000130C2" w:rsidRPr="00AC308D" w:rsidRDefault="000130C2" w:rsidP="00AC308D">
            <w:pPr>
              <w:pStyle w:val="HTMLPreformatted"/>
              <w:jc w:val="both"/>
              <w:rPr>
                <w:rFonts w:ascii="Times New Roman" w:hAnsi="Times New Roman" w:cs="Times New Roman"/>
                <w:sz w:val="22"/>
                <w:szCs w:val="22"/>
              </w:rPr>
            </w:pPr>
            <w:r w:rsidRPr="00AC308D">
              <w:rPr>
                <w:rStyle w:val="y2iqfc"/>
                <w:rFonts w:ascii="Times New Roman" w:hAnsi="Times New Roman" w:cs="Times New Roman"/>
                <w:sz w:val="22"/>
                <w:szCs w:val="22"/>
              </w:rPr>
              <w:t xml:space="preserve">Gamtinių dujų kaina vidaus vartojimui spalio mėnesį yra nustatyta 11 centų už kilovatvalandę, teigia didžiausios šio sektoriaus tiekėjos Graikijoje </w:t>
            </w:r>
            <w:proofErr w:type="spellStart"/>
            <w:r w:rsidRPr="00AC308D">
              <w:rPr>
                <w:rStyle w:val="y2iqfc"/>
                <w:rFonts w:ascii="Times New Roman" w:hAnsi="Times New Roman" w:cs="Times New Roman"/>
                <w:sz w:val="22"/>
                <w:szCs w:val="22"/>
              </w:rPr>
              <w:t>Natural</w:t>
            </w:r>
            <w:proofErr w:type="spellEnd"/>
            <w:r w:rsidRPr="00AC308D">
              <w:rPr>
                <w:rStyle w:val="y2iqfc"/>
                <w:rFonts w:ascii="Times New Roman" w:hAnsi="Times New Roman" w:cs="Times New Roman"/>
                <w:sz w:val="22"/>
                <w:szCs w:val="22"/>
              </w:rPr>
              <w:t xml:space="preserve"> </w:t>
            </w:r>
            <w:proofErr w:type="spellStart"/>
            <w:r w:rsidRPr="00AC308D">
              <w:rPr>
                <w:rStyle w:val="y2iqfc"/>
                <w:rFonts w:ascii="Times New Roman" w:hAnsi="Times New Roman" w:cs="Times New Roman"/>
                <w:sz w:val="22"/>
                <w:szCs w:val="22"/>
              </w:rPr>
              <w:t>Gas</w:t>
            </w:r>
            <w:proofErr w:type="spellEnd"/>
            <w:r w:rsidRPr="00AC308D">
              <w:rPr>
                <w:rStyle w:val="y2iqfc"/>
                <w:rFonts w:ascii="Times New Roman" w:hAnsi="Times New Roman" w:cs="Times New Roman"/>
                <w:sz w:val="22"/>
                <w:szCs w:val="22"/>
              </w:rPr>
              <w:t xml:space="preserve"> </w:t>
            </w:r>
            <w:proofErr w:type="spellStart"/>
            <w:r w:rsidRPr="00AC308D">
              <w:rPr>
                <w:rStyle w:val="y2iqfc"/>
                <w:rFonts w:ascii="Times New Roman" w:hAnsi="Times New Roman" w:cs="Times New Roman"/>
                <w:sz w:val="22"/>
                <w:szCs w:val="22"/>
              </w:rPr>
              <w:t>Hellenic</w:t>
            </w:r>
            <w:proofErr w:type="spellEnd"/>
            <w:r w:rsidRPr="00AC308D">
              <w:rPr>
                <w:rStyle w:val="y2iqfc"/>
                <w:rFonts w:ascii="Times New Roman" w:hAnsi="Times New Roman" w:cs="Times New Roman"/>
                <w:sz w:val="22"/>
                <w:szCs w:val="22"/>
              </w:rPr>
              <w:t xml:space="preserve"> </w:t>
            </w:r>
            <w:proofErr w:type="spellStart"/>
            <w:r w:rsidRPr="00AC308D">
              <w:rPr>
                <w:rStyle w:val="y2iqfc"/>
                <w:rFonts w:ascii="Times New Roman" w:hAnsi="Times New Roman" w:cs="Times New Roman"/>
                <w:sz w:val="22"/>
                <w:szCs w:val="22"/>
              </w:rPr>
              <w:t>Energy</w:t>
            </w:r>
            <w:proofErr w:type="spellEnd"/>
            <w:r w:rsidRPr="00AC308D">
              <w:rPr>
                <w:rStyle w:val="y2iqfc"/>
                <w:rFonts w:ascii="Times New Roman" w:hAnsi="Times New Roman" w:cs="Times New Roman"/>
                <w:sz w:val="22"/>
                <w:szCs w:val="22"/>
              </w:rPr>
              <w:t xml:space="preserve"> </w:t>
            </w:r>
            <w:r w:rsidRPr="00AC308D">
              <w:rPr>
                <w:rStyle w:val="y2iqfc"/>
                <w:rFonts w:ascii="Times New Roman" w:hAnsi="Times New Roman" w:cs="Times New Roman"/>
                <w:sz w:val="22"/>
                <w:szCs w:val="22"/>
              </w:rPr>
              <w:lastRenderedPageBreak/>
              <w:t>Company šaltiniai.</w:t>
            </w:r>
            <w:r w:rsidR="00AC308D" w:rsidRPr="00AC308D">
              <w:rPr>
                <w:rStyle w:val="y2iqfc"/>
                <w:rFonts w:ascii="Times New Roman" w:hAnsi="Times New Roman" w:cs="Times New Roman"/>
                <w:sz w:val="22"/>
                <w:szCs w:val="22"/>
              </w:rPr>
              <w:t xml:space="preserve"> </w:t>
            </w:r>
            <w:r w:rsidRPr="00AC308D">
              <w:rPr>
                <w:rStyle w:val="y2iqfc"/>
                <w:rFonts w:ascii="Times New Roman" w:hAnsi="Times New Roman" w:cs="Times New Roman"/>
                <w:sz w:val="22"/>
                <w:szCs w:val="22"/>
              </w:rPr>
              <w:t>Į šią kainą įskaičiuoti mokesčiai ir Graikijos valstybės kontroliuojamos dujų įmonės DEPA paskelbta subsidija, kuri siekia 9 centus už kilovatvalandę. Remiantis šiais duomenimis, gamtinių dujų kaina yra 20</w:t>
            </w:r>
            <w:r w:rsidR="00AC308D" w:rsidRPr="00AC308D">
              <w:rPr>
                <w:rStyle w:val="y2iqfc"/>
                <w:rFonts w:ascii="Times New Roman" w:hAnsi="Times New Roman" w:cs="Times New Roman"/>
                <w:sz w:val="22"/>
                <w:szCs w:val="22"/>
              </w:rPr>
              <w:t xml:space="preserve">% mažesnė nei kuro kaina, kuri </w:t>
            </w:r>
            <w:r w:rsidRPr="00AC308D">
              <w:rPr>
                <w:rStyle w:val="y2iqfc"/>
                <w:rFonts w:ascii="Times New Roman" w:hAnsi="Times New Roman" w:cs="Times New Roman"/>
                <w:sz w:val="22"/>
                <w:szCs w:val="22"/>
              </w:rPr>
              <w:t>svyruoja n</w:t>
            </w:r>
            <w:r w:rsidR="00AC308D" w:rsidRPr="00AC308D">
              <w:rPr>
                <w:rStyle w:val="y2iqfc"/>
                <w:rFonts w:ascii="Times New Roman" w:hAnsi="Times New Roman" w:cs="Times New Roman"/>
                <w:sz w:val="22"/>
                <w:szCs w:val="22"/>
              </w:rPr>
              <w:t>uo 1,42 iki 1,45 euro už litrą.</w:t>
            </w:r>
          </w:p>
        </w:tc>
        <w:tc>
          <w:tcPr>
            <w:tcW w:w="2410" w:type="dxa"/>
            <w:shd w:val="clear" w:color="auto" w:fill="auto"/>
            <w:tcMar>
              <w:top w:w="29" w:type="dxa"/>
              <w:left w:w="115" w:type="dxa"/>
              <w:bottom w:w="29" w:type="dxa"/>
              <w:right w:w="115" w:type="dxa"/>
            </w:tcMar>
          </w:tcPr>
          <w:p w:rsidR="000130C2" w:rsidRPr="002708D6" w:rsidRDefault="000130C2" w:rsidP="00B5393F">
            <w:pPr>
              <w:spacing w:before="120" w:after="120" w:line="240" w:lineRule="auto"/>
              <w:rPr>
                <w:rStyle w:val="Hyperlink"/>
                <w:rFonts w:ascii="Times New Roman" w:hAnsi="Times New Roman"/>
                <w:noProof/>
              </w:rPr>
            </w:pPr>
            <w:r w:rsidRPr="000130C2">
              <w:rPr>
                <w:rStyle w:val="Hyperlink"/>
                <w:rFonts w:ascii="Times New Roman" w:hAnsi="Times New Roman"/>
                <w:noProof/>
              </w:rPr>
              <w:lastRenderedPageBreak/>
              <w:t>https://www.ekathimerini.com/economy/1195536/natural-gas-price-for-households-at-11-cents-</w:t>
            </w:r>
            <w:r w:rsidRPr="000130C2">
              <w:rPr>
                <w:rStyle w:val="Hyperlink"/>
                <w:rFonts w:ascii="Times New Roman" w:hAnsi="Times New Roman"/>
                <w:noProof/>
              </w:rPr>
              <w:lastRenderedPageBreak/>
              <w:t>per-kilowatt-hour-in-oct/</w:t>
            </w:r>
          </w:p>
        </w:tc>
        <w:tc>
          <w:tcPr>
            <w:tcW w:w="1559" w:type="dxa"/>
            <w:shd w:val="clear" w:color="auto" w:fill="auto"/>
            <w:tcMar>
              <w:top w:w="29" w:type="dxa"/>
              <w:left w:w="115" w:type="dxa"/>
              <w:bottom w:w="29" w:type="dxa"/>
              <w:right w:w="115" w:type="dxa"/>
            </w:tcMar>
          </w:tcPr>
          <w:p w:rsidR="000130C2" w:rsidRPr="0039175E" w:rsidRDefault="000130C2" w:rsidP="0039175E">
            <w:pPr>
              <w:spacing w:before="120" w:after="120" w:line="240" w:lineRule="auto"/>
              <w:rPr>
                <w:rFonts w:ascii="Times New Roman" w:hAnsi="Times New Roman"/>
                <w:noProof/>
              </w:rPr>
            </w:pPr>
          </w:p>
        </w:tc>
      </w:tr>
      <w:tr w:rsidR="003F10CB" w:rsidRPr="00B561E0" w:rsidTr="0039175E">
        <w:trPr>
          <w:trHeight w:val="533"/>
        </w:trPr>
        <w:tc>
          <w:tcPr>
            <w:tcW w:w="1270" w:type="dxa"/>
            <w:shd w:val="clear" w:color="auto" w:fill="auto"/>
            <w:tcMar>
              <w:top w:w="29" w:type="dxa"/>
              <w:left w:w="115" w:type="dxa"/>
              <w:bottom w:w="29" w:type="dxa"/>
              <w:right w:w="115" w:type="dxa"/>
            </w:tcMar>
          </w:tcPr>
          <w:p w:rsidR="003F10CB" w:rsidRDefault="003F10CB" w:rsidP="0039175E">
            <w:pPr>
              <w:spacing w:before="120" w:after="120" w:line="240" w:lineRule="auto"/>
              <w:rPr>
                <w:rFonts w:ascii="Times New Roman" w:hAnsi="Times New Roman"/>
              </w:rPr>
            </w:pPr>
            <w:r>
              <w:rPr>
                <w:rFonts w:ascii="Times New Roman" w:hAnsi="Times New Roman"/>
              </w:rPr>
              <w:t>2022 10 14</w:t>
            </w:r>
          </w:p>
        </w:tc>
        <w:tc>
          <w:tcPr>
            <w:tcW w:w="4537" w:type="dxa"/>
            <w:shd w:val="clear" w:color="auto" w:fill="auto"/>
            <w:tcMar>
              <w:top w:w="29" w:type="dxa"/>
              <w:left w:w="115" w:type="dxa"/>
              <w:bottom w:w="29" w:type="dxa"/>
              <w:right w:w="115" w:type="dxa"/>
            </w:tcMar>
          </w:tcPr>
          <w:p w:rsidR="003F10CB" w:rsidRPr="00AC308D" w:rsidRDefault="003F10CB" w:rsidP="00097455">
            <w:pPr>
              <w:pStyle w:val="HTMLPreformatted"/>
              <w:jc w:val="both"/>
              <w:rPr>
                <w:rFonts w:ascii="Times New Roman" w:hAnsi="Times New Roman" w:cs="Times New Roman"/>
                <w:sz w:val="22"/>
                <w:szCs w:val="22"/>
              </w:rPr>
            </w:pPr>
            <w:r w:rsidRPr="00827BEB">
              <w:rPr>
                <w:rStyle w:val="y2iqfc"/>
                <w:rFonts w:ascii="Times New Roman" w:hAnsi="Times New Roman" w:cs="Times New Roman"/>
                <w:sz w:val="22"/>
                <w:szCs w:val="22"/>
              </w:rPr>
              <w:t xml:space="preserve">Elektros poreikis šią žiemą bus patenkintas po to, kai bus imtasi priemonių, susijusių su energijos </w:t>
            </w:r>
            <w:r w:rsidR="00097455">
              <w:rPr>
                <w:rStyle w:val="y2iqfc"/>
                <w:rFonts w:ascii="Times New Roman" w:hAnsi="Times New Roman" w:cs="Times New Roman"/>
                <w:sz w:val="22"/>
                <w:szCs w:val="22"/>
              </w:rPr>
              <w:t>tiekimo užtikrinimu</w:t>
            </w:r>
            <w:r w:rsidRPr="00827BEB">
              <w:rPr>
                <w:rStyle w:val="y2iqfc"/>
                <w:rFonts w:ascii="Times New Roman" w:hAnsi="Times New Roman" w:cs="Times New Roman"/>
                <w:sz w:val="22"/>
                <w:szCs w:val="22"/>
              </w:rPr>
              <w:t xml:space="preserve">, sakė antrasis Energetikos reguliavimo tarnybos (RAE) viceprezidentas ir Krizių valdymo grupės prezidentas </w:t>
            </w:r>
            <w:proofErr w:type="spellStart"/>
            <w:r w:rsidRPr="00827BEB">
              <w:rPr>
                <w:rStyle w:val="y2iqfc"/>
                <w:rFonts w:ascii="Times New Roman" w:hAnsi="Times New Roman" w:cs="Times New Roman"/>
                <w:sz w:val="22"/>
                <w:szCs w:val="22"/>
              </w:rPr>
              <w:t>Dimitris</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Fourlaris</w:t>
            </w:r>
            <w:proofErr w:type="spellEnd"/>
            <w:r w:rsidRPr="00827BEB">
              <w:rPr>
                <w:rStyle w:val="y2iqfc"/>
                <w:rFonts w:ascii="Times New Roman" w:hAnsi="Times New Roman" w:cs="Times New Roman"/>
                <w:sz w:val="22"/>
                <w:szCs w:val="22"/>
              </w:rPr>
              <w:t>, kalbėdamas renginyje „</w:t>
            </w:r>
            <w:proofErr w:type="spellStart"/>
            <w:r w:rsidRPr="00827BEB">
              <w:rPr>
                <w:rStyle w:val="y2iqfc"/>
                <w:rFonts w:ascii="Times New Roman" w:hAnsi="Times New Roman" w:cs="Times New Roman"/>
                <w:sz w:val="22"/>
                <w:szCs w:val="22"/>
              </w:rPr>
              <w:t>Energ</w:t>
            </w:r>
            <w:r w:rsidR="00097455">
              <w:rPr>
                <w:rStyle w:val="y2iqfc"/>
                <w:rFonts w:ascii="Times New Roman" w:hAnsi="Times New Roman" w:cs="Times New Roman"/>
                <w:sz w:val="22"/>
                <w:szCs w:val="22"/>
              </w:rPr>
              <w:t>y</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Sufficiency</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in</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Electricity</w:t>
            </w:r>
            <w:proofErr w:type="spellEnd"/>
            <w:r w:rsidRPr="00827BEB">
              <w:rPr>
                <w:rStyle w:val="y2iqfc"/>
                <w:rFonts w:ascii="Times New Roman" w:hAnsi="Times New Roman" w:cs="Times New Roman"/>
                <w:sz w:val="22"/>
                <w:szCs w:val="22"/>
              </w:rPr>
              <w:t xml:space="preserve"> &amp; </w:t>
            </w:r>
            <w:proofErr w:type="spellStart"/>
            <w:r w:rsidRPr="00827BEB">
              <w:rPr>
                <w:rStyle w:val="y2iqfc"/>
                <w:rFonts w:ascii="Times New Roman" w:hAnsi="Times New Roman" w:cs="Times New Roman"/>
                <w:sz w:val="22"/>
                <w:szCs w:val="22"/>
              </w:rPr>
              <w:t>Natural</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Gas</w:t>
            </w:r>
            <w:proofErr w:type="spellEnd"/>
            <w:r w:rsidRPr="00827BEB">
              <w:rPr>
                <w:rStyle w:val="y2iqfc"/>
                <w:rFonts w:ascii="Times New Roman" w:hAnsi="Times New Roman" w:cs="Times New Roman"/>
                <w:sz w:val="22"/>
                <w:szCs w:val="22"/>
              </w:rPr>
              <w:t xml:space="preserve"> – </w:t>
            </w:r>
            <w:proofErr w:type="spellStart"/>
            <w:r w:rsidRPr="00827BEB">
              <w:rPr>
                <w:rStyle w:val="y2iqfc"/>
                <w:rFonts w:ascii="Times New Roman" w:hAnsi="Times New Roman" w:cs="Times New Roman"/>
                <w:sz w:val="22"/>
                <w:szCs w:val="22"/>
              </w:rPr>
              <w:t>Consumer</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Supply</w:t>
            </w:r>
            <w:proofErr w:type="spellEnd"/>
            <w:r w:rsidRPr="00827BEB">
              <w:rPr>
                <w:rStyle w:val="y2iqfc"/>
                <w:rFonts w:ascii="Times New Roman" w:hAnsi="Times New Roman" w:cs="Times New Roman"/>
                <w:sz w:val="22"/>
                <w:szCs w:val="22"/>
              </w:rPr>
              <w:t xml:space="preserve"> </w:t>
            </w:r>
            <w:proofErr w:type="spellStart"/>
            <w:r w:rsidRPr="00827BEB">
              <w:rPr>
                <w:rStyle w:val="y2iqfc"/>
                <w:rFonts w:ascii="Times New Roman" w:hAnsi="Times New Roman" w:cs="Times New Roman"/>
                <w:sz w:val="22"/>
                <w:szCs w:val="22"/>
              </w:rPr>
              <w:t>Security</w:t>
            </w:r>
            <w:proofErr w:type="spellEnd"/>
            <w:r w:rsidRPr="00827BEB">
              <w:rPr>
                <w:rStyle w:val="y2iqfc"/>
                <w:rFonts w:ascii="Times New Roman" w:hAnsi="Times New Roman" w:cs="Times New Roman"/>
                <w:sz w:val="22"/>
                <w:szCs w:val="22"/>
              </w:rPr>
              <w:t>“,</w:t>
            </w:r>
            <w:r w:rsidR="00827BEB" w:rsidRPr="00827BEB">
              <w:rPr>
                <w:rStyle w:val="y2iqfc"/>
                <w:rFonts w:ascii="Times New Roman" w:hAnsi="Times New Roman" w:cs="Times New Roman"/>
                <w:sz w:val="22"/>
                <w:szCs w:val="22"/>
              </w:rPr>
              <w:t xml:space="preserve"> kurį</w:t>
            </w:r>
            <w:r w:rsidRPr="00827BEB">
              <w:rPr>
                <w:rStyle w:val="y2iqfc"/>
                <w:rFonts w:ascii="Times New Roman" w:hAnsi="Times New Roman" w:cs="Times New Roman"/>
                <w:sz w:val="22"/>
                <w:szCs w:val="22"/>
              </w:rPr>
              <w:t xml:space="preserve"> organizuoja Tarptautinis Graikijos universitetas.</w:t>
            </w:r>
            <w:r w:rsidR="00827BEB" w:rsidRPr="00827BEB">
              <w:rPr>
                <w:rStyle w:val="y2iqfc"/>
                <w:rFonts w:ascii="Times New Roman" w:hAnsi="Times New Roman" w:cs="Times New Roman"/>
                <w:sz w:val="22"/>
                <w:szCs w:val="22"/>
              </w:rPr>
              <w:t xml:space="preserve"> </w:t>
            </w:r>
            <w:r w:rsidRPr="00AC308D">
              <w:rPr>
                <w:rStyle w:val="y2iqfc"/>
                <w:rFonts w:ascii="Times New Roman" w:hAnsi="Times New Roman" w:cs="Times New Roman"/>
                <w:sz w:val="22"/>
                <w:szCs w:val="22"/>
              </w:rPr>
              <w:t>Pasak jo, net ir nutrūkus Rusijos gamtinių dujų tiekimui, techniškai įmanoma patenkinti paklausą (tiek gamtinių dujų, tiek elektros energijos gamybai), tačiau šiuo atveju kyla klausimas, ar įmano</w:t>
            </w:r>
            <w:r w:rsidR="00AC308D" w:rsidRPr="00AC308D">
              <w:rPr>
                <w:rStyle w:val="y2iqfc"/>
                <w:rFonts w:ascii="Times New Roman" w:hAnsi="Times New Roman" w:cs="Times New Roman"/>
                <w:sz w:val="22"/>
                <w:szCs w:val="22"/>
              </w:rPr>
              <w:t>ma visiškai patenkinti paklausą</w:t>
            </w:r>
            <w:r w:rsidRPr="00AC308D">
              <w:rPr>
                <w:rStyle w:val="y2iqfc"/>
                <w:rFonts w:ascii="Times New Roman" w:hAnsi="Times New Roman" w:cs="Times New Roman"/>
                <w:sz w:val="22"/>
                <w:szCs w:val="22"/>
              </w:rPr>
              <w:t xml:space="preserve"> iš Bulgarijos.</w:t>
            </w:r>
            <w:r w:rsidR="00AC308D" w:rsidRPr="00AC308D">
              <w:rPr>
                <w:rStyle w:val="y2iqfc"/>
                <w:rFonts w:ascii="Times New Roman" w:hAnsi="Times New Roman" w:cs="Times New Roman"/>
                <w:sz w:val="22"/>
                <w:szCs w:val="22"/>
              </w:rPr>
              <w:t xml:space="preserve"> </w:t>
            </w:r>
            <w:r w:rsidRPr="00AC308D">
              <w:rPr>
                <w:rStyle w:val="y2iqfc"/>
                <w:rFonts w:ascii="Times New Roman" w:hAnsi="Times New Roman" w:cs="Times New Roman"/>
                <w:sz w:val="22"/>
                <w:szCs w:val="22"/>
              </w:rPr>
              <w:t>Nutrūkus tiekimui iš Rusijos, kaimyninė šalis priklauso nuo gamtinių dujų eksporto per Graikiją.</w:t>
            </w:r>
            <w:r w:rsidR="00827BEB">
              <w:rPr>
                <w:rStyle w:val="y2iqfc"/>
                <w:rFonts w:ascii="Times New Roman" w:hAnsi="Times New Roman" w:cs="Times New Roman"/>
                <w:sz w:val="22"/>
                <w:szCs w:val="22"/>
              </w:rPr>
              <w:t xml:space="preserve"> </w:t>
            </w:r>
            <w:r w:rsidRPr="00AC308D">
              <w:rPr>
                <w:rStyle w:val="y2iqfc"/>
                <w:rFonts w:ascii="Times New Roman" w:hAnsi="Times New Roman" w:cs="Times New Roman"/>
                <w:sz w:val="22"/>
                <w:szCs w:val="22"/>
              </w:rPr>
              <w:t>Remiantis RAE viceprezidento pateiktais duomenimis, šią žiemą itin šaltomis sąlygomis didžiausia paklausa turėtų siekti 8600–9200 megavatų.</w:t>
            </w:r>
            <w:r w:rsidR="00AC308D" w:rsidRPr="00AC308D">
              <w:rPr>
                <w:rStyle w:val="y2iqfc"/>
                <w:rFonts w:ascii="Times New Roman" w:hAnsi="Times New Roman" w:cs="Times New Roman"/>
                <w:sz w:val="22"/>
                <w:szCs w:val="22"/>
              </w:rPr>
              <w:t xml:space="preserve"> </w:t>
            </w:r>
            <w:r w:rsidRPr="00AC308D">
              <w:rPr>
                <w:rStyle w:val="y2iqfc"/>
                <w:rFonts w:ascii="Times New Roman" w:hAnsi="Times New Roman" w:cs="Times New Roman"/>
                <w:sz w:val="22"/>
                <w:szCs w:val="22"/>
              </w:rPr>
              <w:t>Praėjusią žiemą jis pasiekė 8600 MW.</w:t>
            </w:r>
          </w:p>
        </w:tc>
        <w:tc>
          <w:tcPr>
            <w:tcW w:w="2410" w:type="dxa"/>
            <w:shd w:val="clear" w:color="auto" w:fill="auto"/>
            <w:tcMar>
              <w:top w:w="29" w:type="dxa"/>
              <w:left w:w="115" w:type="dxa"/>
              <w:bottom w:w="29" w:type="dxa"/>
              <w:right w:w="115" w:type="dxa"/>
            </w:tcMar>
          </w:tcPr>
          <w:p w:rsidR="003F10CB" w:rsidRPr="002708D6" w:rsidRDefault="003F10CB" w:rsidP="00B5393F">
            <w:pPr>
              <w:spacing w:before="120" w:after="120" w:line="240" w:lineRule="auto"/>
              <w:rPr>
                <w:rStyle w:val="Hyperlink"/>
                <w:rFonts w:ascii="Times New Roman" w:hAnsi="Times New Roman"/>
                <w:noProof/>
              </w:rPr>
            </w:pPr>
            <w:r w:rsidRPr="003F10CB">
              <w:rPr>
                <w:rStyle w:val="Hyperlink"/>
                <w:rFonts w:ascii="Times New Roman" w:hAnsi="Times New Roman"/>
                <w:noProof/>
              </w:rPr>
              <w:t>https://www.ekathimerini.com/economy/1195563/rae-greece-will-have-enough-energy-this-winter/</w:t>
            </w:r>
          </w:p>
        </w:tc>
        <w:tc>
          <w:tcPr>
            <w:tcW w:w="1559" w:type="dxa"/>
            <w:shd w:val="clear" w:color="auto" w:fill="auto"/>
            <w:tcMar>
              <w:top w:w="29" w:type="dxa"/>
              <w:left w:w="115" w:type="dxa"/>
              <w:bottom w:w="29" w:type="dxa"/>
              <w:right w:w="115" w:type="dxa"/>
            </w:tcMar>
          </w:tcPr>
          <w:p w:rsidR="003F10CB" w:rsidRPr="0039175E" w:rsidRDefault="003F10CB" w:rsidP="0039175E">
            <w:pPr>
              <w:spacing w:before="120" w:after="120" w:line="240" w:lineRule="auto"/>
              <w:rPr>
                <w:rFonts w:ascii="Times New Roman" w:hAnsi="Times New Roman"/>
                <w:noProof/>
              </w:rPr>
            </w:pPr>
          </w:p>
        </w:tc>
      </w:tr>
      <w:tr w:rsidR="00894D25" w:rsidRPr="00B561E0" w:rsidTr="0039175E">
        <w:trPr>
          <w:trHeight w:val="533"/>
        </w:trPr>
        <w:tc>
          <w:tcPr>
            <w:tcW w:w="1270" w:type="dxa"/>
            <w:shd w:val="clear" w:color="auto" w:fill="auto"/>
            <w:tcMar>
              <w:top w:w="29" w:type="dxa"/>
              <w:left w:w="115" w:type="dxa"/>
              <w:bottom w:w="29" w:type="dxa"/>
              <w:right w:w="115" w:type="dxa"/>
            </w:tcMar>
          </w:tcPr>
          <w:p w:rsidR="00894D25" w:rsidRDefault="00894D25" w:rsidP="0039175E">
            <w:pPr>
              <w:spacing w:before="120" w:after="120" w:line="240" w:lineRule="auto"/>
              <w:rPr>
                <w:rFonts w:ascii="Times New Roman" w:hAnsi="Times New Roman"/>
              </w:rPr>
            </w:pPr>
            <w:r>
              <w:rPr>
                <w:rFonts w:ascii="Times New Roman" w:hAnsi="Times New Roman"/>
              </w:rPr>
              <w:t>2022 10 15</w:t>
            </w:r>
          </w:p>
        </w:tc>
        <w:tc>
          <w:tcPr>
            <w:tcW w:w="4537" w:type="dxa"/>
            <w:shd w:val="clear" w:color="auto" w:fill="auto"/>
            <w:tcMar>
              <w:top w:w="29" w:type="dxa"/>
              <w:left w:w="115" w:type="dxa"/>
              <w:bottom w:w="29" w:type="dxa"/>
              <w:right w:w="115" w:type="dxa"/>
            </w:tcMar>
          </w:tcPr>
          <w:p w:rsidR="00894D25" w:rsidRPr="00E446A5" w:rsidRDefault="00894D25" w:rsidP="00491790">
            <w:pPr>
              <w:pStyle w:val="HTMLPreformatted"/>
              <w:jc w:val="both"/>
              <w:rPr>
                <w:rFonts w:ascii="Times New Roman" w:hAnsi="Times New Roman" w:cs="Times New Roman"/>
                <w:sz w:val="22"/>
                <w:szCs w:val="22"/>
              </w:rPr>
            </w:pPr>
            <w:r w:rsidRPr="00E446A5">
              <w:rPr>
                <w:rStyle w:val="y2iqfc"/>
                <w:rFonts w:ascii="Times New Roman" w:hAnsi="Times New Roman" w:cs="Times New Roman"/>
                <w:sz w:val="22"/>
                <w:szCs w:val="22"/>
              </w:rPr>
              <w:t xml:space="preserve">Ekonominių nuotaikų rodiklis ACEO/ICAP (CRIF-CEO General </w:t>
            </w:r>
            <w:proofErr w:type="spellStart"/>
            <w:r w:rsidRPr="00E446A5">
              <w:rPr>
                <w:rStyle w:val="y2iqfc"/>
                <w:rFonts w:ascii="Times New Roman" w:hAnsi="Times New Roman" w:cs="Times New Roman"/>
                <w:sz w:val="22"/>
                <w:szCs w:val="22"/>
              </w:rPr>
              <w:t>Index</w:t>
            </w:r>
            <w:proofErr w:type="spellEnd"/>
            <w:r w:rsidRPr="00E446A5">
              <w:rPr>
                <w:rStyle w:val="y2iqfc"/>
                <w:rFonts w:ascii="Times New Roman" w:hAnsi="Times New Roman" w:cs="Times New Roman"/>
                <w:sz w:val="22"/>
                <w:szCs w:val="22"/>
              </w:rPr>
              <w:t xml:space="preserve">) 2022 m. trečiąjį ketvirtį šiek tiek pakilo </w:t>
            </w:r>
            <w:r w:rsidR="00491790">
              <w:rPr>
                <w:rStyle w:val="y2iqfc"/>
                <w:rFonts w:ascii="Times New Roman" w:hAnsi="Times New Roman" w:cs="Times New Roman"/>
                <w:sz w:val="22"/>
                <w:szCs w:val="22"/>
              </w:rPr>
              <w:t xml:space="preserve">nuo 136 </w:t>
            </w:r>
            <w:r w:rsidRPr="00E446A5">
              <w:rPr>
                <w:rStyle w:val="y2iqfc"/>
                <w:rFonts w:ascii="Times New Roman" w:hAnsi="Times New Roman" w:cs="Times New Roman"/>
                <w:sz w:val="22"/>
                <w:szCs w:val="22"/>
              </w:rPr>
              <w:t>iki 137 punktų antrąjį ketvirtį, teigiama Generalinių direktorių asociacijos ketvir</w:t>
            </w:r>
            <w:r w:rsidR="00491790">
              <w:rPr>
                <w:rStyle w:val="y2iqfc"/>
                <w:rFonts w:ascii="Times New Roman" w:hAnsi="Times New Roman" w:cs="Times New Roman"/>
                <w:sz w:val="22"/>
                <w:szCs w:val="22"/>
              </w:rPr>
              <w:t>čio</w:t>
            </w:r>
            <w:r w:rsidRPr="00E446A5">
              <w:rPr>
                <w:rStyle w:val="y2iqfc"/>
                <w:rFonts w:ascii="Times New Roman" w:hAnsi="Times New Roman" w:cs="Times New Roman"/>
                <w:sz w:val="22"/>
                <w:szCs w:val="22"/>
              </w:rPr>
              <w:t xml:space="preserve"> ataskaitoje.</w:t>
            </w:r>
            <w:r w:rsidR="00E446A5">
              <w:rPr>
                <w:rStyle w:val="y2iqfc"/>
                <w:rFonts w:ascii="Times New Roman" w:hAnsi="Times New Roman" w:cs="Times New Roman"/>
                <w:sz w:val="22"/>
                <w:szCs w:val="22"/>
              </w:rPr>
              <w:t xml:space="preserve"> </w:t>
            </w:r>
            <w:r w:rsidRPr="00E446A5">
              <w:rPr>
                <w:rStyle w:val="y2iqfc"/>
                <w:rFonts w:ascii="Times New Roman" w:hAnsi="Times New Roman" w:cs="Times New Roman"/>
                <w:sz w:val="22"/>
                <w:szCs w:val="22"/>
              </w:rPr>
              <w:t>Nuo rugsėjo 13 d. iki spalio 1 d. savo nuomones pateikė 2 540 didžiausių Graikijos įmo</w:t>
            </w:r>
            <w:r w:rsidR="00491790">
              <w:rPr>
                <w:rStyle w:val="y2iqfc"/>
                <w:rFonts w:ascii="Times New Roman" w:hAnsi="Times New Roman" w:cs="Times New Roman"/>
                <w:sz w:val="22"/>
                <w:szCs w:val="22"/>
              </w:rPr>
              <w:t>nių generalinių direktorių/vykdančiųjų</w:t>
            </w:r>
            <w:r w:rsidRPr="00E446A5">
              <w:rPr>
                <w:rStyle w:val="y2iqfc"/>
                <w:rFonts w:ascii="Times New Roman" w:hAnsi="Times New Roman" w:cs="Times New Roman"/>
                <w:sz w:val="22"/>
                <w:szCs w:val="22"/>
              </w:rPr>
              <w:t xml:space="preserve"> direktorių.</w:t>
            </w:r>
            <w:r w:rsidR="00E446A5">
              <w:rPr>
                <w:rStyle w:val="y2iqfc"/>
                <w:rFonts w:ascii="Times New Roman" w:hAnsi="Times New Roman" w:cs="Times New Roman"/>
                <w:sz w:val="22"/>
                <w:szCs w:val="22"/>
              </w:rPr>
              <w:t xml:space="preserve"> </w:t>
            </w:r>
            <w:r w:rsidRPr="00E446A5">
              <w:rPr>
                <w:rStyle w:val="y2iqfc"/>
                <w:rFonts w:ascii="Times New Roman" w:hAnsi="Times New Roman" w:cs="Times New Roman"/>
                <w:sz w:val="22"/>
                <w:szCs w:val="22"/>
              </w:rPr>
              <w:t>Dabartinių ekonominių sąlygų indeksas pakilo iki 181 punkto, o generalinių direktorių procentas teig</w:t>
            </w:r>
            <w:r w:rsidR="00491790">
              <w:rPr>
                <w:rStyle w:val="y2iqfc"/>
                <w:rFonts w:ascii="Times New Roman" w:hAnsi="Times New Roman" w:cs="Times New Roman"/>
                <w:sz w:val="22"/>
                <w:szCs w:val="22"/>
              </w:rPr>
              <w:t>iančių</w:t>
            </w:r>
            <w:r w:rsidRPr="00E446A5">
              <w:rPr>
                <w:rStyle w:val="y2iqfc"/>
                <w:rFonts w:ascii="Times New Roman" w:hAnsi="Times New Roman" w:cs="Times New Roman"/>
                <w:sz w:val="22"/>
                <w:szCs w:val="22"/>
              </w:rPr>
              <w:t xml:space="preserve">, kad padėtis pagerėjo, palyginti su praėjusiais metais, ir išaugo </w:t>
            </w:r>
            <w:r w:rsidR="00491790">
              <w:rPr>
                <w:rStyle w:val="y2iqfc"/>
                <w:rFonts w:ascii="Times New Roman" w:hAnsi="Times New Roman" w:cs="Times New Roman"/>
                <w:sz w:val="22"/>
                <w:szCs w:val="22"/>
              </w:rPr>
              <w:t xml:space="preserve">nuo </w:t>
            </w:r>
            <w:r w:rsidR="00491790" w:rsidRPr="00E446A5">
              <w:rPr>
                <w:rStyle w:val="y2iqfc"/>
                <w:rFonts w:ascii="Times New Roman" w:hAnsi="Times New Roman" w:cs="Times New Roman"/>
                <w:sz w:val="22"/>
                <w:szCs w:val="22"/>
              </w:rPr>
              <w:t>26%</w:t>
            </w:r>
            <w:r w:rsidR="00491790">
              <w:rPr>
                <w:rStyle w:val="y2iqfc"/>
                <w:rFonts w:ascii="Times New Roman" w:hAnsi="Times New Roman" w:cs="Times New Roman"/>
                <w:sz w:val="22"/>
                <w:szCs w:val="22"/>
              </w:rPr>
              <w:t xml:space="preserve"> iki 32%</w:t>
            </w:r>
            <w:r w:rsidRPr="00E446A5">
              <w:rPr>
                <w:rStyle w:val="y2iqfc"/>
                <w:rFonts w:ascii="Times New Roman" w:hAnsi="Times New Roman" w:cs="Times New Roman"/>
                <w:sz w:val="22"/>
                <w:szCs w:val="22"/>
              </w:rPr>
              <w:t>.</w:t>
            </w:r>
            <w:r w:rsidR="00E446A5">
              <w:rPr>
                <w:rStyle w:val="y2iqfc"/>
                <w:rFonts w:ascii="Times New Roman" w:hAnsi="Times New Roman" w:cs="Times New Roman"/>
                <w:sz w:val="22"/>
                <w:szCs w:val="22"/>
              </w:rPr>
              <w:t xml:space="preserve"> </w:t>
            </w:r>
            <w:r w:rsidRPr="00E446A5">
              <w:rPr>
                <w:rStyle w:val="y2iqfc"/>
                <w:rFonts w:ascii="Times New Roman" w:hAnsi="Times New Roman" w:cs="Times New Roman"/>
                <w:sz w:val="22"/>
                <w:szCs w:val="22"/>
              </w:rPr>
              <w:t xml:space="preserve">Dabartinių verslo sąlygų indeksas pakilo </w:t>
            </w:r>
            <w:r w:rsidR="00491790">
              <w:rPr>
                <w:rStyle w:val="y2iqfc"/>
                <w:rFonts w:ascii="Times New Roman" w:hAnsi="Times New Roman" w:cs="Times New Roman"/>
                <w:sz w:val="22"/>
                <w:szCs w:val="22"/>
              </w:rPr>
              <w:t>nuo 111 punktų praėjusį ketvirtį iki 114 punktų</w:t>
            </w:r>
            <w:r w:rsidRPr="00E446A5">
              <w:rPr>
                <w:rStyle w:val="y2iqfc"/>
                <w:rFonts w:ascii="Times New Roman" w:hAnsi="Times New Roman" w:cs="Times New Roman"/>
                <w:sz w:val="22"/>
                <w:szCs w:val="22"/>
              </w:rPr>
              <w:t>, o vadovų, teigiančių, kad dabartinė padėtis pagerėjo, procentas išaugo iki 49% nuo 45%.</w:t>
            </w:r>
            <w:r w:rsidR="00E446A5">
              <w:rPr>
                <w:rStyle w:val="y2iqfc"/>
                <w:rFonts w:ascii="Times New Roman" w:hAnsi="Times New Roman" w:cs="Times New Roman"/>
                <w:sz w:val="22"/>
                <w:szCs w:val="22"/>
              </w:rPr>
              <w:t xml:space="preserve"> </w:t>
            </w:r>
            <w:r w:rsidRPr="00E446A5">
              <w:rPr>
                <w:rStyle w:val="y2iqfc"/>
                <w:rFonts w:ascii="Times New Roman" w:hAnsi="Times New Roman" w:cs="Times New Roman"/>
                <w:sz w:val="22"/>
                <w:szCs w:val="22"/>
              </w:rPr>
              <w:t xml:space="preserve">Dabartinės išlaidos investicijoms į pagrindinį kapitalą sumažėjo </w:t>
            </w:r>
            <w:r w:rsidR="00491790" w:rsidRPr="00E446A5">
              <w:rPr>
                <w:rStyle w:val="y2iqfc"/>
                <w:rFonts w:ascii="Times New Roman" w:hAnsi="Times New Roman" w:cs="Times New Roman"/>
                <w:sz w:val="22"/>
                <w:szCs w:val="22"/>
              </w:rPr>
              <w:t xml:space="preserve">nuo 124 praėjusį ketvirtį </w:t>
            </w:r>
            <w:r w:rsidRPr="00E446A5">
              <w:rPr>
                <w:rStyle w:val="y2iqfc"/>
                <w:rFonts w:ascii="Times New Roman" w:hAnsi="Times New Roman" w:cs="Times New Roman"/>
                <w:sz w:val="22"/>
                <w:szCs w:val="22"/>
              </w:rPr>
              <w:t xml:space="preserve">iki 120 </w:t>
            </w:r>
            <w:r w:rsidR="00491790">
              <w:rPr>
                <w:rStyle w:val="y2iqfc"/>
                <w:rFonts w:ascii="Times New Roman" w:hAnsi="Times New Roman" w:cs="Times New Roman"/>
                <w:sz w:val="22"/>
                <w:szCs w:val="22"/>
              </w:rPr>
              <w:t>punktų</w:t>
            </w:r>
            <w:r w:rsidRPr="00E446A5">
              <w:rPr>
                <w:rStyle w:val="y2iqfc"/>
                <w:rFonts w:ascii="Times New Roman" w:hAnsi="Times New Roman" w:cs="Times New Roman"/>
                <w:sz w:val="22"/>
                <w:szCs w:val="22"/>
              </w:rPr>
              <w:t xml:space="preserve">, o užimtumo indeksas atitinkamai sumažėjo </w:t>
            </w:r>
            <w:r w:rsidR="00491790" w:rsidRPr="00E446A5">
              <w:rPr>
                <w:rStyle w:val="y2iqfc"/>
                <w:rFonts w:ascii="Times New Roman" w:hAnsi="Times New Roman" w:cs="Times New Roman"/>
                <w:sz w:val="22"/>
                <w:szCs w:val="22"/>
              </w:rPr>
              <w:t>nuo 122</w:t>
            </w:r>
            <w:r w:rsidR="00491790">
              <w:rPr>
                <w:rStyle w:val="y2iqfc"/>
                <w:rFonts w:ascii="Times New Roman" w:hAnsi="Times New Roman" w:cs="Times New Roman"/>
                <w:sz w:val="22"/>
                <w:szCs w:val="22"/>
              </w:rPr>
              <w:t xml:space="preserve"> </w:t>
            </w:r>
            <w:r w:rsidRPr="00E446A5">
              <w:rPr>
                <w:rStyle w:val="y2iqfc"/>
                <w:rFonts w:ascii="Times New Roman" w:hAnsi="Times New Roman" w:cs="Times New Roman"/>
                <w:sz w:val="22"/>
                <w:szCs w:val="22"/>
              </w:rPr>
              <w:t>iki 113 punktų.</w:t>
            </w:r>
          </w:p>
        </w:tc>
        <w:tc>
          <w:tcPr>
            <w:tcW w:w="2410" w:type="dxa"/>
            <w:shd w:val="clear" w:color="auto" w:fill="auto"/>
            <w:tcMar>
              <w:top w:w="29" w:type="dxa"/>
              <w:left w:w="115" w:type="dxa"/>
              <w:bottom w:w="29" w:type="dxa"/>
              <w:right w:w="115" w:type="dxa"/>
            </w:tcMar>
          </w:tcPr>
          <w:p w:rsidR="00894D25" w:rsidRPr="002708D6" w:rsidRDefault="00894D25" w:rsidP="00B5393F">
            <w:pPr>
              <w:spacing w:before="120" w:after="120" w:line="240" w:lineRule="auto"/>
              <w:rPr>
                <w:rStyle w:val="Hyperlink"/>
                <w:rFonts w:ascii="Times New Roman" w:hAnsi="Times New Roman"/>
                <w:noProof/>
              </w:rPr>
            </w:pPr>
            <w:r w:rsidRPr="00894D25">
              <w:rPr>
                <w:rStyle w:val="Hyperlink"/>
                <w:rFonts w:ascii="Times New Roman" w:hAnsi="Times New Roman"/>
                <w:noProof/>
              </w:rPr>
              <w:t>https://www.ekathimerini.com/economy/1195666/greek-ceos-more-optimistic-in-the-third-quarter/</w:t>
            </w:r>
          </w:p>
        </w:tc>
        <w:tc>
          <w:tcPr>
            <w:tcW w:w="1559" w:type="dxa"/>
            <w:shd w:val="clear" w:color="auto" w:fill="auto"/>
            <w:tcMar>
              <w:top w:w="29" w:type="dxa"/>
              <w:left w:w="115" w:type="dxa"/>
              <w:bottom w:w="29" w:type="dxa"/>
              <w:right w:w="115" w:type="dxa"/>
            </w:tcMar>
          </w:tcPr>
          <w:p w:rsidR="00894D25" w:rsidRPr="0039175E" w:rsidRDefault="00894D25"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96454E" w:rsidP="0039175E">
            <w:pPr>
              <w:spacing w:before="120" w:after="120" w:line="240" w:lineRule="auto"/>
              <w:rPr>
                <w:rFonts w:ascii="Times New Roman" w:hAnsi="Times New Roman"/>
              </w:rPr>
            </w:pPr>
            <w:r>
              <w:rPr>
                <w:rFonts w:ascii="Times New Roman" w:hAnsi="Times New Roman"/>
              </w:rPr>
              <w:t>2022 10 15</w:t>
            </w:r>
          </w:p>
        </w:tc>
        <w:tc>
          <w:tcPr>
            <w:tcW w:w="4537" w:type="dxa"/>
            <w:shd w:val="clear" w:color="auto" w:fill="auto"/>
            <w:tcMar>
              <w:top w:w="29" w:type="dxa"/>
              <w:left w:w="115" w:type="dxa"/>
              <w:bottom w:w="29" w:type="dxa"/>
              <w:right w:w="115" w:type="dxa"/>
            </w:tcMar>
          </w:tcPr>
          <w:p w:rsidR="008D3C00" w:rsidRPr="00E446A5" w:rsidRDefault="0096454E" w:rsidP="00E45310">
            <w:pPr>
              <w:pStyle w:val="HTMLPreformatted"/>
              <w:jc w:val="both"/>
              <w:rPr>
                <w:rFonts w:ascii="Times New Roman" w:hAnsi="Times New Roman" w:cs="Times New Roman"/>
                <w:sz w:val="22"/>
                <w:szCs w:val="22"/>
              </w:rPr>
            </w:pPr>
            <w:r w:rsidRPr="00E964CD">
              <w:rPr>
                <w:rStyle w:val="y2iqfc"/>
                <w:rFonts w:ascii="Times New Roman" w:hAnsi="Times New Roman" w:cs="Times New Roman"/>
                <w:sz w:val="22"/>
                <w:szCs w:val="22"/>
              </w:rPr>
              <w:t>Pirmąjį elektros gamintojų pajamų lubų nustatymo mechanizmo įgyvendinimo ketvirtį tiesiai iš didmeninės elektros rinkos į Energijos pereinamojo laikotarpio fondą elektros energijos sąskaitoms subsidijuoti buvo nukreipta daugiau nei 2,3 mlrd. eurų.</w:t>
            </w:r>
            <w:r w:rsidR="00E964CD">
              <w:rPr>
                <w:rStyle w:val="y2iqfc"/>
                <w:rFonts w:ascii="Times New Roman" w:hAnsi="Times New Roman" w:cs="Times New Roman"/>
                <w:sz w:val="22"/>
                <w:szCs w:val="22"/>
              </w:rPr>
              <w:t xml:space="preserve"> </w:t>
            </w:r>
            <w:r w:rsidRPr="00E964CD">
              <w:rPr>
                <w:rStyle w:val="y2iqfc"/>
                <w:rFonts w:ascii="Times New Roman" w:hAnsi="Times New Roman" w:cs="Times New Roman"/>
                <w:sz w:val="22"/>
                <w:szCs w:val="22"/>
              </w:rPr>
              <w:t xml:space="preserve">Liūto dalį sudarė atsinaujinantys energijos šaltiniai, kurių bendras perteklius siekė 1,116 milijardų eurų (56%): 804 </w:t>
            </w:r>
            <w:r w:rsidRPr="00E964CD">
              <w:rPr>
                <w:rStyle w:val="y2iqfc"/>
                <w:rFonts w:ascii="Times New Roman" w:hAnsi="Times New Roman" w:cs="Times New Roman"/>
                <w:sz w:val="22"/>
                <w:szCs w:val="22"/>
              </w:rPr>
              <w:lastRenderedPageBreak/>
              <w:t xml:space="preserve">milijonus eurų iš PPC, 235 milijonus eurų iš Heron, 137 milijonus eurų iš </w:t>
            </w:r>
            <w:proofErr w:type="spellStart"/>
            <w:r w:rsidRPr="00E964CD">
              <w:rPr>
                <w:rStyle w:val="y2iqfc"/>
                <w:rFonts w:ascii="Times New Roman" w:hAnsi="Times New Roman" w:cs="Times New Roman"/>
                <w:sz w:val="22"/>
                <w:szCs w:val="22"/>
              </w:rPr>
              <w:t>Mytilineos</w:t>
            </w:r>
            <w:proofErr w:type="spellEnd"/>
            <w:r w:rsidRPr="00E964CD">
              <w:rPr>
                <w:rStyle w:val="y2iqfc"/>
                <w:rFonts w:ascii="Times New Roman" w:hAnsi="Times New Roman" w:cs="Times New Roman"/>
                <w:sz w:val="22"/>
                <w:szCs w:val="22"/>
              </w:rPr>
              <w:t xml:space="preserve"> ir 53 milijonus eurų iš </w:t>
            </w:r>
            <w:proofErr w:type="spellStart"/>
            <w:r w:rsidRPr="00E964CD">
              <w:rPr>
                <w:rStyle w:val="y2iqfc"/>
                <w:rFonts w:ascii="Times New Roman" w:hAnsi="Times New Roman" w:cs="Times New Roman"/>
                <w:sz w:val="22"/>
                <w:szCs w:val="22"/>
              </w:rPr>
              <w:t>Elpedison</w:t>
            </w:r>
            <w:proofErr w:type="spellEnd"/>
            <w:r w:rsidRPr="00E964CD">
              <w:rPr>
                <w:rStyle w:val="y2iqfc"/>
                <w:rFonts w:ascii="Times New Roman" w:hAnsi="Times New Roman" w:cs="Times New Roman"/>
                <w:sz w:val="22"/>
                <w:szCs w:val="22"/>
              </w:rPr>
              <w:t>.</w:t>
            </w:r>
            <w:r w:rsidR="00E964CD">
              <w:rPr>
                <w:rStyle w:val="y2iqfc"/>
                <w:rFonts w:ascii="Times New Roman" w:hAnsi="Times New Roman" w:cs="Times New Roman"/>
                <w:sz w:val="22"/>
                <w:szCs w:val="22"/>
              </w:rPr>
              <w:t xml:space="preserve"> </w:t>
            </w:r>
            <w:r w:rsidRPr="00E964CD">
              <w:rPr>
                <w:rStyle w:val="y2iqfc"/>
                <w:rFonts w:ascii="Times New Roman" w:hAnsi="Times New Roman" w:cs="Times New Roman"/>
                <w:sz w:val="22"/>
                <w:szCs w:val="22"/>
              </w:rPr>
              <w:t xml:space="preserve">Elektros gamintojai PPC, Heron ir </w:t>
            </w:r>
            <w:proofErr w:type="spellStart"/>
            <w:r w:rsidRPr="00E964CD">
              <w:rPr>
                <w:rStyle w:val="y2iqfc"/>
                <w:rFonts w:ascii="Times New Roman" w:hAnsi="Times New Roman" w:cs="Times New Roman"/>
                <w:sz w:val="22"/>
                <w:szCs w:val="22"/>
              </w:rPr>
              <w:t>Mytilineos</w:t>
            </w:r>
            <w:proofErr w:type="spellEnd"/>
            <w:r w:rsidRPr="00E964CD">
              <w:rPr>
                <w:rStyle w:val="y2iqfc"/>
                <w:rFonts w:ascii="Times New Roman" w:hAnsi="Times New Roman" w:cs="Times New Roman"/>
                <w:sz w:val="22"/>
                <w:szCs w:val="22"/>
              </w:rPr>
              <w:t xml:space="preserve"> iš bendros AEI pertekliaus iš žaliojo portfelio gamybos iš viso uždirbo 316 mln. Didžiausią AEI pert</w:t>
            </w:r>
            <w:r w:rsidR="009A05F8">
              <w:rPr>
                <w:rStyle w:val="y2iqfc"/>
                <w:rFonts w:ascii="Times New Roman" w:hAnsi="Times New Roman" w:cs="Times New Roman"/>
                <w:sz w:val="22"/>
                <w:szCs w:val="22"/>
              </w:rPr>
              <w:t>eklių (860 mln. eurų) susidarė a</w:t>
            </w:r>
            <w:r w:rsidRPr="00E964CD">
              <w:rPr>
                <w:rStyle w:val="y2iqfc"/>
                <w:rFonts w:ascii="Times New Roman" w:hAnsi="Times New Roman" w:cs="Times New Roman"/>
                <w:sz w:val="22"/>
                <w:szCs w:val="22"/>
              </w:rPr>
              <w:t>tsinaujinančių energijos šaltinių ir kilmės garantijų administratoriaus (DAPEEP) valdomas portfelis.</w:t>
            </w:r>
            <w:r w:rsidR="00E964CD">
              <w:rPr>
                <w:rStyle w:val="y2iqfc"/>
                <w:rFonts w:ascii="Times New Roman" w:hAnsi="Times New Roman" w:cs="Times New Roman"/>
                <w:sz w:val="22"/>
                <w:szCs w:val="22"/>
              </w:rPr>
              <w:t xml:space="preserve"> </w:t>
            </w:r>
            <w:r w:rsidRPr="00E964CD">
              <w:rPr>
                <w:rStyle w:val="y2iqfc"/>
                <w:rFonts w:ascii="Times New Roman" w:hAnsi="Times New Roman" w:cs="Times New Roman"/>
                <w:sz w:val="22"/>
                <w:szCs w:val="22"/>
              </w:rPr>
              <w:t xml:space="preserve">Vyriausybė </w:t>
            </w:r>
            <w:r w:rsidR="00E45310">
              <w:rPr>
                <w:rStyle w:val="y2iqfc"/>
                <w:rFonts w:ascii="Times New Roman" w:hAnsi="Times New Roman" w:cs="Times New Roman"/>
                <w:sz w:val="22"/>
                <w:szCs w:val="22"/>
              </w:rPr>
              <w:t>kartu su atitinkamomis</w:t>
            </w:r>
            <w:r w:rsidRPr="00E964CD">
              <w:rPr>
                <w:rStyle w:val="y2iqfc"/>
                <w:rFonts w:ascii="Times New Roman" w:hAnsi="Times New Roman" w:cs="Times New Roman"/>
                <w:sz w:val="22"/>
                <w:szCs w:val="22"/>
              </w:rPr>
              <w:t xml:space="preserve"> ministerijo</w:t>
            </w:r>
            <w:r w:rsidR="00E45310">
              <w:rPr>
                <w:rStyle w:val="y2iqfc"/>
                <w:rFonts w:ascii="Times New Roman" w:hAnsi="Times New Roman" w:cs="Times New Roman"/>
                <w:sz w:val="22"/>
                <w:szCs w:val="22"/>
              </w:rPr>
              <w:t>mis</w:t>
            </w:r>
            <w:r w:rsidRPr="00E964CD">
              <w:rPr>
                <w:rStyle w:val="y2iqfc"/>
                <w:rFonts w:ascii="Times New Roman" w:hAnsi="Times New Roman" w:cs="Times New Roman"/>
                <w:sz w:val="22"/>
                <w:szCs w:val="22"/>
              </w:rPr>
              <w:t xml:space="preserve"> pr</w:t>
            </w:r>
            <w:r w:rsidR="009A05F8">
              <w:rPr>
                <w:rStyle w:val="y2iqfc"/>
                <w:rFonts w:ascii="Times New Roman" w:hAnsi="Times New Roman" w:cs="Times New Roman"/>
                <w:sz w:val="22"/>
                <w:szCs w:val="22"/>
              </w:rPr>
              <w:t>iėmė</w:t>
            </w:r>
            <w:r w:rsidRPr="00E964CD">
              <w:rPr>
                <w:rStyle w:val="y2iqfc"/>
                <w:rFonts w:ascii="Times New Roman" w:hAnsi="Times New Roman" w:cs="Times New Roman"/>
                <w:sz w:val="22"/>
                <w:szCs w:val="22"/>
              </w:rPr>
              <w:t xml:space="preserve"> eilę sprendimų, siekdamos išplėsti finansavimo šaltinių spektrą, nes yra tvirta</w:t>
            </w:r>
            <w:r w:rsidR="00E45310">
              <w:rPr>
                <w:rStyle w:val="y2iqfc"/>
                <w:rFonts w:ascii="Times New Roman" w:hAnsi="Times New Roman" w:cs="Times New Roman"/>
                <w:sz w:val="22"/>
                <w:szCs w:val="22"/>
              </w:rPr>
              <w:t>s</w:t>
            </w:r>
            <w:r w:rsidRPr="00E964CD">
              <w:rPr>
                <w:rStyle w:val="y2iqfc"/>
                <w:rFonts w:ascii="Times New Roman" w:hAnsi="Times New Roman" w:cs="Times New Roman"/>
                <w:sz w:val="22"/>
                <w:szCs w:val="22"/>
              </w:rPr>
              <w:t xml:space="preserve"> įsipareigoj</w:t>
            </w:r>
            <w:r w:rsidR="00E45310">
              <w:rPr>
                <w:rStyle w:val="y2iqfc"/>
                <w:rFonts w:ascii="Times New Roman" w:hAnsi="Times New Roman" w:cs="Times New Roman"/>
                <w:sz w:val="22"/>
                <w:szCs w:val="22"/>
              </w:rPr>
              <w:t>imas</w:t>
            </w:r>
            <w:r w:rsidRPr="00E964CD">
              <w:rPr>
                <w:rStyle w:val="y2iqfc"/>
                <w:rFonts w:ascii="Times New Roman" w:hAnsi="Times New Roman" w:cs="Times New Roman"/>
                <w:sz w:val="22"/>
                <w:szCs w:val="22"/>
              </w:rPr>
              <w:t xml:space="preserve"> toliau remti namų ūkius ir verslą tol, kol tęsis krizė.</w:t>
            </w:r>
            <w:r w:rsidR="00E964CD">
              <w:rPr>
                <w:rStyle w:val="y2iqfc"/>
                <w:rFonts w:ascii="Times New Roman" w:hAnsi="Times New Roman" w:cs="Times New Roman"/>
                <w:sz w:val="22"/>
                <w:szCs w:val="22"/>
              </w:rPr>
              <w:t xml:space="preserve"> </w:t>
            </w:r>
            <w:r w:rsidRPr="00E964CD">
              <w:rPr>
                <w:rStyle w:val="y2iqfc"/>
                <w:rFonts w:ascii="Times New Roman" w:hAnsi="Times New Roman" w:cs="Times New Roman"/>
                <w:sz w:val="22"/>
                <w:szCs w:val="22"/>
              </w:rPr>
              <w:t>Artimiausiuose planuose numatytas perdirbimo ir gamtinių dujų įmonių – t. y. dviejų naftos perdirbimo gamyklų (</w:t>
            </w:r>
            <w:proofErr w:type="spellStart"/>
            <w:r w:rsidRPr="00E964CD">
              <w:rPr>
                <w:rStyle w:val="y2iqfc"/>
                <w:rFonts w:ascii="Times New Roman" w:hAnsi="Times New Roman" w:cs="Times New Roman"/>
                <w:sz w:val="22"/>
                <w:szCs w:val="22"/>
              </w:rPr>
              <w:t>HELLENiQ</w:t>
            </w:r>
            <w:proofErr w:type="spellEnd"/>
            <w:r w:rsidRPr="00E964CD">
              <w:rPr>
                <w:rStyle w:val="y2iqfc"/>
                <w:rFonts w:ascii="Times New Roman" w:hAnsi="Times New Roman" w:cs="Times New Roman"/>
                <w:sz w:val="22"/>
                <w:szCs w:val="22"/>
              </w:rPr>
              <w:t xml:space="preserve"> </w:t>
            </w:r>
            <w:proofErr w:type="spellStart"/>
            <w:r w:rsidRPr="00E964CD">
              <w:rPr>
                <w:rStyle w:val="y2iqfc"/>
                <w:rFonts w:ascii="Times New Roman" w:hAnsi="Times New Roman" w:cs="Times New Roman"/>
                <w:sz w:val="22"/>
                <w:szCs w:val="22"/>
              </w:rPr>
              <w:t>Energy</w:t>
            </w:r>
            <w:proofErr w:type="spellEnd"/>
            <w:r w:rsidRPr="00E964CD">
              <w:rPr>
                <w:rStyle w:val="y2iqfc"/>
                <w:rFonts w:ascii="Times New Roman" w:hAnsi="Times New Roman" w:cs="Times New Roman"/>
                <w:sz w:val="22"/>
                <w:szCs w:val="22"/>
              </w:rPr>
              <w:t xml:space="preserve"> ir </w:t>
            </w:r>
            <w:proofErr w:type="spellStart"/>
            <w:r w:rsidRPr="00E964CD">
              <w:rPr>
                <w:rStyle w:val="y2iqfc"/>
                <w:rFonts w:ascii="Times New Roman" w:hAnsi="Times New Roman" w:cs="Times New Roman"/>
                <w:sz w:val="22"/>
                <w:szCs w:val="22"/>
              </w:rPr>
              <w:t>Motor</w:t>
            </w:r>
            <w:proofErr w:type="spellEnd"/>
            <w:r w:rsidRPr="00E964CD">
              <w:rPr>
                <w:rStyle w:val="y2iqfc"/>
                <w:rFonts w:ascii="Times New Roman" w:hAnsi="Times New Roman" w:cs="Times New Roman"/>
                <w:sz w:val="22"/>
                <w:szCs w:val="22"/>
              </w:rPr>
              <w:t xml:space="preserve"> </w:t>
            </w:r>
            <w:proofErr w:type="spellStart"/>
            <w:r w:rsidRPr="00E964CD">
              <w:rPr>
                <w:rStyle w:val="y2iqfc"/>
                <w:rFonts w:ascii="Times New Roman" w:hAnsi="Times New Roman" w:cs="Times New Roman"/>
                <w:sz w:val="22"/>
                <w:szCs w:val="22"/>
              </w:rPr>
              <w:t>Oil</w:t>
            </w:r>
            <w:proofErr w:type="spellEnd"/>
            <w:r w:rsidRPr="00E964CD">
              <w:rPr>
                <w:rStyle w:val="y2iqfc"/>
                <w:rFonts w:ascii="Times New Roman" w:hAnsi="Times New Roman" w:cs="Times New Roman"/>
                <w:sz w:val="22"/>
                <w:szCs w:val="22"/>
              </w:rPr>
              <w:t xml:space="preserve">) ir Viešosios dujų korporacijos (DEPA) – perteklinio pelno apmokestinimas 33 proc. Nors ES skatinama priemonė nėra galutinai parengta Europos lygmeniu, vyriausybė, kaip pranešama, taip pat </w:t>
            </w:r>
            <w:r w:rsidR="009A05F8">
              <w:rPr>
                <w:rStyle w:val="y2iqfc"/>
                <w:rFonts w:ascii="Times New Roman" w:hAnsi="Times New Roman" w:cs="Times New Roman"/>
                <w:sz w:val="22"/>
                <w:szCs w:val="22"/>
              </w:rPr>
              <w:t>pask</w:t>
            </w:r>
            <w:r w:rsidRPr="00E964CD">
              <w:rPr>
                <w:rStyle w:val="y2iqfc"/>
                <w:rFonts w:ascii="Times New Roman" w:hAnsi="Times New Roman" w:cs="Times New Roman"/>
                <w:sz w:val="22"/>
                <w:szCs w:val="22"/>
              </w:rPr>
              <w:t xml:space="preserve">aičiavo pajamas, kurias ji gaus iš 2022 metų pelno įvedus neeilinį solidarumo mokestį. Remiantis finansų ministro </w:t>
            </w:r>
            <w:proofErr w:type="spellStart"/>
            <w:r w:rsidRPr="00E964CD">
              <w:rPr>
                <w:rStyle w:val="y2iqfc"/>
                <w:rFonts w:ascii="Times New Roman" w:hAnsi="Times New Roman" w:cs="Times New Roman"/>
                <w:sz w:val="22"/>
                <w:szCs w:val="22"/>
              </w:rPr>
              <w:t>Christo</w:t>
            </w:r>
            <w:proofErr w:type="spellEnd"/>
            <w:r w:rsidRPr="00E964CD">
              <w:rPr>
                <w:rStyle w:val="y2iqfc"/>
                <w:rFonts w:ascii="Times New Roman" w:hAnsi="Times New Roman" w:cs="Times New Roman"/>
                <w:sz w:val="22"/>
                <w:szCs w:val="22"/>
              </w:rPr>
              <w:t xml:space="preserve"> </w:t>
            </w:r>
            <w:proofErr w:type="spellStart"/>
            <w:r w:rsidRPr="00E964CD">
              <w:rPr>
                <w:rStyle w:val="y2iqfc"/>
                <w:rFonts w:ascii="Times New Roman" w:hAnsi="Times New Roman" w:cs="Times New Roman"/>
                <w:sz w:val="22"/>
                <w:szCs w:val="22"/>
              </w:rPr>
              <w:t>Staikouro</w:t>
            </w:r>
            <w:proofErr w:type="spellEnd"/>
            <w:r w:rsidRPr="00E964CD">
              <w:rPr>
                <w:rStyle w:val="y2iqfc"/>
                <w:rFonts w:ascii="Times New Roman" w:hAnsi="Times New Roman" w:cs="Times New Roman"/>
                <w:sz w:val="22"/>
                <w:szCs w:val="22"/>
              </w:rPr>
              <w:t xml:space="preserve"> pareiškimais, p</w:t>
            </w:r>
            <w:r w:rsidR="009A05F8">
              <w:rPr>
                <w:rStyle w:val="y2iqfc"/>
                <w:rFonts w:ascii="Times New Roman" w:hAnsi="Times New Roman" w:cs="Times New Roman"/>
                <w:sz w:val="22"/>
                <w:szCs w:val="22"/>
              </w:rPr>
              <w:t>a</w:t>
            </w:r>
            <w:r w:rsidRPr="00E964CD">
              <w:rPr>
                <w:rStyle w:val="y2iqfc"/>
                <w:rFonts w:ascii="Times New Roman" w:hAnsi="Times New Roman" w:cs="Times New Roman"/>
                <w:sz w:val="22"/>
                <w:szCs w:val="22"/>
              </w:rPr>
              <w:t>skaičiuota, kad tai atneš 300–400 mln. eurų pajamų.</w:t>
            </w:r>
            <w:r w:rsidR="00E446A5">
              <w:rPr>
                <w:rStyle w:val="y2iqfc"/>
                <w:rFonts w:ascii="Times New Roman" w:hAnsi="Times New Roman" w:cs="Times New Roman"/>
                <w:sz w:val="22"/>
                <w:szCs w:val="22"/>
              </w:rPr>
              <w:t xml:space="preserve"> </w:t>
            </w:r>
            <w:r w:rsidRPr="00E446A5">
              <w:rPr>
                <w:rStyle w:val="y2iqfc"/>
                <w:rFonts w:ascii="Times New Roman" w:hAnsi="Times New Roman" w:cs="Times New Roman"/>
                <w:sz w:val="22"/>
                <w:szCs w:val="22"/>
              </w:rPr>
              <w:t xml:space="preserve">Energetikos ministras Kostas </w:t>
            </w:r>
            <w:proofErr w:type="spellStart"/>
            <w:r w:rsidRPr="00E446A5">
              <w:rPr>
                <w:rStyle w:val="y2iqfc"/>
                <w:rFonts w:ascii="Times New Roman" w:hAnsi="Times New Roman" w:cs="Times New Roman"/>
                <w:sz w:val="22"/>
                <w:szCs w:val="22"/>
              </w:rPr>
              <w:t>Skrekas</w:t>
            </w:r>
            <w:proofErr w:type="spellEnd"/>
            <w:r w:rsidRPr="00E446A5">
              <w:rPr>
                <w:rStyle w:val="y2iqfc"/>
                <w:rFonts w:ascii="Times New Roman" w:hAnsi="Times New Roman" w:cs="Times New Roman"/>
                <w:sz w:val="22"/>
                <w:szCs w:val="22"/>
              </w:rPr>
              <w:t xml:space="preserve"> paskelbė apie pertekliaus, kuris gali susidaryti tiekėjams mažmeninėje rinkoje, apmokestinim</w:t>
            </w:r>
            <w:r w:rsidR="009A05F8">
              <w:rPr>
                <w:rStyle w:val="y2iqfc"/>
                <w:rFonts w:ascii="Times New Roman" w:hAnsi="Times New Roman" w:cs="Times New Roman"/>
                <w:sz w:val="22"/>
                <w:szCs w:val="22"/>
              </w:rPr>
              <w:t>ą, kai koregavimo sąlygą pakeitė</w:t>
            </w:r>
            <w:r w:rsidRPr="00E446A5">
              <w:rPr>
                <w:rStyle w:val="y2iqfc"/>
                <w:rFonts w:ascii="Times New Roman" w:hAnsi="Times New Roman" w:cs="Times New Roman"/>
                <w:sz w:val="22"/>
                <w:szCs w:val="22"/>
              </w:rPr>
              <w:t xml:space="preserve"> naujas kainodaros modelis, pagrįstas didmeninių sąnaudų prognoze. </w:t>
            </w:r>
          </w:p>
        </w:tc>
        <w:tc>
          <w:tcPr>
            <w:tcW w:w="2410" w:type="dxa"/>
            <w:shd w:val="clear" w:color="auto" w:fill="auto"/>
            <w:tcMar>
              <w:top w:w="29" w:type="dxa"/>
              <w:left w:w="115" w:type="dxa"/>
              <w:bottom w:w="29" w:type="dxa"/>
              <w:right w:w="115" w:type="dxa"/>
            </w:tcMar>
          </w:tcPr>
          <w:p w:rsidR="00CD33E4" w:rsidRPr="0039175E" w:rsidRDefault="0096454E" w:rsidP="0039175E">
            <w:pPr>
              <w:spacing w:before="120" w:after="120" w:line="240" w:lineRule="auto"/>
              <w:rPr>
                <w:rStyle w:val="Hyperlink"/>
                <w:rFonts w:ascii="Times New Roman" w:hAnsi="Times New Roman"/>
                <w:noProof/>
              </w:rPr>
            </w:pPr>
            <w:r w:rsidRPr="0096454E">
              <w:rPr>
                <w:rStyle w:val="Hyperlink"/>
                <w:rFonts w:ascii="Times New Roman" w:hAnsi="Times New Roman"/>
                <w:noProof/>
              </w:rPr>
              <w:lastRenderedPageBreak/>
              <w:t>https://www.ekathimerini.com/economy/1195581/profits-of-2-3-bln-go-to-subsidy/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193DB1" w:rsidP="0039175E">
            <w:pPr>
              <w:spacing w:before="120" w:after="120" w:line="240" w:lineRule="auto"/>
              <w:rPr>
                <w:rFonts w:ascii="Times New Roman" w:hAnsi="Times New Roman"/>
              </w:rPr>
            </w:pPr>
            <w:r>
              <w:rPr>
                <w:rFonts w:ascii="Times New Roman" w:hAnsi="Times New Roman"/>
              </w:rPr>
              <w:t>2022 10 17</w:t>
            </w:r>
          </w:p>
        </w:tc>
        <w:tc>
          <w:tcPr>
            <w:tcW w:w="4537" w:type="dxa"/>
            <w:shd w:val="clear" w:color="auto" w:fill="auto"/>
            <w:tcMar>
              <w:top w:w="29" w:type="dxa"/>
              <w:left w:w="115" w:type="dxa"/>
              <w:bottom w:w="29" w:type="dxa"/>
              <w:right w:w="115" w:type="dxa"/>
            </w:tcMar>
          </w:tcPr>
          <w:p w:rsidR="008D3C00" w:rsidRPr="00C04AAD" w:rsidRDefault="003D1F0B" w:rsidP="0061748A">
            <w:pPr>
              <w:pStyle w:val="HTMLPreformatted"/>
              <w:jc w:val="both"/>
              <w:rPr>
                <w:rFonts w:ascii="Times New Roman" w:hAnsi="Times New Roman" w:cs="Times New Roman"/>
                <w:sz w:val="22"/>
                <w:szCs w:val="22"/>
              </w:rPr>
            </w:pPr>
            <w:r w:rsidRPr="00C04AAD">
              <w:rPr>
                <w:rStyle w:val="y2iqfc"/>
                <w:rFonts w:ascii="Times New Roman" w:hAnsi="Times New Roman" w:cs="Times New Roman"/>
                <w:sz w:val="22"/>
                <w:szCs w:val="22"/>
              </w:rPr>
              <w:t xml:space="preserve">Anot pakaitinio finansų ministras </w:t>
            </w:r>
            <w:proofErr w:type="spellStart"/>
            <w:r w:rsidRPr="00C04AAD">
              <w:rPr>
                <w:rStyle w:val="y2iqfc"/>
                <w:rFonts w:ascii="Times New Roman" w:hAnsi="Times New Roman" w:cs="Times New Roman"/>
                <w:sz w:val="22"/>
                <w:szCs w:val="22"/>
              </w:rPr>
              <w:t>Th</w:t>
            </w:r>
            <w:proofErr w:type="spellEnd"/>
            <w:r w:rsidRPr="00C04AAD">
              <w:rPr>
                <w:rStyle w:val="y2iqfc"/>
                <w:rFonts w:ascii="Times New Roman" w:hAnsi="Times New Roman" w:cs="Times New Roman"/>
                <w:sz w:val="22"/>
                <w:szCs w:val="22"/>
              </w:rPr>
              <w:t xml:space="preserve">. </w:t>
            </w:r>
            <w:proofErr w:type="spellStart"/>
            <w:r w:rsidRPr="00C04AAD">
              <w:rPr>
                <w:rStyle w:val="y2iqfc"/>
                <w:rFonts w:ascii="Times New Roman" w:hAnsi="Times New Roman" w:cs="Times New Roman"/>
                <w:sz w:val="22"/>
                <w:szCs w:val="22"/>
              </w:rPr>
              <w:t>Skylakakis</w:t>
            </w:r>
            <w:proofErr w:type="spellEnd"/>
            <w:r w:rsidRPr="00C04AAD">
              <w:rPr>
                <w:rStyle w:val="y2iqfc"/>
                <w:rFonts w:ascii="Times New Roman" w:hAnsi="Times New Roman" w:cs="Times New Roman"/>
                <w:sz w:val="22"/>
                <w:szCs w:val="22"/>
              </w:rPr>
              <w:t>, į</w:t>
            </w:r>
            <w:r w:rsidR="00193DB1" w:rsidRPr="00C04AAD">
              <w:rPr>
                <w:rStyle w:val="y2iqfc"/>
                <w:rFonts w:ascii="Times New Roman" w:hAnsi="Times New Roman" w:cs="Times New Roman"/>
                <w:sz w:val="22"/>
                <w:szCs w:val="22"/>
              </w:rPr>
              <w:t xml:space="preserve">plaukos į Graikijos ekonomiką iš </w:t>
            </w:r>
            <w:r w:rsidR="0061748A" w:rsidRPr="00C04AAD">
              <w:rPr>
                <w:rStyle w:val="y2iqfc"/>
                <w:rFonts w:ascii="Times New Roman" w:hAnsi="Times New Roman" w:cs="Times New Roman"/>
                <w:sz w:val="22"/>
                <w:szCs w:val="22"/>
              </w:rPr>
              <w:t>Ekonomikos gaivinimo ir atspa</w:t>
            </w:r>
            <w:r w:rsidR="00193DB1" w:rsidRPr="00C04AAD">
              <w:rPr>
                <w:rStyle w:val="y2iqfc"/>
                <w:rFonts w:ascii="Times New Roman" w:hAnsi="Times New Roman" w:cs="Times New Roman"/>
                <w:sz w:val="22"/>
                <w:szCs w:val="22"/>
              </w:rPr>
              <w:t>rumo priemon</w:t>
            </w:r>
            <w:r w:rsidR="0061748A" w:rsidRPr="00C04AAD">
              <w:rPr>
                <w:rStyle w:val="y2iqfc"/>
                <w:rFonts w:ascii="Times New Roman" w:hAnsi="Times New Roman" w:cs="Times New Roman"/>
                <w:sz w:val="22"/>
                <w:szCs w:val="22"/>
              </w:rPr>
              <w:t>ės</w:t>
            </w:r>
            <w:r w:rsidRPr="00C04AAD">
              <w:rPr>
                <w:rStyle w:val="y2iqfc"/>
                <w:rFonts w:ascii="Times New Roman" w:hAnsi="Times New Roman" w:cs="Times New Roman"/>
                <w:sz w:val="22"/>
                <w:szCs w:val="22"/>
              </w:rPr>
              <w:t xml:space="preserve"> </w:t>
            </w:r>
            <w:r w:rsidR="00193DB1" w:rsidRPr="00C04AAD">
              <w:rPr>
                <w:rStyle w:val="y2iqfc"/>
                <w:rFonts w:ascii="Times New Roman" w:hAnsi="Times New Roman" w:cs="Times New Roman"/>
                <w:sz w:val="22"/>
                <w:szCs w:val="22"/>
              </w:rPr>
              <w:t>labai sun</w:t>
            </w:r>
            <w:r w:rsidRPr="00C04AAD">
              <w:rPr>
                <w:rStyle w:val="y2iqfc"/>
                <w:rFonts w:ascii="Times New Roman" w:hAnsi="Times New Roman" w:cs="Times New Roman"/>
                <w:sz w:val="22"/>
                <w:szCs w:val="22"/>
              </w:rPr>
              <w:t xml:space="preserve">kiu metu viršijo 11 mlrd. eurų. </w:t>
            </w:r>
            <w:r w:rsidR="00193DB1" w:rsidRPr="00C04AAD">
              <w:rPr>
                <w:rStyle w:val="y2iqfc"/>
                <w:rFonts w:ascii="Times New Roman" w:hAnsi="Times New Roman" w:cs="Times New Roman"/>
                <w:sz w:val="22"/>
                <w:szCs w:val="22"/>
              </w:rPr>
              <w:t>„Esame tarp pirmųjų penkių šalių, pateikusių prašymą dėl antrojo RFF mokėjimo (rugsėjo 30 d. už 3,65 mlrd. eurų) išmokėjimo, ir pirmoji šalis, pateikusi prašymą dėl trečiojo mokėjimo (paskolų skyrius). Iki šiol į subsidijų programą įtraukti 372 projektai, kurių bendras biudžetas – 13,5 mlrd. Paskolų programoje pateikta 160 investicinių planų, kurių bendras biudžetas viršija 7 mlrd. eurų“, – sakė jis.</w:t>
            </w:r>
          </w:p>
        </w:tc>
        <w:tc>
          <w:tcPr>
            <w:tcW w:w="2410" w:type="dxa"/>
            <w:shd w:val="clear" w:color="auto" w:fill="auto"/>
            <w:tcMar>
              <w:top w:w="29" w:type="dxa"/>
              <w:left w:w="115" w:type="dxa"/>
              <w:bottom w:w="29" w:type="dxa"/>
              <w:right w:w="115" w:type="dxa"/>
            </w:tcMar>
          </w:tcPr>
          <w:p w:rsidR="00DE72D1" w:rsidRPr="00C04AAD" w:rsidRDefault="00193DB1" w:rsidP="0039175E">
            <w:pPr>
              <w:spacing w:before="120" w:after="120" w:line="240" w:lineRule="auto"/>
              <w:rPr>
                <w:rStyle w:val="Hyperlink"/>
                <w:rFonts w:ascii="Times New Roman" w:hAnsi="Times New Roman"/>
                <w:noProof/>
              </w:rPr>
            </w:pPr>
            <w:r w:rsidRPr="00C04AAD">
              <w:rPr>
                <w:rStyle w:val="Hyperlink"/>
                <w:rFonts w:ascii="Times New Roman" w:hAnsi="Times New Roman"/>
                <w:noProof/>
              </w:rPr>
              <w:t>https://www.ekathimerini.com/economy/1195851/greece-ready-for-second-and-third-payment-from-eu-recovery-fund/</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FC572F" w:rsidP="0039175E">
            <w:pPr>
              <w:spacing w:before="120" w:after="120" w:line="240" w:lineRule="auto"/>
              <w:rPr>
                <w:rFonts w:ascii="Times New Roman" w:hAnsi="Times New Roman"/>
              </w:rPr>
            </w:pPr>
            <w:r>
              <w:rPr>
                <w:rFonts w:ascii="Times New Roman" w:hAnsi="Times New Roman"/>
              </w:rPr>
              <w:t>2022 10 18</w:t>
            </w:r>
          </w:p>
        </w:tc>
        <w:tc>
          <w:tcPr>
            <w:tcW w:w="4537" w:type="dxa"/>
            <w:shd w:val="clear" w:color="auto" w:fill="auto"/>
            <w:tcMar>
              <w:top w:w="29" w:type="dxa"/>
              <w:left w:w="115" w:type="dxa"/>
              <w:bottom w:w="29" w:type="dxa"/>
              <w:right w:w="115" w:type="dxa"/>
            </w:tcMar>
          </w:tcPr>
          <w:p w:rsidR="008D3C00" w:rsidRPr="00FC572F" w:rsidRDefault="00FC572F" w:rsidP="00835C78">
            <w:pPr>
              <w:pStyle w:val="HTMLPreformatted"/>
              <w:jc w:val="both"/>
            </w:pPr>
            <w:r w:rsidRPr="00A21A33">
              <w:rPr>
                <w:rStyle w:val="y2iqfc"/>
                <w:rFonts w:ascii="Times New Roman" w:hAnsi="Times New Roman" w:cs="Times New Roman"/>
                <w:sz w:val="22"/>
                <w:szCs w:val="22"/>
              </w:rPr>
              <w:t xml:space="preserve">Iš viso 29,5 proc. visų gyventojų (apie 3 092 300 žmonių) vienu metu gresia skurdas arba socialinė atskirtis, </w:t>
            </w:r>
            <w:r w:rsidR="00C04AAD">
              <w:rPr>
                <w:rStyle w:val="y2iqfc"/>
                <w:rFonts w:ascii="Times New Roman" w:hAnsi="Times New Roman" w:cs="Times New Roman"/>
                <w:sz w:val="22"/>
                <w:szCs w:val="22"/>
              </w:rPr>
              <w:t xml:space="preserve">sakoma Graikijos </w:t>
            </w:r>
            <w:r w:rsidRPr="00A21A33">
              <w:rPr>
                <w:rStyle w:val="y2iqfc"/>
                <w:rFonts w:ascii="Times New Roman" w:hAnsi="Times New Roman" w:cs="Times New Roman"/>
                <w:sz w:val="22"/>
                <w:szCs w:val="22"/>
              </w:rPr>
              <w:t>metinėje ataskaitoje kovos s</w:t>
            </w:r>
            <w:r w:rsidR="00C04AAD">
              <w:rPr>
                <w:rStyle w:val="y2iqfc"/>
                <w:rFonts w:ascii="Times New Roman" w:hAnsi="Times New Roman" w:cs="Times New Roman"/>
                <w:sz w:val="22"/>
                <w:szCs w:val="22"/>
              </w:rPr>
              <w:t>u skurdu</w:t>
            </w:r>
            <w:r w:rsidRPr="00A21A33">
              <w:rPr>
                <w:rStyle w:val="y2iqfc"/>
                <w:rFonts w:ascii="Times New Roman" w:hAnsi="Times New Roman" w:cs="Times New Roman"/>
                <w:sz w:val="22"/>
                <w:szCs w:val="22"/>
              </w:rPr>
              <w:t>.</w:t>
            </w:r>
            <w:r w:rsidR="00A21A33">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 xml:space="preserve">Pagal </w:t>
            </w:r>
            <w:proofErr w:type="spellStart"/>
            <w:r w:rsidRPr="00A21A33">
              <w:rPr>
                <w:rStyle w:val="y2iqfc"/>
                <w:rFonts w:ascii="Times New Roman" w:hAnsi="Times New Roman" w:cs="Times New Roman"/>
                <w:sz w:val="22"/>
                <w:szCs w:val="22"/>
              </w:rPr>
              <w:t>Poverty</w:t>
            </w:r>
            <w:proofErr w:type="spellEnd"/>
            <w:r w:rsidRPr="00A21A33">
              <w:rPr>
                <w:rStyle w:val="y2iqfc"/>
                <w:rFonts w:ascii="Times New Roman" w:hAnsi="Times New Roman" w:cs="Times New Roman"/>
                <w:sz w:val="22"/>
                <w:szCs w:val="22"/>
              </w:rPr>
              <w:t xml:space="preserve"> </w:t>
            </w:r>
            <w:proofErr w:type="spellStart"/>
            <w:r w:rsidRPr="00A21A33">
              <w:rPr>
                <w:rStyle w:val="y2iqfc"/>
                <w:rFonts w:ascii="Times New Roman" w:hAnsi="Times New Roman" w:cs="Times New Roman"/>
                <w:sz w:val="22"/>
                <w:szCs w:val="22"/>
              </w:rPr>
              <w:t>Watch</w:t>
            </w:r>
            <w:proofErr w:type="spellEnd"/>
            <w:r w:rsidRPr="00A21A33">
              <w:rPr>
                <w:rStyle w:val="y2iqfc"/>
                <w:rFonts w:ascii="Times New Roman" w:hAnsi="Times New Roman" w:cs="Times New Roman"/>
                <w:sz w:val="22"/>
                <w:szCs w:val="22"/>
              </w:rPr>
              <w:t xml:space="preserve"> </w:t>
            </w:r>
            <w:proofErr w:type="spellStart"/>
            <w:r w:rsidRPr="00A21A33">
              <w:rPr>
                <w:rStyle w:val="y2iqfc"/>
                <w:rFonts w:ascii="Times New Roman" w:hAnsi="Times New Roman" w:cs="Times New Roman"/>
                <w:sz w:val="22"/>
                <w:szCs w:val="22"/>
              </w:rPr>
              <w:t>Greece</w:t>
            </w:r>
            <w:proofErr w:type="spellEnd"/>
            <w:r w:rsidRPr="00A21A33">
              <w:rPr>
                <w:rStyle w:val="y2iqfc"/>
                <w:rFonts w:ascii="Times New Roman" w:hAnsi="Times New Roman" w:cs="Times New Roman"/>
                <w:sz w:val="22"/>
                <w:szCs w:val="22"/>
              </w:rPr>
              <w:t xml:space="preserve"> 2022, kuri naudoja Graiki</w:t>
            </w:r>
            <w:r w:rsidR="00C04AAD">
              <w:rPr>
                <w:rStyle w:val="y2iqfc"/>
                <w:rFonts w:ascii="Times New Roman" w:hAnsi="Times New Roman" w:cs="Times New Roman"/>
                <w:sz w:val="22"/>
                <w:szCs w:val="22"/>
              </w:rPr>
              <w:t>jos statistikos tarnybos ir kitų institucijų</w:t>
            </w:r>
            <w:r w:rsidRPr="00A21A33">
              <w:rPr>
                <w:rStyle w:val="y2iqfc"/>
                <w:rFonts w:ascii="Times New Roman" w:hAnsi="Times New Roman" w:cs="Times New Roman"/>
                <w:sz w:val="22"/>
                <w:szCs w:val="22"/>
              </w:rPr>
              <w:t xml:space="preserve"> duomenis, 19,6 % Graikijos gyventojų gresia skurdas, 14,8 % patiria materialinį pagrindinių prekių nepriteklių, o </w:t>
            </w:r>
            <w:r w:rsidR="00C04AAD">
              <w:rPr>
                <w:rStyle w:val="y2iqfc"/>
                <w:rFonts w:ascii="Times New Roman" w:hAnsi="Times New Roman" w:cs="Times New Roman"/>
                <w:sz w:val="22"/>
                <w:szCs w:val="22"/>
              </w:rPr>
              <w:t xml:space="preserve">13,6 % 18–64 </w:t>
            </w:r>
            <w:r w:rsidRPr="00A21A33">
              <w:rPr>
                <w:rStyle w:val="y2iqfc"/>
                <w:rFonts w:ascii="Times New Roman" w:hAnsi="Times New Roman" w:cs="Times New Roman"/>
                <w:sz w:val="22"/>
                <w:szCs w:val="22"/>
              </w:rPr>
              <w:t>metų</w:t>
            </w:r>
            <w:r w:rsidR="00C04AAD">
              <w:rPr>
                <w:rStyle w:val="y2iqfc"/>
                <w:rFonts w:ascii="Times New Roman" w:hAnsi="Times New Roman" w:cs="Times New Roman"/>
                <w:sz w:val="22"/>
                <w:szCs w:val="22"/>
              </w:rPr>
              <w:t xml:space="preserve"> amžiaus </w:t>
            </w:r>
            <w:r w:rsidRPr="00A21A33">
              <w:rPr>
                <w:rStyle w:val="y2iqfc"/>
                <w:rFonts w:ascii="Times New Roman" w:hAnsi="Times New Roman" w:cs="Times New Roman"/>
                <w:sz w:val="22"/>
                <w:szCs w:val="22"/>
              </w:rPr>
              <w:t>gyvena mažo užimtumo namų ūkiuose.</w:t>
            </w:r>
            <w:r w:rsidR="00A21A33">
              <w:rPr>
                <w:rStyle w:val="y2iqfc"/>
                <w:rFonts w:ascii="Times New Roman" w:hAnsi="Times New Roman" w:cs="Times New Roman"/>
                <w:sz w:val="22"/>
                <w:szCs w:val="22"/>
              </w:rPr>
              <w:t xml:space="preserve"> </w:t>
            </w:r>
            <w:r w:rsidR="00C04AAD">
              <w:rPr>
                <w:rStyle w:val="y2iqfc"/>
                <w:rFonts w:ascii="Times New Roman" w:hAnsi="Times New Roman" w:cs="Times New Roman"/>
                <w:sz w:val="22"/>
                <w:szCs w:val="22"/>
              </w:rPr>
              <w:t>B</w:t>
            </w:r>
            <w:r w:rsidRPr="00A21A33">
              <w:rPr>
                <w:rStyle w:val="y2iqfc"/>
                <w:rFonts w:ascii="Times New Roman" w:hAnsi="Times New Roman" w:cs="Times New Roman"/>
                <w:sz w:val="22"/>
                <w:szCs w:val="22"/>
              </w:rPr>
              <w:t xml:space="preserve">eveik 1 iš 4 vaikų gyvena namų ūkyje, kuriam gresia skurdas, ir 1 iš 3, kuriam gresia skurdas arba socialinė atskirtis. „Šie skaičiai rodo, kad vaikų skurdas Graikijoje yra didelis, pasikartojantis, – pažymima ataskaitoje, </w:t>
            </w:r>
            <w:r w:rsidRPr="00A21A33">
              <w:rPr>
                <w:rStyle w:val="y2iqfc"/>
                <w:rFonts w:ascii="Times New Roman" w:hAnsi="Times New Roman" w:cs="Times New Roman"/>
                <w:sz w:val="22"/>
                <w:szCs w:val="22"/>
              </w:rPr>
              <w:lastRenderedPageBreak/>
              <w:t>– „ir vis blogėja, ir kad esame daug</w:t>
            </w:r>
            <w:r>
              <w:rPr>
                <w:rStyle w:val="y2iqfc"/>
              </w:rPr>
              <w:t xml:space="preserve"> </w:t>
            </w:r>
            <w:r w:rsidRPr="00A21A33">
              <w:rPr>
                <w:rStyle w:val="y2iqfc"/>
                <w:rFonts w:ascii="Times New Roman" w:hAnsi="Times New Roman" w:cs="Times New Roman"/>
                <w:sz w:val="22"/>
                <w:szCs w:val="22"/>
              </w:rPr>
              <w:t>prastesnėje padėtyje nei Europos vidurkis, kur 1 iš 5 vaikų gyvena skurde“.</w:t>
            </w:r>
            <w:r w:rsidR="004528F6">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Santykinis skurdo lygis pradėjo smarkiai didėti po 2010 m. (27,7 proc.), o 2015 m. pradėjo mažėti (nuo 35,7 proc.), 2020 m. siekė 28,9 proc. visų gyv</w:t>
            </w:r>
            <w:r w:rsidR="00835C78">
              <w:rPr>
                <w:rStyle w:val="y2iqfc"/>
                <w:rFonts w:ascii="Times New Roman" w:hAnsi="Times New Roman" w:cs="Times New Roman"/>
                <w:sz w:val="22"/>
                <w:szCs w:val="22"/>
              </w:rPr>
              <w:t xml:space="preserve">entojų oficialiais duomenimis </w:t>
            </w:r>
            <w:r w:rsidRPr="00A21A33">
              <w:rPr>
                <w:rStyle w:val="y2iqfc"/>
                <w:rFonts w:ascii="Times New Roman" w:hAnsi="Times New Roman" w:cs="Times New Roman"/>
                <w:sz w:val="22"/>
                <w:szCs w:val="22"/>
              </w:rPr>
              <w:t>gyveno skurdo ar atskirties sąlygomis. Tai rodo, kad skurdas nuolatinė didelės dalies gyventojų problema ir kad jis pradėjo mažėti tik 2017–2019 metais“, – sakoma pranešime.</w:t>
            </w:r>
            <w:r w:rsidR="004528F6">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2020 m</w:t>
            </w:r>
            <w:r w:rsidR="00835C78">
              <w:rPr>
                <w:rStyle w:val="y2iqfc"/>
                <w:rFonts w:ascii="Times New Roman" w:hAnsi="Times New Roman" w:cs="Times New Roman"/>
                <w:sz w:val="22"/>
                <w:szCs w:val="22"/>
              </w:rPr>
              <w:t>etais</w:t>
            </w:r>
            <w:r w:rsidRPr="00A21A33">
              <w:rPr>
                <w:rStyle w:val="y2iqfc"/>
                <w:rFonts w:ascii="Times New Roman" w:hAnsi="Times New Roman" w:cs="Times New Roman"/>
                <w:sz w:val="22"/>
                <w:szCs w:val="22"/>
              </w:rPr>
              <w:t xml:space="preserve"> labai sumažėjus pajamoms dėl pandemijos, santykinis skurdas vėl pradėjo didėti.</w:t>
            </w:r>
            <w:r w:rsidR="004528F6">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 xml:space="preserve">Mažiausias skurdo rizikos gyventojų geografinis pasiskirstymas buvo </w:t>
            </w:r>
            <w:proofErr w:type="spellStart"/>
            <w:r w:rsidRPr="00A21A33">
              <w:rPr>
                <w:rStyle w:val="y2iqfc"/>
                <w:rFonts w:ascii="Times New Roman" w:hAnsi="Times New Roman" w:cs="Times New Roman"/>
                <w:sz w:val="22"/>
                <w:szCs w:val="22"/>
              </w:rPr>
              <w:t>Atikoje</w:t>
            </w:r>
            <w:proofErr w:type="spellEnd"/>
            <w:r w:rsidRPr="00A21A33">
              <w:rPr>
                <w:rStyle w:val="y2iqfc"/>
                <w:rFonts w:ascii="Times New Roman" w:hAnsi="Times New Roman" w:cs="Times New Roman"/>
                <w:sz w:val="22"/>
                <w:szCs w:val="22"/>
              </w:rPr>
              <w:t xml:space="preserve"> (12,9 proc.), Kretoje (14,9 proc.) ir Pietų Egėjo jūroje (17,5 proc.), o didžiausia skurdo rizika – Rytų Makedonijoje ir Trakijoje (29,0 proc.). ), Vakarų Graikija (28,5 %), Centrinė Makedonija (25,5 %), Vakarų Makedonija (21,5 %) ir Centrinė Graikija su Peloponesu (24,2 %).</w:t>
            </w:r>
            <w:r w:rsidR="00835C78">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Ataskaitoje taip pat nustatyta, kad 1 iš 2 namų ūkių sunkiai susimoka už savo energijos poreikius, kai 7 iš 10 šeim</w:t>
            </w:r>
            <w:r w:rsidR="00835C78">
              <w:rPr>
                <w:rStyle w:val="y2iqfc"/>
                <w:rFonts w:ascii="Times New Roman" w:hAnsi="Times New Roman" w:cs="Times New Roman"/>
                <w:sz w:val="22"/>
                <w:szCs w:val="22"/>
              </w:rPr>
              <w:t>ų</w:t>
            </w:r>
            <w:r w:rsidRPr="00A21A33">
              <w:rPr>
                <w:rStyle w:val="y2iqfc"/>
                <w:rFonts w:ascii="Times New Roman" w:hAnsi="Times New Roman" w:cs="Times New Roman"/>
                <w:sz w:val="22"/>
                <w:szCs w:val="22"/>
              </w:rPr>
              <w:t xml:space="preserve"> pajamos yra mažesnės nei 1500 eurų per mėnesį. Kad </w:t>
            </w:r>
            <w:r w:rsidR="00835C78">
              <w:rPr>
                <w:rStyle w:val="y2iqfc"/>
                <w:rFonts w:ascii="Times New Roman" w:hAnsi="Times New Roman" w:cs="Times New Roman"/>
                <w:sz w:val="22"/>
                <w:szCs w:val="22"/>
              </w:rPr>
              <w:t>jas galėtų apmokėti</w:t>
            </w:r>
            <w:r w:rsidRPr="00A21A33">
              <w:rPr>
                <w:rStyle w:val="y2iqfc"/>
                <w:rFonts w:ascii="Times New Roman" w:hAnsi="Times New Roman" w:cs="Times New Roman"/>
                <w:sz w:val="22"/>
                <w:szCs w:val="22"/>
              </w:rPr>
              <w:t xml:space="preserve">, </w:t>
            </w:r>
            <w:r w:rsidR="00835C78" w:rsidRPr="00A21A33">
              <w:rPr>
                <w:rStyle w:val="y2iqfc"/>
                <w:rFonts w:ascii="Times New Roman" w:hAnsi="Times New Roman" w:cs="Times New Roman"/>
                <w:sz w:val="22"/>
                <w:szCs w:val="22"/>
              </w:rPr>
              <w:t xml:space="preserve">64 % </w:t>
            </w:r>
            <w:r w:rsidRPr="00A21A33">
              <w:rPr>
                <w:rStyle w:val="y2iqfc"/>
                <w:rFonts w:ascii="Times New Roman" w:hAnsi="Times New Roman" w:cs="Times New Roman"/>
                <w:sz w:val="22"/>
                <w:szCs w:val="22"/>
              </w:rPr>
              <w:t>namų ūki</w:t>
            </w:r>
            <w:r w:rsidR="00835C78">
              <w:rPr>
                <w:rStyle w:val="y2iqfc"/>
                <w:rFonts w:ascii="Times New Roman" w:hAnsi="Times New Roman" w:cs="Times New Roman"/>
                <w:sz w:val="22"/>
                <w:szCs w:val="22"/>
              </w:rPr>
              <w:t>ų</w:t>
            </w:r>
            <w:r w:rsidRPr="00A21A33">
              <w:rPr>
                <w:rStyle w:val="y2iqfc"/>
                <w:rFonts w:ascii="Times New Roman" w:hAnsi="Times New Roman" w:cs="Times New Roman"/>
                <w:sz w:val="22"/>
                <w:szCs w:val="22"/>
              </w:rPr>
              <w:t xml:space="preserve"> nurodė, kad sumažino kitus savo namų ūkio poreikius ir 36 % – kai kuriuos pagrindinius poreikius. Keturi iš 10 namų ūkių šildo tik vieną dalį savo būsto ir išjungia šilumą net esant žemai temperatūrai (praėjusią žiemą jų gyvenamosiose buvo žemesnė nei 18C temperatūra). Kalbant apie sąskaitas už energiją, 1 iš 3 namų ūkių vėluoja apmokėti sąskaitas. </w:t>
            </w:r>
            <w:r w:rsidR="00835C78">
              <w:rPr>
                <w:rStyle w:val="y2iqfc"/>
                <w:rFonts w:ascii="Times New Roman" w:hAnsi="Times New Roman" w:cs="Times New Roman"/>
                <w:sz w:val="22"/>
                <w:szCs w:val="22"/>
              </w:rPr>
              <w:t xml:space="preserve">Remiantis </w:t>
            </w:r>
            <w:r w:rsidRPr="00A21A33">
              <w:rPr>
                <w:rStyle w:val="y2iqfc"/>
                <w:rFonts w:ascii="Times New Roman" w:hAnsi="Times New Roman" w:cs="Times New Roman"/>
                <w:sz w:val="22"/>
                <w:szCs w:val="22"/>
              </w:rPr>
              <w:t>Tarptautinio valiutos fondo (TVF) analiz</w:t>
            </w:r>
            <w:r w:rsidR="00835C78">
              <w:rPr>
                <w:rStyle w:val="y2iqfc"/>
                <w:rFonts w:ascii="Times New Roman" w:hAnsi="Times New Roman" w:cs="Times New Roman"/>
                <w:sz w:val="22"/>
                <w:szCs w:val="22"/>
              </w:rPr>
              <w:t>e</w:t>
            </w:r>
            <w:r w:rsidRPr="00A21A33">
              <w:rPr>
                <w:rStyle w:val="y2iqfc"/>
                <w:rFonts w:ascii="Times New Roman" w:hAnsi="Times New Roman" w:cs="Times New Roman"/>
                <w:sz w:val="22"/>
                <w:szCs w:val="22"/>
              </w:rPr>
              <w:t>, ataskaitoje pažymima, kad Graikijos namų ūkių realių pajamų praradimas dėl energetikos krizės 2022 metais viršys 10 proc.</w:t>
            </w:r>
            <w:r w:rsidR="00A21A33">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Be kitų klausimų, ataskaitoje pažymima, kad Graikija turi vieną didžiausių PVM tarifų EBPO šalyse ir užima pirmą vietą su Suomija euro zonoje. Tačiau dėl didelių netiesioginių mokesčių, mažėja disponuojamos pajamos: nors s</w:t>
            </w:r>
            <w:r w:rsidR="00835C78">
              <w:rPr>
                <w:rStyle w:val="y2iqfc"/>
                <w:rFonts w:ascii="Times New Roman" w:hAnsi="Times New Roman" w:cs="Times New Roman"/>
                <w:sz w:val="22"/>
                <w:szCs w:val="22"/>
              </w:rPr>
              <w:t>kurdesni</w:t>
            </w:r>
            <w:r w:rsidRPr="00A21A33">
              <w:rPr>
                <w:rStyle w:val="y2iqfc"/>
                <w:rFonts w:ascii="Times New Roman" w:hAnsi="Times New Roman" w:cs="Times New Roman"/>
                <w:sz w:val="22"/>
                <w:szCs w:val="22"/>
              </w:rPr>
              <w:t xml:space="preserve"> sluoksniai turi mažesnius tiesioginius mokesčius dėl mažesnių pajamų, jie galiausiai „pralaimi“ dėl didelių netiesioginių prekių ir paslaugų mokesčių.</w:t>
            </w:r>
            <w:r w:rsidR="00A21A33">
              <w:rPr>
                <w:rStyle w:val="y2iqfc"/>
                <w:rFonts w:ascii="Times New Roman" w:hAnsi="Times New Roman" w:cs="Times New Roman"/>
                <w:sz w:val="22"/>
                <w:szCs w:val="22"/>
              </w:rPr>
              <w:t xml:space="preserve"> </w:t>
            </w:r>
            <w:r w:rsidRPr="00A21A33">
              <w:rPr>
                <w:rStyle w:val="y2iqfc"/>
                <w:rFonts w:ascii="Times New Roman" w:hAnsi="Times New Roman" w:cs="Times New Roman"/>
                <w:sz w:val="22"/>
                <w:szCs w:val="22"/>
              </w:rPr>
              <w:t>Ataskaitoje teigiama, kad Graikijoje pajamos iš netiesioginių mokesčių sudaro apie 56,4% mokestinių pajamų, o tiesioginiai mokesčiai – apie 35,4%. Vadinasi, nėra teisingo mokesčių naštos paskirstymo, o mažesnes pajamas</w:t>
            </w:r>
            <w:r>
              <w:rPr>
                <w:rStyle w:val="y2iqfc"/>
              </w:rPr>
              <w:t xml:space="preserve"> </w:t>
            </w:r>
            <w:r w:rsidRPr="00A21A33">
              <w:rPr>
                <w:rStyle w:val="y2iqfc"/>
                <w:rFonts w:ascii="Times New Roman" w:hAnsi="Times New Roman" w:cs="Times New Roman"/>
                <w:sz w:val="22"/>
                <w:szCs w:val="22"/>
              </w:rPr>
              <w:t>gaunančioms grupėms vėl tenka didžiausia našta.</w:t>
            </w:r>
          </w:p>
        </w:tc>
        <w:tc>
          <w:tcPr>
            <w:tcW w:w="2410" w:type="dxa"/>
            <w:shd w:val="clear" w:color="auto" w:fill="auto"/>
            <w:tcMar>
              <w:top w:w="29" w:type="dxa"/>
              <w:left w:w="115" w:type="dxa"/>
              <w:bottom w:w="29" w:type="dxa"/>
              <w:right w:w="115" w:type="dxa"/>
            </w:tcMar>
          </w:tcPr>
          <w:p w:rsidR="008D3C00" w:rsidRPr="0039175E" w:rsidRDefault="00FC572F" w:rsidP="0039175E">
            <w:pPr>
              <w:spacing w:before="120" w:after="120" w:line="240" w:lineRule="auto"/>
              <w:rPr>
                <w:rStyle w:val="Hyperlink"/>
                <w:rFonts w:ascii="Times New Roman" w:hAnsi="Times New Roman"/>
                <w:noProof/>
              </w:rPr>
            </w:pPr>
            <w:r w:rsidRPr="00FC572F">
              <w:rPr>
                <w:rStyle w:val="Hyperlink"/>
                <w:rFonts w:ascii="Times New Roman" w:hAnsi="Times New Roman"/>
                <w:noProof/>
              </w:rPr>
              <w:lastRenderedPageBreak/>
              <w:t>https://www.ekathimerini.com/economy/1195901/poverty-rising-again-in-greece-after-pandemic-report-says/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D77741" w:rsidP="0039175E">
            <w:pPr>
              <w:spacing w:before="120" w:after="120" w:line="240" w:lineRule="auto"/>
              <w:rPr>
                <w:rFonts w:ascii="Times New Roman" w:hAnsi="Times New Roman"/>
              </w:rPr>
            </w:pPr>
            <w:r>
              <w:rPr>
                <w:rFonts w:ascii="Times New Roman" w:hAnsi="Times New Roman"/>
              </w:rPr>
              <w:t>2022 10 22</w:t>
            </w:r>
          </w:p>
        </w:tc>
        <w:tc>
          <w:tcPr>
            <w:tcW w:w="4537" w:type="dxa"/>
            <w:shd w:val="clear" w:color="auto" w:fill="auto"/>
            <w:tcMar>
              <w:top w:w="29" w:type="dxa"/>
              <w:left w:w="115" w:type="dxa"/>
              <w:bottom w:w="29" w:type="dxa"/>
              <w:right w:w="115" w:type="dxa"/>
            </w:tcMar>
          </w:tcPr>
          <w:p w:rsidR="00001088" w:rsidRPr="004528F6" w:rsidRDefault="0053538A" w:rsidP="00F5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AC4110">
              <w:rPr>
                <w:bCs/>
                <w:color w:val="000000"/>
              </w:rPr>
              <w:t>„</w:t>
            </w:r>
            <w:r w:rsidRPr="00AC4110">
              <w:rPr>
                <w:rFonts w:ascii="Times New Roman" w:hAnsi="Times New Roman"/>
                <w:bCs/>
                <w:color w:val="000000"/>
              </w:rPr>
              <w:t xml:space="preserve">Standard &amp; </w:t>
            </w:r>
            <w:proofErr w:type="spellStart"/>
            <w:r w:rsidRPr="00AC4110">
              <w:rPr>
                <w:rFonts w:ascii="Times New Roman" w:hAnsi="Times New Roman"/>
                <w:bCs/>
                <w:color w:val="000000"/>
              </w:rPr>
              <w:t>Poor's</w:t>
            </w:r>
            <w:proofErr w:type="spellEnd"/>
            <w:r w:rsidRPr="00AC4110">
              <w:rPr>
                <w:rFonts w:ascii="Times New Roman" w:hAnsi="Times New Roman"/>
                <w:bCs/>
                <w:color w:val="000000"/>
              </w:rPr>
              <w:t>“ Graikijos kredito reitingą išlaikė BB+,</w:t>
            </w:r>
            <w:r w:rsidRPr="00AC4110">
              <w:rPr>
                <w:rFonts w:ascii="Times New Roman" w:hAnsi="Times New Roman"/>
                <w:color w:val="000000"/>
              </w:rPr>
              <w:t xml:space="preserve"> o tai yra  vienu žingsniu žemiau investicinio lygio, o perspektyva yra stabili. Reitingų agentūra teigia, kad Graikija 2022 metais ir toliau sieks tvirto augimo – 5,8 proc., </w:t>
            </w:r>
            <w:r w:rsidRPr="00AC4110">
              <w:rPr>
                <w:rFonts w:ascii="Times New Roman" w:hAnsi="Times New Roman"/>
                <w:color w:val="000000"/>
              </w:rPr>
              <w:lastRenderedPageBreak/>
              <w:t>tačiau kitais metais mano, kad dėl energetikos krizės poveikis sulėtės iki 1,7 proc</w:t>
            </w:r>
            <w:r>
              <w:rPr>
                <w:rFonts w:ascii="Times New Roman" w:hAnsi="Times New Roman"/>
                <w:color w:val="000000"/>
              </w:rPr>
              <w:t>.</w:t>
            </w:r>
            <w:r w:rsidRPr="00D77741">
              <w:rPr>
                <w:rFonts w:ascii="Times New Roman" w:eastAsia="Times New Roman" w:hAnsi="Times New Roman"/>
                <w:lang w:eastAsia="lt-LT"/>
              </w:rPr>
              <w:t xml:space="preserve"> </w:t>
            </w:r>
            <w:r w:rsidR="00D77741" w:rsidRPr="00D77741">
              <w:rPr>
                <w:rFonts w:ascii="Times New Roman" w:eastAsia="Times New Roman" w:hAnsi="Times New Roman"/>
                <w:lang w:eastAsia="lt-LT"/>
              </w:rPr>
              <w:t xml:space="preserve">S&amp;P kartu su DBRS </w:t>
            </w:r>
            <w:proofErr w:type="spellStart"/>
            <w:r w:rsidR="00D77741" w:rsidRPr="00D77741">
              <w:rPr>
                <w:rFonts w:ascii="Times New Roman" w:eastAsia="Times New Roman" w:hAnsi="Times New Roman"/>
                <w:lang w:eastAsia="lt-LT"/>
              </w:rPr>
              <w:t>Morningstar</w:t>
            </w:r>
            <w:proofErr w:type="spellEnd"/>
            <w:r w:rsidR="00D77741" w:rsidRPr="00D77741">
              <w:rPr>
                <w:rFonts w:ascii="Times New Roman" w:eastAsia="Times New Roman" w:hAnsi="Times New Roman"/>
                <w:lang w:eastAsia="lt-LT"/>
              </w:rPr>
              <w:t xml:space="preserve"> yra viena iš dviejų agentūrų, kurios Graikiją vertina vienu žingsniu žemiau investicinio lygio.</w:t>
            </w:r>
            <w:r w:rsidR="00F5518A">
              <w:rPr>
                <w:rFonts w:ascii="Times New Roman" w:eastAsia="Times New Roman" w:hAnsi="Times New Roman"/>
                <w:lang w:eastAsia="lt-LT"/>
              </w:rPr>
              <w:t xml:space="preserve"> </w:t>
            </w:r>
            <w:r w:rsidR="00D77741" w:rsidRPr="00D77741">
              <w:rPr>
                <w:rFonts w:ascii="Times New Roman" w:eastAsia="Times New Roman" w:hAnsi="Times New Roman"/>
                <w:lang w:eastAsia="lt-LT"/>
              </w:rPr>
              <w:t>Tuo pat metu S&amp;P pažymėjo, kad 12 mėnesių infliacija Graikijoje, atrodo, smuks nuo rugsėjo kelių dešimtmečių aukščiausio lygio, todėl atlyginimai padidės tik nežymiai (antrąjį ketvirtį – 0,9 % per metus), o paklausa susilpnės.</w:t>
            </w:r>
          </w:p>
        </w:tc>
        <w:tc>
          <w:tcPr>
            <w:tcW w:w="2410" w:type="dxa"/>
            <w:shd w:val="clear" w:color="auto" w:fill="auto"/>
            <w:tcMar>
              <w:top w:w="29" w:type="dxa"/>
              <w:left w:w="115" w:type="dxa"/>
              <w:bottom w:w="29" w:type="dxa"/>
              <w:right w:w="115" w:type="dxa"/>
            </w:tcMar>
          </w:tcPr>
          <w:p w:rsidR="00001088" w:rsidRPr="0039175E" w:rsidRDefault="00D77741" w:rsidP="00B5393F">
            <w:pPr>
              <w:spacing w:before="120" w:after="120" w:line="240" w:lineRule="auto"/>
              <w:rPr>
                <w:rStyle w:val="Hyperlink"/>
                <w:rFonts w:ascii="Times New Roman" w:hAnsi="Times New Roman"/>
                <w:noProof/>
              </w:rPr>
            </w:pPr>
            <w:r w:rsidRPr="00D77741">
              <w:rPr>
                <w:rStyle w:val="Hyperlink"/>
                <w:rFonts w:ascii="Times New Roman" w:hAnsi="Times New Roman"/>
                <w:noProof/>
              </w:rPr>
              <w:lastRenderedPageBreak/>
              <w:t>https://www.ekathimerini.com/economy/1196290/sp-keeps-greek-rating-at-bb/</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B173C4" w:rsidP="00B173C4">
            <w:pPr>
              <w:spacing w:before="120" w:after="120" w:line="240" w:lineRule="auto"/>
              <w:rPr>
                <w:rFonts w:ascii="Times New Roman" w:hAnsi="Times New Roman"/>
              </w:rPr>
            </w:pPr>
            <w:r>
              <w:rPr>
                <w:rFonts w:ascii="Times New Roman" w:hAnsi="Times New Roman"/>
              </w:rPr>
              <w:t>2022 10 22</w:t>
            </w:r>
          </w:p>
        </w:tc>
        <w:tc>
          <w:tcPr>
            <w:tcW w:w="4537" w:type="dxa"/>
            <w:shd w:val="clear" w:color="auto" w:fill="auto"/>
            <w:tcMar>
              <w:top w:w="29" w:type="dxa"/>
              <w:left w:w="115" w:type="dxa"/>
              <w:bottom w:w="29" w:type="dxa"/>
              <w:right w:w="115" w:type="dxa"/>
            </w:tcMar>
          </w:tcPr>
          <w:p w:rsidR="00B173C4" w:rsidRPr="004528F6" w:rsidRDefault="00B173C4" w:rsidP="0045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4528F6">
              <w:rPr>
                <w:rFonts w:ascii="Times New Roman" w:eastAsia="Times New Roman" w:hAnsi="Times New Roman"/>
                <w:lang w:eastAsia="lt-LT"/>
              </w:rPr>
              <w:t>Valstybinės užimtumo tarnybos (DYPA – anksčiau vadintas OAED) sąrašuose bedarbiais registruotų darbuotojų skaičius rugsėjį gerokai sumažėjo tiek lyginant su praėjusiu mėnesiu (-5,84 proc.), tiek per metus (-6,10). %), rodo tarnybos statistika. Atrodė, kad šie skaičiai sutampa su „</w:t>
            </w:r>
            <w:proofErr w:type="spellStart"/>
            <w:r w:rsidRPr="004528F6">
              <w:rPr>
                <w:rFonts w:ascii="Times New Roman" w:eastAsia="Times New Roman" w:hAnsi="Times New Roman"/>
                <w:lang w:eastAsia="lt-LT"/>
              </w:rPr>
              <w:t>Ergani</w:t>
            </w:r>
            <w:proofErr w:type="spellEnd"/>
            <w:r w:rsidRPr="004528F6">
              <w:rPr>
                <w:rFonts w:ascii="Times New Roman" w:eastAsia="Times New Roman" w:hAnsi="Times New Roman"/>
                <w:lang w:eastAsia="lt-LT"/>
              </w:rPr>
              <w:t>“ internetiniais duomenimis apie teigiamą darbo eigą, taip pat kryžminį asmenų, teigiančių, kad yra bedarbiai, patikrinimą.</w:t>
            </w:r>
            <w:r w:rsidR="004528F6">
              <w:rPr>
                <w:rFonts w:ascii="Times New Roman" w:eastAsia="Times New Roman" w:hAnsi="Times New Roman"/>
                <w:lang w:eastAsia="lt-LT"/>
              </w:rPr>
              <w:t xml:space="preserve"> </w:t>
            </w:r>
            <w:r w:rsidRPr="004528F6">
              <w:rPr>
                <w:rFonts w:ascii="Times New Roman" w:eastAsia="Times New Roman" w:hAnsi="Times New Roman"/>
                <w:lang w:eastAsia="lt-LT"/>
              </w:rPr>
              <w:t xml:space="preserve">Tiksliau, rugsėjį DYPA nedarbo registruose buvo užregistruoti 889 465 bedarbiai, </w:t>
            </w:r>
            <w:proofErr w:type="spellStart"/>
            <w:r w:rsidRPr="004528F6">
              <w:rPr>
                <w:rFonts w:ascii="Times New Roman" w:eastAsia="Times New Roman" w:hAnsi="Times New Roman"/>
                <w:lang w:eastAsia="lt-LT"/>
              </w:rPr>
              <w:t>ty</w:t>
            </w:r>
            <w:proofErr w:type="spellEnd"/>
            <w:r w:rsidRPr="004528F6">
              <w:rPr>
                <w:rFonts w:ascii="Times New Roman" w:eastAsia="Times New Roman" w:hAnsi="Times New Roman"/>
                <w:lang w:eastAsia="lt-LT"/>
              </w:rPr>
              <w:t xml:space="preserve"> 55 123 mažiau nei 944 588 rugpjūtį. Kasmet mažėjimas buvo didesnis, nes 2021 m. rugpjūčio mėn. tuometiniame OAED buvo registruoti 947 292 bedarbiai (sumažėjimas 57 827 žmonėmis).</w:t>
            </w:r>
            <w:r w:rsidR="004528F6">
              <w:rPr>
                <w:rFonts w:ascii="Times New Roman" w:eastAsia="Times New Roman" w:hAnsi="Times New Roman"/>
                <w:lang w:eastAsia="lt-LT"/>
              </w:rPr>
              <w:t xml:space="preserve"> </w:t>
            </w:r>
          </w:p>
          <w:p w:rsidR="00B173C4" w:rsidRPr="004528F6" w:rsidRDefault="00B173C4" w:rsidP="0045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4528F6">
              <w:rPr>
                <w:rFonts w:ascii="Times New Roman" w:eastAsia="Times New Roman" w:hAnsi="Times New Roman"/>
                <w:lang w:eastAsia="lt-LT"/>
              </w:rPr>
              <w:t xml:space="preserve">Iš viso rugsėjį 175 432 žmonės gavo tam tikrą DYPA subsidiją. Šis skaičius viršija 162 430 subsidijuotų rugpjūtį (+13 002 žmonės, arba 8 proc. padidėjimas). Dramatiškai didelis išlieka ir ilgalaikių bedarbių, t. y. tų, kurie lieka iš darbo rinkos ilgiau nei 12 mėnesių, skaičius. Visų pirma, praėjusį mėnesį tame sąraše buvo 517 934 žmonės, </w:t>
            </w:r>
            <w:proofErr w:type="spellStart"/>
            <w:r w:rsidRPr="004528F6">
              <w:rPr>
                <w:rFonts w:ascii="Times New Roman" w:eastAsia="Times New Roman" w:hAnsi="Times New Roman"/>
                <w:lang w:eastAsia="lt-LT"/>
              </w:rPr>
              <w:t>ty</w:t>
            </w:r>
            <w:proofErr w:type="spellEnd"/>
            <w:r w:rsidRPr="004528F6">
              <w:rPr>
                <w:rFonts w:ascii="Times New Roman" w:eastAsia="Times New Roman" w:hAnsi="Times New Roman"/>
                <w:lang w:eastAsia="lt-LT"/>
              </w:rPr>
              <w:t xml:space="preserve"> beveik šeši iš 10 bedarbių.</w:t>
            </w:r>
            <w:r w:rsidR="004528F6">
              <w:rPr>
                <w:rFonts w:ascii="Times New Roman" w:eastAsia="Times New Roman" w:hAnsi="Times New Roman"/>
                <w:lang w:eastAsia="lt-LT"/>
              </w:rPr>
              <w:t xml:space="preserve"> </w:t>
            </w:r>
            <w:r w:rsidRPr="004528F6">
              <w:rPr>
                <w:rFonts w:ascii="Times New Roman" w:eastAsia="Times New Roman" w:hAnsi="Times New Roman"/>
                <w:lang w:eastAsia="lt-LT"/>
              </w:rPr>
              <w:t>Duomenys taip pat rodo, kad didžioji dauguma bedarbių priklauso produktyviausiam visuomenės sluoksniui, tai yra nuo 30 iki 55 metų amžiaus: 301 099 žmonės nuo 30 iki 44 metų arba 33,85% visų bedarbių, tuo tarpu 45-54 metų amžiaus grupėje yra dar 212 871 žmogus, arba 23,93 proc.</w:t>
            </w:r>
          </w:p>
          <w:p w:rsidR="00B173C4" w:rsidRPr="004528F6" w:rsidRDefault="00B173C4" w:rsidP="0045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4528F6">
              <w:rPr>
                <w:rFonts w:ascii="Times New Roman" w:eastAsia="Times New Roman" w:hAnsi="Times New Roman"/>
                <w:lang w:eastAsia="lt-LT"/>
              </w:rPr>
              <w:t xml:space="preserve">Pažymėtina, kad DYPA direktoriaus </w:t>
            </w:r>
            <w:proofErr w:type="spellStart"/>
            <w:r w:rsidRPr="004528F6">
              <w:rPr>
                <w:rFonts w:ascii="Times New Roman" w:eastAsia="Times New Roman" w:hAnsi="Times New Roman"/>
                <w:lang w:eastAsia="lt-LT"/>
              </w:rPr>
              <w:t>Spyros</w:t>
            </w:r>
            <w:proofErr w:type="spellEnd"/>
            <w:r w:rsidRPr="004528F6">
              <w:rPr>
                <w:rFonts w:ascii="Times New Roman" w:eastAsia="Times New Roman" w:hAnsi="Times New Roman"/>
                <w:lang w:eastAsia="lt-LT"/>
              </w:rPr>
              <w:t xml:space="preserve"> </w:t>
            </w:r>
            <w:proofErr w:type="spellStart"/>
            <w:r w:rsidRPr="004528F6">
              <w:rPr>
                <w:rFonts w:ascii="Times New Roman" w:eastAsia="Times New Roman" w:hAnsi="Times New Roman"/>
                <w:lang w:eastAsia="lt-LT"/>
              </w:rPr>
              <w:t>Protopsaltis</w:t>
            </w:r>
            <w:proofErr w:type="spellEnd"/>
            <w:r w:rsidRPr="004528F6">
              <w:rPr>
                <w:rFonts w:ascii="Times New Roman" w:eastAsia="Times New Roman" w:hAnsi="Times New Roman"/>
                <w:lang w:eastAsia="lt-LT"/>
              </w:rPr>
              <w:t xml:space="preserve"> sprendimu pradėtas DYPA skaitmeninio registro kūrimo procesas, tiksliau – DYPA jau saugomų registrų perkėlimas į jį, siekiant skirti vienkartinę pašalpą. 300 eurų bedarbiams, kurie yra sąraše ilgiau nei penkerius metus, ir kai kurių išmokų (ne bedarbio pašalpos) sumažinimą bedarbiams, kurių metinės individualios pajamos viršija 14 000 eurų.</w:t>
            </w:r>
            <w:r w:rsidR="004528F6">
              <w:rPr>
                <w:rFonts w:ascii="Times New Roman" w:eastAsia="Times New Roman" w:hAnsi="Times New Roman"/>
                <w:lang w:eastAsia="lt-LT"/>
              </w:rPr>
              <w:t xml:space="preserve"> </w:t>
            </w:r>
          </w:p>
          <w:p w:rsidR="008D3C00" w:rsidRPr="004528F6" w:rsidRDefault="00B173C4" w:rsidP="0045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4528F6">
              <w:rPr>
                <w:rFonts w:ascii="Times New Roman" w:eastAsia="Times New Roman" w:hAnsi="Times New Roman"/>
                <w:lang w:eastAsia="lt-LT"/>
              </w:rPr>
              <w:t>300 eurų pašalpa bus skiriama penkerius ir daugiau metų bedarbiams ir DYPA registruotiems asmenims, jeigu jie sutiks su individualaus veiksmų plano sudarymu.</w:t>
            </w:r>
          </w:p>
        </w:tc>
        <w:tc>
          <w:tcPr>
            <w:tcW w:w="2410" w:type="dxa"/>
            <w:shd w:val="clear" w:color="auto" w:fill="auto"/>
            <w:tcMar>
              <w:top w:w="29" w:type="dxa"/>
              <w:left w:w="115" w:type="dxa"/>
              <w:bottom w:w="29" w:type="dxa"/>
              <w:right w:w="115" w:type="dxa"/>
            </w:tcMar>
          </w:tcPr>
          <w:p w:rsidR="00316FE9" w:rsidRPr="0039175E" w:rsidRDefault="00B173C4" w:rsidP="00B23F07">
            <w:pPr>
              <w:spacing w:before="120" w:after="120" w:line="240" w:lineRule="auto"/>
              <w:rPr>
                <w:rStyle w:val="Hyperlink"/>
                <w:rFonts w:ascii="Times New Roman" w:hAnsi="Times New Roman"/>
                <w:noProof/>
              </w:rPr>
            </w:pPr>
            <w:r w:rsidRPr="00B173C4">
              <w:rPr>
                <w:rStyle w:val="Hyperlink"/>
                <w:rFonts w:ascii="Times New Roman" w:hAnsi="Times New Roman"/>
                <w:noProof/>
              </w:rPr>
              <w:t>https://www.ekathimerini.com/economy/1196237/reduction-to-dypa-registered-jobless/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C060D" w:rsidRPr="00B561E0" w:rsidTr="0039175E">
        <w:trPr>
          <w:trHeight w:val="216"/>
        </w:trPr>
        <w:tc>
          <w:tcPr>
            <w:tcW w:w="1270" w:type="dxa"/>
            <w:shd w:val="clear" w:color="auto" w:fill="auto"/>
            <w:tcMar>
              <w:top w:w="29" w:type="dxa"/>
              <w:left w:w="115" w:type="dxa"/>
              <w:bottom w:w="29" w:type="dxa"/>
              <w:right w:w="115" w:type="dxa"/>
            </w:tcMar>
          </w:tcPr>
          <w:p w:rsidR="006C060D" w:rsidRDefault="00CE6B31" w:rsidP="0039175E">
            <w:pPr>
              <w:spacing w:before="120" w:after="120" w:line="240" w:lineRule="auto"/>
              <w:rPr>
                <w:rFonts w:ascii="Times New Roman" w:hAnsi="Times New Roman"/>
              </w:rPr>
            </w:pPr>
            <w:r>
              <w:rPr>
                <w:rFonts w:ascii="Times New Roman" w:hAnsi="Times New Roman"/>
              </w:rPr>
              <w:t xml:space="preserve">2022 10 25 </w:t>
            </w:r>
          </w:p>
        </w:tc>
        <w:tc>
          <w:tcPr>
            <w:tcW w:w="4537" w:type="dxa"/>
            <w:shd w:val="clear" w:color="auto" w:fill="auto"/>
            <w:tcMar>
              <w:top w:w="29" w:type="dxa"/>
              <w:left w:w="115" w:type="dxa"/>
              <w:bottom w:w="29" w:type="dxa"/>
              <w:right w:w="115" w:type="dxa"/>
            </w:tcMar>
          </w:tcPr>
          <w:p w:rsidR="006C060D" w:rsidRPr="00C677BE" w:rsidRDefault="00CE6B31" w:rsidP="00F6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677BE">
              <w:rPr>
                <w:rFonts w:ascii="Times New Roman" w:eastAsia="Times New Roman" w:hAnsi="Times New Roman"/>
                <w:lang w:eastAsia="lt-LT"/>
              </w:rPr>
              <w:t xml:space="preserve">Dar trys tarptautinės įmonės diskutuoja su kompetentingomis valstybės institucijomis, siekdamos plėtoti duomenų centrus Graikijoje, nes šalis tampa tarptautinių skaitmeninių </w:t>
            </w:r>
            <w:r w:rsidRPr="00C677BE">
              <w:rPr>
                <w:rFonts w:ascii="Times New Roman" w:eastAsia="Times New Roman" w:hAnsi="Times New Roman"/>
                <w:lang w:eastAsia="lt-LT"/>
              </w:rPr>
              <w:lastRenderedPageBreak/>
              <w:t xml:space="preserve">duomenų maršrutų </w:t>
            </w:r>
            <w:r w:rsidR="00F678FB">
              <w:rPr>
                <w:rFonts w:ascii="Times New Roman" w:eastAsia="Times New Roman" w:hAnsi="Times New Roman"/>
                <w:lang w:eastAsia="lt-LT"/>
              </w:rPr>
              <w:t>protagonistu (</w:t>
            </w:r>
            <w:r w:rsidR="00A56E27">
              <w:rPr>
                <w:rFonts w:ascii="Times New Roman" w:eastAsia="Times New Roman" w:hAnsi="Times New Roman"/>
                <w:lang w:eastAsia="lt-LT"/>
              </w:rPr>
              <w:t>centru</w:t>
            </w:r>
            <w:r w:rsidR="00F678FB">
              <w:rPr>
                <w:rFonts w:ascii="Times New Roman" w:eastAsia="Times New Roman" w:hAnsi="Times New Roman"/>
                <w:lang w:eastAsia="lt-LT"/>
              </w:rPr>
              <w:t>)</w:t>
            </w:r>
            <w:r w:rsidRPr="00C677BE">
              <w:rPr>
                <w:rFonts w:ascii="Times New Roman" w:eastAsia="Times New Roman" w:hAnsi="Times New Roman"/>
                <w:lang w:eastAsia="lt-LT"/>
              </w:rPr>
              <w:t>, pritraukiančia IT įmonių ekosistemą.</w:t>
            </w:r>
            <w:r w:rsidR="00C677BE">
              <w:rPr>
                <w:rFonts w:ascii="Times New Roman" w:eastAsia="Times New Roman" w:hAnsi="Times New Roman"/>
                <w:lang w:eastAsia="lt-LT"/>
              </w:rPr>
              <w:t xml:space="preserve"> </w:t>
            </w:r>
            <w:r w:rsidR="00A56E27">
              <w:rPr>
                <w:rFonts w:ascii="Times New Roman" w:eastAsia="Times New Roman" w:hAnsi="Times New Roman"/>
                <w:lang w:eastAsia="lt-LT"/>
              </w:rPr>
              <w:t xml:space="preserve">Anot </w:t>
            </w:r>
            <w:r w:rsidR="00A56E27" w:rsidRPr="00C677BE">
              <w:rPr>
                <w:rFonts w:ascii="Times New Roman" w:eastAsia="Times New Roman" w:hAnsi="Times New Roman"/>
                <w:lang w:eastAsia="lt-LT"/>
              </w:rPr>
              <w:t>generalini</w:t>
            </w:r>
            <w:r w:rsidR="00A56E27">
              <w:rPr>
                <w:rFonts w:ascii="Times New Roman" w:eastAsia="Times New Roman" w:hAnsi="Times New Roman"/>
                <w:lang w:eastAsia="lt-LT"/>
              </w:rPr>
              <w:t>o</w:t>
            </w:r>
            <w:r w:rsidR="00A56E27" w:rsidRPr="00C677BE">
              <w:rPr>
                <w:rFonts w:ascii="Times New Roman" w:eastAsia="Times New Roman" w:hAnsi="Times New Roman"/>
                <w:lang w:eastAsia="lt-LT"/>
              </w:rPr>
              <w:t xml:space="preserve"> sekretori</w:t>
            </w:r>
            <w:r w:rsidR="00A56E27">
              <w:rPr>
                <w:rFonts w:ascii="Times New Roman" w:eastAsia="Times New Roman" w:hAnsi="Times New Roman"/>
                <w:lang w:eastAsia="lt-LT"/>
              </w:rPr>
              <w:t>a</w:t>
            </w:r>
            <w:r w:rsidR="00A56E27" w:rsidRPr="00C677BE">
              <w:rPr>
                <w:rFonts w:ascii="Times New Roman" w:eastAsia="Times New Roman" w:hAnsi="Times New Roman"/>
                <w:lang w:eastAsia="lt-LT"/>
              </w:rPr>
              <w:t>us tarptautiniams ekonominiams ryšiams ir</w:t>
            </w:r>
            <w:r w:rsidR="00A56E27">
              <w:rPr>
                <w:rFonts w:ascii="Times New Roman" w:eastAsia="Times New Roman" w:hAnsi="Times New Roman"/>
                <w:lang w:eastAsia="lt-LT"/>
              </w:rPr>
              <w:t xml:space="preserve"> </w:t>
            </w:r>
            <w:proofErr w:type="spellStart"/>
            <w:r w:rsidR="00A56E27">
              <w:rPr>
                <w:rFonts w:ascii="Times New Roman" w:eastAsia="Times New Roman" w:hAnsi="Times New Roman"/>
                <w:lang w:eastAsia="lt-LT"/>
              </w:rPr>
              <w:t>Enterprise</w:t>
            </w:r>
            <w:proofErr w:type="spellEnd"/>
            <w:r w:rsidR="00A56E27">
              <w:rPr>
                <w:rFonts w:ascii="Times New Roman" w:eastAsia="Times New Roman" w:hAnsi="Times New Roman"/>
                <w:lang w:eastAsia="lt-LT"/>
              </w:rPr>
              <w:t xml:space="preserve"> Graikijos prezidento</w:t>
            </w:r>
            <w:r w:rsidR="00A56E27" w:rsidRPr="00C677BE">
              <w:rPr>
                <w:rFonts w:ascii="Times New Roman" w:eastAsia="Times New Roman" w:hAnsi="Times New Roman"/>
                <w:lang w:eastAsia="lt-LT"/>
              </w:rPr>
              <w:t xml:space="preserve"> </w:t>
            </w:r>
            <w:proofErr w:type="spellStart"/>
            <w:r w:rsidR="00A56E27" w:rsidRPr="00C677BE">
              <w:rPr>
                <w:rFonts w:ascii="Times New Roman" w:eastAsia="Times New Roman" w:hAnsi="Times New Roman"/>
                <w:lang w:eastAsia="lt-LT"/>
              </w:rPr>
              <w:t>Gianni</w:t>
            </w:r>
            <w:r w:rsidR="00F678FB">
              <w:rPr>
                <w:rFonts w:ascii="Times New Roman" w:eastAsia="Times New Roman" w:hAnsi="Times New Roman"/>
                <w:lang w:eastAsia="lt-LT"/>
              </w:rPr>
              <w:t>s</w:t>
            </w:r>
            <w:proofErr w:type="spellEnd"/>
            <w:r w:rsidR="00A56E27" w:rsidRPr="00C677BE">
              <w:rPr>
                <w:rFonts w:ascii="Times New Roman" w:eastAsia="Times New Roman" w:hAnsi="Times New Roman"/>
                <w:lang w:eastAsia="lt-LT"/>
              </w:rPr>
              <w:t xml:space="preserve"> </w:t>
            </w:r>
            <w:proofErr w:type="spellStart"/>
            <w:r w:rsidR="00A56E27" w:rsidRPr="00C677BE">
              <w:rPr>
                <w:rFonts w:ascii="Times New Roman" w:eastAsia="Times New Roman" w:hAnsi="Times New Roman"/>
                <w:lang w:eastAsia="lt-LT"/>
              </w:rPr>
              <w:t>Smyrlis</w:t>
            </w:r>
            <w:proofErr w:type="spellEnd"/>
            <w:r w:rsidR="00A56E27">
              <w:rPr>
                <w:rFonts w:ascii="Times New Roman" w:eastAsia="Times New Roman" w:hAnsi="Times New Roman"/>
                <w:lang w:eastAsia="lt-LT"/>
              </w:rPr>
              <w:t>, š</w:t>
            </w:r>
            <w:r w:rsidRPr="00C677BE">
              <w:rPr>
                <w:rFonts w:ascii="Times New Roman" w:eastAsia="Times New Roman" w:hAnsi="Times New Roman"/>
                <w:lang w:eastAsia="lt-LT"/>
              </w:rPr>
              <w:t>ios trys bendrovės turi verslo planų, kurių bendras biudž</w:t>
            </w:r>
            <w:r w:rsidR="00A56E27">
              <w:rPr>
                <w:rFonts w:ascii="Times New Roman" w:eastAsia="Times New Roman" w:hAnsi="Times New Roman"/>
                <w:lang w:eastAsia="lt-LT"/>
              </w:rPr>
              <w:t>etas viršija 1,5 milijardo eurų.</w:t>
            </w:r>
            <w:r w:rsidRPr="00C677BE">
              <w:rPr>
                <w:rFonts w:ascii="Times New Roman" w:eastAsia="Times New Roman" w:hAnsi="Times New Roman"/>
                <w:lang w:eastAsia="lt-LT"/>
              </w:rPr>
              <w:t xml:space="preserve"> Diskusijos </w:t>
            </w:r>
            <w:r w:rsidR="00A56E27">
              <w:rPr>
                <w:rFonts w:ascii="Times New Roman" w:eastAsia="Times New Roman" w:hAnsi="Times New Roman"/>
                <w:lang w:eastAsia="lt-LT"/>
              </w:rPr>
              <w:t>eina į pabaigą</w:t>
            </w:r>
            <w:r w:rsidRPr="00C677BE">
              <w:rPr>
                <w:rFonts w:ascii="Times New Roman" w:eastAsia="Times New Roman" w:hAnsi="Times New Roman"/>
                <w:lang w:eastAsia="lt-LT"/>
              </w:rPr>
              <w:t xml:space="preserve"> ir artimiausiu metu laukiama paraiškų dėl verslo planų įtraukimo į strateginio investavimo </w:t>
            </w:r>
            <w:r w:rsidR="00A56E27">
              <w:rPr>
                <w:rFonts w:ascii="Times New Roman" w:eastAsia="Times New Roman" w:hAnsi="Times New Roman"/>
                <w:lang w:eastAsia="lt-LT"/>
              </w:rPr>
              <w:t>planą</w:t>
            </w:r>
            <w:r w:rsidRPr="00C677BE">
              <w:rPr>
                <w:rFonts w:ascii="Times New Roman" w:eastAsia="Times New Roman" w:hAnsi="Times New Roman"/>
                <w:lang w:eastAsia="lt-LT"/>
              </w:rPr>
              <w:t>. Nors „</w:t>
            </w:r>
            <w:proofErr w:type="spellStart"/>
            <w:r w:rsidRPr="00C677BE">
              <w:rPr>
                <w:rFonts w:ascii="Times New Roman" w:eastAsia="Times New Roman" w:hAnsi="Times New Roman"/>
                <w:lang w:eastAsia="lt-LT"/>
              </w:rPr>
              <w:t>Enterprise</w:t>
            </w:r>
            <w:proofErr w:type="spellEnd"/>
            <w:r w:rsidRPr="00C677BE">
              <w:rPr>
                <w:rFonts w:ascii="Times New Roman" w:eastAsia="Times New Roman" w:hAnsi="Times New Roman"/>
                <w:lang w:eastAsia="lt-LT"/>
              </w:rPr>
              <w:t xml:space="preserve"> </w:t>
            </w:r>
            <w:proofErr w:type="spellStart"/>
            <w:r w:rsidRPr="00C677BE">
              <w:rPr>
                <w:rFonts w:ascii="Times New Roman" w:eastAsia="Times New Roman" w:hAnsi="Times New Roman"/>
                <w:lang w:eastAsia="lt-LT"/>
              </w:rPr>
              <w:t>Greece</w:t>
            </w:r>
            <w:proofErr w:type="spellEnd"/>
            <w:r w:rsidRPr="00C677BE">
              <w:rPr>
                <w:rFonts w:ascii="Times New Roman" w:eastAsia="Times New Roman" w:hAnsi="Times New Roman"/>
                <w:lang w:eastAsia="lt-LT"/>
              </w:rPr>
              <w:t xml:space="preserve">“ vadovas teigia, kad jis </w:t>
            </w:r>
            <w:r w:rsidR="00A56E27">
              <w:rPr>
                <w:rFonts w:ascii="Times New Roman" w:eastAsia="Times New Roman" w:hAnsi="Times New Roman"/>
                <w:lang w:eastAsia="lt-LT"/>
              </w:rPr>
              <w:t xml:space="preserve">negali </w:t>
            </w:r>
            <w:r w:rsidRPr="00C677BE">
              <w:rPr>
                <w:rFonts w:ascii="Times New Roman" w:eastAsia="Times New Roman" w:hAnsi="Times New Roman"/>
                <w:lang w:eastAsia="lt-LT"/>
              </w:rPr>
              <w:t xml:space="preserve">atskleisti aptariamų įmonių tapatybės, </w:t>
            </w:r>
            <w:r w:rsidR="00F678FB">
              <w:rPr>
                <w:rFonts w:ascii="Times New Roman" w:eastAsia="Times New Roman" w:hAnsi="Times New Roman"/>
                <w:lang w:eastAsia="lt-LT"/>
              </w:rPr>
              <w:t xml:space="preserve">remiantis </w:t>
            </w:r>
            <w:r w:rsidRPr="00C677BE">
              <w:rPr>
                <w:rFonts w:ascii="Times New Roman" w:eastAsia="Times New Roman" w:hAnsi="Times New Roman"/>
                <w:lang w:eastAsia="lt-LT"/>
              </w:rPr>
              <w:t>rinkos šaltini</w:t>
            </w:r>
            <w:r w:rsidR="00F678FB">
              <w:rPr>
                <w:rFonts w:ascii="Times New Roman" w:eastAsia="Times New Roman" w:hAnsi="Times New Roman"/>
                <w:lang w:eastAsia="lt-LT"/>
              </w:rPr>
              <w:t>ų</w:t>
            </w:r>
            <w:r w:rsidRPr="00C677BE">
              <w:rPr>
                <w:rFonts w:ascii="Times New Roman" w:eastAsia="Times New Roman" w:hAnsi="Times New Roman"/>
                <w:lang w:eastAsia="lt-LT"/>
              </w:rPr>
              <w:t xml:space="preserve"> </w:t>
            </w:r>
            <w:r w:rsidR="00F678FB">
              <w:rPr>
                <w:rFonts w:ascii="Times New Roman" w:eastAsia="Times New Roman" w:hAnsi="Times New Roman"/>
                <w:lang w:eastAsia="lt-LT"/>
              </w:rPr>
              <w:t>duomenimis</w:t>
            </w:r>
            <w:r w:rsidRPr="00C677BE">
              <w:rPr>
                <w:rFonts w:ascii="Times New Roman" w:eastAsia="Times New Roman" w:hAnsi="Times New Roman"/>
                <w:lang w:eastAsia="lt-LT"/>
              </w:rPr>
              <w:t>, tai gali būti tokios grupės kaip „</w:t>
            </w:r>
            <w:proofErr w:type="spellStart"/>
            <w:r w:rsidRPr="00C677BE">
              <w:rPr>
                <w:rFonts w:ascii="Times New Roman" w:eastAsia="Times New Roman" w:hAnsi="Times New Roman"/>
                <w:lang w:eastAsia="lt-LT"/>
              </w:rPr>
              <w:t>Equinix</w:t>
            </w:r>
            <w:proofErr w:type="spellEnd"/>
            <w:r w:rsidRPr="00C677BE">
              <w:rPr>
                <w:rFonts w:ascii="Times New Roman" w:eastAsia="Times New Roman" w:hAnsi="Times New Roman"/>
                <w:lang w:eastAsia="lt-LT"/>
              </w:rPr>
              <w:t>“, „</w:t>
            </w:r>
            <w:proofErr w:type="spellStart"/>
            <w:r w:rsidRPr="00C677BE">
              <w:rPr>
                <w:rFonts w:ascii="Times New Roman" w:eastAsia="Times New Roman" w:hAnsi="Times New Roman"/>
                <w:lang w:eastAsia="lt-LT"/>
              </w:rPr>
              <w:t>CyrusOne</w:t>
            </w:r>
            <w:proofErr w:type="spellEnd"/>
            <w:r w:rsidRPr="00C677BE">
              <w:rPr>
                <w:rFonts w:ascii="Times New Roman" w:eastAsia="Times New Roman" w:hAnsi="Times New Roman"/>
                <w:lang w:eastAsia="lt-LT"/>
              </w:rPr>
              <w:t>“, „</w:t>
            </w:r>
            <w:proofErr w:type="spellStart"/>
            <w:r w:rsidRPr="00C677BE">
              <w:rPr>
                <w:rFonts w:ascii="Times New Roman" w:eastAsia="Times New Roman" w:hAnsi="Times New Roman"/>
                <w:lang w:eastAsia="lt-LT"/>
              </w:rPr>
              <w:t>Expedient</w:t>
            </w:r>
            <w:proofErr w:type="spellEnd"/>
            <w:r w:rsidRPr="00C677BE">
              <w:rPr>
                <w:rFonts w:ascii="Times New Roman" w:eastAsia="Times New Roman" w:hAnsi="Times New Roman"/>
                <w:lang w:eastAsia="lt-LT"/>
              </w:rPr>
              <w:t>“ ar „</w:t>
            </w:r>
            <w:proofErr w:type="spellStart"/>
            <w:r w:rsidRPr="00C677BE">
              <w:rPr>
                <w:rFonts w:ascii="Times New Roman" w:eastAsia="Times New Roman" w:hAnsi="Times New Roman"/>
                <w:lang w:eastAsia="lt-LT"/>
              </w:rPr>
              <w:t>Iron</w:t>
            </w:r>
            <w:proofErr w:type="spellEnd"/>
            <w:r w:rsidRPr="00C677BE">
              <w:rPr>
                <w:rFonts w:ascii="Times New Roman" w:eastAsia="Times New Roman" w:hAnsi="Times New Roman"/>
                <w:lang w:eastAsia="lt-LT"/>
              </w:rPr>
              <w:t xml:space="preserve"> </w:t>
            </w:r>
            <w:proofErr w:type="spellStart"/>
            <w:r w:rsidRPr="00C677BE">
              <w:rPr>
                <w:rFonts w:ascii="Times New Roman" w:eastAsia="Times New Roman" w:hAnsi="Times New Roman"/>
                <w:lang w:eastAsia="lt-LT"/>
              </w:rPr>
              <w:t>Mountain</w:t>
            </w:r>
            <w:proofErr w:type="spellEnd"/>
            <w:r w:rsidRPr="00C677BE">
              <w:rPr>
                <w:rFonts w:ascii="Times New Roman" w:eastAsia="Times New Roman" w:hAnsi="Times New Roman"/>
                <w:lang w:eastAsia="lt-LT"/>
              </w:rPr>
              <w:t>“.</w:t>
            </w:r>
            <w:r w:rsidR="00C677BE">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6C060D" w:rsidRPr="0009102A" w:rsidRDefault="00CE6B31" w:rsidP="0039175E">
            <w:pPr>
              <w:spacing w:before="120" w:after="120" w:line="240" w:lineRule="auto"/>
              <w:rPr>
                <w:rStyle w:val="Hyperlink"/>
                <w:rFonts w:ascii="Times New Roman" w:hAnsi="Times New Roman"/>
                <w:noProof/>
              </w:rPr>
            </w:pPr>
            <w:r w:rsidRPr="00CE6B31">
              <w:rPr>
                <w:rStyle w:val="Hyperlink"/>
                <w:rFonts w:ascii="Times New Roman" w:hAnsi="Times New Roman"/>
                <w:noProof/>
              </w:rPr>
              <w:lastRenderedPageBreak/>
              <w:t>https://www.ekathimerini.com/economy/11963</w:t>
            </w:r>
            <w:r w:rsidRPr="00CE6B31">
              <w:rPr>
                <w:rStyle w:val="Hyperlink"/>
                <w:rFonts w:ascii="Times New Roman" w:hAnsi="Times New Roman"/>
                <w:noProof/>
              </w:rPr>
              <w:lastRenderedPageBreak/>
              <w:t>35/more-data-centers-planned/</w:t>
            </w:r>
          </w:p>
        </w:tc>
        <w:tc>
          <w:tcPr>
            <w:tcW w:w="1559" w:type="dxa"/>
            <w:shd w:val="clear" w:color="auto" w:fill="auto"/>
            <w:tcMar>
              <w:top w:w="29" w:type="dxa"/>
              <w:left w:w="115" w:type="dxa"/>
              <w:bottom w:w="29" w:type="dxa"/>
              <w:right w:w="115" w:type="dxa"/>
            </w:tcMar>
          </w:tcPr>
          <w:p w:rsidR="006C060D" w:rsidRPr="0039175E" w:rsidRDefault="006C060D"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09102A" w:rsidP="0039175E">
            <w:pPr>
              <w:spacing w:before="120" w:after="120" w:line="240" w:lineRule="auto"/>
              <w:rPr>
                <w:rFonts w:ascii="Times New Roman" w:hAnsi="Times New Roman"/>
              </w:rPr>
            </w:pPr>
            <w:r>
              <w:rPr>
                <w:rFonts w:ascii="Times New Roman" w:hAnsi="Times New Roman"/>
              </w:rPr>
              <w:t>2022 10 25</w:t>
            </w:r>
          </w:p>
        </w:tc>
        <w:tc>
          <w:tcPr>
            <w:tcW w:w="4537" w:type="dxa"/>
            <w:shd w:val="clear" w:color="auto" w:fill="auto"/>
            <w:tcMar>
              <w:top w:w="29" w:type="dxa"/>
              <w:left w:w="115" w:type="dxa"/>
              <w:bottom w:w="29" w:type="dxa"/>
              <w:right w:w="115" w:type="dxa"/>
            </w:tcMar>
          </w:tcPr>
          <w:p w:rsidR="008D3C00" w:rsidRPr="0009102A" w:rsidRDefault="0009102A" w:rsidP="003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09102A">
              <w:rPr>
                <w:rFonts w:ascii="Times New Roman" w:eastAsia="Times New Roman" w:hAnsi="Times New Roman"/>
                <w:lang w:eastAsia="lt-LT"/>
              </w:rPr>
              <w:t xml:space="preserve">Suskystintų gamtinių dujų terminalas </w:t>
            </w:r>
            <w:proofErr w:type="spellStart"/>
            <w:r w:rsidRPr="0009102A">
              <w:rPr>
                <w:rFonts w:ascii="Times New Roman" w:eastAsia="Times New Roman" w:hAnsi="Times New Roman"/>
                <w:lang w:eastAsia="lt-LT"/>
              </w:rPr>
              <w:t>Revithoussa</w:t>
            </w:r>
            <w:proofErr w:type="spellEnd"/>
            <w:r w:rsidRPr="0009102A">
              <w:rPr>
                <w:rFonts w:ascii="Times New Roman" w:eastAsia="Times New Roman" w:hAnsi="Times New Roman"/>
                <w:lang w:eastAsia="lt-LT"/>
              </w:rPr>
              <w:t xml:space="preserve"> saloje, esantis į vakarus nuo Atėnų, virsta daugiafunkciniu, užtikrinančiu Graikijos ir Pietryčių Europos energijos </w:t>
            </w:r>
            <w:r w:rsidR="00102F64">
              <w:rPr>
                <w:rFonts w:ascii="Times New Roman" w:eastAsia="Times New Roman" w:hAnsi="Times New Roman"/>
                <w:lang w:eastAsia="lt-LT"/>
              </w:rPr>
              <w:t>ir dujų tiekimą centru</w:t>
            </w:r>
            <w:r w:rsidRPr="0009102A">
              <w:rPr>
                <w:rFonts w:ascii="Times New Roman" w:eastAsia="Times New Roman" w:hAnsi="Times New Roman"/>
                <w:lang w:eastAsia="lt-LT"/>
              </w:rPr>
              <w:t xml:space="preserve">. Remiantis oficialiais dujų tinklų operatoriaus DESFA duomenimis, iki 2022 m. rugpjūčio mėn. SGD pristatymas į </w:t>
            </w:r>
            <w:proofErr w:type="spellStart"/>
            <w:r w:rsidRPr="0009102A">
              <w:rPr>
                <w:rFonts w:ascii="Times New Roman" w:eastAsia="Times New Roman" w:hAnsi="Times New Roman"/>
                <w:lang w:eastAsia="lt-LT"/>
              </w:rPr>
              <w:t>Revithoussa</w:t>
            </w:r>
            <w:proofErr w:type="spellEnd"/>
            <w:r w:rsidRPr="0009102A">
              <w:rPr>
                <w:rFonts w:ascii="Times New Roman" w:eastAsia="Times New Roman" w:hAnsi="Times New Roman"/>
                <w:lang w:eastAsia="lt-LT"/>
              </w:rPr>
              <w:t xml:space="preserve"> buvo 63% didesnis nei 2021 m</w:t>
            </w:r>
            <w:r w:rsidR="00335089">
              <w:rPr>
                <w:rFonts w:ascii="Times New Roman" w:eastAsia="Times New Roman" w:hAnsi="Times New Roman"/>
                <w:lang w:eastAsia="lt-LT"/>
              </w:rPr>
              <w:t>etais</w:t>
            </w:r>
            <w:r w:rsidRPr="0009102A">
              <w:rPr>
                <w:rFonts w:ascii="Times New Roman" w:eastAsia="Times New Roman" w:hAnsi="Times New Roman"/>
                <w:lang w:eastAsia="lt-LT"/>
              </w:rPr>
              <w:t>, o bendras krovinių kiekis išaugo daugiau nei dvigubai (154%).</w:t>
            </w:r>
            <w:r w:rsidR="00CE6B31">
              <w:rPr>
                <w:rFonts w:ascii="Times New Roman" w:eastAsia="Times New Roman" w:hAnsi="Times New Roman"/>
                <w:lang w:eastAsia="lt-LT"/>
              </w:rPr>
              <w:t xml:space="preserve"> </w:t>
            </w:r>
            <w:r w:rsidRPr="0009102A">
              <w:rPr>
                <w:rFonts w:ascii="Times New Roman" w:eastAsia="Times New Roman" w:hAnsi="Times New Roman"/>
                <w:lang w:eastAsia="lt-LT"/>
              </w:rPr>
              <w:t>„</w:t>
            </w:r>
            <w:proofErr w:type="spellStart"/>
            <w:r w:rsidRPr="0009102A">
              <w:rPr>
                <w:rFonts w:ascii="Times New Roman" w:eastAsia="Times New Roman" w:hAnsi="Times New Roman"/>
                <w:lang w:eastAsia="lt-LT"/>
              </w:rPr>
              <w:t>Revthoussa</w:t>
            </w:r>
            <w:proofErr w:type="spellEnd"/>
            <w:r w:rsidRPr="0009102A">
              <w:rPr>
                <w:rFonts w:ascii="Times New Roman" w:eastAsia="Times New Roman" w:hAnsi="Times New Roman"/>
                <w:lang w:eastAsia="lt-LT"/>
              </w:rPr>
              <w:t>“ veiklos padidėjimas padengia trūk</w:t>
            </w:r>
            <w:r w:rsidR="00102F64">
              <w:rPr>
                <w:rFonts w:ascii="Times New Roman" w:eastAsia="Times New Roman" w:hAnsi="Times New Roman"/>
                <w:lang w:eastAsia="lt-LT"/>
              </w:rPr>
              <w:t>umą</w:t>
            </w:r>
            <w:r w:rsidRPr="0009102A">
              <w:rPr>
                <w:rFonts w:ascii="Times New Roman" w:eastAsia="Times New Roman" w:hAnsi="Times New Roman"/>
                <w:lang w:eastAsia="lt-LT"/>
              </w:rPr>
              <w:t>, susidariusį dėl sumažėjusio tiekimo iš Rusijos per „</w:t>
            </w:r>
            <w:proofErr w:type="spellStart"/>
            <w:r w:rsidRPr="0009102A">
              <w:rPr>
                <w:rFonts w:ascii="Times New Roman" w:eastAsia="Times New Roman" w:hAnsi="Times New Roman"/>
                <w:lang w:eastAsia="lt-LT"/>
              </w:rPr>
              <w:t>TurkStream</w:t>
            </w:r>
            <w:proofErr w:type="spellEnd"/>
            <w:r w:rsidRPr="0009102A">
              <w:rPr>
                <w:rFonts w:ascii="Times New Roman" w:eastAsia="Times New Roman" w:hAnsi="Times New Roman"/>
                <w:lang w:eastAsia="lt-LT"/>
              </w:rPr>
              <w:t xml:space="preserve">“ dujotiekį, kuris šiemet užima 18% rinkos, </w:t>
            </w:r>
            <w:r w:rsidR="00102F64">
              <w:rPr>
                <w:rFonts w:ascii="Times New Roman" w:eastAsia="Times New Roman" w:hAnsi="Times New Roman"/>
                <w:lang w:eastAsia="lt-LT"/>
              </w:rPr>
              <w:t xml:space="preserve">2021 metais </w:t>
            </w:r>
            <w:r w:rsidR="00335089">
              <w:rPr>
                <w:rFonts w:ascii="Times New Roman" w:eastAsia="Times New Roman" w:hAnsi="Times New Roman"/>
                <w:lang w:eastAsia="lt-LT"/>
              </w:rPr>
              <w:t xml:space="preserve"> -</w:t>
            </w:r>
            <w:r w:rsidRPr="0009102A">
              <w:rPr>
                <w:rFonts w:ascii="Times New Roman" w:eastAsia="Times New Roman" w:hAnsi="Times New Roman"/>
                <w:lang w:eastAsia="lt-LT"/>
              </w:rPr>
              <w:t xml:space="preserve">45%  taip pat didelę gamtinių dujų eksporto į </w:t>
            </w:r>
            <w:r w:rsidR="00335089">
              <w:rPr>
                <w:rFonts w:ascii="Times New Roman" w:eastAsia="Times New Roman" w:hAnsi="Times New Roman"/>
                <w:lang w:eastAsia="lt-LT"/>
              </w:rPr>
              <w:t>regiono šalis</w:t>
            </w:r>
            <w:r w:rsidRPr="0009102A">
              <w:rPr>
                <w:rFonts w:ascii="Times New Roman" w:eastAsia="Times New Roman" w:hAnsi="Times New Roman"/>
                <w:lang w:eastAsia="lt-LT"/>
              </w:rPr>
              <w:t>, kuriam „Gazprom“ sustabdė gamtinių dujų tiekimą</w:t>
            </w:r>
            <w:r w:rsidR="00335089">
              <w:rPr>
                <w:rFonts w:ascii="Times New Roman" w:eastAsia="Times New Roman" w:hAnsi="Times New Roman"/>
                <w:lang w:eastAsia="lt-LT"/>
              </w:rPr>
              <w:t xml:space="preserve"> </w:t>
            </w:r>
            <w:proofErr w:type="spellStart"/>
            <w:r w:rsidR="00335089">
              <w:rPr>
                <w:rFonts w:ascii="Times New Roman" w:eastAsia="Times New Roman" w:hAnsi="Times New Roman"/>
                <w:lang w:eastAsia="lt-LT"/>
              </w:rPr>
              <w:t>t.y</w:t>
            </w:r>
            <w:proofErr w:type="spellEnd"/>
            <w:r w:rsidR="00335089">
              <w:rPr>
                <w:rFonts w:ascii="Times New Roman" w:eastAsia="Times New Roman" w:hAnsi="Times New Roman"/>
                <w:lang w:eastAsia="lt-LT"/>
              </w:rPr>
              <w:t>. Bulgariją</w:t>
            </w:r>
            <w:r w:rsidRPr="0009102A">
              <w:rPr>
                <w:rFonts w:ascii="Times New Roman" w:eastAsia="Times New Roman" w:hAnsi="Times New Roman"/>
                <w:lang w:eastAsia="lt-LT"/>
              </w:rPr>
              <w:t>.</w:t>
            </w:r>
            <w:r w:rsidR="00335089">
              <w:rPr>
                <w:rFonts w:ascii="Times New Roman" w:eastAsia="Times New Roman" w:hAnsi="Times New Roman"/>
                <w:lang w:eastAsia="lt-LT"/>
              </w:rPr>
              <w:t xml:space="preserve"> </w:t>
            </w:r>
            <w:r w:rsidRPr="0009102A">
              <w:rPr>
                <w:rFonts w:ascii="Times New Roman" w:eastAsia="Times New Roman" w:hAnsi="Times New Roman"/>
                <w:lang w:eastAsia="lt-LT"/>
              </w:rPr>
              <w:t>Be to, gautos paraiškos iš Rumunijos ir Ukrainos.</w:t>
            </w:r>
          </w:p>
        </w:tc>
        <w:tc>
          <w:tcPr>
            <w:tcW w:w="2410" w:type="dxa"/>
            <w:shd w:val="clear" w:color="auto" w:fill="auto"/>
            <w:tcMar>
              <w:top w:w="29" w:type="dxa"/>
              <w:left w:w="115" w:type="dxa"/>
              <w:bottom w:w="29" w:type="dxa"/>
              <w:right w:w="115" w:type="dxa"/>
            </w:tcMar>
          </w:tcPr>
          <w:p w:rsidR="00FA4DAD" w:rsidRPr="0039175E" w:rsidRDefault="0009102A" w:rsidP="0039175E">
            <w:pPr>
              <w:spacing w:before="120" w:after="120" w:line="240" w:lineRule="auto"/>
              <w:rPr>
                <w:rStyle w:val="Hyperlink"/>
                <w:rFonts w:ascii="Times New Roman" w:hAnsi="Times New Roman"/>
                <w:noProof/>
              </w:rPr>
            </w:pPr>
            <w:r w:rsidRPr="0009102A">
              <w:rPr>
                <w:rStyle w:val="Hyperlink"/>
                <w:rFonts w:ascii="Times New Roman" w:hAnsi="Times New Roman"/>
                <w:noProof/>
              </w:rPr>
              <w:t>https://www.ekathimerini.com/economy/1196386/more-eyes-turn-to-revithoussa-lng-terminal/</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0274CF" w:rsidRPr="00B561E0" w:rsidTr="0039175E">
        <w:trPr>
          <w:trHeight w:val="216"/>
        </w:trPr>
        <w:tc>
          <w:tcPr>
            <w:tcW w:w="1270" w:type="dxa"/>
            <w:shd w:val="clear" w:color="auto" w:fill="auto"/>
            <w:tcMar>
              <w:top w:w="29" w:type="dxa"/>
              <w:left w:w="115" w:type="dxa"/>
              <w:bottom w:w="29" w:type="dxa"/>
              <w:right w:w="115" w:type="dxa"/>
            </w:tcMar>
          </w:tcPr>
          <w:p w:rsidR="000274CF" w:rsidRDefault="000274CF" w:rsidP="0039175E">
            <w:pPr>
              <w:spacing w:before="120" w:after="120" w:line="240" w:lineRule="auto"/>
              <w:rPr>
                <w:rFonts w:ascii="Times New Roman" w:hAnsi="Times New Roman"/>
              </w:rPr>
            </w:pPr>
            <w:r>
              <w:rPr>
                <w:rFonts w:ascii="Times New Roman" w:hAnsi="Times New Roman"/>
              </w:rPr>
              <w:t>2022 10 26</w:t>
            </w:r>
          </w:p>
        </w:tc>
        <w:tc>
          <w:tcPr>
            <w:tcW w:w="4537" w:type="dxa"/>
            <w:shd w:val="clear" w:color="auto" w:fill="auto"/>
            <w:tcMar>
              <w:top w:w="29" w:type="dxa"/>
              <w:left w:w="115" w:type="dxa"/>
              <w:bottom w:w="29" w:type="dxa"/>
              <w:right w:w="115" w:type="dxa"/>
            </w:tcMar>
          </w:tcPr>
          <w:p w:rsidR="000274CF" w:rsidRPr="00C677BE" w:rsidRDefault="000274CF" w:rsidP="0056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677BE">
              <w:rPr>
                <w:rFonts w:ascii="Times New Roman" w:eastAsia="Times New Roman" w:hAnsi="Times New Roman"/>
                <w:lang w:eastAsia="lt-LT"/>
              </w:rPr>
              <w:t>Graikijos grįžimas į tarptautines kapitalo rinkas buvo sutiktas su dideliu susidomėjimu</w:t>
            </w:r>
            <w:r w:rsidR="00560703">
              <w:rPr>
                <w:rFonts w:ascii="Times New Roman" w:eastAsia="Times New Roman" w:hAnsi="Times New Roman"/>
                <w:lang w:eastAsia="lt-LT"/>
              </w:rPr>
              <w:t xml:space="preserve"> iš investuotojų pusės. </w:t>
            </w:r>
            <w:r w:rsidRPr="00C677BE">
              <w:rPr>
                <w:rFonts w:ascii="Times New Roman" w:eastAsia="Times New Roman" w:hAnsi="Times New Roman"/>
                <w:lang w:eastAsia="lt-LT"/>
              </w:rPr>
              <w:t>Valstybinės skolos valdymo institucija paskelbė, kad pasiūlymai viršijo 1,865 milijardus eurų, o Graikijos valstybė galiausiai priėmė 975 milijonų eurų vertės pasiūlymus, palyginti su pradiniu 750 milijonų eurų tikslu.</w:t>
            </w:r>
            <w:r w:rsidR="001B7CED">
              <w:rPr>
                <w:rFonts w:ascii="Times New Roman" w:eastAsia="Times New Roman" w:hAnsi="Times New Roman"/>
                <w:lang w:eastAsia="lt-LT"/>
              </w:rPr>
              <w:t xml:space="preserve"> </w:t>
            </w:r>
            <w:r w:rsidRPr="00C677BE">
              <w:rPr>
                <w:rFonts w:ascii="Times New Roman" w:eastAsia="Times New Roman" w:hAnsi="Times New Roman"/>
                <w:lang w:eastAsia="lt-LT"/>
              </w:rPr>
              <w:t>Obligacijos kaina buvo nustatyta 99,30 bazinių punktų.</w:t>
            </w:r>
            <w:r w:rsidR="001B7CED">
              <w:rPr>
                <w:rFonts w:ascii="Times New Roman" w:eastAsia="Times New Roman" w:hAnsi="Times New Roman"/>
                <w:lang w:eastAsia="lt-LT"/>
              </w:rPr>
              <w:t xml:space="preserve"> </w:t>
            </w:r>
            <w:r w:rsidRPr="00C677BE">
              <w:rPr>
                <w:rFonts w:ascii="Times New Roman" w:eastAsia="Times New Roman" w:hAnsi="Times New Roman"/>
                <w:lang w:eastAsia="lt-LT"/>
              </w:rPr>
              <w:t>PDMA aukcione taip pat parduos 26 savaičių trukmės iždo vekselius, kurių vertė 625 mln.</w:t>
            </w:r>
          </w:p>
        </w:tc>
        <w:tc>
          <w:tcPr>
            <w:tcW w:w="2410" w:type="dxa"/>
            <w:shd w:val="clear" w:color="auto" w:fill="auto"/>
            <w:tcMar>
              <w:top w:w="29" w:type="dxa"/>
              <w:left w:w="115" w:type="dxa"/>
              <w:bottom w:w="29" w:type="dxa"/>
              <w:right w:w="115" w:type="dxa"/>
            </w:tcMar>
          </w:tcPr>
          <w:p w:rsidR="000274CF" w:rsidRPr="0009102A" w:rsidRDefault="000274CF" w:rsidP="0039175E">
            <w:pPr>
              <w:spacing w:before="120" w:after="120" w:line="240" w:lineRule="auto"/>
              <w:rPr>
                <w:rStyle w:val="Hyperlink"/>
                <w:rFonts w:ascii="Times New Roman" w:hAnsi="Times New Roman"/>
                <w:noProof/>
              </w:rPr>
            </w:pPr>
            <w:r w:rsidRPr="000274CF">
              <w:rPr>
                <w:rStyle w:val="Hyperlink"/>
                <w:rFonts w:ascii="Times New Roman" w:hAnsi="Times New Roman"/>
                <w:noProof/>
              </w:rPr>
              <w:t>https://www.ekathimerini.com/economy/1196483/bond-reopening-raises-e975-million/</w:t>
            </w:r>
          </w:p>
        </w:tc>
        <w:tc>
          <w:tcPr>
            <w:tcW w:w="1559" w:type="dxa"/>
            <w:shd w:val="clear" w:color="auto" w:fill="auto"/>
            <w:tcMar>
              <w:top w:w="29" w:type="dxa"/>
              <w:left w:w="115" w:type="dxa"/>
              <w:bottom w:w="29" w:type="dxa"/>
              <w:right w:w="115" w:type="dxa"/>
            </w:tcMar>
          </w:tcPr>
          <w:p w:rsidR="000274CF" w:rsidRPr="0039175E" w:rsidRDefault="000274CF"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BB0018" w:rsidP="0039175E">
            <w:pPr>
              <w:spacing w:before="120" w:after="120" w:line="240" w:lineRule="auto"/>
              <w:rPr>
                <w:rFonts w:ascii="Times New Roman" w:hAnsi="Times New Roman"/>
              </w:rPr>
            </w:pPr>
            <w:r>
              <w:rPr>
                <w:rFonts w:ascii="Times New Roman" w:hAnsi="Times New Roman"/>
              </w:rPr>
              <w:t>2022 10 28</w:t>
            </w:r>
          </w:p>
        </w:tc>
        <w:tc>
          <w:tcPr>
            <w:tcW w:w="4537" w:type="dxa"/>
            <w:shd w:val="clear" w:color="auto" w:fill="auto"/>
            <w:tcMar>
              <w:top w:w="29" w:type="dxa"/>
              <w:left w:w="115" w:type="dxa"/>
              <w:bottom w:w="29" w:type="dxa"/>
              <w:right w:w="115" w:type="dxa"/>
            </w:tcMar>
          </w:tcPr>
          <w:p w:rsidR="008D3C00" w:rsidRPr="00BB0018" w:rsidRDefault="00BB0018" w:rsidP="006F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BB0018">
              <w:rPr>
                <w:rFonts w:ascii="Times New Roman" w:eastAsia="Times New Roman" w:hAnsi="Times New Roman"/>
                <w:lang w:eastAsia="lt-LT"/>
              </w:rPr>
              <w:t>Vyriausybės pareigūnai yra užsiėmę energijos vartojimo mažinimo 5 proc. planu, kuris nuo 2022 m. gruodžio 1 d. iki 2023 m. kovo 31 d. bus privalomas pramonės šakoms. Sunkumai kyla dėl to, kad Graikija negali realiu laiku išmatuoti namų ūkių ir įmonių, prijungtų prie žemos įtam</w:t>
            </w:r>
            <w:r w:rsidR="00804E50">
              <w:rPr>
                <w:rFonts w:ascii="Times New Roman" w:eastAsia="Times New Roman" w:hAnsi="Times New Roman"/>
                <w:lang w:eastAsia="lt-LT"/>
              </w:rPr>
              <w:t xml:space="preserve">pos tinklo, suvartojimo, o tai </w:t>
            </w:r>
            <w:r w:rsidRPr="00BB0018">
              <w:rPr>
                <w:rFonts w:ascii="Times New Roman" w:eastAsia="Times New Roman" w:hAnsi="Times New Roman"/>
                <w:lang w:eastAsia="lt-LT"/>
              </w:rPr>
              <w:t xml:space="preserve">yra didžiausia </w:t>
            </w:r>
            <w:r w:rsidR="00804E50">
              <w:rPr>
                <w:rFonts w:ascii="Times New Roman" w:eastAsia="Times New Roman" w:hAnsi="Times New Roman"/>
                <w:lang w:eastAsia="lt-LT"/>
              </w:rPr>
              <w:t>rinkos</w:t>
            </w:r>
            <w:r w:rsidRPr="00BB0018">
              <w:rPr>
                <w:rFonts w:ascii="Times New Roman" w:eastAsia="Times New Roman" w:hAnsi="Times New Roman"/>
                <w:lang w:eastAsia="lt-LT"/>
              </w:rPr>
              <w:t xml:space="preserve"> dalis, kuri sudaro 65 % visos paklausos. Ministras Kostas </w:t>
            </w:r>
            <w:proofErr w:type="spellStart"/>
            <w:r w:rsidRPr="00BB0018">
              <w:rPr>
                <w:rFonts w:ascii="Times New Roman" w:eastAsia="Times New Roman" w:hAnsi="Times New Roman"/>
                <w:lang w:eastAsia="lt-LT"/>
              </w:rPr>
              <w:t>Skrekas</w:t>
            </w:r>
            <w:proofErr w:type="spellEnd"/>
            <w:r w:rsidRPr="00BB0018">
              <w:rPr>
                <w:rFonts w:ascii="Times New Roman" w:eastAsia="Times New Roman" w:hAnsi="Times New Roman"/>
                <w:lang w:eastAsia="lt-LT"/>
              </w:rPr>
              <w:t xml:space="preserve"> pripažino, kad namų ūkių energijos taupymo individualiai išmatuoti negalima, nes dar neįdiegti išmanieji skaitikliai</w:t>
            </w:r>
            <w:r w:rsidR="00804E50">
              <w:rPr>
                <w:rFonts w:ascii="Times New Roman" w:eastAsia="Times New Roman" w:hAnsi="Times New Roman"/>
                <w:lang w:eastAsia="lt-LT"/>
              </w:rPr>
              <w:t xml:space="preserve">, </w:t>
            </w:r>
            <w:r w:rsidRPr="00BB0018">
              <w:rPr>
                <w:rFonts w:ascii="Times New Roman" w:eastAsia="Times New Roman" w:hAnsi="Times New Roman"/>
                <w:lang w:eastAsia="lt-LT"/>
              </w:rPr>
              <w:t xml:space="preserve"> todėl </w:t>
            </w:r>
            <w:r w:rsidR="00804E50">
              <w:rPr>
                <w:rFonts w:ascii="Times New Roman" w:eastAsia="Times New Roman" w:hAnsi="Times New Roman"/>
                <w:lang w:eastAsia="lt-LT"/>
              </w:rPr>
              <w:t xml:space="preserve">anot </w:t>
            </w:r>
            <w:r w:rsidRPr="00BB0018">
              <w:rPr>
                <w:rFonts w:ascii="Times New Roman" w:eastAsia="Times New Roman" w:hAnsi="Times New Roman"/>
                <w:lang w:eastAsia="lt-LT"/>
              </w:rPr>
              <w:t>j</w:t>
            </w:r>
            <w:r w:rsidR="00804E50">
              <w:rPr>
                <w:rFonts w:ascii="Times New Roman" w:eastAsia="Times New Roman" w:hAnsi="Times New Roman"/>
                <w:lang w:eastAsia="lt-LT"/>
              </w:rPr>
              <w:t>o</w:t>
            </w:r>
            <w:r w:rsidR="006F3085">
              <w:rPr>
                <w:rFonts w:ascii="Times New Roman" w:eastAsia="Times New Roman" w:hAnsi="Times New Roman"/>
                <w:lang w:eastAsia="lt-LT"/>
              </w:rPr>
              <w:t>,</w:t>
            </w:r>
            <w:r w:rsidRPr="00BB0018">
              <w:rPr>
                <w:rFonts w:ascii="Times New Roman" w:eastAsia="Times New Roman" w:hAnsi="Times New Roman"/>
                <w:lang w:eastAsia="lt-LT"/>
              </w:rPr>
              <w:t xml:space="preserve"> </w:t>
            </w:r>
            <w:r w:rsidR="006F3085">
              <w:rPr>
                <w:rFonts w:ascii="Times New Roman" w:eastAsia="Times New Roman" w:hAnsi="Times New Roman"/>
                <w:lang w:eastAsia="lt-LT"/>
              </w:rPr>
              <w:t>savaime suprantama</w:t>
            </w:r>
            <w:r w:rsidRPr="00BB0018">
              <w:rPr>
                <w:rFonts w:ascii="Times New Roman" w:eastAsia="Times New Roman" w:hAnsi="Times New Roman"/>
                <w:lang w:eastAsia="lt-LT"/>
              </w:rPr>
              <w:t>, kad 5 proc. privalomą taupymą padengs pramonė.</w:t>
            </w:r>
            <w:r w:rsidR="00A47D9F">
              <w:rPr>
                <w:rFonts w:ascii="Times New Roman" w:eastAsia="Times New Roman" w:hAnsi="Times New Roman"/>
                <w:lang w:eastAsia="lt-LT"/>
              </w:rPr>
              <w:t xml:space="preserve"> </w:t>
            </w:r>
            <w:r w:rsidRPr="00BB0018">
              <w:rPr>
                <w:rFonts w:ascii="Times New Roman" w:eastAsia="Times New Roman" w:hAnsi="Times New Roman"/>
                <w:lang w:eastAsia="lt-LT"/>
              </w:rPr>
              <w:t xml:space="preserve">Remdamasi istoriniais 2017–2022 m. laikotarpio </w:t>
            </w:r>
            <w:r w:rsidRPr="00BB0018">
              <w:rPr>
                <w:rFonts w:ascii="Times New Roman" w:eastAsia="Times New Roman" w:hAnsi="Times New Roman"/>
                <w:lang w:eastAsia="lt-LT"/>
              </w:rPr>
              <w:lastRenderedPageBreak/>
              <w:t xml:space="preserve">duomenimis, ADMIE nustatė, kad sistemos piko valandos yra nuo 18 iki 21 val. Jos sudarytame konfidencialiame plane numatytas privalomas suvartojimo mažinimas kiekvieną dieną nuo gruodžio 1 d. iki kovo 31 d. apie 300 megavatų per valandą per tą trijų valandų laikotarpį (18-21 val.). Iš viso per keturis mėnesius turėtų būti sutaupyta 104 545 </w:t>
            </w:r>
            <w:proofErr w:type="spellStart"/>
            <w:r w:rsidRPr="00BB0018">
              <w:rPr>
                <w:rFonts w:ascii="Times New Roman" w:eastAsia="Times New Roman" w:hAnsi="Times New Roman"/>
                <w:lang w:eastAsia="lt-LT"/>
              </w:rPr>
              <w:t>MWh</w:t>
            </w:r>
            <w:proofErr w:type="spellEnd"/>
            <w:r w:rsidRPr="00BB0018">
              <w:rPr>
                <w:rFonts w:ascii="Times New Roman" w:eastAsia="Times New Roman" w:hAnsi="Times New Roman"/>
                <w:lang w:eastAsia="lt-LT"/>
              </w:rPr>
              <w:t xml:space="preserve"> – suma atitinka vienos didelės pramonės įmonės keturių mėnesių suvartojimą.</w:t>
            </w:r>
          </w:p>
        </w:tc>
        <w:tc>
          <w:tcPr>
            <w:tcW w:w="2410" w:type="dxa"/>
            <w:shd w:val="clear" w:color="auto" w:fill="auto"/>
            <w:tcMar>
              <w:top w:w="29" w:type="dxa"/>
              <w:left w:w="115" w:type="dxa"/>
              <w:bottom w:w="29" w:type="dxa"/>
              <w:right w:w="115" w:type="dxa"/>
            </w:tcMar>
          </w:tcPr>
          <w:p w:rsidR="005E3516" w:rsidRPr="00BB0018" w:rsidRDefault="00EA22F6" w:rsidP="0039175E">
            <w:pPr>
              <w:spacing w:before="120" w:after="120" w:line="240" w:lineRule="auto"/>
              <w:rPr>
                <w:rFonts w:ascii="Times New Roman" w:hAnsi="Times New Roman"/>
              </w:rPr>
            </w:pPr>
            <w:hyperlink r:id="rId12" w:history="1">
              <w:r w:rsidR="00BB0018" w:rsidRPr="00BB0018">
                <w:rPr>
                  <w:rStyle w:val="Hyperlink"/>
                  <w:rFonts w:ascii="Times New Roman" w:hAnsi="Times New Roman"/>
                </w:rPr>
                <w:t>https://www.ekathimerini.com/economy/1196660/industry-faces-5-energy-cut/</w:t>
              </w:r>
            </w:hyperlink>
          </w:p>
          <w:p w:rsidR="00BB0018" w:rsidRPr="00BB0018" w:rsidRDefault="00BB0018" w:rsidP="0039175E">
            <w:pPr>
              <w:spacing w:before="120" w:after="120" w:line="240" w:lineRule="auto"/>
              <w:rPr>
                <w:rFonts w:ascii="Times New Roman" w:hAnsi="Times New Roman"/>
              </w:rPr>
            </w:pPr>
          </w:p>
          <w:p w:rsidR="005E3516" w:rsidRPr="00BB0018" w:rsidRDefault="005E3516" w:rsidP="0039175E">
            <w:pPr>
              <w:spacing w:before="120" w:after="120" w:line="240" w:lineRule="auto"/>
              <w:rPr>
                <w:rStyle w:val="Hyperlink"/>
                <w:rFonts w:ascii="Times New Roman" w:hAnsi="Times New Roman"/>
                <w:noProof/>
              </w:rPr>
            </w:pP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C060D" w:rsidRPr="00B561E0" w:rsidTr="0039175E">
        <w:trPr>
          <w:trHeight w:val="216"/>
        </w:trPr>
        <w:tc>
          <w:tcPr>
            <w:tcW w:w="1270" w:type="dxa"/>
            <w:shd w:val="clear" w:color="auto" w:fill="auto"/>
            <w:tcMar>
              <w:top w:w="29" w:type="dxa"/>
              <w:left w:w="115" w:type="dxa"/>
              <w:bottom w:w="29" w:type="dxa"/>
              <w:right w:w="115" w:type="dxa"/>
            </w:tcMar>
          </w:tcPr>
          <w:p w:rsidR="006C060D" w:rsidRDefault="006C060D" w:rsidP="0039175E">
            <w:pPr>
              <w:spacing w:before="120" w:after="120" w:line="240" w:lineRule="auto"/>
              <w:rPr>
                <w:rFonts w:ascii="Times New Roman" w:hAnsi="Times New Roman"/>
              </w:rPr>
            </w:pPr>
            <w:r>
              <w:rPr>
                <w:rFonts w:ascii="Times New Roman" w:hAnsi="Times New Roman"/>
              </w:rPr>
              <w:t>2022 10 28</w:t>
            </w:r>
          </w:p>
        </w:tc>
        <w:tc>
          <w:tcPr>
            <w:tcW w:w="4537" w:type="dxa"/>
            <w:shd w:val="clear" w:color="auto" w:fill="auto"/>
            <w:tcMar>
              <w:top w:w="29" w:type="dxa"/>
              <w:left w:w="115" w:type="dxa"/>
              <w:bottom w:w="29" w:type="dxa"/>
              <w:right w:w="115" w:type="dxa"/>
            </w:tcMar>
          </w:tcPr>
          <w:p w:rsidR="006C060D" w:rsidRPr="00BB0018" w:rsidRDefault="006C060D" w:rsidP="002B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C060D">
              <w:rPr>
                <w:rFonts w:ascii="Times New Roman" w:eastAsia="Times New Roman" w:hAnsi="Times New Roman"/>
                <w:lang w:eastAsia="lt-LT"/>
              </w:rPr>
              <w:t xml:space="preserve">Valstybės subsidijos už elektros energijos sąskaitas lapkritį bus sumažintos iki 430 mln. eurų, nuo 1,1 mlrd. Energetikos ministerija paskelbė 238 eurų už </w:t>
            </w:r>
            <w:proofErr w:type="spellStart"/>
            <w:r w:rsidRPr="006C060D">
              <w:rPr>
                <w:rFonts w:ascii="Times New Roman" w:eastAsia="Times New Roman" w:hAnsi="Times New Roman"/>
                <w:lang w:eastAsia="lt-LT"/>
              </w:rPr>
              <w:t>megavatvalandę</w:t>
            </w:r>
            <w:proofErr w:type="spellEnd"/>
            <w:r w:rsidRPr="006C060D">
              <w:rPr>
                <w:rFonts w:ascii="Times New Roman" w:eastAsia="Times New Roman" w:hAnsi="Times New Roman"/>
                <w:lang w:eastAsia="lt-LT"/>
              </w:rPr>
              <w:t xml:space="preserve"> horizontalią subsidiją visam pirmojo lygio namų ūkio vartojimui iki 500 kilovatvalandžių, o tai sudaro 90% Graikijos namų ūkių. Vartojusiems nuo 501 iki 1000 KWh subsidija yra 188 €/</w:t>
            </w:r>
            <w:proofErr w:type="spellStart"/>
            <w:r w:rsidRPr="006C060D">
              <w:rPr>
                <w:rFonts w:ascii="Times New Roman" w:eastAsia="Times New Roman" w:hAnsi="Times New Roman"/>
                <w:lang w:eastAsia="lt-LT"/>
              </w:rPr>
              <w:t>MWh</w:t>
            </w:r>
            <w:proofErr w:type="spellEnd"/>
            <w:r w:rsidRPr="006C060D">
              <w:rPr>
                <w:rFonts w:ascii="Times New Roman" w:eastAsia="Times New Roman" w:hAnsi="Times New Roman"/>
                <w:lang w:eastAsia="lt-LT"/>
              </w:rPr>
              <w:t>, o virš 1000 KWh – 98 €/</w:t>
            </w:r>
            <w:proofErr w:type="spellStart"/>
            <w:r w:rsidRPr="006C060D">
              <w:rPr>
                <w:rFonts w:ascii="Times New Roman" w:eastAsia="Times New Roman" w:hAnsi="Times New Roman"/>
                <w:lang w:eastAsia="lt-LT"/>
              </w:rPr>
              <w:t>MWh</w:t>
            </w:r>
            <w:proofErr w:type="spellEnd"/>
            <w:r w:rsidRPr="006C060D">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6C060D" w:rsidRDefault="00EA22F6" w:rsidP="0039175E">
            <w:pPr>
              <w:spacing w:before="120" w:after="120" w:line="240" w:lineRule="auto"/>
              <w:rPr>
                <w:rFonts w:ascii="Times New Roman" w:hAnsi="Times New Roman"/>
              </w:rPr>
            </w:pPr>
            <w:hyperlink r:id="rId13" w:history="1">
              <w:r w:rsidR="006C060D" w:rsidRPr="00C65869">
                <w:rPr>
                  <w:rStyle w:val="Hyperlink"/>
                  <w:rFonts w:ascii="Times New Roman" w:hAnsi="Times New Roman"/>
                </w:rPr>
                <w:t>https://www.ekathimerini.com/economy/1196664/november-electricity-subsidies-to-drop-to-430-million-euros/</w:t>
              </w:r>
            </w:hyperlink>
          </w:p>
          <w:p w:rsidR="006C060D" w:rsidRPr="00BB0018" w:rsidRDefault="006C060D" w:rsidP="0039175E">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6C060D" w:rsidRPr="0039175E" w:rsidRDefault="006C060D" w:rsidP="0039175E">
            <w:pPr>
              <w:spacing w:before="120" w:after="120" w:line="240" w:lineRule="auto"/>
              <w:rPr>
                <w:rFonts w:ascii="Times New Roman" w:hAnsi="Times New Roman"/>
                <w:noProof/>
              </w:rPr>
            </w:pPr>
          </w:p>
        </w:tc>
      </w:tr>
      <w:tr w:rsidR="00A72B97" w:rsidRPr="00B561E0" w:rsidTr="0039175E">
        <w:trPr>
          <w:trHeight w:val="216"/>
        </w:trPr>
        <w:tc>
          <w:tcPr>
            <w:tcW w:w="1270" w:type="dxa"/>
            <w:shd w:val="clear" w:color="auto" w:fill="auto"/>
            <w:tcMar>
              <w:top w:w="29" w:type="dxa"/>
              <w:left w:w="115" w:type="dxa"/>
              <w:bottom w:w="29" w:type="dxa"/>
              <w:right w:w="115" w:type="dxa"/>
            </w:tcMar>
          </w:tcPr>
          <w:p w:rsidR="00A72B97" w:rsidRDefault="00DF353E" w:rsidP="0039175E">
            <w:pPr>
              <w:spacing w:before="120" w:after="120" w:line="240" w:lineRule="auto"/>
              <w:rPr>
                <w:rFonts w:ascii="Times New Roman" w:hAnsi="Times New Roman"/>
              </w:rPr>
            </w:pPr>
            <w:r>
              <w:rPr>
                <w:rFonts w:ascii="Times New Roman" w:hAnsi="Times New Roman"/>
              </w:rPr>
              <w:t>2022 10 31</w:t>
            </w:r>
          </w:p>
        </w:tc>
        <w:tc>
          <w:tcPr>
            <w:tcW w:w="4537" w:type="dxa"/>
            <w:shd w:val="clear" w:color="auto" w:fill="auto"/>
            <w:tcMar>
              <w:top w:w="29" w:type="dxa"/>
              <w:left w:w="115" w:type="dxa"/>
              <w:bottom w:w="29" w:type="dxa"/>
              <w:right w:w="115" w:type="dxa"/>
            </w:tcMar>
          </w:tcPr>
          <w:p w:rsidR="00A72B97" w:rsidRPr="00DF353E" w:rsidRDefault="00DF353E" w:rsidP="002B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DF353E">
              <w:rPr>
                <w:rFonts w:ascii="Times New Roman" w:eastAsia="Times New Roman" w:hAnsi="Times New Roman"/>
                <w:lang w:eastAsia="lt-LT"/>
              </w:rPr>
              <w:t>Pastaruoju metu smarkiai sumažintos gamtinių dujų kainos skatina infliacijos sumažėjimą, nes dujų indėlis į kainų kilimą Graikijoje viršija 50%.</w:t>
            </w:r>
            <w:r w:rsidR="002B0F1C">
              <w:rPr>
                <w:rFonts w:ascii="Times New Roman" w:eastAsia="Times New Roman" w:hAnsi="Times New Roman"/>
                <w:lang w:eastAsia="lt-LT"/>
              </w:rPr>
              <w:t xml:space="preserve"> </w:t>
            </w:r>
            <w:r w:rsidRPr="00DF353E">
              <w:rPr>
                <w:rFonts w:ascii="Times New Roman" w:eastAsia="Times New Roman" w:hAnsi="Times New Roman"/>
                <w:lang w:eastAsia="lt-LT"/>
              </w:rPr>
              <w:t>Tuo pa</w:t>
            </w:r>
            <w:r w:rsidR="002B0F1C">
              <w:rPr>
                <w:rFonts w:ascii="Times New Roman" w:eastAsia="Times New Roman" w:hAnsi="Times New Roman"/>
                <w:lang w:eastAsia="lt-LT"/>
              </w:rPr>
              <w:t>t</w:t>
            </w:r>
            <w:r w:rsidRPr="00DF353E">
              <w:rPr>
                <w:rFonts w:ascii="Times New Roman" w:eastAsia="Times New Roman" w:hAnsi="Times New Roman"/>
                <w:lang w:eastAsia="lt-LT"/>
              </w:rPr>
              <w:t xml:space="preserve"> metu bendras energijos kainų mažėjimas gali užkirsti kelią bet kokiam antriniam poveikiui kitų produktų, paslaugų ir atlyginimų kainoms.</w:t>
            </w:r>
            <w:r w:rsidR="002B0F1C">
              <w:rPr>
                <w:rFonts w:ascii="Times New Roman" w:eastAsia="Times New Roman" w:hAnsi="Times New Roman"/>
                <w:lang w:eastAsia="lt-LT"/>
              </w:rPr>
              <w:t xml:space="preserve"> </w:t>
            </w:r>
            <w:r w:rsidRPr="00DF353E">
              <w:rPr>
                <w:rFonts w:ascii="Times New Roman" w:eastAsia="Times New Roman" w:hAnsi="Times New Roman"/>
                <w:lang w:eastAsia="lt-LT"/>
              </w:rPr>
              <w:t xml:space="preserve">Tačiau galimą infliacijos sulėtėjimą taip pat gali lemti reikšmingas paklausos sumažėjimas, sukeldamas tolesnį augimo sulėtėjimą, jei ne nuosmukį. Net jei energijos kurso kritimas tęsis, infliacijos mažėjimas nebus greitas, nes produktų atsargos buvo pagamintos brangiai, o kai kurios gamybos sąnaudos </w:t>
            </w:r>
            <w:r w:rsidR="002B0F1C">
              <w:rPr>
                <w:rFonts w:ascii="Times New Roman" w:eastAsia="Times New Roman" w:hAnsi="Times New Roman"/>
                <w:lang w:eastAsia="lt-LT"/>
              </w:rPr>
              <w:t>toliau</w:t>
            </w:r>
            <w:r w:rsidRPr="00DF353E">
              <w:rPr>
                <w:rFonts w:ascii="Times New Roman" w:eastAsia="Times New Roman" w:hAnsi="Times New Roman"/>
                <w:lang w:eastAsia="lt-LT"/>
              </w:rPr>
              <w:t xml:space="preserve"> auga.</w:t>
            </w:r>
          </w:p>
        </w:tc>
        <w:tc>
          <w:tcPr>
            <w:tcW w:w="2410" w:type="dxa"/>
            <w:shd w:val="clear" w:color="auto" w:fill="auto"/>
            <w:tcMar>
              <w:top w:w="29" w:type="dxa"/>
              <w:left w:w="115" w:type="dxa"/>
              <w:bottom w:w="29" w:type="dxa"/>
              <w:right w:w="115" w:type="dxa"/>
            </w:tcMar>
          </w:tcPr>
          <w:p w:rsidR="009C1D50" w:rsidRDefault="00EA22F6" w:rsidP="00804E97">
            <w:pPr>
              <w:spacing w:before="120" w:after="120" w:line="240" w:lineRule="auto"/>
              <w:rPr>
                <w:rFonts w:ascii="Times New Roman" w:hAnsi="Times New Roman"/>
              </w:rPr>
            </w:pPr>
            <w:hyperlink r:id="rId14" w:history="1">
              <w:r w:rsidR="00DF353E" w:rsidRPr="00C65869">
                <w:rPr>
                  <w:rStyle w:val="Hyperlink"/>
                  <w:rFonts w:ascii="Times New Roman" w:hAnsi="Times New Roman"/>
                </w:rPr>
                <w:t>https://www.ekathimerini.com/economy/1196767/gas-rate-drop-may-take-a-while-to-trickle-down-to-retail-prices/</w:t>
              </w:r>
            </w:hyperlink>
          </w:p>
          <w:p w:rsidR="00DF353E" w:rsidRPr="0017654F" w:rsidRDefault="00DF353E" w:rsidP="00804E97">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A72B97" w:rsidRPr="0039175E" w:rsidRDefault="00A72B97" w:rsidP="0039175E">
            <w:pPr>
              <w:spacing w:before="120" w:after="120" w:line="240" w:lineRule="auto"/>
              <w:rPr>
                <w:rFonts w:ascii="Times New Roman" w:hAnsi="Times New Roman"/>
                <w:noProof/>
              </w:rPr>
            </w:pPr>
          </w:p>
        </w:tc>
      </w:tr>
      <w:tr w:rsidR="008C5044" w:rsidRPr="00B561E0" w:rsidTr="0039175E">
        <w:trPr>
          <w:trHeight w:val="216"/>
        </w:trPr>
        <w:tc>
          <w:tcPr>
            <w:tcW w:w="1270" w:type="dxa"/>
            <w:shd w:val="clear" w:color="auto" w:fill="auto"/>
            <w:tcMar>
              <w:top w:w="29" w:type="dxa"/>
              <w:left w:w="115" w:type="dxa"/>
              <w:bottom w:w="29" w:type="dxa"/>
              <w:right w:w="115" w:type="dxa"/>
            </w:tcMar>
          </w:tcPr>
          <w:p w:rsidR="008C5044" w:rsidRDefault="00702D70" w:rsidP="0039175E">
            <w:pPr>
              <w:spacing w:before="120" w:after="120" w:line="240" w:lineRule="auto"/>
              <w:rPr>
                <w:rFonts w:ascii="Times New Roman" w:hAnsi="Times New Roman"/>
              </w:rPr>
            </w:pPr>
            <w:r>
              <w:rPr>
                <w:rFonts w:ascii="Times New Roman" w:hAnsi="Times New Roman"/>
              </w:rPr>
              <w:t>2022 10 31</w:t>
            </w:r>
          </w:p>
        </w:tc>
        <w:tc>
          <w:tcPr>
            <w:tcW w:w="4537" w:type="dxa"/>
            <w:shd w:val="clear" w:color="auto" w:fill="auto"/>
            <w:tcMar>
              <w:top w:w="29" w:type="dxa"/>
              <w:left w:w="115" w:type="dxa"/>
              <w:bottom w:w="29" w:type="dxa"/>
              <w:right w:w="115" w:type="dxa"/>
            </w:tcMar>
          </w:tcPr>
          <w:p w:rsidR="008C5044" w:rsidRPr="008C5044" w:rsidRDefault="00702D70" w:rsidP="0079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702D70">
              <w:rPr>
                <w:rFonts w:ascii="Times New Roman" w:eastAsia="Times New Roman" w:hAnsi="Times New Roman"/>
                <w:lang w:eastAsia="lt-LT"/>
              </w:rPr>
              <w:t xml:space="preserve">Atėnai kuria naujas tarptautines jungtis ir Graikija prisiima pagrindinį vaidmenį perduodant Afrikoje ir Artimuosiuose Rytuose pagamintą žaliąją energiją į Vidurio ir Vakarų Europą, kuriai skubiai reikia pakeisti Rusijos gamtines dujas ir dujotiekius bei iškastinį kurą. Žaliosios energijos koridoriai pakeis dujotiekius, kertančius Europą iš Rytų į Vakarus ir iš šiaurės į pietus visiškai priešingomis kryptimis. Nauji žaliosios energijos šaltiniai Europai yra pietuose ir visoje Viduržemio jūroje, Šiaurės Afrikoje ir Artimuosiuose Rytuose, o kelias į Europą eina per Graikiją. Remiantis Europos tinklo operatorių tinklo (ENTSO-E) skaičiavimais, be iki 2025 m. planuojamų 23 </w:t>
            </w:r>
            <w:proofErr w:type="spellStart"/>
            <w:r w:rsidRPr="00702D70">
              <w:rPr>
                <w:rFonts w:ascii="Times New Roman" w:eastAsia="Times New Roman" w:hAnsi="Times New Roman"/>
                <w:lang w:eastAsia="lt-LT"/>
              </w:rPr>
              <w:t>gigavatų</w:t>
            </w:r>
            <w:proofErr w:type="spellEnd"/>
            <w:r w:rsidRPr="00702D70">
              <w:rPr>
                <w:rFonts w:ascii="Times New Roman" w:eastAsia="Times New Roman" w:hAnsi="Times New Roman"/>
                <w:lang w:eastAsia="lt-LT"/>
              </w:rPr>
              <w:t xml:space="preserve"> tarpvalstybinių jungčių, Europai reikia papildomų 64 GW jungčių per 50 Europos sienų iki 2030 m. 132 GW iki 2040 m. (įskaitant saugyklų projektus). Graikija atidaro dvi strategines tarptautines jungtis, siekdama suformuoti žaliosios energijos koridorių tarp Europos, Šiaurės Afrikos ir Artimųjų Rytų – Graikijos su Kipru ir Izraeliu bei Graikijos ir Egipto jungtis.</w:t>
            </w:r>
          </w:p>
        </w:tc>
        <w:tc>
          <w:tcPr>
            <w:tcW w:w="2410" w:type="dxa"/>
            <w:shd w:val="clear" w:color="auto" w:fill="auto"/>
            <w:tcMar>
              <w:top w:w="29" w:type="dxa"/>
              <w:left w:w="115" w:type="dxa"/>
              <w:bottom w:w="29" w:type="dxa"/>
              <w:right w:w="115" w:type="dxa"/>
            </w:tcMar>
          </w:tcPr>
          <w:p w:rsidR="008C5044" w:rsidRDefault="00EA22F6" w:rsidP="0039175E">
            <w:pPr>
              <w:spacing w:before="120" w:after="120" w:line="240" w:lineRule="auto"/>
              <w:rPr>
                <w:rFonts w:ascii="Times New Roman" w:hAnsi="Times New Roman"/>
              </w:rPr>
            </w:pPr>
            <w:hyperlink r:id="rId15" w:history="1">
              <w:r w:rsidR="00702D70" w:rsidRPr="00C65869">
                <w:rPr>
                  <w:rStyle w:val="Hyperlink"/>
                  <w:rFonts w:ascii="Times New Roman" w:hAnsi="Times New Roman"/>
                </w:rPr>
                <w:t>https://www.ekathimerini.com/economy/1196775/greece-to-be-corridor-of-power/</w:t>
              </w:r>
            </w:hyperlink>
          </w:p>
          <w:p w:rsidR="00702D70" w:rsidRDefault="00702D70" w:rsidP="0039175E">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8C5044" w:rsidRPr="0039175E" w:rsidRDefault="008C5044" w:rsidP="0039175E">
            <w:pPr>
              <w:spacing w:before="120" w:after="12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A73C58" w:rsidRPr="00B561E0" w:rsidTr="0039175E">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t>KIPRO RESPUBLIKA</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82"/>
      </w:tblGrid>
      <w:tr w:rsidR="005C516B" w:rsidRPr="00F0798E" w:rsidTr="0039175E">
        <w:trPr>
          <w:trHeight w:val="533"/>
        </w:trPr>
        <w:tc>
          <w:tcPr>
            <w:tcW w:w="1271" w:type="dxa"/>
            <w:shd w:val="clear" w:color="auto" w:fill="auto"/>
            <w:tcMar>
              <w:top w:w="29" w:type="dxa"/>
              <w:left w:w="115" w:type="dxa"/>
              <w:bottom w:w="29" w:type="dxa"/>
              <w:right w:w="115" w:type="dxa"/>
            </w:tcMar>
          </w:tcPr>
          <w:p w:rsidR="005C516B" w:rsidRDefault="005C516B" w:rsidP="00804E97">
            <w:pPr>
              <w:spacing w:before="120" w:after="120" w:line="240" w:lineRule="auto"/>
              <w:rPr>
                <w:rFonts w:ascii="Times New Roman" w:hAnsi="Times New Roman"/>
              </w:rPr>
            </w:pPr>
            <w:r>
              <w:rPr>
                <w:rFonts w:ascii="Times New Roman" w:hAnsi="Times New Roman"/>
              </w:rPr>
              <w:t>2022 10 03</w:t>
            </w:r>
          </w:p>
        </w:tc>
        <w:tc>
          <w:tcPr>
            <w:tcW w:w="4536" w:type="dxa"/>
            <w:shd w:val="clear" w:color="auto" w:fill="auto"/>
            <w:tcMar>
              <w:top w:w="29" w:type="dxa"/>
              <w:left w:w="115" w:type="dxa"/>
              <w:bottom w:w="29" w:type="dxa"/>
              <w:right w:w="115" w:type="dxa"/>
            </w:tcMar>
          </w:tcPr>
          <w:p w:rsidR="005C516B" w:rsidRPr="00365024" w:rsidRDefault="00365024" w:rsidP="005F6C81">
            <w:pPr>
              <w:pStyle w:val="HTMLPreformatted"/>
              <w:jc w:val="both"/>
              <w:rPr>
                <w:rFonts w:ascii="Times New Roman" w:hAnsi="Times New Roman" w:cs="Times New Roman"/>
                <w:sz w:val="22"/>
                <w:szCs w:val="22"/>
              </w:rPr>
            </w:pPr>
            <w:r w:rsidRPr="00365024">
              <w:rPr>
                <w:rStyle w:val="y2iqfc"/>
                <w:rFonts w:ascii="Times New Roman" w:hAnsi="Times New Roman" w:cs="Times New Roman"/>
                <w:sz w:val="22"/>
                <w:szCs w:val="22"/>
              </w:rPr>
              <w:t>Anot Kipro investicijų skatinimo agentūros (</w:t>
            </w:r>
            <w:proofErr w:type="spellStart"/>
            <w:r w:rsidRPr="00365024">
              <w:rPr>
                <w:rStyle w:val="y2iqfc"/>
                <w:rFonts w:ascii="Times New Roman" w:hAnsi="Times New Roman" w:cs="Times New Roman"/>
                <w:sz w:val="22"/>
                <w:szCs w:val="22"/>
              </w:rPr>
              <w:t>Invest</w:t>
            </w:r>
            <w:proofErr w:type="spellEnd"/>
            <w:r w:rsidRPr="00365024">
              <w:rPr>
                <w:rStyle w:val="y2iqfc"/>
                <w:rFonts w:ascii="Times New Roman" w:hAnsi="Times New Roman" w:cs="Times New Roman"/>
                <w:sz w:val="22"/>
                <w:szCs w:val="22"/>
              </w:rPr>
              <w:t xml:space="preserve"> </w:t>
            </w:r>
            <w:proofErr w:type="spellStart"/>
            <w:r w:rsidRPr="00365024">
              <w:rPr>
                <w:rStyle w:val="y2iqfc"/>
                <w:rFonts w:ascii="Times New Roman" w:hAnsi="Times New Roman" w:cs="Times New Roman"/>
                <w:sz w:val="22"/>
                <w:szCs w:val="22"/>
              </w:rPr>
              <w:t>Cyprus</w:t>
            </w:r>
            <w:proofErr w:type="spellEnd"/>
            <w:r w:rsidRPr="00365024">
              <w:rPr>
                <w:rStyle w:val="y2iqfc"/>
                <w:rFonts w:ascii="Times New Roman" w:hAnsi="Times New Roman" w:cs="Times New Roman"/>
                <w:sz w:val="22"/>
                <w:szCs w:val="22"/>
              </w:rPr>
              <w:t xml:space="preserve">) pirmininko </w:t>
            </w:r>
            <w:proofErr w:type="spellStart"/>
            <w:r w:rsidRPr="00365024">
              <w:rPr>
                <w:rStyle w:val="y2iqfc"/>
                <w:rFonts w:ascii="Times New Roman" w:hAnsi="Times New Roman" w:cs="Times New Roman"/>
                <w:sz w:val="22"/>
                <w:szCs w:val="22"/>
              </w:rPr>
              <w:t>Evgenios</w:t>
            </w:r>
            <w:proofErr w:type="spellEnd"/>
            <w:r w:rsidRPr="00365024">
              <w:rPr>
                <w:rStyle w:val="y2iqfc"/>
                <w:rFonts w:ascii="Times New Roman" w:hAnsi="Times New Roman" w:cs="Times New Roman"/>
                <w:sz w:val="22"/>
                <w:szCs w:val="22"/>
              </w:rPr>
              <w:t xml:space="preserve"> </w:t>
            </w:r>
            <w:proofErr w:type="spellStart"/>
            <w:r w:rsidRPr="00365024">
              <w:rPr>
                <w:rStyle w:val="y2iqfc"/>
                <w:rFonts w:ascii="Times New Roman" w:hAnsi="Times New Roman" w:cs="Times New Roman"/>
                <w:sz w:val="22"/>
                <w:szCs w:val="22"/>
              </w:rPr>
              <w:t>Evgeniou</w:t>
            </w:r>
            <w:proofErr w:type="spellEnd"/>
            <w:r w:rsidRPr="00365024">
              <w:rPr>
                <w:rStyle w:val="y2iqfc"/>
                <w:rFonts w:ascii="Times New Roman" w:hAnsi="Times New Roman" w:cs="Times New Roman"/>
                <w:sz w:val="22"/>
                <w:szCs w:val="22"/>
              </w:rPr>
              <w:t xml:space="preserve">,  </w:t>
            </w:r>
            <w:r w:rsidR="005C516B" w:rsidRPr="00365024">
              <w:rPr>
                <w:rStyle w:val="y2iqfc"/>
                <w:rFonts w:ascii="Times New Roman" w:hAnsi="Times New Roman" w:cs="Times New Roman"/>
                <w:sz w:val="22"/>
                <w:szCs w:val="22"/>
              </w:rPr>
              <w:t>Nikosijos politika dėl mokesčių lengvatų užsienio techno</w:t>
            </w:r>
            <w:r w:rsidR="005F6C81">
              <w:rPr>
                <w:rStyle w:val="y2iqfc"/>
                <w:rFonts w:ascii="Times New Roman" w:hAnsi="Times New Roman" w:cs="Times New Roman"/>
                <w:sz w:val="22"/>
                <w:szCs w:val="22"/>
              </w:rPr>
              <w:t>logijų įmonėms duoda rezultatų</w:t>
            </w:r>
            <w:r w:rsidR="005C516B" w:rsidRPr="00365024">
              <w:rPr>
                <w:rStyle w:val="y2iqfc"/>
                <w:rFonts w:ascii="Times New Roman" w:hAnsi="Times New Roman" w:cs="Times New Roman"/>
                <w:sz w:val="22"/>
                <w:szCs w:val="22"/>
              </w:rPr>
              <w:t xml:space="preserve"> </w:t>
            </w:r>
            <w:r w:rsidR="005F6C81">
              <w:rPr>
                <w:rStyle w:val="y2iqfc"/>
                <w:rFonts w:ascii="Times New Roman" w:hAnsi="Times New Roman" w:cs="Times New Roman"/>
                <w:sz w:val="22"/>
                <w:szCs w:val="22"/>
              </w:rPr>
              <w:t>ir</w:t>
            </w:r>
            <w:r w:rsidR="005C516B" w:rsidRPr="00365024">
              <w:rPr>
                <w:rStyle w:val="y2iqfc"/>
                <w:rFonts w:ascii="Times New Roman" w:hAnsi="Times New Roman" w:cs="Times New Roman"/>
                <w:sz w:val="22"/>
                <w:szCs w:val="22"/>
              </w:rPr>
              <w:t xml:space="preserve"> šiais metais buvo patvirtinta 7000 darbo leidimų aukštos kvalifikacijo</w:t>
            </w:r>
            <w:r w:rsidRPr="00365024">
              <w:rPr>
                <w:rStyle w:val="y2iqfc"/>
                <w:rFonts w:ascii="Times New Roman" w:hAnsi="Times New Roman" w:cs="Times New Roman"/>
                <w:sz w:val="22"/>
                <w:szCs w:val="22"/>
              </w:rPr>
              <w:t>s asmenims, pasirinkusiems dirbą</w:t>
            </w:r>
            <w:r w:rsidR="005C516B" w:rsidRPr="00365024">
              <w:rPr>
                <w:rStyle w:val="y2iqfc"/>
                <w:rFonts w:ascii="Times New Roman" w:hAnsi="Times New Roman" w:cs="Times New Roman"/>
                <w:sz w:val="22"/>
                <w:szCs w:val="22"/>
              </w:rPr>
              <w:t xml:space="preserve"> Kipre.</w:t>
            </w:r>
            <w:r w:rsidRPr="00365024">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5C516B" w:rsidRPr="00A56F35" w:rsidRDefault="005C516B" w:rsidP="0039175E">
            <w:pPr>
              <w:spacing w:before="120" w:after="120" w:line="240" w:lineRule="auto"/>
              <w:rPr>
                <w:rStyle w:val="Hyperlink"/>
                <w:rFonts w:ascii="Times New Roman" w:hAnsi="Times New Roman"/>
                <w:noProof/>
              </w:rPr>
            </w:pPr>
            <w:r w:rsidRPr="005C516B">
              <w:rPr>
                <w:rStyle w:val="Hyperlink"/>
                <w:rFonts w:ascii="Times New Roman" w:hAnsi="Times New Roman"/>
                <w:noProof/>
              </w:rPr>
              <w:t>https://www.ekathimerini.com/economy/1194668/cyprus-opens-its-doors-to-skilled-labor/</w:t>
            </w:r>
          </w:p>
        </w:tc>
        <w:tc>
          <w:tcPr>
            <w:tcW w:w="1582" w:type="dxa"/>
            <w:shd w:val="clear" w:color="auto" w:fill="auto"/>
            <w:tcMar>
              <w:top w:w="29" w:type="dxa"/>
              <w:left w:w="115" w:type="dxa"/>
              <w:bottom w:w="29" w:type="dxa"/>
              <w:right w:w="115" w:type="dxa"/>
            </w:tcMar>
          </w:tcPr>
          <w:p w:rsidR="005C516B" w:rsidRPr="0039175E" w:rsidRDefault="005C516B" w:rsidP="0039175E">
            <w:pPr>
              <w:spacing w:before="120" w:after="120" w:line="240" w:lineRule="auto"/>
              <w:rPr>
                <w:rFonts w:ascii="Times New Roman" w:hAnsi="Times New Roman"/>
                <w:noProof/>
              </w:rPr>
            </w:pPr>
          </w:p>
        </w:tc>
      </w:tr>
      <w:tr w:rsidR="004E66A6" w:rsidRPr="00F0798E" w:rsidTr="0039175E">
        <w:trPr>
          <w:trHeight w:val="533"/>
        </w:trPr>
        <w:tc>
          <w:tcPr>
            <w:tcW w:w="1271" w:type="dxa"/>
            <w:shd w:val="clear" w:color="auto" w:fill="auto"/>
            <w:tcMar>
              <w:top w:w="29" w:type="dxa"/>
              <w:left w:w="115" w:type="dxa"/>
              <w:bottom w:w="29" w:type="dxa"/>
              <w:right w:w="115" w:type="dxa"/>
            </w:tcMar>
          </w:tcPr>
          <w:p w:rsidR="004E66A6" w:rsidRDefault="004E66A6" w:rsidP="00804E97">
            <w:pPr>
              <w:spacing w:before="120" w:after="120" w:line="240" w:lineRule="auto"/>
              <w:rPr>
                <w:rFonts w:ascii="Times New Roman" w:hAnsi="Times New Roman"/>
              </w:rPr>
            </w:pPr>
            <w:r>
              <w:rPr>
                <w:rFonts w:ascii="Times New Roman" w:hAnsi="Times New Roman"/>
              </w:rPr>
              <w:t>2022 10 06</w:t>
            </w:r>
          </w:p>
        </w:tc>
        <w:tc>
          <w:tcPr>
            <w:tcW w:w="4536" w:type="dxa"/>
            <w:shd w:val="clear" w:color="auto" w:fill="auto"/>
            <w:tcMar>
              <w:top w:w="29" w:type="dxa"/>
              <w:left w:w="115" w:type="dxa"/>
              <w:bottom w:w="29" w:type="dxa"/>
              <w:right w:w="115" w:type="dxa"/>
            </w:tcMar>
          </w:tcPr>
          <w:p w:rsidR="004E66A6" w:rsidRPr="00A56F35" w:rsidRDefault="004E66A6" w:rsidP="00F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lt-LT"/>
              </w:rPr>
            </w:pPr>
            <w:r w:rsidRPr="00524B26">
              <w:rPr>
                <w:rFonts w:ascii="Times New Roman" w:eastAsia="Times New Roman" w:hAnsi="Times New Roman"/>
                <w:lang w:eastAsia="lt-LT"/>
              </w:rPr>
              <w:t xml:space="preserve">Finansų ministras </w:t>
            </w:r>
            <w:proofErr w:type="spellStart"/>
            <w:r w:rsidRPr="00524B26">
              <w:rPr>
                <w:rFonts w:ascii="Times New Roman" w:eastAsia="Times New Roman" w:hAnsi="Times New Roman"/>
                <w:lang w:eastAsia="lt-LT"/>
              </w:rPr>
              <w:t>Constantinos</w:t>
            </w:r>
            <w:proofErr w:type="spellEnd"/>
            <w:r w:rsidRPr="00524B26">
              <w:rPr>
                <w:rFonts w:ascii="Times New Roman" w:eastAsia="Times New Roman" w:hAnsi="Times New Roman"/>
                <w:lang w:eastAsia="lt-LT"/>
              </w:rPr>
              <w:t xml:space="preserve"> </w:t>
            </w:r>
            <w:proofErr w:type="spellStart"/>
            <w:r w:rsidRPr="00524B26">
              <w:rPr>
                <w:rFonts w:ascii="Times New Roman" w:eastAsia="Times New Roman" w:hAnsi="Times New Roman"/>
                <w:lang w:eastAsia="lt-LT"/>
              </w:rPr>
              <w:t>Petrides</w:t>
            </w:r>
            <w:proofErr w:type="spellEnd"/>
            <w:r w:rsidRPr="00524B26">
              <w:rPr>
                <w:rFonts w:ascii="Times New Roman" w:eastAsia="Times New Roman" w:hAnsi="Times New Roman"/>
                <w:lang w:eastAsia="lt-LT"/>
              </w:rPr>
              <w:t xml:space="preserve"> rūmų pirmin</w:t>
            </w:r>
            <w:r w:rsidR="00F06FD9">
              <w:rPr>
                <w:rFonts w:ascii="Times New Roman" w:eastAsia="Times New Roman" w:hAnsi="Times New Roman"/>
                <w:lang w:eastAsia="lt-LT"/>
              </w:rPr>
              <w:t xml:space="preserve">inkei </w:t>
            </w:r>
            <w:proofErr w:type="spellStart"/>
            <w:r w:rsidR="00F06FD9">
              <w:rPr>
                <w:rFonts w:ascii="Times New Roman" w:eastAsia="Times New Roman" w:hAnsi="Times New Roman"/>
                <w:lang w:eastAsia="lt-LT"/>
              </w:rPr>
              <w:t>Annitai</w:t>
            </w:r>
            <w:proofErr w:type="spellEnd"/>
            <w:r w:rsidR="00F06FD9">
              <w:rPr>
                <w:rFonts w:ascii="Times New Roman" w:eastAsia="Times New Roman" w:hAnsi="Times New Roman"/>
                <w:lang w:eastAsia="lt-LT"/>
              </w:rPr>
              <w:t xml:space="preserve"> </w:t>
            </w:r>
            <w:proofErr w:type="spellStart"/>
            <w:r w:rsidR="00F06FD9">
              <w:rPr>
                <w:rFonts w:ascii="Times New Roman" w:eastAsia="Times New Roman" w:hAnsi="Times New Roman"/>
                <w:lang w:eastAsia="lt-LT"/>
              </w:rPr>
              <w:t>Demetriou</w:t>
            </w:r>
            <w:proofErr w:type="spellEnd"/>
            <w:r w:rsidR="00F06FD9">
              <w:rPr>
                <w:rFonts w:ascii="Times New Roman" w:eastAsia="Times New Roman" w:hAnsi="Times New Roman"/>
                <w:lang w:eastAsia="lt-LT"/>
              </w:rPr>
              <w:t xml:space="preserve"> įteikė 2023 metų valstybės biudžeto projektą</w:t>
            </w:r>
            <w:r w:rsidRPr="00524B26">
              <w:rPr>
                <w:rFonts w:ascii="Times New Roman" w:eastAsia="Times New Roman" w:hAnsi="Times New Roman"/>
                <w:lang w:eastAsia="lt-LT"/>
              </w:rPr>
              <w:t>.</w:t>
            </w:r>
            <w:r w:rsidR="00F06FD9">
              <w:rPr>
                <w:rFonts w:ascii="Times New Roman" w:eastAsia="Times New Roman" w:hAnsi="Times New Roman"/>
                <w:lang w:eastAsia="lt-LT"/>
              </w:rPr>
              <w:t xml:space="preserve"> </w:t>
            </w:r>
            <w:r w:rsidRPr="00524B26">
              <w:rPr>
                <w:rFonts w:ascii="Times New Roman" w:eastAsia="Times New Roman" w:hAnsi="Times New Roman"/>
                <w:lang w:eastAsia="lt-LT"/>
              </w:rPr>
              <w:t>Siūlomas biudžetas yra 500 mln. eurų didesnis nei ankstesnis biudžetas.</w:t>
            </w:r>
            <w:r w:rsidR="00F06FD9">
              <w:rPr>
                <w:rFonts w:ascii="Times New Roman" w:eastAsia="Times New Roman" w:hAnsi="Times New Roman"/>
                <w:lang w:eastAsia="lt-LT"/>
              </w:rPr>
              <w:t xml:space="preserve"> </w:t>
            </w:r>
            <w:r w:rsidRPr="00524B26">
              <w:rPr>
                <w:rFonts w:ascii="Times New Roman" w:eastAsia="Times New Roman" w:hAnsi="Times New Roman"/>
                <w:lang w:eastAsia="lt-LT"/>
              </w:rPr>
              <w:t xml:space="preserve">Anot </w:t>
            </w:r>
            <w:proofErr w:type="spellStart"/>
            <w:r w:rsidRPr="00524B26">
              <w:rPr>
                <w:rFonts w:ascii="Times New Roman" w:eastAsia="Times New Roman" w:hAnsi="Times New Roman"/>
                <w:lang w:eastAsia="lt-LT"/>
              </w:rPr>
              <w:t>Petrides</w:t>
            </w:r>
            <w:proofErr w:type="spellEnd"/>
            <w:r w:rsidRPr="00524B26">
              <w:rPr>
                <w:rFonts w:ascii="Times New Roman" w:eastAsia="Times New Roman" w:hAnsi="Times New Roman"/>
                <w:lang w:eastAsia="lt-LT"/>
              </w:rPr>
              <w:t xml:space="preserve">, biudžetas buvo </w:t>
            </w:r>
            <w:r w:rsidR="00524B26" w:rsidRPr="00524B26">
              <w:rPr>
                <w:rFonts w:ascii="Times New Roman" w:eastAsia="Times New Roman" w:hAnsi="Times New Roman"/>
                <w:lang w:eastAsia="lt-LT"/>
              </w:rPr>
              <w:t>suplanuota</w:t>
            </w:r>
            <w:r w:rsidRPr="00524B26">
              <w:rPr>
                <w:rFonts w:ascii="Times New Roman" w:eastAsia="Times New Roman" w:hAnsi="Times New Roman"/>
                <w:lang w:eastAsia="lt-LT"/>
              </w:rPr>
              <w:t>s atsižvelgiant į naują tarptautinę ekonomikos krizę ir numato didesnes veiklos, plėtros ir socialines išlaidas dėl infliacijos, bet ir mažiau išlaidų valstybės skolos palūkanoms aptarnauti.</w:t>
            </w:r>
            <w:r w:rsidR="00F06FD9">
              <w:rPr>
                <w:rFonts w:ascii="Times New Roman" w:eastAsia="Times New Roman" w:hAnsi="Times New Roman"/>
                <w:lang w:eastAsia="lt-LT"/>
              </w:rPr>
              <w:t xml:space="preserve"> Anot Ministro</w:t>
            </w:r>
            <w:r w:rsidRPr="00524B26">
              <w:rPr>
                <w:rFonts w:ascii="Times New Roman" w:eastAsia="Times New Roman" w:hAnsi="Times New Roman"/>
                <w:lang w:eastAsia="lt-LT"/>
              </w:rPr>
              <w:t>,  biudžeta</w:t>
            </w:r>
            <w:r w:rsidR="00524B26" w:rsidRPr="00524B26">
              <w:rPr>
                <w:rFonts w:ascii="Times New Roman" w:eastAsia="Times New Roman" w:hAnsi="Times New Roman"/>
                <w:lang w:eastAsia="lt-LT"/>
              </w:rPr>
              <w:t>s didinamas reaguojant į krizę ir</w:t>
            </w:r>
            <w:r w:rsidRPr="00524B26">
              <w:rPr>
                <w:rFonts w:ascii="Times New Roman" w:eastAsia="Times New Roman" w:hAnsi="Times New Roman"/>
                <w:lang w:eastAsia="lt-LT"/>
              </w:rPr>
              <w:t xml:space="preserve"> dėl to išlaidos</w:t>
            </w:r>
            <w:r w:rsidR="00F06FD9">
              <w:rPr>
                <w:rFonts w:ascii="Times New Roman" w:eastAsia="Times New Roman" w:hAnsi="Times New Roman"/>
                <w:lang w:eastAsia="lt-LT"/>
              </w:rPr>
              <w:t xml:space="preserve"> plėtrai didėja apie 12 proc. ir</w:t>
            </w:r>
            <w:r w:rsidRPr="00524B26">
              <w:rPr>
                <w:rFonts w:ascii="Times New Roman" w:eastAsia="Times New Roman" w:hAnsi="Times New Roman"/>
                <w:lang w:eastAsia="lt-LT"/>
              </w:rPr>
              <w:t xml:space="preserve"> socialinė</w:t>
            </w:r>
            <w:r w:rsidR="00F06FD9">
              <w:rPr>
                <w:rFonts w:ascii="Times New Roman" w:eastAsia="Times New Roman" w:hAnsi="Times New Roman"/>
                <w:lang w:eastAsia="lt-LT"/>
              </w:rPr>
              <w:t>ms išlaidos -</w:t>
            </w:r>
            <w:r w:rsidRPr="00524B26">
              <w:rPr>
                <w:rFonts w:ascii="Times New Roman" w:eastAsia="Times New Roman" w:hAnsi="Times New Roman"/>
                <w:lang w:eastAsia="lt-LT"/>
              </w:rPr>
              <w:t xml:space="preserve"> apie 4 proc.</w:t>
            </w:r>
            <w:r w:rsidR="00524B26" w:rsidRPr="00524B26">
              <w:rPr>
                <w:rFonts w:ascii="Times New Roman" w:eastAsia="Times New Roman" w:hAnsi="Times New Roman"/>
                <w:lang w:eastAsia="lt-LT"/>
              </w:rPr>
              <w:t xml:space="preserve"> </w:t>
            </w:r>
            <w:proofErr w:type="spellStart"/>
            <w:r w:rsidR="00524B26" w:rsidRPr="00524B26">
              <w:rPr>
                <w:rFonts w:ascii="Times New Roman" w:eastAsia="Times New Roman" w:hAnsi="Times New Roman"/>
                <w:lang w:eastAsia="lt-LT"/>
              </w:rPr>
              <w:t>Petrides</w:t>
            </w:r>
            <w:proofErr w:type="spellEnd"/>
            <w:r w:rsidRPr="00524B26">
              <w:rPr>
                <w:rFonts w:ascii="Times New Roman" w:eastAsia="Times New Roman" w:hAnsi="Times New Roman"/>
                <w:lang w:eastAsia="lt-LT"/>
              </w:rPr>
              <w:t xml:space="preserve"> pažymėjo, kad infliacija </w:t>
            </w:r>
            <w:r w:rsidR="00F06FD9">
              <w:rPr>
                <w:rFonts w:ascii="Times New Roman" w:eastAsia="Times New Roman" w:hAnsi="Times New Roman"/>
                <w:lang w:eastAsia="lt-LT"/>
              </w:rPr>
              <w:t>įtakoja</w:t>
            </w:r>
            <w:r w:rsidRPr="00524B26">
              <w:rPr>
                <w:rFonts w:ascii="Times New Roman" w:eastAsia="Times New Roman" w:hAnsi="Times New Roman"/>
                <w:lang w:eastAsia="lt-LT"/>
              </w:rPr>
              <w:t xml:space="preserve"> valstybės finansus, o valstybės veiklos išlaidos išauga 15%.</w:t>
            </w:r>
          </w:p>
        </w:tc>
        <w:tc>
          <w:tcPr>
            <w:tcW w:w="2410" w:type="dxa"/>
            <w:shd w:val="clear" w:color="auto" w:fill="auto"/>
            <w:tcMar>
              <w:top w:w="29" w:type="dxa"/>
              <w:left w:w="115" w:type="dxa"/>
              <w:bottom w:w="29" w:type="dxa"/>
              <w:right w:w="115" w:type="dxa"/>
            </w:tcMar>
          </w:tcPr>
          <w:p w:rsidR="004E66A6" w:rsidRPr="00956221" w:rsidRDefault="004E66A6" w:rsidP="0039175E">
            <w:pPr>
              <w:spacing w:before="120" w:after="120" w:line="240" w:lineRule="auto"/>
              <w:rPr>
                <w:rStyle w:val="Hyperlink"/>
                <w:rFonts w:ascii="Times New Roman" w:hAnsi="Times New Roman"/>
                <w:noProof/>
                <w:lang w:val="en-US"/>
              </w:rPr>
            </w:pPr>
            <w:r w:rsidRPr="004E66A6">
              <w:rPr>
                <w:rStyle w:val="Hyperlink"/>
                <w:rFonts w:ascii="Times New Roman" w:hAnsi="Times New Roman"/>
                <w:noProof/>
              </w:rPr>
              <w:t>https://in-cyprus.philenews.com/news/local/proposed-2023-state-budget-e500-million-higher-than-last-budget/</w:t>
            </w:r>
          </w:p>
        </w:tc>
        <w:tc>
          <w:tcPr>
            <w:tcW w:w="1582" w:type="dxa"/>
            <w:shd w:val="clear" w:color="auto" w:fill="auto"/>
            <w:tcMar>
              <w:top w:w="29" w:type="dxa"/>
              <w:left w:w="115" w:type="dxa"/>
              <w:bottom w:w="29" w:type="dxa"/>
              <w:right w:w="115" w:type="dxa"/>
            </w:tcMar>
          </w:tcPr>
          <w:p w:rsidR="004E66A6" w:rsidRPr="0039175E" w:rsidRDefault="004E66A6"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04E97" w:rsidP="00804E97">
            <w:pPr>
              <w:spacing w:before="120" w:after="120" w:line="240" w:lineRule="auto"/>
              <w:rPr>
                <w:rFonts w:ascii="Times New Roman" w:hAnsi="Times New Roman"/>
              </w:rPr>
            </w:pPr>
            <w:r>
              <w:rPr>
                <w:rFonts w:ascii="Times New Roman" w:hAnsi="Times New Roman"/>
              </w:rPr>
              <w:t xml:space="preserve">2022 10 </w:t>
            </w:r>
            <w:r w:rsidR="00A56F35">
              <w:rPr>
                <w:rFonts w:ascii="Times New Roman" w:hAnsi="Times New Roman"/>
              </w:rPr>
              <w:t>09</w:t>
            </w:r>
          </w:p>
        </w:tc>
        <w:tc>
          <w:tcPr>
            <w:tcW w:w="4536" w:type="dxa"/>
            <w:shd w:val="clear" w:color="auto" w:fill="auto"/>
            <w:tcMar>
              <w:top w:w="29" w:type="dxa"/>
              <w:left w:w="115" w:type="dxa"/>
              <w:bottom w:w="29" w:type="dxa"/>
              <w:right w:w="115" w:type="dxa"/>
            </w:tcMar>
          </w:tcPr>
          <w:p w:rsidR="008D3C00" w:rsidRPr="007561A8" w:rsidRDefault="00A56F35" w:rsidP="0075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7561A8">
              <w:rPr>
                <w:rFonts w:ascii="Times New Roman" w:eastAsia="Times New Roman" w:hAnsi="Times New Roman"/>
                <w:lang w:eastAsia="lt-LT"/>
              </w:rPr>
              <w:t xml:space="preserve">DBRS </w:t>
            </w:r>
            <w:proofErr w:type="spellStart"/>
            <w:r w:rsidRPr="007561A8">
              <w:rPr>
                <w:rFonts w:ascii="Times New Roman" w:eastAsia="Times New Roman" w:hAnsi="Times New Roman"/>
                <w:lang w:eastAsia="lt-LT"/>
              </w:rPr>
              <w:t>Morningstar</w:t>
            </w:r>
            <w:proofErr w:type="spellEnd"/>
            <w:r w:rsidRPr="007561A8">
              <w:rPr>
                <w:rFonts w:ascii="Times New Roman" w:eastAsia="Times New Roman" w:hAnsi="Times New Roman"/>
                <w:lang w:eastAsia="lt-LT"/>
              </w:rPr>
              <w:t xml:space="preserve"> patvirtino Kipro Respublikos kredito reitingą „BBB“, tendencija išliko stabili.</w:t>
            </w:r>
            <w:r w:rsidR="00FE6CF4" w:rsidRPr="007561A8">
              <w:rPr>
                <w:rFonts w:ascii="Times New Roman" w:eastAsia="Times New Roman" w:hAnsi="Times New Roman"/>
                <w:lang w:eastAsia="lt-LT"/>
              </w:rPr>
              <w:t xml:space="preserve"> Pažymėta</w:t>
            </w:r>
            <w:r w:rsidRPr="007561A8">
              <w:rPr>
                <w:rFonts w:ascii="Times New Roman" w:eastAsia="Times New Roman" w:hAnsi="Times New Roman"/>
                <w:lang w:eastAsia="lt-LT"/>
              </w:rPr>
              <w:t xml:space="preserve">, kad stabili </w:t>
            </w:r>
            <w:r w:rsidR="007561A8" w:rsidRPr="007561A8">
              <w:rPr>
                <w:rFonts w:ascii="Times New Roman" w:eastAsia="Times New Roman" w:hAnsi="Times New Roman"/>
                <w:lang w:eastAsia="lt-LT"/>
              </w:rPr>
              <w:t xml:space="preserve">prognozė remiasi tuo, kad </w:t>
            </w:r>
            <w:r w:rsidR="007561A8" w:rsidRPr="007561A8">
              <w:rPr>
                <w:rFonts w:ascii="Times New Roman" w:eastAsia="Times New Roman" w:hAnsi="Times New Roman"/>
                <w:lang w:eastAsia="lt-LT"/>
              </w:rPr>
              <w:t>fiskalinės ir ekonomikos perspektyvų smukimo riziką</w:t>
            </w:r>
            <w:r w:rsidR="007561A8" w:rsidRPr="007561A8">
              <w:rPr>
                <w:rFonts w:ascii="Times New Roman" w:eastAsia="Times New Roman" w:hAnsi="Times New Roman"/>
                <w:lang w:eastAsia="lt-LT"/>
              </w:rPr>
              <w:t xml:space="preserve"> atsveria </w:t>
            </w:r>
            <w:r w:rsidR="007561A8" w:rsidRPr="007561A8">
              <w:rPr>
                <w:rFonts w:ascii="Times New Roman" w:eastAsia="Times New Roman" w:hAnsi="Times New Roman"/>
                <w:lang w:eastAsia="lt-LT"/>
              </w:rPr>
              <w:t>pastarojo me</w:t>
            </w:r>
            <w:r w:rsidR="007561A8" w:rsidRPr="007561A8">
              <w:rPr>
                <w:rFonts w:ascii="Times New Roman" w:eastAsia="Times New Roman" w:hAnsi="Times New Roman"/>
                <w:lang w:eastAsia="lt-LT"/>
              </w:rPr>
              <w:t xml:space="preserve">to palanki fiskalinė dinamikos perspektyva. </w:t>
            </w:r>
            <w:r w:rsidRPr="007561A8">
              <w:rPr>
                <w:rFonts w:ascii="Times New Roman" w:eastAsia="Times New Roman" w:hAnsi="Times New Roman"/>
                <w:lang w:eastAsia="lt-LT"/>
              </w:rPr>
              <w:t>Per pastaruosius dvejus metus fiskalinis balansas stipriai atsigavo.</w:t>
            </w:r>
            <w:r w:rsidR="00BE7221" w:rsidRPr="007561A8">
              <w:rPr>
                <w:rFonts w:ascii="Times New Roman" w:eastAsia="Times New Roman" w:hAnsi="Times New Roman"/>
                <w:lang w:eastAsia="lt-LT"/>
              </w:rPr>
              <w:t xml:space="preserve"> </w:t>
            </w:r>
            <w:r w:rsidRPr="007561A8">
              <w:rPr>
                <w:rFonts w:ascii="Times New Roman" w:eastAsia="Times New Roman" w:hAnsi="Times New Roman"/>
                <w:lang w:eastAsia="lt-LT"/>
              </w:rPr>
              <w:t xml:space="preserve">Valdžios sektoriaus biudžeto deficitas sumažėjo </w:t>
            </w:r>
            <w:r w:rsidR="00971A34" w:rsidRPr="007561A8">
              <w:rPr>
                <w:rFonts w:ascii="Times New Roman" w:eastAsia="Times New Roman" w:hAnsi="Times New Roman"/>
                <w:lang w:eastAsia="lt-LT"/>
              </w:rPr>
              <w:t xml:space="preserve">nuo 5,8 % 2020 m. </w:t>
            </w:r>
            <w:r w:rsidRPr="007561A8">
              <w:rPr>
                <w:rFonts w:ascii="Times New Roman" w:eastAsia="Times New Roman" w:hAnsi="Times New Roman"/>
                <w:lang w:eastAsia="lt-LT"/>
              </w:rPr>
              <w:t>iki 1,7 % BVP 2021 m., kurį lėmė stiprus ekon</w:t>
            </w:r>
            <w:bookmarkStart w:id="0" w:name="_GoBack"/>
            <w:bookmarkEnd w:id="0"/>
            <w:r w:rsidRPr="007561A8">
              <w:rPr>
                <w:rFonts w:ascii="Times New Roman" w:eastAsia="Times New Roman" w:hAnsi="Times New Roman"/>
                <w:lang w:eastAsia="lt-LT"/>
              </w:rPr>
              <w:t>omikos augimas po Covid-19 sukrėtimo, dėl kurio smarkiai išaugo mokestinės pajamos.</w:t>
            </w:r>
            <w:r w:rsidR="00971A34" w:rsidRPr="007561A8">
              <w:rPr>
                <w:rFonts w:ascii="Times New Roman" w:eastAsia="Times New Roman" w:hAnsi="Times New Roman"/>
                <w:lang w:eastAsia="lt-LT"/>
              </w:rPr>
              <w:t xml:space="preserve"> </w:t>
            </w:r>
            <w:r w:rsidRPr="007561A8">
              <w:rPr>
                <w:rFonts w:ascii="Times New Roman" w:eastAsia="Times New Roman" w:hAnsi="Times New Roman"/>
                <w:lang w:eastAsia="lt-LT"/>
              </w:rPr>
              <w:t>Biudžeto rezultatai per pastaruosius mėnesius ir toliau gerėjo, nepaisant neseniai įvykusio energijos</w:t>
            </w:r>
            <w:r w:rsidR="00971A34" w:rsidRPr="007561A8">
              <w:rPr>
                <w:rFonts w:ascii="Times New Roman" w:eastAsia="Times New Roman" w:hAnsi="Times New Roman"/>
                <w:lang w:eastAsia="lt-LT"/>
              </w:rPr>
              <w:t xml:space="preserve"> kainų</w:t>
            </w:r>
            <w:r w:rsidRPr="007561A8">
              <w:rPr>
                <w:rFonts w:ascii="Times New Roman" w:eastAsia="Times New Roman" w:hAnsi="Times New Roman"/>
                <w:lang w:eastAsia="lt-LT"/>
              </w:rPr>
              <w:t xml:space="preserve"> sukrėtimo.</w:t>
            </w:r>
            <w:r w:rsidR="00971A34" w:rsidRPr="007561A8">
              <w:rPr>
                <w:rFonts w:ascii="Times New Roman" w:eastAsia="Times New Roman" w:hAnsi="Times New Roman"/>
                <w:lang w:eastAsia="lt-LT"/>
              </w:rPr>
              <w:t xml:space="preserve"> </w:t>
            </w:r>
            <w:r w:rsidRPr="007561A8">
              <w:rPr>
                <w:rFonts w:ascii="Times New Roman" w:eastAsia="Times New Roman" w:hAnsi="Times New Roman"/>
                <w:lang w:eastAsia="lt-LT"/>
              </w:rPr>
              <w:t xml:space="preserve">2022 m. sausio–liepos mėn. valdžios sektoriaus perteklius buvo 0,6 % BVP, palyginti su 3,2 % BVP deficitu 2021 m. </w:t>
            </w:r>
            <w:r w:rsidR="00971A34" w:rsidRPr="007561A8">
              <w:rPr>
                <w:rFonts w:ascii="Times New Roman" w:eastAsia="Times New Roman" w:hAnsi="Times New Roman"/>
                <w:lang w:eastAsia="lt-LT"/>
              </w:rPr>
              <w:t>per tą patį laikotarpį</w:t>
            </w:r>
            <w:r w:rsidRPr="007561A8">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8D3C00" w:rsidRPr="0039175E" w:rsidRDefault="00A56F35" w:rsidP="0039175E">
            <w:pPr>
              <w:spacing w:before="120" w:after="120" w:line="240" w:lineRule="auto"/>
              <w:rPr>
                <w:rStyle w:val="Hyperlink"/>
                <w:rFonts w:ascii="Times New Roman" w:hAnsi="Times New Roman"/>
                <w:noProof/>
              </w:rPr>
            </w:pPr>
            <w:r w:rsidRPr="00A56F35">
              <w:rPr>
                <w:rStyle w:val="Hyperlink"/>
                <w:rFonts w:ascii="Times New Roman" w:hAnsi="Times New Roman"/>
                <w:noProof/>
              </w:rPr>
              <w:t>https://www.ekathimerini.com/economy/1195191/dbrs-confirms-cyprus-bbb-rating/</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956221" w:rsidP="0039175E">
            <w:pPr>
              <w:spacing w:before="120" w:after="120" w:line="240" w:lineRule="auto"/>
              <w:rPr>
                <w:rFonts w:ascii="Times New Roman" w:hAnsi="Times New Roman"/>
              </w:rPr>
            </w:pPr>
            <w:r>
              <w:rPr>
                <w:rFonts w:ascii="Times New Roman" w:hAnsi="Times New Roman"/>
              </w:rPr>
              <w:t>2022-10-11</w:t>
            </w:r>
          </w:p>
        </w:tc>
        <w:tc>
          <w:tcPr>
            <w:tcW w:w="4536" w:type="dxa"/>
            <w:shd w:val="clear" w:color="auto" w:fill="auto"/>
            <w:tcMar>
              <w:top w:w="29" w:type="dxa"/>
              <w:left w:w="115" w:type="dxa"/>
              <w:bottom w:w="29" w:type="dxa"/>
              <w:right w:w="115" w:type="dxa"/>
            </w:tcMar>
          </w:tcPr>
          <w:p w:rsidR="00956221" w:rsidRPr="00647E7E" w:rsidRDefault="00956221" w:rsidP="00E0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B046BB">
              <w:rPr>
                <w:rFonts w:ascii="Times New Roman" w:eastAsia="Times New Roman" w:hAnsi="Times New Roman"/>
                <w:lang w:eastAsia="lt-LT"/>
              </w:rPr>
              <w:t>Kipro prekybos deficitas 2022 m. sausio–rugpjūčio mėn., palyginti su tuo pačiu 2021 m. laikotarpiu, padidėjo 1,5 mlrd. eurų, rodo Kipro statistikos tarnybos (</w:t>
            </w:r>
            <w:proofErr w:type="spellStart"/>
            <w:r w:rsidRPr="00B046BB">
              <w:rPr>
                <w:rFonts w:ascii="Times New Roman" w:eastAsia="Times New Roman" w:hAnsi="Times New Roman"/>
                <w:lang w:eastAsia="lt-LT"/>
              </w:rPr>
              <w:t>CyStat</w:t>
            </w:r>
            <w:proofErr w:type="spellEnd"/>
            <w:r w:rsidRPr="00B046BB">
              <w:rPr>
                <w:rFonts w:ascii="Times New Roman" w:eastAsia="Times New Roman" w:hAnsi="Times New Roman"/>
                <w:lang w:eastAsia="lt-LT"/>
              </w:rPr>
              <w:t>) paskelbti negalutiniai 2022 m</w:t>
            </w:r>
            <w:r w:rsidR="00E032FC">
              <w:rPr>
                <w:rFonts w:ascii="Times New Roman" w:eastAsia="Times New Roman" w:hAnsi="Times New Roman"/>
                <w:lang w:eastAsia="lt-LT"/>
              </w:rPr>
              <w:t>etų duomenys</w:t>
            </w:r>
            <w:r w:rsidRPr="00B046BB">
              <w:rPr>
                <w:rFonts w:ascii="Times New Roman" w:eastAsia="Times New Roman" w:hAnsi="Times New Roman"/>
                <w:lang w:eastAsia="lt-LT"/>
              </w:rPr>
              <w:t>.</w:t>
            </w:r>
            <w:r w:rsidR="00B046BB" w:rsidRPr="00B046BB">
              <w:rPr>
                <w:rFonts w:ascii="Times New Roman" w:eastAsia="Times New Roman" w:hAnsi="Times New Roman"/>
                <w:lang w:eastAsia="lt-LT"/>
              </w:rPr>
              <w:t xml:space="preserve"> </w:t>
            </w:r>
            <w:r w:rsidRPr="00B046BB">
              <w:rPr>
                <w:rFonts w:ascii="Times New Roman" w:eastAsia="Times New Roman" w:hAnsi="Times New Roman"/>
                <w:lang w:eastAsia="lt-LT"/>
              </w:rPr>
              <w:t xml:space="preserve">2022 m. sausio–rugpjūčio mėn. deficitas siekė 5,12 mlrd. eurų, o 2021 m. sausio–rugpjūčio mėnesiais jis </w:t>
            </w:r>
            <w:r w:rsidR="00E032FC">
              <w:rPr>
                <w:rFonts w:ascii="Times New Roman" w:eastAsia="Times New Roman" w:hAnsi="Times New Roman"/>
                <w:lang w:eastAsia="lt-LT"/>
              </w:rPr>
              <w:t>buvo</w:t>
            </w:r>
            <w:r w:rsidRPr="00B046BB">
              <w:rPr>
                <w:rFonts w:ascii="Times New Roman" w:eastAsia="Times New Roman" w:hAnsi="Times New Roman"/>
                <w:lang w:eastAsia="lt-LT"/>
              </w:rPr>
              <w:t xml:space="preserve"> 3,59 mlrd.</w:t>
            </w:r>
            <w:r w:rsidR="00B046BB" w:rsidRPr="00B046BB">
              <w:rPr>
                <w:rFonts w:ascii="Times New Roman" w:eastAsia="Times New Roman" w:hAnsi="Times New Roman"/>
                <w:lang w:eastAsia="lt-LT"/>
              </w:rPr>
              <w:t xml:space="preserve"> </w:t>
            </w:r>
            <w:r w:rsidRPr="00B046BB">
              <w:rPr>
                <w:rFonts w:ascii="Times New Roman" w:eastAsia="Times New Roman" w:hAnsi="Times New Roman"/>
                <w:lang w:eastAsia="lt-LT"/>
              </w:rPr>
              <w:t xml:space="preserve">Be to, bendras prekių importas (iš Europos Sąjungos valstybių narių ir trečiųjų šalių) sausio–rugpjūčio mėn. sudarė 7,64 mlrd. eurų, palyginti su 5,55 mlrd. eurų 2021 m. sausio–rugpjūčio mėn., </w:t>
            </w:r>
            <w:proofErr w:type="spellStart"/>
            <w:r w:rsidRPr="00B046BB">
              <w:rPr>
                <w:rFonts w:ascii="Times New Roman" w:eastAsia="Times New Roman" w:hAnsi="Times New Roman"/>
                <w:lang w:eastAsia="lt-LT"/>
              </w:rPr>
              <w:t>t</w:t>
            </w:r>
            <w:r w:rsidR="00E032FC">
              <w:rPr>
                <w:rFonts w:ascii="Times New Roman" w:eastAsia="Times New Roman" w:hAnsi="Times New Roman"/>
                <w:lang w:eastAsia="lt-LT"/>
              </w:rPr>
              <w:t>.</w:t>
            </w:r>
            <w:r w:rsidRPr="00B046BB">
              <w:rPr>
                <w:rFonts w:ascii="Times New Roman" w:eastAsia="Times New Roman" w:hAnsi="Times New Roman"/>
                <w:lang w:eastAsia="lt-LT"/>
              </w:rPr>
              <w:t>y</w:t>
            </w:r>
            <w:proofErr w:type="spellEnd"/>
            <w:r w:rsidR="00E032FC">
              <w:rPr>
                <w:rFonts w:ascii="Times New Roman" w:eastAsia="Times New Roman" w:hAnsi="Times New Roman"/>
                <w:lang w:eastAsia="lt-LT"/>
              </w:rPr>
              <w:t>.</w:t>
            </w:r>
            <w:r w:rsidRPr="00B046BB">
              <w:rPr>
                <w:rFonts w:ascii="Times New Roman" w:eastAsia="Times New Roman" w:hAnsi="Times New Roman"/>
                <w:lang w:eastAsia="lt-LT"/>
              </w:rPr>
              <w:t xml:space="preserve"> 37,7%. Bendras prekių eksportas (į ES valstybes nares ir trečiąsias šalis) 2022 m. sausio–rugpjūčio mėn. </w:t>
            </w:r>
            <w:r w:rsidRPr="00B046BB">
              <w:rPr>
                <w:rFonts w:ascii="Times New Roman" w:eastAsia="Times New Roman" w:hAnsi="Times New Roman"/>
                <w:lang w:eastAsia="lt-LT"/>
              </w:rPr>
              <w:lastRenderedPageBreak/>
              <w:t>sudarė 2,52 mlrd. eurų, palyginti su 1,96 mlrd. eurų 2021 m. sausio–rugpjūčio mėn.</w:t>
            </w:r>
            <w:r w:rsidR="00B046BB" w:rsidRPr="00B046BB">
              <w:rPr>
                <w:rFonts w:ascii="Times New Roman" w:eastAsia="Times New Roman" w:hAnsi="Times New Roman"/>
                <w:lang w:eastAsia="lt-LT"/>
              </w:rPr>
              <w:t xml:space="preserve"> </w:t>
            </w:r>
            <w:r w:rsidRPr="00B046BB">
              <w:rPr>
                <w:rFonts w:ascii="Times New Roman" w:eastAsia="Times New Roman" w:hAnsi="Times New Roman"/>
                <w:lang w:eastAsia="lt-LT"/>
              </w:rPr>
              <w:t>Negalutiniais duomenimis, rugpjūtį bendras prekių importas sudarė 944 mln. eurų, o 2021 m. rugpjūčio mėn. – 706,2 mln. 2022 m. rugpjūčio mėn. importas iš kitų ES valstybių narių siekė 601,8 mln. eurų, o iš trečiųjų šalių – 342,2 mln. eurų, palyginti su atitinkamai 458,8 mln. ir 247,4 mln. eurų 2021 m. rugpjūčio mėn.</w:t>
            </w:r>
          </w:p>
        </w:tc>
        <w:tc>
          <w:tcPr>
            <w:tcW w:w="2410" w:type="dxa"/>
            <w:shd w:val="clear" w:color="auto" w:fill="auto"/>
            <w:tcMar>
              <w:top w:w="29" w:type="dxa"/>
              <w:left w:w="115" w:type="dxa"/>
              <w:bottom w:w="29" w:type="dxa"/>
              <w:right w:w="115" w:type="dxa"/>
            </w:tcMar>
          </w:tcPr>
          <w:p w:rsidR="008D3C00" w:rsidRPr="0039175E" w:rsidRDefault="00937C0A" w:rsidP="0039175E">
            <w:pPr>
              <w:spacing w:before="120" w:after="120" w:line="240" w:lineRule="auto"/>
              <w:rPr>
                <w:rStyle w:val="Hyperlink"/>
                <w:rFonts w:ascii="Times New Roman" w:hAnsi="Times New Roman"/>
                <w:noProof/>
              </w:rPr>
            </w:pPr>
            <w:r w:rsidRPr="00937C0A">
              <w:rPr>
                <w:rStyle w:val="Hyperlink"/>
                <w:rFonts w:ascii="Times New Roman" w:hAnsi="Times New Roman"/>
                <w:noProof/>
              </w:rPr>
              <w:lastRenderedPageBreak/>
              <w:t>https://www.ekathimerini.com/economy/1195319/cyprus-trade-deficit-posts-expansion/</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7424D" w:rsidRPr="00F0798E" w:rsidTr="0039175E">
        <w:trPr>
          <w:trHeight w:val="533"/>
        </w:trPr>
        <w:tc>
          <w:tcPr>
            <w:tcW w:w="1271" w:type="dxa"/>
            <w:shd w:val="clear" w:color="auto" w:fill="auto"/>
            <w:tcMar>
              <w:top w:w="29" w:type="dxa"/>
              <w:left w:w="115" w:type="dxa"/>
              <w:bottom w:w="29" w:type="dxa"/>
              <w:right w:w="115" w:type="dxa"/>
            </w:tcMar>
          </w:tcPr>
          <w:p w:rsidR="0067424D" w:rsidRDefault="0067424D" w:rsidP="0039175E">
            <w:pPr>
              <w:spacing w:before="120" w:after="120" w:line="240" w:lineRule="auto"/>
              <w:rPr>
                <w:rFonts w:ascii="Times New Roman" w:hAnsi="Times New Roman"/>
              </w:rPr>
            </w:pPr>
            <w:r>
              <w:rPr>
                <w:rFonts w:ascii="Times New Roman" w:hAnsi="Times New Roman"/>
              </w:rPr>
              <w:t>2022 10 14</w:t>
            </w:r>
          </w:p>
        </w:tc>
        <w:tc>
          <w:tcPr>
            <w:tcW w:w="4536" w:type="dxa"/>
            <w:shd w:val="clear" w:color="auto" w:fill="auto"/>
            <w:tcMar>
              <w:top w:w="29" w:type="dxa"/>
              <w:left w:w="115" w:type="dxa"/>
              <w:bottom w:w="29" w:type="dxa"/>
              <w:right w:w="115" w:type="dxa"/>
            </w:tcMar>
          </w:tcPr>
          <w:p w:rsidR="0067424D" w:rsidRPr="00A47D9F" w:rsidRDefault="0067424D" w:rsidP="00E10D5E">
            <w:pPr>
              <w:pStyle w:val="HTMLPreformatted"/>
              <w:jc w:val="both"/>
              <w:rPr>
                <w:rFonts w:ascii="Times New Roman" w:hAnsi="Times New Roman" w:cs="Times New Roman"/>
                <w:sz w:val="22"/>
                <w:szCs w:val="22"/>
              </w:rPr>
            </w:pPr>
            <w:r w:rsidRPr="00A47D9F">
              <w:rPr>
                <w:rStyle w:val="y2iqfc"/>
                <w:rFonts w:ascii="Times New Roman" w:hAnsi="Times New Roman" w:cs="Times New Roman"/>
                <w:sz w:val="22"/>
                <w:szCs w:val="22"/>
              </w:rPr>
              <w:t>Kipro viešieji finans</w:t>
            </w:r>
            <w:r w:rsidR="00EA22F6">
              <w:rPr>
                <w:rStyle w:val="y2iqfc"/>
                <w:rFonts w:ascii="Times New Roman" w:hAnsi="Times New Roman" w:cs="Times New Roman"/>
                <w:sz w:val="22"/>
                <w:szCs w:val="22"/>
              </w:rPr>
              <w:t xml:space="preserve">ai 2023 m. grįš į perteklinius, tai tęsis iki 2027 m., teigiama </w:t>
            </w:r>
            <w:r w:rsidRPr="00A47D9F">
              <w:rPr>
                <w:rStyle w:val="y2iqfc"/>
                <w:rFonts w:ascii="Times New Roman" w:hAnsi="Times New Roman" w:cs="Times New Roman"/>
                <w:sz w:val="22"/>
                <w:szCs w:val="22"/>
              </w:rPr>
              <w:t>paskelbtame Tarptautinio valiutos fondo pranešime „</w:t>
            </w:r>
            <w:proofErr w:type="spellStart"/>
            <w:r w:rsidRPr="00A47D9F">
              <w:rPr>
                <w:rStyle w:val="y2iqfc"/>
                <w:rFonts w:ascii="Times New Roman" w:hAnsi="Times New Roman" w:cs="Times New Roman"/>
                <w:sz w:val="22"/>
                <w:szCs w:val="22"/>
              </w:rPr>
              <w:t>Fiscal</w:t>
            </w:r>
            <w:proofErr w:type="spellEnd"/>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Monitor</w:t>
            </w:r>
            <w:proofErr w:type="spellEnd"/>
            <w:r w:rsidRPr="00A47D9F">
              <w:rPr>
                <w:rStyle w:val="y2iqfc"/>
                <w:rFonts w:ascii="Times New Roman" w:hAnsi="Times New Roman" w:cs="Times New Roman"/>
                <w:sz w:val="22"/>
                <w:szCs w:val="22"/>
              </w:rPr>
              <w:t xml:space="preserve"> 2022“.</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TVF prognozuoja, kad dėl COVID-19 pandemijos užfiksuoto deficito ir 2021 ir 2022 m. Kipro valstybės balansas kitais metais sudarys 0,9% bendrojo vidaus produkto perteklių. Biudžeto perteklius 2024 m. padidės 1,3 %, o 2025 m. – 1,6 %, o 2026 ir 2027 m. padidės iki 1,7 %.</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 xml:space="preserve">Remiantis </w:t>
            </w:r>
            <w:proofErr w:type="spellStart"/>
            <w:r w:rsidRPr="00A47D9F">
              <w:rPr>
                <w:rStyle w:val="y2iqfc"/>
                <w:rFonts w:ascii="Times New Roman" w:hAnsi="Times New Roman" w:cs="Times New Roman"/>
                <w:sz w:val="22"/>
                <w:szCs w:val="22"/>
              </w:rPr>
              <w:t>Fiscal</w:t>
            </w:r>
            <w:proofErr w:type="spellEnd"/>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Monitor</w:t>
            </w:r>
            <w:proofErr w:type="spellEnd"/>
            <w:r w:rsidRPr="00A47D9F">
              <w:rPr>
                <w:rStyle w:val="y2iqfc"/>
                <w:rFonts w:ascii="Times New Roman" w:hAnsi="Times New Roman" w:cs="Times New Roman"/>
                <w:sz w:val="22"/>
                <w:szCs w:val="22"/>
              </w:rPr>
              <w:t xml:space="preserve">, nuo 0,1 % BVP pertekliaus 2021 m. Kipro pirminis balansas (neįskaitant skolos aptarnavimo išlaidų) ir toliau didės. 2022 m. pirminis perteklius pasieks 1,2 % BVP ir </w:t>
            </w:r>
            <w:r w:rsidR="00EA22F6">
              <w:rPr>
                <w:rStyle w:val="y2iqfc"/>
                <w:rFonts w:ascii="Times New Roman" w:hAnsi="Times New Roman" w:cs="Times New Roman"/>
                <w:sz w:val="22"/>
                <w:szCs w:val="22"/>
              </w:rPr>
              <w:t>padid</w:t>
            </w:r>
            <w:r w:rsidRPr="00A47D9F">
              <w:rPr>
                <w:rStyle w:val="y2iqfc"/>
                <w:rFonts w:ascii="Times New Roman" w:hAnsi="Times New Roman" w:cs="Times New Roman"/>
                <w:sz w:val="22"/>
                <w:szCs w:val="22"/>
              </w:rPr>
              <w:t>ės iki 2,3 % 2023 m., 2,6 % 2024 m., 2,8 % BVP 2025 m. ir 2,7 % BVP 2026 ir 2027 m.</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TVF taip pat prognozuoja, kad 2020 m. pasiek</w:t>
            </w:r>
            <w:r w:rsidR="00EA22F6">
              <w:rPr>
                <w:rStyle w:val="y2iqfc"/>
                <w:rFonts w:ascii="Times New Roman" w:hAnsi="Times New Roman" w:cs="Times New Roman"/>
                <w:sz w:val="22"/>
                <w:szCs w:val="22"/>
              </w:rPr>
              <w:t>tas</w:t>
            </w:r>
            <w:r w:rsidRPr="00A47D9F">
              <w:rPr>
                <w:rStyle w:val="y2iqfc"/>
                <w:rFonts w:ascii="Times New Roman" w:hAnsi="Times New Roman" w:cs="Times New Roman"/>
                <w:sz w:val="22"/>
                <w:szCs w:val="22"/>
              </w:rPr>
              <w:t xml:space="preserve"> 115 % BVP dėl didelių skolų emisijų per Covid-19 pandemiją ir sumažėj</w:t>
            </w:r>
            <w:r w:rsidR="00EA22F6">
              <w:rPr>
                <w:rStyle w:val="y2iqfc"/>
                <w:rFonts w:ascii="Times New Roman" w:hAnsi="Times New Roman" w:cs="Times New Roman"/>
                <w:sz w:val="22"/>
                <w:szCs w:val="22"/>
              </w:rPr>
              <w:t>ęs</w:t>
            </w:r>
            <w:r w:rsidRPr="00A47D9F">
              <w:rPr>
                <w:rStyle w:val="y2iqfc"/>
                <w:rFonts w:ascii="Times New Roman" w:hAnsi="Times New Roman" w:cs="Times New Roman"/>
                <w:sz w:val="22"/>
                <w:szCs w:val="22"/>
              </w:rPr>
              <w:t xml:space="preserve"> iki 103,9 % 2021 m., Kipro bendroji valstybės skola šiais metais toliau mažės iki</w:t>
            </w:r>
            <w:r w:rsidR="00EA22F6">
              <w:rPr>
                <w:rStyle w:val="y2iqfc"/>
                <w:rFonts w:ascii="Times New Roman" w:hAnsi="Times New Roman" w:cs="Times New Roman"/>
                <w:sz w:val="22"/>
                <w:szCs w:val="22"/>
              </w:rPr>
              <w:t xml:space="preserve"> 93,6 % ir toliau</w:t>
            </w:r>
            <w:r w:rsidR="00E10D5E" w:rsidRPr="00A47D9F">
              <w:rPr>
                <w:rStyle w:val="y2iqfc"/>
                <w:rFonts w:ascii="Times New Roman" w:hAnsi="Times New Roman" w:cs="Times New Roman"/>
                <w:sz w:val="22"/>
                <w:szCs w:val="22"/>
              </w:rPr>
              <w:t xml:space="preserve"> </w:t>
            </w:r>
            <w:r w:rsidR="00E10D5E" w:rsidRPr="00A47D9F">
              <w:rPr>
                <w:rStyle w:val="y2iqfc"/>
                <w:rFonts w:ascii="Times New Roman" w:hAnsi="Times New Roman" w:cs="Times New Roman"/>
                <w:sz w:val="22"/>
                <w:szCs w:val="22"/>
              </w:rPr>
              <w:t>Kipro bendroji skola</w:t>
            </w:r>
            <w:r w:rsidRPr="00A47D9F">
              <w:rPr>
                <w:rStyle w:val="y2iqfc"/>
                <w:rFonts w:ascii="Times New Roman" w:hAnsi="Times New Roman" w:cs="Times New Roman"/>
                <w:sz w:val="22"/>
                <w:szCs w:val="22"/>
              </w:rPr>
              <w:t xml:space="preserve"> sumažės iki 87,5 % 2</w:t>
            </w:r>
            <w:r w:rsidR="00E10D5E">
              <w:rPr>
                <w:rStyle w:val="y2iqfc"/>
                <w:rFonts w:ascii="Times New Roman" w:hAnsi="Times New Roman" w:cs="Times New Roman"/>
                <w:sz w:val="22"/>
                <w:szCs w:val="22"/>
              </w:rPr>
              <w:t xml:space="preserve">023 m., </w:t>
            </w:r>
            <w:r w:rsidRPr="00A47D9F">
              <w:rPr>
                <w:rStyle w:val="y2iqfc"/>
                <w:rFonts w:ascii="Times New Roman" w:hAnsi="Times New Roman" w:cs="Times New Roman"/>
                <w:sz w:val="22"/>
                <w:szCs w:val="22"/>
              </w:rPr>
              <w:t>iki 80,2 % 2024 m. ir 76 % 2025 m., o 2026 m. ir 2027 m. toliau sumažės iki 71 % ir 66,2 %.</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Ataskaitoje priduriama, kad Kipro pajamos procentais nuo BVP stabilizuosis ties maždaug 42 proc. 2021 m. padidėjus iki 42,4 % BVP (nuo 39,3 % 2020 m.), Kipro pajamos 2022 m. ir 2023 m. pasieks 41,9 %. 2024 m. valstybės pajamos sieks 42,2 % BVP ir s</w:t>
            </w:r>
            <w:r w:rsidR="00E10D5E">
              <w:rPr>
                <w:rStyle w:val="y2iqfc"/>
                <w:rFonts w:ascii="Times New Roman" w:hAnsi="Times New Roman" w:cs="Times New Roman"/>
                <w:sz w:val="22"/>
                <w:szCs w:val="22"/>
              </w:rPr>
              <w:t xml:space="preserve">udarys 41,8 %, 41,1 % ir 402 % </w:t>
            </w:r>
            <w:r w:rsidRPr="00A47D9F">
              <w:rPr>
                <w:rStyle w:val="y2iqfc"/>
                <w:rFonts w:ascii="Times New Roman" w:hAnsi="Times New Roman" w:cs="Times New Roman"/>
                <w:sz w:val="22"/>
                <w:szCs w:val="22"/>
              </w:rPr>
              <w:t>atitinkamai 2025, 2026 ir 2027 m.</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 xml:space="preserve">Valstybės išlaidos procentais </w:t>
            </w:r>
            <w:r w:rsidR="00E10D5E">
              <w:rPr>
                <w:rStyle w:val="y2iqfc"/>
                <w:rFonts w:ascii="Times New Roman" w:hAnsi="Times New Roman" w:cs="Times New Roman"/>
                <w:sz w:val="22"/>
                <w:szCs w:val="22"/>
              </w:rPr>
              <w:t>nuo BVP 2022 m. sieks 42,4 % (</w:t>
            </w:r>
            <w:r w:rsidRPr="00A47D9F">
              <w:rPr>
                <w:rStyle w:val="y2iqfc"/>
                <w:rFonts w:ascii="Times New Roman" w:hAnsi="Times New Roman" w:cs="Times New Roman"/>
                <w:sz w:val="22"/>
                <w:szCs w:val="22"/>
              </w:rPr>
              <w:t>45 % ir 44,1 % atitinkamai 2020 ir 2021 m</w:t>
            </w:r>
            <w:r w:rsidR="00E10D5E">
              <w:rPr>
                <w:rStyle w:val="y2iqfc"/>
                <w:rFonts w:ascii="Times New Roman" w:hAnsi="Times New Roman" w:cs="Times New Roman"/>
                <w:sz w:val="22"/>
                <w:szCs w:val="22"/>
              </w:rPr>
              <w:t>.), o 2023 m. sumažės iki 41 %.</w:t>
            </w:r>
            <w:r w:rsidRPr="00A47D9F">
              <w:rPr>
                <w:rStyle w:val="y2iqfc"/>
                <w:rFonts w:ascii="Times New Roman" w:hAnsi="Times New Roman" w:cs="Times New Roman"/>
                <w:sz w:val="22"/>
                <w:szCs w:val="22"/>
              </w:rPr>
              <w:t xml:space="preserve"> Valstybės pajamos 2024 m. sieks 40,9 % BVP, 2025 m. – 40,2 %, o 2026 m. ir 2027 m. – atitinkamai 39,4 % ir 39 % BVP.</w:t>
            </w:r>
            <w:r w:rsidR="008B0EDC">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67424D" w:rsidRPr="00937C0A" w:rsidRDefault="0067424D" w:rsidP="0039175E">
            <w:pPr>
              <w:spacing w:before="120" w:after="120" w:line="240" w:lineRule="auto"/>
              <w:rPr>
                <w:rStyle w:val="Hyperlink"/>
                <w:rFonts w:ascii="Times New Roman" w:hAnsi="Times New Roman"/>
                <w:noProof/>
              </w:rPr>
            </w:pPr>
            <w:r w:rsidRPr="0067424D">
              <w:rPr>
                <w:rStyle w:val="Hyperlink"/>
                <w:rFonts w:ascii="Times New Roman" w:hAnsi="Times New Roman"/>
                <w:noProof/>
              </w:rPr>
              <w:t>https://www.ekathimerini.com/economy/1195585/imf-cyprus-budget-to-continue-upward/</w:t>
            </w:r>
          </w:p>
        </w:tc>
        <w:tc>
          <w:tcPr>
            <w:tcW w:w="1582" w:type="dxa"/>
            <w:shd w:val="clear" w:color="auto" w:fill="auto"/>
            <w:tcMar>
              <w:top w:w="29" w:type="dxa"/>
              <w:left w:w="115" w:type="dxa"/>
              <w:bottom w:w="29" w:type="dxa"/>
              <w:right w:w="115" w:type="dxa"/>
            </w:tcMar>
          </w:tcPr>
          <w:p w:rsidR="0067424D" w:rsidRPr="0039175E" w:rsidRDefault="0067424D" w:rsidP="0039175E">
            <w:pPr>
              <w:spacing w:before="120" w:after="120" w:line="240" w:lineRule="auto"/>
              <w:rPr>
                <w:rFonts w:ascii="Times New Roman" w:hAnsi="Times New Roman"/>
                <w:noProof/>
              </w:rPr>
            </w:pPr>
          </w:p>
        </w:tc>
      </w:tr>
      <w:tr w:rsidR="00AF0197" w:rsidRPr="00F0798E" w:rsidTr="0039175E">
        <w:trPr>
          <w:trHeight w:val="533"/>
        </w:trPr>
        <w:tc>
          <w:tcPr>
            <w:tcW w:w="1271" w:type="dxa"/>
            <w:shd w:val="clear" w:color="auto" w:fill="auto"/>
            <w:tcMar>
              <w:top w:w="29" w:type="dxa"/>
              <w:left w:w="115" w:type="dxa"/>
              <w:bottom w:w="29" w:type="dxa"/>
              <w:right w:w="115" w:type="dxa"/>
            </w:tcMar>
          </w:tcPr>
          <w:p w:rsidR="00AF0197" w:rsidRDefault="00AF0197" w:rsidP="0039175E">
            <w:pPr>
              <w:spacing w:before="120" w:after="120" w:line="240" w:lineRule="auto"/>
              <w:rPr>
                <w:rFonts w:ascii="Times New Roman" w:hAnsi="Times New Roman"/>
              </w:rPr>
            </w:pPr>
            <w:r>
              <w:rPr>
                <w:rFonts w:ascii="Times New Roman" w:hAnsi="Times New Roman"/>
              </w:rPr>
              <w:t>2022 10 15</w:t>
            </w:r>
          </w:p>
        </w:tc>
        <w:tc>
          <w:tcPr>
            <w:tcW w:w="4536" w:type="dxa"/>
            <w:shd w:val="clear" w:color="auto" w:fill="auto"/>
            <w:tcMar>
              <w:top w:w="29" w:type="dxa"/>
              <w:left w:w="115" w:type="dxa"/>
              <w:bottom w:w="29" w:type="dxa"/>
              <w:right w:w="115" w:type="dxa"/>
            </w:tcMar>
          </w:tcPr>
          <w:p w:rsidR="00AF0197" w:rsidRPr="00A47D9F" w:rsidRDefault="00E10D5E" w:rsidP="00B45677">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Anot Kipro prezidento</w:t>
            </w:r>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Nico</w:t>
            </w:r>
            <w:proofErr w:type="spellEnd"/>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Anastasiades</w:t>
            </w:r>
            <w:proofErr w:type="spellEnd"/>
            <w:r>
              <w:rPr>
                <w:rStyle w:val="y2iqfc"/>
                <w:rFonts w:ascii="Times New Roman" w:hAnsi="Times New Roman" w:cs="Times New Roman"/>
                <w:sz w:val="22"/>
                <w:szCs w:val="22"/>
              </w:rPr>
              <w:t>, i</w:t>
            </w:r>
            <w:r w:rsidR="00AF0197" w:rsidRPr="00A47D9F">
              <w:rPr>
                <w:rStyle w:val="y2iqfc"/>
                <w:rFonts w:ascii="Times New Roman" w:hAnsi="Times New Roman" w:cs="Times New Roman"/>
                <w:sz w:val="22"/>
                <w:szCs w:val="22"/>
              </w:rPr>
              <w:t>ki 2027 m. pabaigos Kipras turės perteklinį atsinaujinančios energijos kiekį, kurį gal</w:t>
            </w:r>
            <w:r w:rsidR="00B45677">
              <w:rPr>
                <w:rStyle w:val="y2iqfc"/>
                <w:rFonts w:ascii="Times New Roman" w:hAnsi="Times New Roman" w:cs="Times New Roman"/>
                <w:sz w:val="22"/>
                <w:szCs w:val="22"/>
              </w:rPr>
              <w:t>ėtų</w:t>
            </w:r>
            <w:r w:rsidR="00AF0197" w:rsidRPr="00A47D9F">
              <w:rPr>
                <w:rStyle w:val="y2iqfc"/>
                <w:rFonts w:ascii="Times New Roman" w:hAnsi="Times New Roman" w:cs="Times New Roman"/>
                <w:sz w:val="22"/>
                <w:szCs w:val="22"/>
              </w:rPr>
              <w:t xml:space="preserve"> eksportuoti</w:t>
            </w:r>
            <w:r>
              <w:rPr>
                <w:rStyle w:val="y2iqfc"/>
                <w:rFonts w:ascii="Times New Roman" w:hAnsi="Times New Roman" w:cs="Times New Roman"/>
                <w:sz w:val="22"/>
                <w:szCs w:val="22"/>
              </w:rPr>
              <w:t>.</w:t>
            </w:r>
            <w:r w:rsidR="00AF0197" w:rsidRPr="00A47D9F">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Tai jis pareiškė Nikosijoje surengto</w:t>
            </w:r>
            <w:r w:rsidRPr="00A47D9F">
              <w:rPr>
                <w:rStyle w:val="y2iqfc"/>
                <w:rFonts w:ascii="Times New Roman" w:hAnsi="Times New Roman" w:cs="Times New Roman"/>
                <w:sz w:val="22"/>
                <w:szCs w:val="22"/>
              </w:rPr>
              <w:t xml:space="preserve"> forumo</w:t>
            </w:r>
            <w:r>
              <w:rPr>
                <w:rStyle w:val="y2iqfc"/>
                <w:rFonts w:ascii="Times New Roman" w:hAnsi="Times New Roman" w:cs="Times New Roman"/>
                <w:sz w:val="22"/>
                <w:szCs w:val="22"/>
              </w:rPr>
              <w:t>, skirto  energetikai</w:t>
            </w:r>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pereinamoj</w:t>
            </w:r>
            <w:r>
              <w:rPr>
                <w:rStyle w:val="y2iqfc"/>
                <w:rFonts w:ascii="Times New Roman" w:hAnsi="Times New Roman" w:cs="Times New Roman"/>
                <w:sz w:val="22"/>
                <w:szCs w:val="22"/>
              </w:rPr>
              <w:t>u</w:t>
            </w:r>
            <w:proofErr w:type="spellEnd"/>
            <w:r w:rsidRPr="00A47D9F">
              <w:rPr>
                <w:rStyle w:val="y2iqfc"/>
                <w:rFonts w:ascii="Times New Roman" w:hAnsi="Times New Roman" w:cs="Times New Roman"/>
                <w:sz w:val="22"/>
                <w:szCs w:val="22"/>
              </w:rPr>
              <w:t xml:space="preserve"> laikotarpi</w:t>
            </w:r>
            <w:r>
              <w:rPr>
                <w:rStyle w:val="y2iqfc"/>
                <w:rFonts w:ascii="Times New Roman" w:hAnsi="Times New Roman" w:cs="Times New Roman"/>
                <w:sz w:val="22"/>
                <w:szCs w:val="22"/>
              </w:rPr>
              <w:t>u, metu.</w:t>
            </w:r>
            <w:r w:rsidRPr="00A47D9F">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Savo kalboje N. </w:t>
            </w:r>
            <w:proofErr w:type="spellStart"/>
            <w:r w:rsidR="00AF0197" w:rsidRPr="00A47D9F">
              <w:rPr>
                <w:rStyle w:val="y2iqfc"/>
                <w:rFonts w:ascii="Times New Roman" w:hAnsi="Times New Roman" w:cs="Times New Roman"/>
                <w:sz w:val="22"/>
                <w:szCs w:val="22"/>
              </w:rPr>
              <w:t>Anastasiades</w:t>
            </w:r>
            <w:proofErr w:type="spellEnd"/>
            <w:r w:rsidR="00AF0197" w:rsidRPr="00A47D9F">
              <w:rPr>
                <w:rStyle w:val="y2iqfc"/>
                <w:rFonts w:ascii="Times New Roman" w:hAnsi="Times New Roman" w:cs="Times New Roman"/>
                <w:sz w:val="22"/>
                <w:szCs w:val="22"/>
              </w:rPr>
              <w:t xml:space="preserve"> pažymėjo, kad Kipras gali tapti elektros energijos eksportuotoju, kurio </w:t>
            </w:r>
            <w:proofErr w:type="spellStart"/>
            <w:r w:rsidR="00AF0197" w:rsidRPr="00A47D9F">
              <w:rPr>
                <w:rStyle w:val="y2iqfc"/>
                <w:rFonts w:ascii="Times New Roman" w:hAnsi="Times New Roman" w:cs="Times New Roman"/>
                <w:sz w:val="22"/>
                <w:szCs w:val="22"/>
              </w:rPr>
              <w:t>pajėgumai</w:t>
            </w:r>
            <w:proofErr w:type="spellEnd"/>
            <w:r w:rsidR="00AF0197" w:rsidRPr="00A47D9F">
              <w:rPr>
                <w:rStyle w:val="y2iqfc"/>
                <w:rFonts w:ascii="Times New Roman" w:hAnsi="Times New Roman" w:cs="Times New Roman"/>
                <w:sz w:val="22"/>
                <w:szCs w:val="22"/>
              </w:rPr>
              <w:t xml:space="preserve"> gali svyruoti nuo 120 </w:t>
            </w:r>
            <w:proofErr w:type="spellStart"/>
            <w:r w:rsidR="00AF0197" w:rsidRPr="00A47D9F">
              <w:rPr>
                <w:rStyle w:val="y2iqfc"/>
                <w:rFonts w:ascii="Times New Roman" w:hAnsi="Times New Roman" w:cs="Times New Roman"/>
                <w:sz w:val="22"/>
                <w:szCs w:val="22"/>
              </w:rPr>
              <w:t>gigavatvalandžių</w:t>
            </w:r>
            <w:proofErr w:type="spellEnd"/>
            <w:r w:rsidR="00AF0197" w:rsidRPr="00A47D9F">
              <w:rPr>
                <w:rStyle w:val="y2iqfc"/>
                <w:rFonts w:ascii="Times New Roman" w:hAnsi="Times New Roman" w:cs="Times New Roman"/>
                <w:sz w:val="22"/>
                <w:szCs w:val="22"/>
              </w:rPr>
              <w:t xml:space="preserve"> 2027 m. iki daugiau nei 1 800 </w:t>
            </w:r>
            <w:proofErr w:type="spellStart"/>
            <w:r w:rsidR="00AF0197" w:rsidRPr="00A47D9F">
              <w:rPr>
                <w:rStyle w:val="y2iqfc"/>
                <w:rFonts w:ascii="Times New Roman" w:hAnsi="Times New Roman" w:cs="Times New Roman"/>
                <w:sz w:val="22"/>
                <w:szCs w:val="22"/>
              </w:rPr>
              <w:t>GWh</w:t>
            </w:r>
            <w:proofErr w:type="spellEnd"/>
            <w:r w:rsidR="00AF0197" w:rsidRPr="00A47D9F">
              <w:rPr>
                <w:rStyle w:val="y2iqfc"/>
                <w:rFonts w:ascii="Times New Roman" w:hAnsi="Times New Roman" w:cs="Times New Roman"/>
                <w:sz w:val="22"/>
                <w:szCs w:val="22"/>
              </w:rPr>
              <w:t xml:space="preserve"> 2033 m.</w:t>
            </w:r>
            <w:r w:rsidR="008B0EDC">
              <w:rPr>
                <w:rStyle w:val="y2iqfc"/>
                <w:rFonts w:ascii="Times New Roman" w:hAnsi="Times New Roman" w:cs="Times New Roman"/>
                <w:sz w:val="22"/>
                <w:szCs w:val="22"/>
              </w:rPr>
              <w:t xml:space="preserve"> </w:t>
            </w:r>
            <w:r w:rsidR="00AF0197" w:rsidRPr="00A47D9F">
              <w:rPr>
                <w:rStyle w:val="y2iqfc"/>
                <w:rFonts w:ascii="Times New Roman" w:hAnsi="Times New Roman" w:cs="Times New Roman"/>
                <w:sz w:val="22"/>
                <w:szCs w:val="22"/>
              </w:rPr>
              <w:t xml:space="preserve">Jis sakė, kad Kipras dėl savo strateginės padėties ir puikių santykių bei </w:t>
            </w:r>
            <w:r w:rsidR="00AF0197" w:rsidRPr="00A47D9F">
              <w:rPr>
                <w:rStyle w:val="y2iqfc"/>
                <w:rFonts w:ascii="Times New Roman" w:hAnsi="Times New Roman" w:cs="Times New Roman"/>
                <w:sz w:val="22"/>
                <w:szCs w:val="22"/>
              </w:rPr>
              <w:lastRenderedPageBreak/>
              <w:t xml:space="preserve">ilgalaikių </w:t>
            </w:r>
            <w:r>
              <w:rPr>
                <w:rStyle w:val="y2iqfc"/>
                <w:rFonts w:ascii="Times New Roman" w:hAnsi="Times New Roman" w:cs="Times New Roman"/>
                <w:sz w:val="22"/>
                <w:szCs w:val="22"/>
              </w:rPr>
              <w:t>susitarimų</w:t>
            </w:r>
            <w:r w:rsidR="00AF0197" w:rsidRPr="00A47D9F">
              <w:rPr>
                <w:rStyle w:val="y2iqfc"/>
                <w:rFonts w:ascii="Times New Roman" w:hAnsi="Times New Roman" w:cs="Times New Roman"/>
                <w:sz w:val="22"/>
                <w:szCs w:val="22"/>
              </w:rPr>
              <w:t xml:space="preserve"> energetikos srityje su kaimyninėmis šalimis dvišaliu, regioniniu ir daugiašaliu lygiu yra pasirengęs įnešti savo indėlį ir aktyviai dalyvauti energijos </w:t>
            </w:r>
            <w:r>
              <w:rPr>
                <w:rStyle w:val="y2iqfc"/>
                <w:rFonts w:ascii="Times New Roman" w:hAnsi="Times New Roman" w:cs="Times New Roman"/>
                <w:sz w:val="22"/>
                <w:szCs w:val="22"/>
              </w:rPr>
              <w:t>tiekimo sprendimuose</w:t>
            </w:r>
            <w:r w:rsidR="00AF0197" w:rsidRPr="00A47D9F">
              <w:rPr>
                <w:rStyle w:val="y2iqfc"/>
                <w:rFonts w:ascii="Times New Roman" w:hAnsi="Times New Roman" w:cs="Times New Roman"/>
                <w:sz w:val="22"/>
                <w:szCs w:val="22"/>
              </w:rPr>
              <w:t>, kuriuos šis regionas gali pasiūlyti.</w:t>
            </w:r>
            <w:r w:rsidR="008B0EDC">
              <w:rPr>
                <w:rStyle w:val="y2iqfc"/>
                <w:rFonts w:ascii="Times New Roman" w:hAnsi="Times New Roman" w:cs="Times New Roman"/>
                <w:sz w:val="22"/>
                <w:szCs w:val="22"/>
              </w:rPr>
              <w:t xml:space="preserve"> </w:t>
            </w:r>
            <w:r w:rsidR="00AF0197" w:rsidRPr="00A47D9F">
              <w:rPr>
                <w:rStyle w:val="y2iqfc"/>
                <w:rFonts w:ascii="Times New Roman" w:hAnsi="Times New Roman" w:cs="Times New Roman"/>
                <w:sz w:val="22"/>
                <w:szCs w:val="22"/>
              </w:rPr>
              <w:t xml:space="preserve">„Vaidmuo, kurį jau prisiėmėme pradėdami </w:t>
            </w:r>
            <w:proofErr w:type="spellStart"/>
            <w:r w:rsidR="00AF0197" w:rsidRPr="00A47D9F">
              <w:rPr>
                <w:rStyle w:val="y2iqfc"/>
                <w:rFonts w:ascii="Times New Roman" w:hAnsi="Times New Roman" w:cs="Times New Roman"/>
                <w:sz w:val="22"/>
                <w:szCs w:val="22"/>
              </w:rPr>
              <w:t>EuroAsia</w:t>
            </w:r>
            <w:proofErr w:type="spellEnd"/>
            <w:r w:rsidR="00AF0197" w:rsidRPr="00A47D9F">
              <w:rPr>
                <w:rStyle w:val="y2iqfc"/>
                <w:rFonts w:ascii="Times New Roman" w:hAnsi="Times New Roman" w:cs="Times New Roman"/>
                <w:sz w:val="22"/>
                <w:szCs w:val="22"/>
              </w:rPr>
              <w:t xml:space="preserve"> jungties tarp Kipro, Graikijos ir Izraelio statybos etapą, taip pat ruošia</w:t>
            </w:r>
            <w:r w:rsidR="00B45677">
              <w:rPr>
                <w:rStyle w:val="y2iqfc"/>
                <w:rFonts w:ascii="Times New Roman" w:hAnsi="Times New Roman" w:cs="Times New Roman"/>
                <w:sz w:val="22"/>
                <w:szCs w:val="22"/>
              </w:rPr>
              <w:t>mės</w:t>
            </w:r>
            <w:r w:rsidR="00AF0197" w:rsidRPr="00A47D9F">
              <w:rPr>
                <w:rStyle w:val="y2iqfc"/>
                <w:rFonts w:ascii="Times New Roman" w:hAnsi="Times New Roman" w:cs="Times New Roman"/>
                <w:sz w:val="22"/>
                <w:szCs w:val="22"/>
              </w:rPr>
              <w:t xml:space="preserve"> pradėti </w:t>
            </w:r>
            <w:proofErr w:type="spellStart"/>
            <w:r w:rsidR="00AF0197" w:rsidRPr="00A47D9F">
              <w:rPr>
                <w:rStyle w:val="y2iqfc"/>
                <w:rFonts w:ascii="Times New Roman" w:hAnsi="Times New Roman" w:cs="Times New Roman"/>
                <w:sz w:val="22"/>
                <w:szCs w:val="22"/>
              </w:rPr>
              <w:t>EuroAfrica</w:t>
            </w:r>
            <w:proofErr w:type="spellEnd"/>
            <w:r w:rsidR="00AF0197" w:rsidRPr="00A47D9F">
              <w:rPr>
                <w:rStyle w:val="y2iqfc"/>
                <w:rFonts w:ascii="Times New Roman" w:hAnsi="Times New Roman" w:cs="Times New Roman"/>
                <w:sz w:val="22"/>
                <w:szCs w:val="22"/>
              </w:rPr>
              <w:t xml:space="preserve"> jungiamąją jungtį, kuri sujungs Kiprą, Graikiją ir Egiptą“, – sakė jis.</w:t>
            </w:r>
            <w:r w:rsidR="008B0EDC">
              <w:rPr>
                <w:rStyle w:val="y2iqfc"/>
                <w:rFonts w:ascii="Times New Roman" w:hAnsi="Times New Roman" w:cs="Times New Roman"/>
                <w:sz w:val="22"/>
                <w:szCs w:val="22"/>
              </w:rPr>
              <w:t xml:space="preserve"> </w:t>
            </w:r>
            <w:r w:rsidR="00AF0197" w:rsidRPr="00A47D9F">
              <w:rPr>
                <w:rStyle w:val="y2iqfc"/>
                <w:rFonts w:ascii="Times New Roman" w:hAnsi="Times New Roman" w:cs="Times New Roman"/>
                <w:sz w:val="22"/>
                <w:szCs w:val="22"/>
              </w:rPr>
              <w:t xml:space="preserve">Kalbant apie galimą Rytų Viduržemio jūros regiono indėlį į ES pastangas diversifikuoti energijos šaltinius ir maršrutus, prezidentas sakė, kad tai gali būti pasiekta </w:t>
            </w:r>
            <w:r w:rsidR="00B45677">
              <w:rPr>
                <w:rStyle w:val="y2iqfc"/>
                <w:rFonts w:ascii="Times New Roman" w:hAnsi="Times New Roman" w:cs="Times New Roman"/>
                <w:sz w:val="22"/>
                <w:szCs w:val="22"/>
              </w:rPr>
              <w:t>transportuojant</w:t>
            </w:r>
            <w:r w:rsidR="00AF0197" w:rsidRPr="00A47D9F">
              <w:rPr>
                <w:rStyle w:val="y2iqfc"/>
                <w:rFonts w:ascii="Times New Roman" w:hAnsi="Times New Roman" w:cs="Times New Roman"/>
                <w:sz w:val="22"/>
                <w:szCs w:val="22"/>
              </w:rPr>
              <w:t xml:space="preserve"> Rytų Viduržemio jūros regiono gamtines dujas </w:t>
            </w:r>
            <w:r w:rsidR="00B45677">
              <w:rPr>
                <w:rStyle w:val="y2iqfc"/>
                <w:rFonts w:ascii="Times New Roman" w:hAnsi="Times New Roman" w:cs="Times New Roman"/>
                <w:sz w:val="22"/>
                <w:szCs w:val="22"/>
              </w:rPr>
              <w:t xml:space="preserve">arba </w:t>
            </w:r>
            <w:r w:rsidR="00AF0197" w:rsidRPr="00A47D9F">
              <w:rPr>
                <w:rStyle w:val="y2iqfc"/>
                <w:rFonts w:ascii="Times New Roman" w:hAnsi="Times New Roman" w:cs="Times New Roman"/>
                <w:sz w:val="22"/>
                <w:szCs w:val="22"/>
              </w:rPr>
              <w:t xml:space="preserve">SGD, arba vamzdynais, </w:t>
            </w:r>
            <w:r w:rsidR="00B45677">
              <w:rPr>
                <w:rStyle w:val="y2iqfc"/>
                <w:rFonts w:ascii="Times New Roman" w:hAnsi="Times New Roman" w:cs="Times New Roman"/>
                <w:sz w:val="22"/>
                <w:szCs w:val="22"/>
              </w:rPr>
              <w:t>kurios</w:t>
            </w:r>
            <w:r w:rsidR="00C23789">
              <w:rPr>
                <w:rStyle w:val="y2iqfc"/>
                <w:rFonts w:ascii="Times New Roman" w:hAnsi="Times New Roman" w:cs="Times New Roman"/>
                <w:sz w:val="22"/>
                <w:szCs w:val="22"/>
              </w:rPr>
              <w:t xml:space="preserve"> bus </w:t>
            </w:r>
            <w:proofErr w:type="spellStart"/>
            <w:r w:rsidR="00C23789">
              <w:rPr>
                <w:rStyle w:val="y2iqfc"/>
                <w:rFonts w:ascii="Times New Roman" w:hAnsi="Times New Roman" w:cs="Times New Roman"/>
                <w:sz w:val="22"/>
                <w:szCs w:val="22"/>
              </w:rPr>
              <w:t>gaminomo</w:t>
            </w:r>
            <w:r w:rsidR="00AF0197" w:rsidRPr="00A47D9F">
              <w:rPr>
                <w:rStyle w:val="y2iqfc"/>
                <w:rFonts w:ascii="Times New Roman" w:hAnsi="Times New Roman" w:cs="Times New Roman"/>
                <w:sz w:val="22"/>
                <w:szCs w:val="22"/>
              </w:rPr>
              <w:t>s</w:t>
            </w:r>
            <w:proofErr w:type="spellEnd"/>
            <w:r w:rsidR="00AF0197" w:rsidRPr="00A47D9F">
              <w:rPr>
                <w:rStyle w:val="y2iqfc"/>
                <w:rFonts w:ascii="Times New Roman" w:hAnsi="Times New Roman" w:cs="Times New Roman"/>
                <w:sz w:val="22"/>
                <w:szCs w:val="22"/>
              </w:rPr>
              <w:t xml:space="preserve"> regione. </w:t>
            </w:r>
          </w:p>
        </w:tc>
        <w:tc>
          <w:tcPr>
            <w:tcW w:w="2410" w:type="dxa"/>
            <w:shd w:val="clear" w:color="auto" w:fill="auto"/>
            <w:tcMar>
              <w:top w:w="29" w:type="dxa"/>
              <w:left w:w="115" w:type="dxa"/>
              <w:bottom w:w="29" w:type="dxa"/>
              <w:right w:w="115" w:type="dxa"/>
            </w:tcMar>
          </w:tcPr>
          <w:p w:rsidR="00AF0197" w:rsidRPr="00937C0A" w:rsidRDefault="00AF0197" w:rsidP="0039175E">
            <w:pPr>
              <w:spacing w:before="120" w:after="120" w:line="240" w:lineRule="auto"/>
              <w:rPr>
                <w:rStyle w:val="Hyperlink"/>
                <w:rFonts w:ascii="Times New Roman" w:hAnsi="Times New Roman"/>
                <w:noProof/>
              </w:rPr>
            </w:pPr>
            <w:r w:rsidRPr="00AF0197">
              <w:rPr>
                <w:rStyle w:val="Hyperlink"/>
                <w:rFonts w:ascii="Times New Roman" w:hAnsi="Times New Roman"/>
                <w:noProof/>
              </w:rPr>
              <w:lastRenderedPageBreak/>
              <w:t>https://www.ekathimerini.com/economy/1195685/cyprus-to-export-energy-from-renewables/</w:t>
            </w:r>
          </w:p>
        </w:tc>
        <w:tc>
          <w:tcPr>
            <w:tcW w:w="1582" w:type="dxa"/>
            <w:shd w:val="clear" w:color="auto" w:fill="auto"/>
            <w:tcMar>
              <w:top w:w="29" w:type="dxa"/>
              <w:left w:w="115" w:type="dxa"/>
              <w:bottom w:w="29" w:type="dxa"/>
              <w:right w:w="115" w:type="dxa"/>
            </w:tcMar>
          </w:tcPr>
          <w:p w:rsidR="00AF0197" w:rsidRPr="0039175E" w:rsidRDefault="00AF0197" w:rsidP="0039175E">
            <w:pPr>
              <w:spacing w:before="120" w:after="120" w:line="240" w:lineRule="auto"/>
              <w:rPr>
                <w:rFonts w:ascii="Times New Roman" w:hAnsi="Times New Roman"/>
                <w:noProof/>
              </w:rPr>
            </w:pPr>
          </w:p>
        </w:tc>
      </w:tr>
      <w:tr w:rsidR="002B0E80" w:rsidRPr="00F0798E" w:rsidTr="0039175E">
        <w:trPr>
          <w:trHeight w:val="533"/>
        </w:trPr>
        <w:tc>
          <w:tcPr>
            <w:tcW w:w="1271" w:type="dxa"/>
            <w:shd w:val="clear" w:color="auto" w:fill="auto"/>
            <w:tcMar>
              <w:top w:w="29" w:type="dxa"/>
              <w:left w:w="115" w:type="dxa"/>
              <w:bottom w:w="29" w:type="dxa"/>
              <w:right w:w="115" w:type="dxa"/>
            </w:tcMar>
          </w:tcPr>
          <w:p w:rsidR="002B0E80" w:rsidRDefault="002B0E80" w:rsidP="0039175E">
            <w:pPr>
              <w:spacing w:before="120" w:after="120" w:line="240" w:lineRule="auto"/>
              <w:rPr>
                <w:rFonts w:ascii="Times New Roman" w:hAnsi="Times New Roman"/>
              </w:rPr>
            </w:pPr>
            <w:r>
              <w:rPr>
                <w:rFonts w:ascii="Times New Roman" w:hAnsi="Times New Roman"/>
              </w:rPr>
              <w:t>2022 10 15</w:t>
            </w:r>
          </w:p>
        </w:tc>
        <w:tc>
          <w:tcPr>
            <w:tcW w:w="4536" w:type="dxa"/>
            <w:shd w:val="clear" w:color="auto" w:fill="auto"/>
            <w:tcMar>
              <w:top w:w="29" w:type="dxa"/>
              <w:left w:w="115" w:type="dxa"/>
              <w:bottom w:w="29" w:type="dxa"/>
              <w:right w:w="115" w:type="dxa"/>
            </w:tcMar>
          </w:tcPr>
          <w:p w:rsidR="002B0E80" w:rsidRPr="00A47D9F" w:rsidRDefault="002B0E80" w:rsidP="0047220D">
            <w:pPr>
              <w:pStyle w:val="HTMLPreformatted"/>
              <w:jc w:val="both"/>
              <w:rPr>
                <w:rFonts w:ascii="Times New Roman" w:hAnsi="Times New Roman" w:cs="Times New Roman"/>
                <w:sz w:val="22"/>
                <w:szCs w:val="22"/>
              </w:rPr>
            </w:pPr>
            <w:r w:rsidRPr="00A47D9F">
              <w:rPr>
                <w:rStyle w:val="y2iqfc"/>
                <w:rFonts w:ascii="Times New Roman" w:hAnsi="Times New Roman" w:cs="Times New Roman"/>
                <w:sz w:val="22"/>
                <w:szCs w:val="22"/>
              </w:rPr>
              <w:t xml:space="preserve">Nauja </w:t>
            </w:r>
            <w:proofErr w:type="spellStart"/>
            <w:r w:rsidRPr="00A47D9F">
              <w:rPr>
                <w:rStyle w:val="y2iqfc"/>
                <w:rFonts w:ascii="Times New Roman" w:hAnsi="Times New Roman" w:cs="Times New Roman"/>
                <w:sz w:val="22"/>
                <w:szCs w:val="22"/>
              </w:rPr>
              <w:t>ro-ro</w:t>
            </w:r>
            <w:proofErr w:type="spellEnd"/>
            <w:r w:rsidRPr="00A47D9F">
              <w:rPr>
                <w:rStyle w:val="y2iqfc"/>
                <w:rFonts w:ascii="Times New Roman" w:hAnsi="Times New Roman" w:cs="Times New Roman"/>
                <w:sz w:val="22"/>
                <w:szCs w:val="22"/>
              </w:rPr>
              <w:t xml:space="preserve"> linija, jungianti Graikiją su Kipru, buvo atidaryta spalio 1 d., pranešė </w:t>
            </w:r>
            <w:proofErr w:type="spellStart"/>
            <w:r w:rsidRPr="00A47D9F">
              <w:rPr>
                <w:rStyle w:val="y2iqfc"/>
                <w:rFonts w:ascii="Times New Roman" w:hAnsi="Times New Roman" w:cs="Times New Roman"/>
                <w:sz w:val="22"/>
                <w:szCs w:val="22"/>
              </w:rPr>
              <w:t>Lavrio</w:t>
            </w:r>
            <w:proofErr w:type="spellEnd"/>
            <w:r w:rsidRPr="00A47D9F">
              <w:rPr>
                <w:rStyle w:val="y2iqfc"/>
                <w:rFonts w:ascii="Times New Roman" w:hAnsi="Times New Roman" w:cs="Times New Roman"/>
                <w:sz w:val="22"/>
                <w:szCs w:val="22"/>
              </w:rPr>
              <w:t xml:space="preserve"> uosto direkcija (LPA).</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 xml:space="preserve">„SBS </w:t>
            </w:r>
            <w:proofErr w:type="spellStart"/>
            <w:r w:rsidRPr="00A47D9F">
              <w:rPr>
                <w:rStyle w:val="y2iqfc"/>
                <w:rFonts w:ascii="Times New Roman" w:hAnsi="Times New Roman" w:cs="Times New Roman"/>
                <w:sz w:val="22"/>
                <w:szCs w:val="22"/>
              </w:rPr>
              <w:t>Lines</w:t>
            </w:r>
            <w:proofErr w:type="spellEnd"/>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Cyprus</w:t>
            </w:r>
            <w:proofErr w:type="spellEnd"/>
            <w:r w:rsidR="0047220D">
              <w:rPr>
                <w:rStyle w:val="y2iqfc"/>
                <w:rFonts w:ascii="Times New Roman" w:hAnsi="Times New Roman" w:cs="Times New Roman"/>
                <w:sz w:val="22"/>
                <w:szCs w:val="22"/>
              </w:rPr>
              <w:t xml:space="preserve">“ du </w:t>
            </w:r>
            <w:proofErr w:type="spellStart"/>
            <w:r w:rsidR="0047220D">
              <w:rPr>
                <w:rStyle w:val="y2iqfc"/>
                <w:rFonts w:ascii="Times New Roman" w:hAnsi="Times New Roman" w:cs="Times New Roman"/>
                <w:sz w:val="22"/>
                <w:szCs w:val="22"/>
              </w:rPr>
              <w:t>ro</w:t>
            </w:r>
            <w:proofErr w:type="spellEnd"/>
            <w:r w:rsidR="0047220D">
              <w:rPr>
                <w:rStyle w:val="y2iqfc"/>
                <w:rFonts w:ascii="Times New Roman" w:hAnsi="Times New Roman" w:cs="Times New Roman"/>
                <w:sz w:val="22"/>
                <w:szCs w:val="22"/>
              </w:rPr>
              <w:t xml:space="preserve">-ros, </w:t>
            </w:r>
            <w:proofErr w:type="spellStart"/>
            <w:r w:rsidR="0047220D">
              <w:rPr>
                <w:rStyle w:val="y2iqfc"/>
                <w:rFonts w:ascii="Times New Roman" w:hAnsi="Times New Roman" w:cs="Times New Roman"/>
                <w:sz w:val="22"/>
                <w:szCs w:val="22"/>
              </w:rPr>
              <w:t>Cenk</w:t>
            </w:r>
            <w:proofErr w:type="spellEnd"/>
            <w:r w:rsidR="0047220D">
              <w:rPr>
                <w:rStyle w:val="y2iqfc"/>
                <w:rFonts w:ascii="Times New Roman" w:hAnsi="Times New Roman" w:cs="Times New Roman"/>
                <w:sz w:val="22"/>
                <w:szCs w:val="22"/>
              </w:rPr>
              <w:t xml:space="preserve"> T ir </w:t>
            </w:r>
            <w:proofErr w:type="spellStart"/>
            <w:r w:rsidR="0047220D">
              <w:rPr>
                <w:rStyle w:val="y2iqfc"/>
                <w:rFonts w:ascii="Times New Roman" w:hAnsi="Times New Roman" w:cs="Times New Roman"/>
                <w:sz w:val="22"/>
                <w:szCs w:val="22"/>
              </w:rPr>
              <w:t>Cenk</w:t>
            </w:r>
            <w:proofErr w:type="spellEnd"/>
            <w:r w:rsidR="0047220D">
              <w:rPr>
                <w:rStyle w:val="y2iqfc"/>
                <w:rFonts w:ascii="Times New Roman" w:hAnsi="Times New Roman" w:cs="Times New Roman"/>
                <w:sz w:val="22"/>
                <w:szCs w:val="22"/>
              </w:rPr>
              <w:t xml:space="preserve"> G, kursuo</w:t>
            </w:r>
            <w:r w:rsidRPr="00A47D9F">
              <w:rPr>
                <w:rStyle w:val="y2iqfc"/>
                <w:rFonts w:ascii="Times New Roman" w:hAnsi="Times New Roman" w:cs="Times New Roman"/>
                <w:sz w:val="22"/>
                <w:szCs w:val="22"/>
              </w:rPr>
              <w:t xml:space="preserve">s tarp </w:t>
            </w:r>
            <w:proofErr w:type="spellStart"/>
            <w:r w:rsidRPr="00A47D9F">
              <w:rPr>
                <w:rStyle w:val="y2iqfc"/>
                <w:rFonts w:ascii="Times New Roman" w:hAnsi="Times New Roman" w:cs="Times New Roman"/>
                <w:sz w:val="22"/>
                <w:szCs w:val="22"/>
              </w:rPr>
              <w:t>Lavrio</w:t>
            </w:r>
            <w:proofErr w:type="spellEnd"/>
            <w:r w:rsidRPr="00A47D9F">
              <w:rPr>
                <w:rStyle w:val="y2iqfc"/>
                <w:rFonts w:ascii="Times New Roman" w:hAnsi="Times New Roman" w:cs="Times New Roman"/>
                <w:sz w:val="22"/>
                <w:szCs w:val="22"/>
              </w:rPr>
              <w:t xml:space="preserve"> (pietryčių </w:t>
            </w:r>
            <w:proofErr w:type="spellStart"/>
            <w:r w:rsidRPr="00A47D9F">
              <w:rPr>
                <w:rStyle w:val="y2iqfc"/>
                <w:rFonts w:ascii="Times New Roman" w:hAnsi="Times New Roman" w:cs="Times New Roman"/>
                <w:sz w:val="22"/>
                <w:szCs w:val="22"/>
              </w:rPr>
              <w:t>Atikos</w:t>
            </w:r>
            <w:proofErr w:type="spellEnd"/>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Salonikų</w:t>
            </w:r>
            <w:proofErr w:type="spellEnd"/>
            <w:r w:rsidRPr="00A47D9F">
              <w:rPr>
                <w:rStyle w:val="y2iqfc"/>
                <w:rFonts w:ascii="Times New Roman" w:hAnsi="Times New Roman" w:cs="Times New Roman"/>
                <w:sz w:val="22"/>
                <w:szCs w:val="22"/>
              </w:rPr>
              <w:t xml:space="preserve"> ir </w:t>
            </w:r>
            <w:proofErr w:type="spellStart"/>
            <w:r w:rsidRPr="00A47D9F">
              <w:rPr>
                <w:rStyle w:val="y2iqfc"/>
                <w:rFonts w:ascii="Times New Roman" w:hAnsi="Times New Roman" w:cs="Times New Roman"/>
                <w:sz w:val="22"/>
                <w:szCs w:val="22"/>
              </w:rPr>
              <w:t>Limasolio</w:t>
            </w:r>
            <w:proofErr w:type="spellEnd"/>
            <w:r w:rsidRPr="00A47D9F">
              <w:rPr>
                <w:rStyle w:val="y2iqfc"/>
                <w:rFonts w:ascii="Times New Roman" w:hAnsi="Times New Roman" w:cs="Times New Roman"/>
                <w:sz w:val="22"/>
                <w:szCs w:val="22"/>
              </w:rPr>
              <w:t xml:space="preserve"> uostų.</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 xml:space="preserve">Vienas laivas iš </w:t>
            </w:r>
            <w:proofErr w:type="spellStart"/>
            <w:r w:rsidRPr="00A47D9F">
              <w:rPr>
                <w:rStyle w:val="y2iqfc"/>
                <w:rFonts w:ascii="Times New Roman" w:hAnsi="Times New Roman" w:cs="Times New Roman"/>
                <w:sz w:val="22"/>
                <w:szCs w:val="22"/>
              </w:rPr>
              <w:t>Limasolio</w:t>
            </w:r>
            <w:proofErr w:type="spellEnd"/>
            <w:r w:rsidRPr="00A47D9F">
              <w:rPr>
                <w:rStyle w:val="y2iqfc"/>
                <w:rFonts w:ascii="Times New Roman" w:hAnsi="Times New Roman" w:cs="Times New Roman"/>
                <w:sz w:val="22"/>
                <w:szCs w:val="22"/>
              </w:rPr>
              <w:t xml:space="preserve"> į </w:t>
            </w:r>
            <w:proofErr w:type="spellStart"/>
            <w:r w:rsidRPr="00A47D9F">
              <w:rPr>
                <w:rStyle w:val="y2iqfc"/>
                <w:rFonts w:ascii="Times New Roman" w:hAnsi="Times New Roman" w:cs="Times New Roman"/>
                <w:sz w:val="22"/>
                <w:szCs w:val="22"/>
              </w:rPr>
              <w:t>Lavrio</w:t>
            </w:r>
            <w:proofErr w:type="spellEnd"/>
            <w:r w:rsidRPr="00A47D9F">
              <w:rPr>
                <w:rStyle w:val="y2iqfc"/>
                <w:rFonts w:ascii="Times New Roman" w:hAnsi="Times New Roman" w:cs="Times New Roman"/>
                <w:sz w:val="22"/>
                <w:szCs w:val="22"/>
              </w:rPr>
              <w:t xml:space="preserve"> ir </w:t>
            </w:r>
            <w:proofErr w:type="spellStart"/>
            <w:r w:rsidRPr="00A47D9F">
              <w:rPr>
                <w:rStyle w:val="y2iqfc"/>
                <w:rFonts w:ascii="Times New Roman" w:hAnsi="Times New Roman" w:cs="Times New Roman"/>
                <w:sz w:val="22"/>
                <w:szCs w:val="22"/>
              </w:rPr>
              <w:t>Salonikus</w:t>
            </w:r>
            <w:proofErr w:type="spellEnd"/>
            <w:r w:rsidRPr="00A47D9F">
              <w:rPr>
                <w:rStyle w:val="y2iqfc"/>
                <w:rFonts w:ascii="Times New Roman" w:hAnsi="Times New Roman" w:cs="Times New Roman"/>
                <w:sz w:val="22"/>
                <w:szCs w:val="22"/>
              </w:rPr>
              <w:t xml:space="preserve"> plauks ketvirtadieniais, o kitas – šeštadieniais iš </w:t>
            </w:r>
            <w:proofErr w:type="spellStart"/>
            <w:r w:rsidRPr="00A47D9F">
              <w:rPr>
                <w:rStyle w:val="y2iqfc"/>
                <w:rFonts w:ascii="Times New Roman" w:hAnsi="Times New Roman" w:cs="Times New Roman"/>
                <w:sz w:val="22"/>
                <w:szCs w:val="22"/>
              </w:rPr>
              <w:t>Salonikų</w:t>
            </w:r>
            <w:proofErr w:type="spellEnd"/>
            <w:r w:rsidRPr="00A47D9F">
              <w:rPr>
                <w:rStyle w:val="y2iqfc"/>
                <w:rFonts w:ascii="Times New Roman" w:hAnsi="Times New Roman" w:cs="Times New Roman"/>
                <w:sz w:val="22"/>
                <w:szCs w:val="22"/>
              </w:rPr>
              <w:t xml:space="preserve"> į </w:t>
            </w:r>
            <w:proofErr w:type="spellStart"/>
            <w:r w:rsidRPr="00A47D9F">
              <w:rPr>
                <w:rStyle w:val="y2iqfc"/>
                <w:rFonts w:ascii="Times New Roman" w:hAnsi="Times New Roman" w:cs="Times New Roman"/>
                <w:sz w:val="22"/>
                <w:szCs w:val="22"/>
              </w:rPr>
              <w:t>Lavrio</w:t>
            </w:r>
            <w:proofErr w:type="spellEnd"/>
            <w:r w:rsidRPr="00A47D9F">
              <w:rPr>
                <w:rStyle w:val="y2iqfc"/>
                <w:rFonts w:ascii="Times New Roman" w:hAnsi="Times New Roman" w:cs="Times New Roman"/>
                <w:sz w:val="22"/>
                <w:szCs w:val="22"/>
              </w:rPr>
              <w:t xml:space="preserve"> ir </w:t>
            </w:r>
            <w:proofErr w:type="spellStart"/>
            <w:r w:rsidRPr="00A47D9F">
              <w:rPr>
                <w:rStyle w:val="y2iqfc"/>
                <w:rFonts w:ascii="Times New Roman" w:hAnsi="Times New Roman" w:cs="Times New Roman"/>
                <w:sz w:val="22"/>
                <w:szCs w:val="22"/>
              </w:rPr>
              <w:t>Limasolį</w:t>
            </w:r>
            <w:proofErr w:type="spellEnd"/>
            <w:r w:rsidRPr="00A47D9F">
              <w:rPr>
                <w:rStyle w:val="y2iqfc"/>
                <w:rFonts w:ascii="Times New Roman" w:hAnsi="Times New Roman" w:cs="Times New Roman"/>
                <w:sz w:val="22"/>
                <w:szCs w:val="22"/>
              </w:rPr>
              <w:t>.</w:t>
            </w:r>
            <w:r w:rsidR="008B0EDC">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2B0E80" w:rsidRPr="00937C0A" w:rsidRDefault="002B0E80" w:rsidP="0039175E">
            <w:pPr>
              <w:spacing w:before="120" w:after="120" w:line="240" w:lineRule="auto"/>
              <w:rPr>
                <w:rStyle w:val="Hyperlink"/>
                <w:rFonts w:ascii="Times New Roman" w:hAnsi="Times New Roman"/>
                <w:noProof/>
              </w:rPr>
            </w:pPr>
            <w:r w:rsidRPr="002B0E80">
              <w:rPr>
                <w:rStyle w:val="Hyperlink"/>
                <w:rFonts w:ascii="Times New Roman" w:hAnsi="Times New Roman"/>
                <w:noProof/>
              </w:rPr>
              <w:t>https://www.ekathimerini.com/economy/1195728/two-ro-ros-join-greece-cyprus-ferry-service/</w:t>
            </w:r>
          </w:p>
        </w:tc>
        <w:tc>
          <w:tcPr>
            <w:tcW w:w="1582" w:type="dxa"/>
            <w:shd w:val="clear" w:color="auto" w:fill="auto"/>
            <w:tcMar>
              <w:top w:w="29" w:type="dxa"/>
              <w:left w:w="115" w:type="dxa"/>
              <w:bottom w:w="29" w:type="dxa"/>
              <w:right w:w="115" w:type="dxa"/>
            </w:tcMar>
          </w:tcPr>
          <w:p w:rsidR="002B0E80" w:rsidRPr="0039175E" w:rsidRDefault="002B0E80" w:rsidP="0039175E">
            <w:pPr>
              <w:spacing w:before="120" w:after="120" w:line="240" w:lineRule="auto"/>
              <w:rPr>
                <w:rFonts w:ascii="Times New Roman" w:hAnsi="Times New Roman"/>
                <w:noProof/>
              </w:rPr>
            </w:pPr>
          </w:p>
        </w:tc>
      </w:tr>
      <w:tr w:rsidR="006A3A25" w:rsidRPr="00F0798E" w:rsidTr="0039175E">
        <w:trPr>
          <w:trHeight w:val="533"/>
        </w:trPr>
        <w:tc>
          <w:tcPr>
            <w:tcW w:w="1271" w:type="dxa"/>
            <w:shd w:val="clear" w:color="auto" w:fill="auto"/>
            <w:tcMar>
              <w:top w:w="29" w:type="dxa"/>
              <w:left w:w="115" w:type="dxa"/>
              <w:bottom w:w="29" w:type="dxa"/>
              <w:right w:w="115" w:type="dxa"/>
            </w:tcMar>
          </w:tcPr>
          <w:p w:rsidR="006A3A25" w:rsidRDefault="006A3A25" w:rsidP="0039175E">
            <w:pPr>
              <w:spacing w:before="120" w:after="120" w:line="240" w:lineRule="auto"/>
              <w:rPr>
                <w:rFonts w:ascii="Times New Roman" w:hAnsi="Times New Roman"/>
              </w:rPr>
            </w:pPr>
            <w:r>
              <w:rPr>
                <w:rFonts w:ascii="Times New Roman" w:hAnsi="Times New Roman"/>
              </w:rPr>
              <w:t>2022 10 17</w:t>
            </w:r>
          </w:p>
        </w:tc>
        <w:tc>
          <w:tcPr>
            <w:tcW w:w="4536" w:type="dxa"/>
            <w:shd w:val="clear" w:color="auto" w:fill="auto"/>
            <w:tcMar>
              <w:top w:w="29" w:type="dxa"/>
              <w:left w:w="115" w:type="dxa"/>
              <w:bottom w:w="29" w:type="dxa"/>
              <w:right w:w="115" w:type="dxa"/>
            </w:tcMar>
          </w:tcPr>
          <w:p w:rsidR="006A3A25" w:rsidRPr="00A47D9F" w:rsidRDefault="00160A1E" w:rsidP="001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160A1E">
              <w:rPr>
                <w:rFonts w:ascii="Times New Roman" w:eastAsia="Times New Roman" w:hAnsi="Times New Roman"/>
                <w:lang w:eastAsia="lt-LT"/>
              </w:rPr>
              <w:t xml:space="preserve">Globalios infliacijos fone, </w:t>
            </w:r>
            <w:r w:rsidR="006A3A25" w:rsidRPr="00160A1E">
              <w:rPr>
                <w:rFonts w:ascii="Times New Roman" w:eastAsia="Times New Roman" w:hAnsi="Times New Roman"/>
                <w:lang w:eastAsia="lt-LT"/>
              </w:rPr>
              <w:t xml:space="preserve">Kipro vartotojų </w:t>
            </w:r>
            <w:r w:rsidR="006A3A25" w:rsidRPr="006A3A25">
              <w:rPr>
                <w:rFonts w:ascii="Times New Roman" w:eastAsia="Times New Roman" w:hAnsi="Times New Roman"/>
                <w:lang w:eastAsia="lt-LT"/>
              </w:rPr>
              <w:t>apsaugos tarnybos kainų stebėjimo centras užfiksavo, kad mažmeninės maisto kainos padidėjo iki 21%, o nuo šių metų rugsėjo 14 d. iki spalio 12 d. sumažėjo iki 13%.</w:t>
            </w:r>
            <w:r w:rsidR="008B0EDC">
              <w:rPr>
                <w:rFonts w:ascii="Times New Roman" w:eastAsia="Times New Roman" w:hAnsi="Times New Roman"/>
                <w:lang w:eastAsia="lt-LT"/>
              </w:rPr>
              <w:t xml:space="preserve"> </w:t>
            </w:r>
            <w:r w:rsidR="006A3A25" w:rsidRPr="006A3A25">
              <w:rPr>
                <w:rFonts w:ascii="Times New Roman" w:eastAsia="Times New Roman" w:hAnsi="Times New Roman"/>
                <w:lang w:eastAsia="lt-LT"/>
              </w:rPr>
              <w:t>Dėl sezoninių veiksnių agurk</w:t>
            </w:r>
            <w:r w:rsidR="00E4572A">
              <w:rPr>
                <w:rFonts w:ascii="Times New Roman" w:eastAsia="Times New Roman" w:hAnsi="Times New Roman"/>
                <w:lang w:eastAsia="lt-LT"/>
              </w:rPr>
              <w:t>ai</w:t>
            </w:r>
            <w:r w:rsidR="006A3A25" w:rsidRPr="006A3A25">
              <w:rPr>
                <w:rFonts w:ascii="Times New Roman" w:eastAsia="Times New Roman" w:hAnsi="Times New Roman"/>
                <w:lang w:eastAsia="lt-LT"/>
              </w:rPr>
              <w:t xml:space="preserve"> pabrango 65,5 proc., o pomidorai – 23,6 proc.</w:t>
            </w:r>
            <w:r w:rsidR="008B0EDC">
              <w:rPr>
                <w:rFonts w:ascii="Times New Roman" w:eastAsia="Times New Roman" w:hAnsi="Times New Roman"/>
                <w:lang w:eastAsia="lt-LT"/>
              </w:rPr>
              <w:t xml:space="preserve"> </w:t>
            </w:r>
            <w:r w:rsidR="00E4572A">
              <w:rPr>
                <w:rFonts w:ascii="Times New Roman" w:eastAsia="Times New Roman" w:hAnsi="Times New Roman"/>
                <w:lang w:eastAsia="lt-LT"/>
              </w:rPr>
              <w:t>D</w:t>
            </w:r>
            <w:r w:rsidR="006A3A25" w:rsidRPr="006A3A25">
              <w:rPr>
                <w:rFonts w:ascii="Times New Roman" w:eastAsia="Times New Roman" w:hAnsi="Times New Roman"/>
                <w:lang w:eastAsia="lt-LT"/>
              </w:rPr>
              <w:t>uomenys rodo, kad daugiausiai per tą patį laikotarpį pabrango sūriai (21,4 proc.), kava ir dribsniai (daugiau nei 9 proc.).</w:t>
            </w:r>
            <w:r w:rsidR="008B0EDC">
              <w:rPr>
                <w:rFonts w:ascii="Times New Roman" w:eastAsia="Times New Roman" w:hAnsi="Times New Roman"/>
                <w:lang w:eastAsia="lt-LT"/>
              </w:rPr>
              <w:t xml:space="preserve"> </w:t>
            </w:r>
            <w:r w:rsidR="006A3A25" w:rsidRPr="006A3A25">
              <w:rPr>
                <w:rFonts w:ascii="Times New Roman" w:eastAsia="Times New Roman" w:hAnsi="Times New Roman"/>
                <w:lang w:eastAsia="lt-LT"/>
              </w:rPr>
              <w:t>Nepaisant kainų kilimo, per tą patį laikotarpį buvo pastebėta nemažai reikšmingų kainų mažėjimo, visų pirma šviežios žuvies (iki 13,1 proc.), aliejaus/sėklų (iki 9,7 proc.), šaldytų maisto produktų (ik</w:t>
            </w:r>
            <w:r w:rsidR="00E4572A">
              <w:rPr>
                <w:rFonts w:ascii="Times New Roman" w:eastAsia="Times New Roman" w:hAnsi="Times New Roman"/>
                <w:lang w:eastAsia="lt-LT"/>
              </w:rPr>
              <w:t>i 8,8 proc.) ir makaronų kainos</w:t>
            </w:r>
            <w:r w:rsidR="006A3A25" w:rsidRPr="006A3A25">
              <w:rPr>
                <w:rFonts w:ascii="Times New Roman" w:eastAsia="Times New Roman" w:hAnsi="Times New Roman"/>
                <w:lang w:eastAsia="lt-LT"/>
              </w:rPr>
              <w:t xml:space="preserve"> (iki 6,4 proc.).</w:t>
            </w:r>
            <w:r w:rsidR="008B0EDC">
              <w:rPr>
                <w:rFonts w:ascii="Times New Roman" w:eastAsia="Times New Roman" w:hAnsi="Times New Roman"/>
                <w:lang w:eastAsia="lt-LT"/>
              </w:rPr>
              <w:t xml:space="preserve"> </w:t>
            </w:r>
            <w:r w:rsidR="006A3A25" w:rsidRPr="006A3A25">
              <w:rPr>
                <w:rFonts w:ascii="Times New Roman" w:eastAsia="Times New Roman" w:hAnsi="Times New Roman"/>
                <w:lang w:eastAsia="lt-LT"/>
              </w:rPr>
              <w:t xml:space="preserve">Vidutinė šviežio pieno kaina spalio 12 dieną svyravo nuo 1,56 </w:t>
            </w:r>
            <w:r w:rsidR="00E4572A">
              <w:rPr>
                <w:rFonts w:ascii="Times New Roman" w:eastAsia="Times New Roman" w:hAnsi="Times New Roman"/>
                <w:lang w:eastAsia="lt-LT"/>
              </w:rPr>
              <w:t>iki 3,03 euro už litrą, o v</w:t>
            </w:r>
            <w:r w:rsidR="006A3A25" w:rsidRPr="006A3A25">
              <w:rPr>
                <w:rFonts w:ascii="Times New Roman" w:eastAsia="Times New Roman" w:hAnsi="Times New Roman"/>
                <w:lang w:eastAsia="lt-LT"/>
              </w:rPr>
              <w:t>idutinė ryžių pakuotės kaina svyravo nuo 1,52 iki 5,79 euro. Jogurt</w:t>
            </w:r>
            <w:r w:rsidR="00E4572A">
              <w:rPr>
                <w:rFonts w:ascii="Times New Roman" w:eastAsia="Times New Roman" w:hAnsi="Times New Roman"/>
                <w:lang w:eastAsia="lt-LT"/>
              </w:rPr>
              <w:t>o kaina</w:t>
            </w:r>
            <w:r w:rsidR="006A3A25" w:rsidRPr="006A3A25">
              <w:rPr>
                <w:rFonts w:ascii="Times New Roman" w:eastAsia="Times New Roman" w:hAnsi="Times New Roman"/>
                <w:lang w:eastAsia="lt-LT"/>
              </w:rPr>
              <w:t xml:space="preserve"> svyravo nuo 1,88 iki 4,36 euro, o vidutinė kavos kaina buvo 2,97–7,43 euro.</w:t>
            </w:r>
            <w:r w:rsidR="008B0EDC">
              <w:rPr>
                <w:rFonts w:ascii="Times New Roman" w:eastAsia="Times New Roman" w:hAnsi="Times New Roman"/>
                <w:lang w:eastAsia="lt-LT"/>
              </w:rPr>
              <w:t xml:space="preserve"> </w:t>
            </w:r>
            <w:r w:rsidR="006A3A25" w:rsidRPr="006A3A25">
              <w:rPr>
                <w:rFonts w:ascii="Times New Roman" w:eastAsia="Times New Roman" w:hAnsi="Times New Roman"/>
                <w:lang w:eastAsia="lt-LT"/>
              </w:rPr>
              <w:t>Vidutinė sūrio pakuotės</w:t>
            </w:r>
            <w:r w:rsidR="00E4572A">
              <w:rPr>
                <w:rFonts w:ascii="Times New Roman" w:eastAsia="Times New Roman" w:hAnsi="Times New Roman"/>
                <w:lang w:eastAsia="lt-LT"/>
              </w:rPr>
              <w:t>, priklausomai nuo jo rūšies,</w:t>
            </w:r>
            <w:r w:rsidR="006A3A25" w:rsidRPr="006A3A25">
              <w:rPr>
                <w:rFonts w:ascii="Times New Roman" w:eastAsia="Times New Roman" w:hAnsi="Times New Roman"/>
                <w:lang w:eastAsia="lt-LT"/>
              </w:rPr>
              <w:t xml:space="preserve"> kaina siekė 1,72–7,58 euro, dribsniai kainavo 2,38–3,75 euro.</w:t>
            </w:r>
          </w:p>
        </w:tc>
        <w:tc>
          <w:tcPr>
            <w:tcW w:w="2410" w:type="dxa"/>
            <w:shd w:val="clear" w:color="auto" w:fill="auto"/>
            <w:tcMar>
              <w:top w:w="29" w:type="dxa"/>
              <w:left w:w="115" w:type="dxa"/>
              <w:bottom w:w="29" w:type="dxa"/>
              <w:right w:w="115" w:type="dxa"/>
            </w:tcMar>
          </w:tcPr>
          <w:p w:rsidR="006A3A25" w:rsidRPr="00937C0A" w:rsidRDefault="006A3A25" w:rsidP="0039175E">
            <w:pPr>
              <w:spacing w:before="120" w:after="120" w:line="240" w:lineRule="auto"/>
              <w:rPr>
                <w:rStyle w:val="Hyperlink"/>
                <w:rFonts w:ascii="Times New Roman" w:hAnsi="Times New Roman"/>
                <w:noProof/>
              </w:rPr>
            </w:pPr>
            <w:r w:rsidRPr="006A3A25">
              <w:rPr>
                <w:rStyle w:val="Hyperlink"/>
                <w:rFonts w:ascii="Times New Roman" w:hAnsi="Times New Roman"/>
                <w:noProof/>
              </w:rPr>
              <w:t>https://www.ekathimerini.com/economy/1195785/retail-rates-for-key-goods-in-cyprus/</w:t>
            </w:r>
          </w:p>
        </w:tc>
        <w:tc>
          <w:tcPr>
            <w:tcW w:w="1582" w:type="dxa"/>
            <w:shd w:val="clear" w:color="auto" w:fill="auto"/>
            <w:tcMar>
              <w:top w:w="29" w:type="dxa"/>
              <w:left w:w="115" w:type="dxa"/>
              <w:bottom w:w="29" w:type="dxa"/>
              <w:right w:w="115" w:type="dxa"/>
            </w:tcMar>
          </w:tcPr>
          <w:p w:rsidR="006A3A25" w:rsidRPr="0039175E" w:rsidRDefault="006A3A25" w:rsidP="0039175E">
            <w:pPr>
              <w:spacing w:before="120" w:after="120" w:line="240" w:lineRule="auto"/>
              <w:rPr>
                <w:rFonts w:ascii="Times New Roman" w:hAnsi="Times New Roman"/>
                <w:noProof/>
              </w:rPr>
            </w:pPr>
          </w:p>
        </w:tc>
      </w:tr>
      <w:tr w:rsidR="004A2ACD" w:rsidRPr="00F0798E" w:rsidTr="0039175E">
        <w:trPr>
          <w:trHeight w:val="533"/>
        </w:trPr>
        <w:tc>
          <w:tcPr>
            <w:tcW w:w="1271" w:type="dxa"/>
            <w:shd w:val="clear" w:color="auto" w:fill="auto"/>
            <w:tcMar>
              <w:top w:w="29" w:type="dxa"/>
              <w:left w:w="115" w:type="dxa"/>
              <w:bottom w:w="29" w:type="dxa"/>
              <w:right w:w="115" w:type="dxa"/>
            </w:tcMar>
          </w:tcPr>
          <w:p w:rsidR="004A2ACD" w:rsidRDefault="004A2ACD" w:rsidP="0039175E">
            <w:pPr>
              <w:spacing w:before="120" w:after="120" w:line="240" w:lineRule="auto"/>
              <w:rPr>
                <w:rFonts w:ascii="Times New Roman" w:hAnsi="Times New Roman"/>
              </w:rPr>
            </w:pPr>
            <w:r>
              <w:rPr>
                <w:rFonts w:ascii="Times New Roman" w:hAnsi="Times New Roman"/>
              </w:rPr>
              <w:t>2022 10 19</w:t>
            </w:r>
          </w:p>
        </w:tc>
        <w:tc>
          <w:tcPr>
            <w:tcW w:w="4536" w:type="dxa"/>
            <w:shd w:val="clear" w:color="auto" w:fill="auto"/>
            <w:tcMar>
              <w:top w:w="29" w:type="dxa"/>
              <w:left w:w="115" w:type="dxa"/>
              <w:bottom w:w="29" w:type="dxa"/>
              <w:right w:w="115" w:type="dxa"/>
            </w:tcMar>
          </w:tcPr>
          <w:p w:rsidR="004A2ACD" w:rsidRPr="00A47D9F" w:rsidRDefault="004A2ACD" w:rsidP="00160A1E">
            <w:pPr>
              <w:pStyle w:val="HTMLPreformatted"/>
              <w:jc w:val="both"/>
              <w:rPr>
                <w:rFonts w:ascii="Times New Roman" w:hAnsi="Times New Roman" w:cs="Times New Roman"/>
                <w:sz w:val="22"/>
                <w:szCs w:val="22"/>
              </w:rPr>
            </w:pPr>
            <w:r w:rsidRPr="00A47D9F">
              <w:rPr>
                <w:rStyle w:val="y2iqfc"/>
                <w:rFonts w:ascii="Times New Roman" w:hAnsi="Times New Roman" w:cs="Times New Roman"/>
                <w:sz w:val="22"/>
                <w:szCs w:val="22"/>
              </w:rPr>
              <w:t xml:space="preserve">Kipro finansų ministras </w:t>
            </w:r>
            <w:proofErr w:type="spellStart"/>
            <w:r w:rsidRPr="00A47D9F">
              <w:rPr>
                <w:rStyle w:val="y2iqfc"/>
                <w:rFonts w:ascii="Times New Roman" w:hAnsi="Times New Roman" w:cs="Times New Roman"/>
                <w:sz w:val="22"/>
                <w:szCs w:val="22"/>
              </w:rPr>
              <w:t>Constantinos</w:t>
            </w:r>
            <w:proofErr w:type="spellEnd"/>
            <w:r w:rsidRPr="00A47D9F">
              <w:rPr>
                <w:rStyle w:val="y2iqfc"/>
                <w:rFonts w:ascii="Times New Roman" w:hAnsi="Times New Roman" w:cs="Times New Roman"/>
                <w:sz w:val="22"/>
                <w:szCs w:val="22"/>
              </w:rPr>
              <w:t xml:space="preserve"> </w:t>
            </w:r>
            <w:proofErr w:type="spellStart"/>
            <w:r w:rsidRPr="00A47D9F">
              <w:rPr>
                <w:rStyle w:val="y2iqfc"/>
                <w:rFonts w:ascii="Times New Roman" w:hAnsi="Times New Roman" w:cs="Times New Roman"/>
                <w:sz w:val="22"/>
                <w:szCs w:val="22"/>
              </w:rPr>
              <w:t>Petrides</w:t>
            </w:r>
            <w:proofErr w:type="spellEnd"/>
            <w:r w:rsidRPr="00A47D9F">
              <w:rPr>
                <w:rStyle w:val="y2iqfc"/>
                <w:rFonts w:ascii="Times New Roman" w:hAnsi="Times New Roman" w:cs="Times New Roman"/>
                <w:sz w:val="22"/>
                <w:szCs w:val="22"/>
              </w:rPr>
              <w:t xml:space="preserve"> </w:t>
            </w:r>
            <w:r w:rsidR="006757A7">
              <w:rPr>
                <w:rStyle w:val="y2iqfc"/>
                <w:rFonts w:ascii="Times New Roman" w:hAnsi="Times New Roman" w:cs="Times New Roman"/>
                <w:sz w:val="22"/>
                <w:szCs w:val="22"/>
              </w:rPr>
              <w:t>pareiškė, kad degalams</w:t>
            </w:r>
            <w:r w:rsidRPr="00A47D9F">
              <w:rPr>
                <w:rStyle w:val="y2iqfc"/>
                <w:rFonts w:ascii="Times New Roman" w:hAnsi="Times New Roman" w:cs="Times New Roman"/>
                <w:sz w:val="22"/>
                <w:szCs w:val="22"/>
              </w:rPr>
              <w:t xml:space="preserve"> nebus taikomi jokie nauji mokesčiai – į</w:t>
            </w:r>
            <w:r w:rsidR="006757A7">
              <w:rPr>
                <w:rStyle w:val="y2iqfc"/>
                <w:rFonts w:ascii="Times New Roman" w:hAnsi="Times New Roman" w:cs="Times New Roman"/>
                <w:sz w:val="22"/>
                <w:szCs w:val="22"/>
              </w:rPr>
              <w:t>sipareigojimo bus laikomasi</w:t>
            </w:r>
            <w:r w:rsidRPr="00A47D9F">
              <w:rPr>
                <w:rStyle w:val="y2iqfc"/>
                <w:rFonts w:ascii="Times New Roman" w:hAnsi="Times New Roman" w:cs="Times New Roman"/>
                <w:sz w:val="22"/>
                <w:szCs w:val="22"/>
              </w:rPr>
              <w:t xml:space="preserve"> iki metų pabaigos.</w:t>
            </w:r>
            <w:r w:rsidR="008B0EDC">
              <w:rPr>
                <w:rStyle w:val="y2iqfc"/>
                <w:rFonts w:ascii="Times New Roman" w:hAnsi="Times New Roman" w:cs="Times New Roman"/>
                <w:sz w:val="22"/>
                <w:szCs w:val="22"/>
              </w:rPr>
              <w:t xml:space="preserve"> </w:t>
            </w:r>
            <w:r w:rsidRPr="00A47D9F">
              <w:rPr>
                <w:rStyle w:val="y2iqfc"/>
                <w:rFonts w:ascii="Times New Roman" w:hAnsi="Times New Roman" w:cs="Times New Roman"/>
                <w:sz w:val="22"/>
                <w:szCs w:val="22"/>
              </w:rPr>
              <w:t xml:space="preserve">Kalbėdamas 18-ojoje metinėje </w:t>
            </w:r>
            <w:proofErr w:type="spellStart"/>
            <w:r w:rsidR="00160A1E">
              <w:rPr>
                <w:rStyle w:val="y2iqfc"/>
                <w:rFonts w:ascii="Times New Roman" w:hAnsi="Times New Roman" w:cs="Times New Roman"/>
                <w:sz w:val="22"/>
                <w:szCs w:val="22"/>
              </w:rPr>
              <w:t>Economist</w:t>
            </w:r>
            <w:proofErr w:type="spellEnd"/>
            <w:r w:rsidRPr="00A47D9F">
              <w:rPr>
                <w:rStyle w:val="y2iqfc"/>
                <w:rFonts w:ascii="Times New Roman" w:hAnsi="Times New Roman" w:cs="Times New Roman"/>
                <w:sz w:val="22"/>
                <w:szCs w:val="22"/>
              </w:rPr>
              <w:t xml:space="preserve"> konferencijoje Kipre, ministras teigė, kad </w:t>
            </w:r>
            <w:r w:rsidR="006757A7">
              <w:rPr>
                <w:rStyle w:val="y2iqfc"/>
                <w:rFonts w:ascii="Times New Roman" w:hAnsi="Times New Roman" w:cs="Times New Roman"/>
                <w:sz w:val="22"/>
                <w:szCs w:val="22"/>
              </w:rPr>
              <w:t>perėjimo prie žaliosios energijos</w:t>
            </w:r>
            <w:r w:rsidRPr="00A47D9F">
              <w:rPr>
                <w:rStyle w:val="y2iqfc"/>
                <w:rFonts w:ascii="Times New Roman" w:hAnsi="Times New Roman" w:cs="Times New Roman"/>
                <w:sz w:val="22"/>
                <w:szCs w:val="22"/>
              </w:rPr>
              <w:t xml:space="preserve"> </w:t>
            </w:r>
            <w:r w:rsidR="006757A7">
              <w:rPr>
                <w:rStyle w:val="y2iqfc"/>
                <w:rFonts w:ascii="Times New Roman" w:hAnsi="Times New Roman" w:cs="Times New Roman"/>
                <w:sz w:val="22"/>
                <w:szCs w:val="22"/>
              </w:rPr>
              <w:t>įgyvendinimas</w:t>
            </w:r>
            <w:r w:rsidRPr="00A47D9F">
              <w:rPr>
                <w:rStyle w:val="y2iqfc"/>
                <w:rFonts w:ascii="Times New Roman" w:hAnsi="Times New Roman" w:cs="Times New Roman"/>
                <w:sz w:val="22"/>
                <w:szCs w:val="22"/>
              </w:rPr>
              <w:t xml:space="preserve"> turėtų būti iš dalies peržiūrėtas, siekiant sušvelninti ekonomines pasekmes. „Turime būti realistai; ne laikas naujiems degalų </w:t>
            </w:r>
            <w:r w:rsidRPr="00A47D9F">
              <w:rPr>
                <w:rStyle w:val="y2iqfc"/>
                <w:rFonts w:ascii="Times New Roman" w:hAnsi="Times New Roman" w:cs="Times New Roman"/>
                <w:sz w:val="22"/>
                <w:szCs w:val="22"/>
              </w:rPr>
              <w:lastRenderedPageBreak/>
              <w:t>mokesčiams i</w:t>
            </w:r>
            <w:r w:rsidR="008B0EDC">
              <w:rPr>
                <w:rStyle w:val="y2iqfc"/>
                <w:rFonts w:ascii="Times New Roman" w:hAnsi="Times New Roman" w:cs="Times New Roman"/>
                <w:sz w:val="22"/>
                <w:szCs w:val="22"/>
              </w:rPr>
              <w:t xml:space="preserve">r mes jų </w:t>
            </w:r>
            <w:r w:rsidR="006757A7">
              <w:rPr>
                <w:rStyle w:val="y2iqfc"/>
                <w:rFonts w:ascii="Times New Roman" w:hAnsi="Times New Roman" w:cs="Times New Roman"/>
                <w:sz w:val="22"/>
                <w:szCs w:val="22"/>
              </w:rPr>
              <w:t>neįvesime</w:t>
            </w:r>
            <w:r w:rsidR="008B0EDC">
              <w:rPr>
                <w:rStyle w:val="y2iqfc"/>
                <w:rFonts w:ascii="Times New Roman" w:hAnsi="Times New Roman" w:cs="Times New Roman"/>
                <w:sz w:val="22"/>
                <w:szCs w:val="22"/>
              </w:rPr>
              <w:t xml:space="preserve">“, – sakė jis. </w:t>
            </w:r>
            <w:proofErr w:type="spellStart"/>
            <w:r w:rsidRPr="00A47D9F">
              <w:rPr>
                <w:rStyle w:val="y2iqfc"/>
                <w:rFonts w:ascii="Times New Roman" w:hAnsi="Times New Roman" w:cs="Times New Roman"/>
                <w:sz w:val="22"/>
                <w:szCs w:val="22"/>
              </w:rPr>
              <w:t>Petrides</w:t>
            </w:r>
            <w:proofErr w:type="spellEnd"/>
            <w:r w:rsidRPr="00A47D9F">
              <w:rPr>
                <w:rStyle w:val="y2iqfc"/>
                <w:rFonts w:ascii="Times New Roman" w:hAnsi="Times New Roman" w:cs="Times New Roman"/>
                <w:sz w:val="22"/>
                <w:szCs w:val="22"/>
              </w:rPr>
              <w:t xml:space="preserve"> paaiškino, kad prie infliacijos </w:t>
            </w:r>
            <w:r w:rsidR="006757A7">
              <w:rPr>
                <w:rStyle w:val="y2iqfc"/>
                <w:rFonts w:ascii="Times New Roman" w:hAnsi="Times New Roman" w:cs="Times New Roman"/>
                <w:sz w:val="22"/>
                <w:szCs w:val="22"/>
              </w:rPr>
              <w:t xml:space="preserve">didėjimo </w:t>
            </w:r>
            <w:r w:rsidRPr="00A47D9F">
              <w:rPr>
                <w:rStyle w:val="y2iqfc"/>
                <w:rFonts w:ascii="Times New Roman" w:hAnsi="Times New Roman" w:cs="Times New Roman"/>
                <w:sz w:val="22"/>
                <w:szCs w:val="22"/>
              </w:rPr>
              <w:t>tendencijų prisidėjo keturi veiksniai. Pirmoji, jo teigimu, yra ilgus metus trukusios ekspansinės pinigų politikos su nulinėmis ir neigiamomis palūkanų normomis rezultatas. Antrasis yra Covid-19 pandemija, nes visos šalys, įskaitant Kiprą, buvo raginamos išvengti jos pasekmių ir turėjo išleisti pinigus į rinką, kad ekonomika išliktų atvira. Trečias veiksnys, anot ministro, yra Rusijos karo Ukrainoje pasekmės, o ketvirtas – perėjimas</w:t>
            </w:r>
            <w:r w:rsidR="006757A7">
              <w:rPr>
                <w:rStyle w:val="y2iqfc"/>
                <w:rFonts w:ascii="Times New Roman" w:hAnsi="Times New Roman" w:cs="Times New Roman"/>
                <w:sz w:val="22"/>
                <w:szCs w:val="22"/>
              </w:rPr>
              <w:t xml:space="preserve"> prie žaliosios energijos</w:t>
            </w:r>
            <w:r w:rsidRPr="00A47D9F">
              <w:rPr>
                <w:rStyle w:val="y2iqfc"/>
                <w:rFonts w:ascii="Times New Roman" w:hAnsi="Times New Roman" w:cs="Times New Roman"/>
                <w:sz w:val="22"/>
                <w:szCs w:val="22"/>
              </w:rPr>
              <w:t>. „Netikiu, kad infliacija išliks, bet energijos kainos išliks aukštos“, – sakė ministras.</w:t>
            </w:r>
            <w:r w:rsidR="006757A7">
              <w:rPr>
                <w:rStyle w:val="y2iqfc"/>
                <w:rFonts w:ascii="Times New Roman" w:hAnsi="Times New Roman" w:cs="Times New Roman"/>
                <w:sz w:val="22"/>
                <w:szCs w:val="22"/>
              </w:rPr>
              <w:t xml:space="preserve"> </w:t>
            </w:r>
            <w:r w:rsidR="00D62364">
              <w:rPr>
                <w:rStyle w:val="y2iqfc"/>
                <w:rFonts w:ascii="Times New Roman" w:hAnsi="Times New Roman" w:cs="Times New Roman"/>
                <w:sz w:val="22"/>
                <w:szCs w:val="22"/>
              </w:rPr>
              <w:t xml:space="preserve">C. </w:t>
            </w:r>
            <w:proofErr w:type="spellStart"/>
            <w:r w:rsidRPr="00A47D9F">
              <w:rPr>
                <w:rStyle w:val="y2iqfc"/>
                <w:rFonts w:ascii="Times New Roman" w:hAnsi="Times New Roman" w:cs="Times New Roman"/>
                <w:sz w:val="22"/>
                <w:szCs w:val="22"/>
              </w:rPr>
              <w:t>Petridis</w:t>
            </w:r>
            <w:proofErr w:type="spellEnd"/>
            <w:r w:rsidRPr="00A47D9F">
              <w:rPr>
                <w:rStyle w:val="y2iqfc"/>
                <w:rFonts w:ascii="Times New Roman" w:hAnsi="Times New Roman" w:cs="Times New Roman"/>
                <w:sz w:val="22"/>
                <w:szCs w:val="22"/>
              </w:rPr>
              <w:t xml:space="preserve"> pažymėjo, kad </w:t>
            </w:r>
            <w:r w:rsidR="006757A7">
              <w:rPr>
                <w:rStyle w:val="y2iqfc"/>
                <w:rFonts w:ascii="Times New Roman" w:hAnsi="Times New Roman" w:cs="Times New Roman"/>
                <w:sz w:val="22"/>
                <w:szCs w:val="22"/>
              </w:rPr>
              <w:t xml:space="preserve"> dėl </w:t>
            </w:r>
            <w:r w:rsidRPr="00A47D9F">
              <w:rPr>
                <w:rStyle w:val="y2iqfc"/>
                <w:rFonts w:ascii="Times New Roman" w:hAnsi="Times New Roman" w:cs="Times New Roman"/>
                <w:sz w:val="22"/>
                <w:szCs w:val="22"/>
              </w:rPr>
              <w:t xml:space="preserve">pandemijos </w:t>
            </w:r>
            <w:r w:rsidR="006757A7">
              <w:rPr>
                <w:rStyle w:val="y2iqfc"/>
                <w:rFonts w:ascii="Times New Roman" w:hAnsi="Times New Roman" w:cs="Times New Roman"/>
                <w:sz w:val="22"/>
                <w:szCs w:val="22"/>
              </w:rPr>
              <w:t>K</w:t>
            </w:r>
            <w:r w:rsidRPr="00A47D9F">
              <w:rPr>
                <w:rStyle w:val="y2iqfc"/>
                <w:rFonts w:ascii="Times New Roman" w:hAnsi="Times New Roman" w:cs="Times New Roman"/>
                <w:sz w:val="22"/>
                <w:szCs w:val="22"/>
              </w:rPr>
              <w:t>ipras ekonomikai rem</w:t>
            </w:r>
            <w:r w:rsidR="00160A1E">
              <w:rPr>
                <w:rStyle w:val="y2iqfc"/>
                <w:rFonts w:ascii="Times New Roman" w:hAnsi="Times New Roman" w:cs="Times New Roman"/>
                <w:sz w:val="22"/>
                <w:szCs w:val="22"/>
              </w:rPr>
              <w:t xml:space="preserve">ti išleido 3 milijardus eurų, </w:t>
            </w:r>
            <w:r w:rsidR="006757A7">
              <w:rPr>
                <w:rStyle w:val="y2iqfc"/>
                <w:rFonts w:ascii="Times New Roman" w:hAnsi="Times New Roman" w:cs="Times New Roman"/>
                <w:sz w:val="22"/>
                <w:szCs w:val="22"/>
              </w:rPr>
              <w:t xml:space="preserve">2022 metais </w:t>
            </w:r>
            <w:r w:rsidRPr="00A47D9F">
              <w:rPr>
                <w:rStyle w:val="y2iqfc"/>
                <w:rFonts w:ascii="Times New Roman" w:hAnsi="Times New Roman" w:cs="Times New Roman"/>
                <w:sz w:val="22"/>
                <w:szCs w:val="22"/>
              </w:rPr>
              <w:t xml:space="preserve">valstybė jau išleido 360–370 milijonų eurų energijos ir kuro trūkumo problemai spręsti. </w:t>
            </w:r>
            <w:r w:rsidR="00160A1E">
              <w:rPr>
                <w:rStyle w:val="y2iqfc"/>
                <w:rFonts w:ascii="Times New Roman" w:hAnsi="Times New Roman" w:cs="Times New Roman"/>
                <w:sz w:val="22"/>
                <w:szCs w:val="22"/>
              </w:rPr>
              <w:t xml:space="preserve">Siekiant </w:t>
            </w:r>
            <w:r w:rsidR="00D62364">
              <w:rPr>
                <w:rStyle w:val="y2iqfc"/>
                <w:rFonts w:ascii="Times New Roman" w:hAnsi="Times New Roman" w:cs="Times New Roman"/>
                <w:sz w:val="22"/>
                <w:szCs w:val="22"/>
              </w:rPr>
              <w:t xml:space="preserve">atsisakyti iškastinio kuro, </w:t>
            </w:r>
            <w:r w:rsidR="00160A1E">
              <w:rPr>
                <w:rStyle w:val="y2iqfc"/>
                <w:rFonts w:ascii="Times New Roman" w:hAnsi="Times New Roman" w:cs="Times New Roman"/>
                <w:sz w:val="22"/>
                <w:szCs w:val="22"/>
              </w:rPr>
              <w:t xml:space="preserve">tam tikslui </w:t>
            </w:r>
            <w:r w:rsidR="00D62364">
              <w:rPr>
                <w:rStyle w:val="y2iqfc"/>
                <w:rFonts w:ascii="Times New Roman" w:hAnsi="Times New Roman" w:cs="Times New Roman"/>
                <w:sz w:val="22"/>
                <w:szCs w:val="22"/>
              </w:rPr>
              <w:t xml:space="preserve">investicijos padidintos nuo </w:t>
            </w:r>
            <w:r w:rsidR="00D62364" w:rsidRPr="00A47D9F">
              <w:rPr>
                <w:rStyle w:val="y2iqfc"/>
                <w:rFonts w:ascii="Times New Roman" w:hAnsi="Times New Roman" w:cs="Times New Roman"/>
                <w:sz w:val="22"/>
                <w:szCs w:val="22"/>
              </w:rPr>
              <w:t>7 mln. eurų</w:t>
            </w:r>
            <w:r w:rsidR="00D62364">
              <w:rPr>
                <w:rStyle w:val="y2iqfc"/>
                <w:rFonts w:ascii="Times New Roman" w:hAnsi="Times New Roman" w:cs="Times New Roman"/>
                <w:sz w:val="22"/>
                <w:szCs w:val="22"/>
              </w:rPr>
              <w:t xml:space="preserve"> iki </w:t>
            </w:r>
            <w:r w:rsidR="00D62364" w:rsidRPr="00A47D9F">
              <w:rPr>
                <w:rStyle w:val="y2iqfc"/>
                <w:rFonts w:ascii="Times New Roman" w:hAnsi="Times New Roman" w:cs="Times New Roman"/>
                <w:sz w:val="22"/>
                <w:szCs w:val="22"/>
              </w:rPr>
              <w:t xml:space="preserve">150 mln. </w:t>
            </w:r>
            <w:r w:rsidRPr="00A47D9F">
              <w:rPr>
                <w:rStyle w:val="y2iqfc"/>
                <w:rFonts w:ascii="Times New Roman" w:hAnsi="Times New Roman" w:cs="Times New Roman"/>
                <w:sz w:val="22"/>
                <w:szCs w:val="22"/>
              </w:rPr>
              <w:t>Ministras tvirtino, kad Kipro augimas nėra atsitiktinumas: „Tai yra dėl gerai suplanuotos finansinės politikos, Kipras tampa užsienio IT ir aukštų</w:t>
            </w:r>
            <w:r w:rsidR="008B0EDC">
              <w:rPr>
                <w:rStyle w:val="y2iqfc"/>
                <w:rFonts w:ascii="Times New Roman" w:hAnsi="Times New Roman" w:cs="Times New Roman"/>
                <w:sz w:val="22"/>
                <w:szCs w:val="22"/>
              </w:rPr>
              <w:t xml:space="preserve">jų technologijų įmonių </w:t>
            </w:r>
            <w:r w:rsidR="00160A1E">
              <w:rPr>
                <w:rStyle w:val="y2iqfc"/>
                <w:rFonts w:ascii="Times New Roman" w:hAnsi="Times New Roman" w:cs="Times New Roman"/>
                <w:sz w:val="22"/>
                <w:szCs w:val="22"/>
              </w:rPr>
              <w:t>traukos centru</w:t>
            </w:r>
            <w:r w:rsidR="008B0EDC">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4A2ACD" w:rsidRPr="00937C0A" w:rsidRDefault="004A2ACD" w:rsidP="0039175E">
            <w:pPr>
              <w:spacing w:before="120" w:after="120" w:line="240" w:lineRule="auto"/>
              <w:rPr>
                <w:rStyle w:val="Hyperlink"/>
                <w:rFonts w:ascii="Times New Roman" w:hAnsi="Times New Roman"/>
                <w:noProof/>
              </w:rPr>
            </w:pPr>
            <w:r w:rsidRPr="004A2ACD">
              <w:rPr>
                <w:rStyle w:val="Hyperlink"/>
                <w:rFonts w:ascii="Times New Roman" w:hAnsi="Times New Roman"/>
                <w:noProof/>
              </w:rPr>
              <w:lastRenderedPageBreak/>
              <w:t>https://www.ekathimerini.com/economy/1195967/no-new-fuel-taxes-in-cyprus-says-finmin/</w:t>
            </w:r>
          </w:p>
        </w:tc>
        <w:tc>
          <w:tcPr>
            <w:tcW w:w="1582" w:type="dxa"/>
            <w:shd w:val="clear" w:color="auto" w:fill="auto"/>
            <w:tcMar>
              <w:top w:w="29" w:type="dxa"/>
              <w:left w:w="115" w:type="dxa"/>
              <w:bottom w:w="29" w:type="dxa"/>
              <w:right w:w="115" w:type="dxa"/>
            </w:tcMar>
          </w:tcPr>
          <w:p w:rsidR="004A2ACD" w:rsidRPr="0039175E" w:rsidRDefault="004A2ACD" w:rsidP="0039175E">
            <w:pPr>
              <w:spacing w:before="120" w:after="120" w:line="240" w:lineRule="auto"/>
              <w:rPr>
                <w:rFonts w:ascii="Times New Roman" w:hAnsi="Times New Roman"/>
                <w:noProof/>
              </w:rPr>
            </w:pPr>
          </w:p>
        </w:tc>
      </w:tr>
      <w:tr w:rsidR="00A92D9A" w:rsidRPr="00F0798E" w:rsidTr="0039175E">
        <w:trPr>
          <w:trHeight w:val="533"/>
        </w:trPr>
        <w:tc>
          <w:tcPr>
            <w:tcW w:w="1271" w:type="dxa"/>
            <w:shd w:val="clear" w:color="auto" w:fill="auto"/>
            <w:tcMar>
              <w:top w:w="29" w:type="dxa"/>
              <w:left w:w="115" w:type="dxa"/>
              <w:bottom w:w="29" w:type="dxa"/>
              <w:right w:w="115" w:type="dxa"/>
            </w:tcMar>
          </w:tcPr>
          <w:p w:rsidR="00A92D9A" w:rsidRDefault="00A92D9A" w:rsidP="0039175E">
            <w:pPr>
              <w:spacing w:before="120" w:after="120" w:line="240" w:lineRule="auto"/>
              <w:rPr>
                <w:rFonts w:ascii="Times New Roman" w:hAnsi="Times New Roman"/>
              </w:rPr>
            </w:pPr>
            <w:r>
              <w:rPr>
                <w:rFonts w:ascii="Times New Roman" w:hAnsi="Times New Roman"/>
              </w:rPr>
              <w:t>2022 10 22</w:t>
            </w:r>
          </w:p>
        </w:tc>
        <w:tc>
          <w:tcPr>
            <w:tcW w:w="4536" w:type="dxa"/>
            <w:shd w:val="clear" w:color="auto" w:fill="auto"/>
            <w:tcMar>
              <w:top w:w="29" w:type="dxa"/>
              <w:left w:w="115" w:type="dxa"/>
              <w:bottom w:w="29" w:type="dxa"/>
              <w:right w:w="115" w:type="dxa"/>
            </w:tcMar>
          </w:tcPr>
          <w:p w:rsidR="00A92D9A" w:rsidRPr="00A47D9F" w:rsidRDefault="00A92D9A" w:rsidP="0098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A92D9A">
              <w:rPr>
                <w:rFonts w:ascii="Times New Roman" w:eastAsia="Times New Roman" w:hAnsi="Times New Roman"/>
                <w:lang w:eastAsia="lt-LT"/>
              </w:rPr>
              <w:t xml:space="preserve">Europos Audito Rūmų narys </w:t>
            </w:r>
            <w:proofErr w:type="spellStart"/>
            <w:r w:rsidRPr="00A92D9A">
              <w:rPr>
                <w:rFonts w:ascii="Times New Roman" w:eastAsia="Times New Roman" w:hAnsi="Times New Roman"/>
                <w:lang w:eastAsia="lt-LT"/>
              </w:rPr>
              <w:t>Lazarosas</w:t>
            </w:r>
            <w:proofErr w:type="spellEnd"/>
            <w:r w:rsidRPr="00A92D9A">
              <w:rPr>
                <w:rFonts w:ascii="Times New Roman" w:eastAsia="Times New Roman" w:hAnsi="Times New Roman"/>
                <w:lang w:eastAsia="lt-LT"/>
              </w:rPr>
              <w:t xml:space="preserve"> </w:t>
            </w:r>
            <w:proofErr w:type="spellStart"/>
            <w:r w:rsidRPr="00A92D9A">
              <w:rPr>
                <w:rFonts w:ascii="Times New Roman" w:eastAsia="Times New Roman" w:hAnsi="Times New Roman"/>
                <w:lang w:eastAsia="lt-LT"/>
              </w:rPr>
              <w:t>Lazarou</w:t>
            </w:r>
            <w:proofErr w:type="spellEnd"/>
            <w:r w:rsidRPr="00A92D9A">
              <w:rPr>
                <w:rFonts w:ascii="Times New Roman" w:eastAsia="Times New Roman" w:hAnsi="Times New Roman"/>
                <w:lang w:eastAsia="lt-LT"/>
              </w:rPr>
              <w:t xml:space="preserve"> pareiškė, kad Kipras 2014–2020 m. laikotarpiu panaudojo 80% Europos lėšų ir pridūrė, kad nuo 2004 m., kai šalis tapo visateise ES nare, iki 2014 m. 2021 m. pabaigoje Kipras </w:t>
            </w:r>
            <w:r w:rsidR="00330560">
              <w:rPr>
                <w:rFonts w:ascii="Times New Roman" w:eastAsia="Times New Roman" w:hAnsi="Times New Roman"/>
                <w:lang w:eastAsia="lt-LT"/>
              </w:rPr>
              <w:t>gavo</w:t>
            </w:r>
            <w:r w:rsidRPr="00A92D9A">
              <w:rPr>
                <w:rFonts w:ascii="Times New Roman" w:eastAsia="Times New Roman" w:hAnsi="Times New Roman"/>
                <w:lang w:eastAsia="lt-LT"/>
              </w:rPr>
              <w:t xml:space="preserve"> maždaug 461 </w:t>
            </w:r>
            <w:r w:rsidR="00330560">
              <w:rPr>
                <w:rFonts w:ascii="Times New Roman" w:eastAsia="Times New Roman" w:hAnsi="Times New Roman"/>
                <w:lang w:eastAsia="lt-LT"/>
              </w:rPr>
              <w:t>milijono eurų</w:t>
            </w:r>
            <w:r w:rsidRPr="00A92D9A">
              <w:rPr>
                <w:rFonts w:ascii="Times New Roman" w:eastAsia="Times New Roman" w:hAnsi="Times New Roman"/>
                <w:lang w:eastAsia="lt-LT"/>
              </w:rPr>
              <w:t>.</w:t>
            </w:r>
            <w:r w:rsidR="00A47D9F">
              <w:rPr>
                <w:rFonts w:ascii="Times New Roman" w:eastAsia="Times New Roman" w:hAnsi="Times New Roman"/>
                <w:lang w:eastAsia="lt-LT"/>
              </w:rPr>
              <w:t xml:space="preserve"> </w:t>
            </w:r>
            <w:r w:rsidRPr="00A92D9A">
              <w:rPr>
                <w:rFonts w:ascii="Times New Roman" w:eastAsia="Times New Roman" w:hAnsi="Times New Roman"/>
                <w:lang w:eastAsia="lt-LT"/>
              </w:rPr>
              <w:t xml:space="preserve">Audito Rūmų narys pristatydamas savo 2021 m. metinę ataskaitą Kipro parlamentui, sakė, kad Kiprui sekasi labai gerai įsisavinti lėšas, ir pridūrė, kad iki rugsėjo pabaigos lėšų panaudojimo lygis siekė apie 80 % ankstesniu 2014–2020 m. programos laikotarpiu. Pasak jo, 2021 m. Kipras iš ES biudžeto gavo maždaug 133 mln. </w:t>
            </w:r>
            <w:r w:rsidR="0098519D">
              <w:rPr>
                <w:rFonts w:ascii="Times New Roman" w:eastAsia="Times New Roman" w:hAnsi="Times New Roman"/>
                <w:lang w:eastAsia="lt-LT"/>
              </w:rPr>
              <w:t>eurų</w:t>
            </w:r>
            <w:r w:rsidRPr="00A92D9A">
              <w:rPr>
                <w:rFonts w:ascii="Times New Roman" w:eastAsia="Times New Roman" w:hAnsi="Times New Roman"/>
                <w:lang w:eastAsia="lt-LT"/>
              </w:rPr>
              <w:t xml:space="preserve">. </w:t>
            </w:r>
            <w:r w:rsidR="0098519D">
              <w:rPr>
                <w:rFonts w:ascii="Times New Roman" w:eastAsia="Times New Roman" w:hAnsi="Times New Roman"/>
                <w:lang w:eastAsia="lt-LT"/>
              </w:rPr>
              <w:t xml:space="preserve">L. </w:t>
            </w:r>
            <w:proofErr w:type="spellStart"/>
            <w:r w:rsidR="0098519D" w:rsidRPr="00A92D9A">
              <w:rPr>
                <w:rFonts w:ascii="Times New Roman" w:eastAsia="Times New Roman" w:hAnsi="Times New Roman"/>
                <w:lang w:eastAsia="lt-LT"/>
              </w:rPr>
              <w:t>Lazarou</w:t>
            </w:r>
            <w:proofErr w:type="spellEnd"/>
            <w:r w:rsidR="0098519D" w:rsidRPr="00A92D9A">
              <w:rPr>
                <w:rFonts w:ascii="Times New Roman" w:eastAsia="Times New Roman" w:hAnsi="Times New Roman"/>
                <w:lang w:eastAsia="lt-LT"/>
              </w:rPr>
              <w:t xml:space="preserve"> pažymėjo</w:t>
            </w:r>
            <w:r w:rsidR="0098519D">
              <w:rPr>
                <w:rFonts w:ascii="Times New Roman" w:eastAsia="Times New Roman" w:hAnsi="Times New Roman"/>
                <w:lang w:eastAsia="lt-LT"/>
              </w:rPr>
              <w:t>, kad</w:t>
            </w:r>
            <w:r w:rsidR="0098519D" w:rsidRPr="00A92D9A">
              <w:rPr>
                <w:rFonts w:ascii="Times New Roman" w:eastAsia="Times New Roman" w:hAnsi="Times New Roman"/>
                <w:lang w:eastAsia="lt-LT"/>
              </w:rPr>
              <w:t xml:space="preserve"> </w:t>
            </w:r>
            <w:r w:rsidRPr="00A92D9A">
              <w:rPr>
                <w:rFonts w:ascii="Times New Roman" w:eastAsia="Times New Roman" w:hAnsi="Times New Roman"/>
                <w:lang w:eastAsia="lt-LT"/>
              </w:rPr>
              <w:t>2021–2027 metų laikotarpiui Kipras iš viso gaus 2,9 mlrd.</w:t>
            </w:r>
            <w:r w:rsidR="00A47D9F">
              <w:rPr>
                <w:rFonts w:ascii="Times New Roman" w:eastAsia="Times New Roman" w:hAnsi="Times New Roman"/>
                <w:lang w:eastAsia="lt-LT"/>
              </w:rPr>
              <w:t xml:space="preserve"> </w:t>
            </w:r>
            <w:r w:rsidR="0098519D">
              <w:rPr>
                <w:rFonts w:ascii="Times New Roman" w:eastAsia="Times New Roman" w:hAnsi="Times New Roman"/>
                <w:lang w:eastAsia="lt-LT"/>
              </w:rPr>
              <w:t>ir</w:t>
            </w:r>
            <w:r w:rsidRPr="00A92D9A">
              <w:rPr>
                <w:rFonts w:ascii="Times New Roman" w:eastAsia="Times New Roman" w:hAnsi="Times New Roman"/>
                <w:lang w:eastAsia="lt-LT"/>
              </w:rPr>
              <w:t xml:space="preserve"> kiekvienais metais skiriasi, ar šalis yra įmokų mokėtoja, ar gavėja, nes „kai kuriais metais mes esame grynieji įmokų mokėtojai, o kai kuriais metais grynieji gavėjai“.</w:t>
            </w:r>
          </w:p>
        </w:tc>
        <w:tc>
          <w:tcPr>
            <w:tcW w:w="2410" w:type="dxa"/>
            <w:shd w:val="clear" w:color="auto" w:fill="auto"/>
            <w:tcMar>
              <w:top w:w="29" w:type="dxa"/>
              <w:left w:w="115" w:type="dxa"/>
              <w:bottom w:w="29" w:type="dxa"/>
              <w:right w:w="115" w:type="dxa"/>
            </w:tcMar>
          </w:tcPr>
          <w:p w:rsidR="00A92D9A" w:rsidRPr="00937C0A" w:rsidRDefault="00A92D9A" w:rsidP="0039175E">
            <w:pPr>
              <w:spacing w:before="120" w:after="120" w:line="240" w:lineRule="auto"/>
              <w:rPr>
                <w:rStyle w:val="Hyperlink"/>
                <w:rFonts w:ascii="Times New Roman" w:hAnsi="Times New Roman"/>
                <w:noProof/>
              </w:rPr>
            </w:pPr>
            <w:r w:rsidRPr="00A92D9A">
              <w:rPr>
                <w:rStyle w:val="Hyperlink"/>
                <w:rFonts w:ascii="Times New Roman" w:hAnsi="Times New Roman"/>
                <w:noProof/>
              </w:rPr>
              <w:t>https://www.ekathimerini.com/economy/1196236/nicosia-has-absorbed-80-of-eu-funds/</w:t>
            </w:r>
          </w:p>
        </w:tc>
        <w:tc>
          <w:tcPr>
            <w:tcW w:w="1582" w:type="dxa"/>
            <w:shd w:val="clear" w:color="auto" w:fill="auto"/>
            <w:tcMar>
              <w:top w:w="29" w:type="dxa"/>
              <w:left w:w="115" w:type="dxa"/>
              <w:bottom w:w="29" w:type="dxa"/>
              <w:right w:w="115" w:type="dxa"/>
            </w:tcMar>
          </w:tcPr>
          <w:p w:rsidR="00A92D9A" w:rsidRPr="0039175E" w:rsidRDefault="00A92D9A" w:rsidP="0039175E">
            <w:pPr>
              <w:spacing w:before="120" w:after="120" w:line="240" w:lineRule="auto"/>
              <w:rPr>
                <w:rFonts w:ascii="Times New Roman" w:hAnsi="Times New Roman"/>
                <w:noProof/>
              </w:rPr>
            </w:pPr>
          </w:p>
        </w:tc>
      </w:tr>
      <w:tr w:rsidR="00A659B8" w:rsidRPr="00F0798E" w:rsidTr="0039175E">
        <w:trPr>
          <w:trHeight w:val="533"/>
        </w:trPr>
        <w:tc>
          <w:tcPr>
            <w:tcW w:w="1271" w:type="dxa"/>
            <w:shd w:val="clear" w:color="auto" w:fill="auto"/>
            <w:tcMar>
              <w:top w:w="29" w:type="dxa"/>
              <w:left w:w="115" w:type="dxa"/>
              <w:bottom w:w="29" w:type="dxa"/>
              <w:right w:w="115" w:type="dxa"/>
            </w:tcMar>
          </w:tcPr>
          <w:p w:rsidR="00A659B8" w:rsidRDefault="00A659B8" w:rsidP="0039175E">
            <w:pPr>
              <w:spacing w:before="120" w:after="120" w:line="240" w:lineRule="auto"/>
              <w:rPr>
                <w:rFonts w:ascii="Times New Roman" w:hAnsi="Times New Roman"/>
              </w:rPr>
            </w:pPr>
            <w:r>
              <w:rPr>
                <w:rFonts w:ascii="Times New Roman" w:hAnsi="Times New Roman"/>
              </w:rPr>
              <w:t>2022 10 27</w:t>
            </w:r>
          </w:p>
        </w:tc>
        <w:tc>
          <w:tcPr>
            <w:tcW w:w="4536" w:type="dxa"/>
            <w:shd w:val="clear" w:color="auto" w:fill="auto"/>
            <w:tcMar>
              <w:top w:w="29" w:type="dxa"/>
              <w:left w:w="115" w:type="dxa"/>
              <w:bottom w:w="29" w:type="dxa"/>
              <w:right w:w="115" w:type="dxa"/>
            </w:tcMar>
          </w:tcPr>
          <w:p w:rsidR="00A659B8" w:rsidRPr="00A47D9F" w:rsidRDefault="00A659B8" w:rsidP="0033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A47D9F">
              <w:rPr>
                <w:rFonts w:ascii="Times New Roman" w:eastAsia="Times New Roman" w:hAnsi="Times New Roman"/>
                <w:lang w:eastAsia="lt-LT"/>
              </w:rPr>
              <w:t>Indėliai Kipro bank</w:t>
            </w:r>
            <w:r w:rsidR="00330560">
              <w:rPr>
                <w:rFonts w:ascii="Times New Roman" w:eastAsia="Times New Roman" w:hAnsi="Times New Roman"/>
                <w:lang w:eastAsia="lt-LT"/>
              </w:rPr>
              <w:t>uose</w:t>
            </w:r>
            <w:r w:rsidRPr="00A47D9F">
              <w:rPr>
                <w:rFonts w:ascii="Times New Roman" w:eastAsia="Times New Roman" w:hAnsi="Times New Roman"/>
                <w:lang w:eastAsia="lt-LT"/>
              </w:rPr>
              <w:t xml:space="preserve"> praėjusį mėnesį pasiekė aukščiausią lygį per devynerius metus, o visos paskolos toliau mažėjo ir sumažėjo iki penkių mėnesių žemiausio lygio, padidindamos </w:t>
            </w:r>
            <w:r w:rsidR="00330560">
              <w:rPr>
                <w:rFonts w:ascii="Times New Roman" w:eastAsia="Times New Roman" w:hAnsi="Times New Roman"/>
                <w:lang w:eastAsia="lt-LT"/>
              </w:rPr>
              <w:t>bankų</w:t>
            </w:r>
            <w:r w:rsidRPr="00A47D9F">
              <w:rPr>
                <w:rFonts w:ascii="Times New Roman" w:eastAsia="Times New Roman" w:hAnsi="Times New Roman"/>
                <w:lang w:eastAsia="lt-LT"/>
              </w:rPr>
              <w:t xml:space="preserve"> likvidumą iki daugiau nei 23 mlrd. eurų.</w:t>
            </w:r>
            <w:r w:rsidR="00330560">
              <w:rPr>
                <w:rFonts w:ascii="Times New Roman" w:eastAsia="Times New Roman" w:hAnsi="Times New Roman"/>
                <w:lang w:eastAsia="lt-LT"/>
              </w:rPr>
              <w:t xml:space="preserve"> </w:t>
            </w:r>
            <w:r w:rsidRPr="00A47D9F">
              <w:rPr>
                <w:rFonts w:ascii="Times New Roman" w:eastAsia="Times New Roman" w:hAnsi="Times New Roman"/>
                <w:lang w:eastAsia="lt-LT"/>
              </w:rPr>
              <w:t xml:space="preserve">Remiantis Kipro centrinio banko paskelbta pinigų finansinių institucijų indėlių ir paskolų statistika, 2022 m. rugsėjį visi indėliai </w:t>
            </w:r>
            <w:r w:rsidR="00330560">
              <w:rPr>
                <w:rFonts w:ascii="Times New Roman" w:eastAsia="Times New Roman" w:hAnsi="Times New Roman"/>
                <w:lang w:eastAsia="lt-LT"/>
              </w:rPr>
              <w:t>padidėjo 148 mln. eurų</w:t>
            </w:r>
            <w:r w:rsidRPr="00A47D9F">
              <w:rPr>
                <w:rFonts w:ascii="Times New Roman" w:eastAsia="Times New Roman" w:hAnsi="Times New Roman"/>
                <w:lang w:eastAsia="lt-LT"/>
              </w:rPr>
              <w:t>.</w:t>
            </w:r>
            <w:r w:rsidR="00A47D9F">
              <w:rPr>
                <w:rFonts w:ascii="Times New Roman" w:eastAsia="Times New Roman" w:hAnsi="Times New Roman"/>
                <w:lang w:eastAsia="lt-LT"/>
              </w:rPr>
              <w:t xml:space="preserve"> </w:t>
            </w:r>
            <w:r w:rsidRPr="00A47D9F">
              <w:rPr>
                <w:rFonts w:ascii="Times New Roman" w:eastAsia="Times New Roman" w:hAnsi="Times New Roman"/>
                <w:lang w:eastAsia="lt-LT"/>
              </w:rPr>
              <w:t>CBC pridūrė, kad metinis augimo tempas siekė 0,6%, palyginti su 0,4% 2022 m. rugpjūčio mėn., o likusi indėlių suma siekė 51,8 mlrd.</w:t>
            </w:r>
            <w:r w:rsidR="00A47D9F">
              <w:rPr>
                <w:rFonts w:ascii="Times New Roman" w:eastAsia="Times New Roman" w:hAnsi="Times New Roman"/>
                <w:lang w:eastAsia="lt-LT"/>
              </w:rPr>
              <w:t xml:space="preserve"> </w:t>
            </w:r>
            <w:r w:rsidRPr="00A47D9F">
              <w:rPr>
                <w:rFonts w:ascii="Times New Roman" w:eastAsia="Times New Roman" w:hAnsi="Times New Roman"/>
                <w:lang w:eastAsia="lt-LT"/>
              </w:rPr>
              <w:t>Centrinio banko duomenimis, visos paskolos rugsėjį mažėjo tr</w:t>
            </w:r>
            <w:r w:rsidR="00330560">
              <w:rPr>
                <w:rFonts w:ascii="Times New Roman" w:eastAsia="Times New Roman" w:hAnsi="Times New Roman"/>
                <w:lang w:eastAsia="lt-LT"/>
              </w:rPr>
              <w:t xml:space="preserve">ečią mėnesį iš eilės – </w:t>
            </w:r>
            <w:r w:rsidRPr="00A47D9F">
              <w:rPr>
                <w:rFonts w:ascii="Times New Roman" w:eastAsia="Times New Roman" w:hAnsi="Times New Roman"/>
                <w:lang w:eastAsia="lt-LT"/>
              </w:rPr>
              <w:t>sumažėjo 1</w:t>
            </w:r>
            <w:r w:rsidR="00330560">
              <w:rPr>
                <w:rFonts w:ascii="Times New Roman" w:eastAsia="Times New Roman" w:hAnsi="Times New Roman"/>
                <w:lang w:eastAsia="lt-LT"/>
              </w:rPr>
              <w:t>10,9 mln.</w:t>
            </w:r>
            <w:r w:rsidRPr="00A47D9F">
              <w:rPr>
                <w:rFonts w:ascii="Times New Roman" w:eastAsia="Times New Roman" w:hAnsi="Times New Roman"/>
                <w:lang w:eastAsia="lt-LT"/>
              </w:rPr>
              <w:t xml:space="preserve">, o praėjusį mėnesį sumažėjo </w:t>
            </w:r>
            <w:r w:rsidRPr="00A47D9F">
              <w:rPr>
                <w:rFonts w:ascii="Times New Roman" w:eastAsia="Times New Roman" w:hAnsi="Times New Roman"/>
                <w:lang w:eastAsia="lt-LT"/>
              </w:rPr>
              <w:lastRenderedPageBreak/>
              <w:t>100 mln.</w:t>
            </w:r>
            <w:r w:rsidR="00A47D9F">
              <w:rPr>
                <w:rFonts w:ascii="Times New Roman" w:eastAsia="Times New Roman" w:hAnsi="Times New Roman"/>
                <w:lang w:eastAsia="lt-LT"/>
              </w:rPr>
              <w:t xml:space="preserve"> </w:t>
            </w:r>
            <w:r w:rsidRPr="00A47D9F">
              <w:rPr>
                <w:rFonts w:ascii="Times New Roman" w:eastAsia="Times New Roman" w:hAnsi="Times New Roman"/>
                <w:lang w:eastAsia="lt-LT"/>
              </w:rPr>
              <w:t xml:space="preserve">Metinis kredito augimo tempas siekė 1,4 %, palyginti su 1,9 % 2022 m. rugpjūčio mėn., o bendra paskolų suma 2022 m. rugsėjį siekė 28,3 mlrd. </w:t>
            </w:r>
            <w:r w:rsidR="00330560">
              <w:rPr>
                <w:rFonts w:ascii="Times New Roman" w:eastAsia="Times New Roman" w:hAnsi="Times New Roman"/>
                <w:lang w:eastAsia="lt-LT"/>
              </w:rPr>
              <w:t>eurų</w:t>
            </w:r>
            <w:r w:rsidRPr="00A47D9F">
              <w:rPr>
                <w:rFonts w:ascii="Times New Roman" w:eastAsia="Times New Roman" w:hAnsi="Times New Roman"/>
                <w:lang w:eastAsia="lt-LT"/>
              </w:rPr>
              <w:t>. Kipro bankų sistemos</w:t>
            </w:r>
            <w:r w:rsidR="00330560">
              <w:rPr>
                <w:rFonts w:ascii="Times New Roman" w:eastAsia="Times New Roman" w:hAnsi="Times New Roman"/>
                <w:lang w:eastAsia="lt-LT"/>
              </w:rPr>
              <w:t xml:space="preserve"> likvidumas siekė 23,5 mlrd. eurų</w:t>
            </w:r>
            <w:r w:rsidRPr="00A47D9F">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A659B8" w:rsidRPr="00937C0A" w:rsidRDefault="00A659B8" w:rsidP="0039175E">
            <w:pPr>
              <w:spacing w:before="120" w:after="120" w:line="240" w:lineRule="auto"/>
              <w:rPr>
                <w:rStyle w:val="Hyperlink"/>
                <w:rFonts w:ascii="Times New Roman" w:hAnsi="Times New Roman"/>
                <w:noProof/>
              </w:rPr>
            </w:pPr>
            <w:r w:rsidRPr="00A659B8">
              <w:rPr>
                <w:rStyle w:val="Hyperlink"/>
                <w:rFonts w:ascii="Times New Roman" w:hAnsi="Times New Roman"/>
                <w:noProof/>
              </w:rPr>
              <w:lastRenderedPageBreak/>
              <w:t>https://www.ekathimerini.com/economy/1196571/cyprus-bank-deposits-rise-to-9-year-high/</w:t>
            </w:r>
          </w:p>
        </w:tc>
        <w:tc>
          <w:tcPr>
            <w:tcW w:w="1582" w:type="dxa"/>
            <w:shd w:val="clear" w:color="auto" w:fill="auto"/>
            <w:tcMar>
              <w:top w:w="29" w:type="dxa"/>
              <w:left w:w="115" w:type="dxa"/>
              <w:bottom w:w="29" w:type="dxa"/>
              <w:right w:w="115" w:type="dxa"/>
            </w:tcMar>
          </w:tcPr>
          <w:p w:rsidR="00A659B8" w:rsidRPr="0039175E" w:rsidRDefault="00A659B8"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AE142A" w:rsidP="0039175E">
            <w:pPr>
              <w:spacing w:before="120" w:after="120" w:line="240" w:lineRule="auto"/>
              <w:rPr>
                <w:rFonts w:ascii="Times New Roman" w:hAnsi="Times New Roman"/>
              </w:rPr>
            </w:pPr>
            <w:r>
              <w:rPr>
                <w:rFonts w:ascii="Times New Roman" w:hAnsi="Times New Roman"/>
              </w:rPr>
              <w:t>2022 10 28</w:t>
            </w:r>
          </w:p>
        </w:tc>
        <w:tc>
          <w:tcPr>
            <w:tcW w:w="4536" w:type="dxa"/>
            <w:shd w:val="clear" w:color="auto" w:fill="auto"/>
            <w:tcMar>
              <w:top w:w="29" w:type="dxa"/>
              <w:left w:w="115" w:type="dxa"/>
              <w:bottom w:w="29" w:type="dxa"/>
              <w:right w:w="115" w:type="dxa"/>
            </w:tcMar>
          </w:tcPr>
          <w:p w:rsidR="008D3C00" w:rsidRPr="00AE142A" w:rsidRDefault="00AE142A" w:rsidP="00D7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AE142A">
              <w:rPr>
                <w:rFonts w:ascii="Times New Roman" w:eastAsia="Times New Roman" w:hAnsi="Times New Roman"/>
                <w:lang w:eastAsia="lt-LT"/>
              </w:rPr>
              <w:t>Kipro ekonominis klimatas šį mėnesį pagerėjo, ekonominės nuotaikos rodiklis nuo rugsėjo pakilo 0,4 punkto.</w:t>
            </w:r>
            <w:r>
              <w:rPr>
                <w:rFonts w:ascii="Times New Roman" w:eastAsia="Times New Roman" w:hAnsi="Times New Roman"/>
                <w:lang w:eastAsia="lt-LT"/>
              </w:rPr>
              <w:t xml:space="preserve"> </w:t>
            </w:r>
            <w:r w:rsidRPr="00AE142A">
              <w:rPr>
                <w:rFonts w:ascii="Times New Roman" w:eastAsia="Times New Roman" w:hAnsi="Times New Roman"/>
                <w:lang w:eastAsia="lt-LT"/>
              </w:rPr>
              <w:t>ERC pranešime spaudai teigiama, kad nežymų ESI padidėjimą lėmė pasitikėjimo paslaugų ir mažmeninės prekybos srityje padidėjimas.</w:t>
            </w:r>
            <w:r>
              <w:rPr>
                <w:rFonts w:ascii="Times New Roman" w:eastAsia="Times New Roman" w:hAnsi="Times New Roman"/>
                <w:lang w:eastAsia="lt-LT"/>
              </w:rPr>
              <w:t xml:space="preserve"> </w:t>
            </w:r>
            <w:r w:rsidRPr="00AE142A">
              <w:rPr>
                <w:rFonts w:ascii="Times New Roman" w:eastAsia="Times New Roman" w:hAnsi="Times New Roman"/>
                <w:lang w:eastAsia="lt-LT"/>
              </w:rPr>
              <w:t>Paslaugų pasitikėjimo rodiklis kilo antrą mėnesį iš eilės, daugiausia dėl optimistiškesni</w:t>
            </w:r>
            <w:r>
              <w:rPr>
                <w:rFonts w:ascii="Times New Roman" w:eastAsia="Times New Roman" w:hAnsi="Times New Roman"/>
                <w:lang w:eastAsia="lt-LT"/>
              </w:rPr>
              <w:t>o</w:t>
            </w:r>
            <w:r w:rsidRPr="00AE142A">
              <w:rPr>
                <w:rFonts w:ascii="Times New Roman" w:eastAsia="Times New Roman" w:hAnsi="Times New Roman"/>
                <w:lang w:eastAsia="lt-LT"/>
              </w:rPr>
              <w:t xml:space="preserve"> požiūri</w:t>
            </w:r>
            <w:r>
              <w:rPr>
                <w:rFonts w:ascii="Times New Roman" w:eastAsia="Times New Roman" w:hAnsi="Times New Roman"/>
                <w:lang w:eastAsia="lt-LT"/>
              </w:rPr>
              <w:t>o</w:t>
            </w:r>
            <w:r w:rsidRPr="00AE142A">
              <w:rPr>
                <w:rFonts w:ascii="Times New Roman" w:eastAsia="Times New Roman" w:hAnsi="Times New Roman"/>
                <w:lang w:eastAsia="lt-LT"/>
              </w:rPr>
              <w:t xml:space="preserve"> į apyvartą per ateinančius tris mėnesius.</w:t>
            </w:r>
            <w:r>
              <w:rPr>
                <w:rFonts w:ascii="Times New Roman" w:eastAsia="Times New Roman" w:hAnsi="Times New Roman"/>
                <w:lang w:eastAsia="lt-LT"/>
              </w:rPr>
              <w:t xml:space="preserve"> </w:t>
            </w:r>
            <w:r w:rsidRPr="00AE142A">
              <w:rPr>
                <w:rFonts w:ascii="Times New Roman" w:eastAsia="Times New Roman" w:hAnsi="Times New Roman"/>
                <w:lang w:eastAsia="lt-LT"/>
              </w:rPr>
              <w:t>Mažmeninės prekybos pasitikėjimo rodiklio padidėjimą lėmė pagerėję ankstesnių pardavimų ir atsargų lygio vertinimai bei padidintų pardavimų lūkesčių peržiūra.</w:t>
            </w:r>
            <w:r>
              <w:rPr>
                <w:rFonts w:ascii="Times New Roman" w:eastAsia="Times New Roman" w:hAnsi="Times New Roman"/>
                <w:lang w:eastAsia="lt-LT"/>
              </w:rPr>
              <w:t xml:space="preserve"> </w:t>
            </w:r>
            <w:r w:rsidRPr="00AE142A">
              <w:rPr>
                <w:rFonts w:ascii="Times New Roman" w:eastAsia="Times New Roman" w:hAnsi="Times New Roman"/>
                <w:lang w:eastAsia="lt-LT"/>
              </w:rPr>
              <w:t>Statybos pasitikėjimo rodiklio kritimą lėm</w:t>
            </w:r>
            <w:r w:rsidR="00D71D7F">
              <w:rPr>
                <w:rFonts w:ascii="Times New Roman" w:eastAsia="Times New Roman" w:hAnsi="Times New Roman"/>
                <w:lang w:eastAsia="lt-LT"/>
              </w:rPr>
              <w:t xml:space="preserve">ė pablogėjęs įmonių vertinimas dėl </w:t>
            </w:r>
            <w:r w:rsidRPr="00AE142A">
              <w:rPr>
                <w:rFonts w:ascii="Times New Roman" w:eastAsia="Times New Roman" w:hAnsi="Times New Roman"/>
                <w:lang w:eastAsia="lt-LT"/>
              </w:rPr>
              <w:t>dabartin</w:t>
            </w:r>
            <w:r w:rsidR="00D71D7F">
              <w:rPr>
                <w:rFonts w:ascii="Times New Roman" w:eastAsia="Times New Roman" w:hAnsi="Times New Roman"/>
                <w:lang w:eastAsia="lt-LT"/>
              </w:rPr>
              <w:t>io</w:t>
            </w:r>
            <w:r w:rsidRPr="00AE142A">
              <w:rPr>
                <w:rFonts w:ascii="Times New Roman" w:eastAsia="Times New Roman" w:hAnsi="Times New Roman"/>
                <w:lang w:eastAsia="lt-LT"/>
              </w:rPr>
              <w:t xml:space="preserve"> užsakymų skaiči</w:t>
            </w:r>
            <w:r w:rsidR="00D71D7F">
              <w:rPr>
                <w:rFonts w:ascii="Times New Roman" w:eastAsia="Times New Roman" w:hAnsi="Times New Roman"/>
                <w:lang w:eastAsia="lt-LT"/>
              </w:rPr>
              <w:t>aus</w:t>
            </w:r>
            <w:r w:rsidRPr="00AE142A">
              <w:rPr>
                <w:rFonts w:ascii="Times New Roman" w:eastAsia="Times New Roman" w:hAnsi="Times New Roman"/>
                <w:lang w:eastAsia="lt-LT"/>
              </w:rPr>
              <w:t>. Pramonės pasitikėjimo rodiklis sumažėjo dėl gamybos lūkesčių sumaž</w:t>
            </w:r>
            <w:r w:rsidR="00D71D7F">
              <w:rPr>
                <w:rFonts w:ascii="Times New Roman" w:eastAsia="Times New Roman" w:hAnsi="Times New Roman"/>
                <w:lang w:eastAsia="lt-LT"/>
              </w:rPr>
              <w:t>ėjim</w:t>
            </w:r>
            <w:r w:rsidRPr="00AE142A">
              <w:rPr>
                <w:rFonts w:ascii="Times New Roman" w:eastAsia="Times New Roman" w:hAnsi="Times New Roman"/>
                <w:lang w:eastAsia="lt-LT"/>
              </w:rPr>
              <w:t>o.</w:t>
            </w:r>
            <w:r>
              <w:rPr>
                <w:rFonts w:ascii="Times New Roman" w:eastAsia="Times New Roman" w:hAnsi="Times New Roman"/>
                <w:lang w:eastAsia="lt-LT"/>
              </w:rPr>
              <w:t xml:space="preserve"> </w:t>
            </w:r>
            <w:r w:rsidRPr="00AE142A">
              <w:rPr>
                <w:rFonts w:ascii="Times New Roman" w:eastAsia="Times New Roman" w:hAnsi="Times New Roman"/>
                <w:lang w:eastAsia="lt-LT"/>
              </w:rPr>
              <w:t>Vartotojų pasitikėjimo rodiklio sumažėjimą lėmė daugumos jo komponentų pablogėjimas. Spalio mėnesį vartotojai ne taip palankiai įvertino savo pastarąją finansinę situaciją ir sumažino lūkesčius dėl būsimų Kipro ekonominių sąlygų.</w:t>
            </w:r>
          </w:p>
        </w:tc>
        <w:tc>
          <w:tcPr>
            <w:tcW w:w="2410" w:type="dxa"/>
            <w:shd w:val="clear" w:color="auto" w:fill="auto"/>
            <w:tcMar>
              <w:top w:w="29" w:type="dxa"/>
              <w:left w:w="115" w:type="dxa"/>
              <w:bottom w:w="29" w:type="dxa"/>
              <w:right w:w="115" w:type="dxa"/>
            </w:tcMar>
          </w:tcPr>
          <w:p w:rsidR="008D3C00" w:rsidRPr="0039175E" w:rsidRDefault="00AE142A" w:rsidP="0039175E">
            <w:pPr>
              <w:spacing w:before="120" w:after="120" w:line="240" w:lineRule="auto"/>
              <w:rPr>
                <w:rStyle w:val="Hyperlink"/>
                <w:rFonts w:ascii="Times New Roman" w:hAnsi="Times New Roman"/>
                <w:noProof/>
              </w:rPr>
            </w:pPr>
            <w:r w:rsidRPr="00AE142A">
              <w:rPr>
                <w:rStyle w:val="Hyperlink"/>
                <w:rFonts w:ascii="Times New Roman" w:hAnsi="Times New Roman"/>
                <w:noProof/>
              </w:rPr>
              <w:t>https://www.ekathimerini.com/economy/1196667/cyprus-sees-uptick-in-sentiment/</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w:t>
      </w:r>
      <w:r w:rsidR="007026CF">
        <w:rPr>
          <w:rFonts w:ascii="Times New Roman" w:hAnsi="Times New Roman"/>
          <w:i/>
          <w:sz w:val="23"/>
          <w:szCs w:val="23"/>
        </w:rPr>
        <w:t xml:space="preserve">atarėja </w:t>
      </w:r>
      <w:r w:rsidR="007026CF" w:rsidRPr="007026CF">
        <w:rPr>
          <w:rFonts w:ascii="Times New Roman" w:hAnsi="Times New Roman"/>
          <w:i/>
          <w:sz w:val="23"/>
          <w:szCs w:val="23"/>
        </w:rPr>
        <w:t>Dalia Ambrazevičiūtė</w:t>
      </w:r>
      <w:r w:rsidRPr="00F72CDF">
        <w:rPr>
          <w:rFonts w:ascii="Times New Roman" w:hAnsi="Times New Roman"/>
          <w:i/>
          <w:sz w:val="23"/>
          <w:szCs w:val="23"/>
        </w:rPr>
        <w:t xml:space="preserve">,  </w:t>
      </w:r>
      <w:hyperlink r:id="rId16" w:history="1">
        <w:r w:rsidR="00980228" w:rsidRPr="00F42562">
          <w:rPr>
            <w:rStyle w:val="Hyperlink"/>
            <w:rFonts w:ascii="Times New Roman" w:hAnsi="Times New Roman"/>
            <w:i/>
            <w:sz w:val="23"/>
            <w:szCs w:val="23"/>
          </w:rPr>
          <w:t>dalia.ambrazeviciute@urm.lt</w:t>
        </w:r>
      </w:hyperlink>
    </w:p>
    <w:p w:rsidR="00397C9E" w:rsidRPr="003B1D08" w:rsidRDefault="00397C9E" w:rsidP="00496E90">
      <w:pPr>
        <w:spacing w:after="0" w:line="240" w:lineRule="auto"/>
        <w:rPr>
          <w:rFonts w:ascii="Times New Roman" w:hAnsi="Times New Roman"/>
          <w:i/>
          <w:noProof/>
          <w:sz w:val="24"/>
          <w:szCs w:val="24"/>
        </w:rPr>
      </w:pPr>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4A" w:rsidRDefault="0012274A" w:rsidP="00EB568D">
      <w:pPr>
        <w:spacing w:after="0" w:line="240" w:lineRule="auto"/>
      </w:pPr>
      <w:r>
        <w:separator/>
      </w:r>
    </w:p>
  </w:endnote>
  <w:endnote w:type="continuationSeparator" w:id="0">
    <w:p w:rsidR="0012274A" w:rsidRDefault="0012274A"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4A" w:rsidRDefault="0012274A" w:rsidP="00EB568D">
      <w:pPr>
        <w:spacing w:after="0" w:line="240" w:lineRule="auto"/>
      </w:pPr>
      <w:r>
        <w:separator/>
      </w:r>
    </w:p>
  </w:footnote>
  <w:footnote w:type="continuationSeparator" w:id="0">
    <w:p w:rsidR="0012274A" w:rsidRDefault="0012274A" w:rsidP="00EB568D">
      <w:pPr>
        <w:spacing w:after="0" w:line="240" w:lineRule="auto"/>
      </w:pPr>
      <w:r>
        <w:continuationSeparator/>
      </w:r>
    </w:p>
  </w:footnote>
  <w:footnote w:id="1">
    <w:p w:rsidR="00EA22F6" w:rsidRDefault="00EA22F6"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273"/>
    <w:rsid w:val="0000259A"/>
    <w:rsid w:val="00002E83"/>
    <w:rsid w:val="000050B0"/>
    <w:rsid w:val="00005560"/>
    <w:rsid w:val="00005AFE"/>
    <w:rsid w:val="00005E98"/>
    <w:rsid w:val="000062FB"/>
    <w:rsid w:val="00010549"/>
    <w:rsid w:val="0001061E"/>
    <w:rsid w:val="00010DFA"/>
    <w:rsid w:val="00011BE0"/>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3B6"/>
    <w:rsid w:val="000274CF"/>
    <w:rsid w:val="00030868"/>
    <w:rsid w:val="00030B77"/>
    <w:rsid w:val="00031878"/>
    <w:rsid w:val="0003335E"/>
    <w:rsid w:val="0003347E"/>
    <w:rsid w:val="00034B52"/>
    <w:rsid w:val="00035726"/>
    <w:rsid w:val="00035BD3"/>
    <w:rsid w:val="00036ED2"/>
    <w:rsid w:val="0003785D"/>
    <w:rsid w:val="00037FC0"/>
    <w:rsid w:val="0004217F"/>
    <w:rsid w:val="00042376"/>
    <w:rsid w:val="00042B3E"/>
    <w:rsid w:val="00043039"/>
    <w:rsid w:val="000434A7"/>
    <w:rsid w:val="0004385C"/>
    <w:rsid w:val="000443F7"/>
    <w:rsid w:val="0004446C"/>
    <w:rsid w:val="00044C4C"/>
    <w:rsid w:val="00046003"/>
    <w:rsid w:val="00046D62"/>
    <w:rsid w:val="000479D1"/>
    <w:rsid w:val="00050B61"/>
    <w:rsid w:val="00050BA1"/>
    <w:rsid w:val="00050F50"/>
    <w:rsid w:val="0005165E"/>
    <w:rsid w:val="00052025"/>
    <w:rsid w:val="0005356E"/>
    <w:rsid w:val="00054171"/>
    <w:rsid w:val="00054AC0"/>
    <w:rsid w:val="000557EC"/>
    <w:rsid w:val="00055864"/>
    <w:rsid w:val="000629BF"/>
    <w:rsid w:val="00062A06"/>
    <w:rsid w:val="00062D41"/>
    <w:rsid w:val="000632B2"/>
    <w:rsid w:val="00064187"/>
    <w:rsid w:val="000653C9"/>
    <w:rsid w:val="000658E8"/>
    <w:rsid w:val="00067251"/>
    <w:rsid w:val="00070583"/>
    <w:rsid w:val="0007066E"/>
    <w:rsid w:val="00070797"/>
    <w:rsid w:val="00074D6A"/>
    <w:rsid w:val="000752AF"/>
    <w:rsid w:val="00076A52"/>
    <w:rsid w:val="00076E65"/>
    <w:rsid w:val="00080A59"/>
    <w:rsid w:val="000817A3"/>
    <w:rsid w:val="00081916"/>
    <w:rsid w:val="000824C5"/>
    <w:rsid w:val="000840D4"/>
    <w:rsid w:val="00084A2E"/>
    <w:rsid w:val="00085B75"/>
    <w:rsid w:val="00085CBC"/>
    <w:rsid w:val="00087515"/>
    <w:rsid w:val="00087D84"/>
    <w:rsid w:val="0009102A"/>
    <w:rsid w:val="00091976"/>
    <w:rsid w:val="00091C79"/>
    <w:rsid w:val="00092165"/>
    <w:rsid w:val="0009265B"/>
    <w:rsid w:val="000929C4"/>
    <w:rsid w:val="00094628"/>
    <w:rsid w:val="000969BC"/>
    <w:rsid w:val="00097455"/>
    <w:rsid w:val="000A0098"/>
    <w:rsid w:val="000A1787"/>
    <w:rsid w:val="000A193E"/>
    <w:rsid w:val="000A1AB9"/>
    <w:rsid w:val="000A1D77"/>
    <w:rsid w:val="000A3F17"/>
    <w:rsid w:val="000A3F1D"/>
    <w:rsid w:val="000A6367"/>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45F4"/>
    <w:rsid w:val="000C7E64"/>
    <w:rsid w:val="000D00EF"/>
    <w:rsid w:val="000D03E8"/>
    <w:rsid w:val="000D0FF4"/>
    <w:rsid w:val="000D1AB0"/>
    <w:rsid w:val="000D26A6"/>
    <w:rsid w:val="000D3EF9"/>
    <w:rsid w:val="000D421A"/>
    <w:rsid w:val="000D4225"/>
    <w:rsid w:val="000D43B3"/>
    <w:rsid w:val="000D4AD0"/>
    <w:rsid w:val="000D4CBC"/>
    <w:rsid w:val="000D600E"/>
    <w:rsid w:val="000E0F50"/>
    <w:rsid w:val="000E1368"/>
    <w:rsid w:val="000E3DFF"/>
    <w:rsid w:val="000E425B"/>
    <w:rsid w:val="000E455A"/>
    <w:rsid w:val="000E5E6E"/>
    <w:rsid w:val="000F0858"/>
    <w:rsid w:val="000F099C"/>
    <w:rsid w:val="000F115A"/>
    <w:rsid w:val="000F1CE5"/>
    <w:rsid w:val="000F4F32"/>
    <w:rsid w:val="001005E8"/>
    <w:rsid w:val="00101E52"/>
    <w:rsid w:val="00102295"/>
    <w:rsid w:val="00102F64"/>
    <w:rsid w:val="0010404D"/>
    <w:rsid w:val="00106D82"/>
    <w:rsid w:val="001102BD"/>
    <w:rsid w:val="00110887"/>
    <w:rsid w:val="00110FE6"/>
    <w:rsid w:val="001125D1"/>
    <w:rsid w:val="00112A55"/>
    <w:rsid w:val="00112B4C"/>
    <w:rsid w:val="001133F0"/>
    <w:rsid w:val="00113A42"/>
    <w:rsid w:val="00114186"/>
    <w:rsid w:val="00115F6F"/>
    <w:rsid w:val="001161EC"/>
    <w:rsid w:val="00116448"/>
    <w:rsid w:val="001169E8"/>
    <w:rsid w:val="00117A77"/>
    <w:rsid w:val="001225BA"/>
    <w:rsid w:val="0012274A"/>
    <w:rsid w:val="00122DE8"/>
    <w:rsid w:val="00122E9B"/>
    <w:rsid w:val="0012302D"/>
    <w:rsid w:val="00123842"/>
    <w:rsid w:val="001275B2"/>
    <w:rsid w:val="0013372D"/>
    <w:rsid w:val="00133D91"/>
    <w:rsid w:val="00135846"/>
    <w:rsid w:val="00136337"/>
    <w:rsid w:val="00136D2E"/>
    <w:rsid w:val="00136F07"/>
    <w:rsid w:val="00137CBA"/>
    <w:rsid w:val="00140FD3"/>
    <w:rsid w:val="00140FFC"/>
    <w:rsid w:val="0014188A"/>
    <w:rsid w:val="00142272"/>
    <w:rsid w:val="00143D20"/>
    <w:rsid w:val="0014527D"/>
    <w:rsid w:val="00145994"/>
    <w:rsid w:val="0015054E"/>
    <w:rsid w:val="0015068F"/>
    <w:rsid w:val="001506C5"/>
    <w:rsid w:val="00151574"/>
    <w:rsid w:val="001533D3"/>
    <w:rsid w:val="00153A14"/>
    <w:rsid w:val="00154466"/>
    <w:rsid w:val="00154E71"/>
    <w:rsid w:val="001572ED"/>
    <w:rsid w:val="00160A1E"/>
    <w:rsid w:val="0016227C"/>
    <w:rsid w:val="001626F4"/>
    <w:rsid w:val="00163433"/>
    <w:rsid w:val="001648C9"/>
    <w:rsid w:val="00165EED"/>
    <w:rsid w:val="00166337"/>
    <w:rsid w:val="00166D36"/>
    <w:rsid w:val="001677C9"/>
    <w:rsid w:val="00170D53"/>
    <w:rsid w:val="0017126E"/>
    <w:rsid w:val="0017129E"/>
    <w:rsid w:val="00171512"/>
    <w:rsid w:val="00172B53"/>
    <w:rsid w:val="001741D7"/>
    <w:rsid w:val="00174CC9"/>
    <w:rsid w:val="0017654F"/>
    <w:rsid w:val="00176BF2"/>
    <w:rsid w:val="00177786"/>
    <w:rsid w:val="00183E7A"/>
    <w:rsid w:val="0018473B"/>
    <w:rsid w:val="001854F8"/>
    <w:rsid w:val="00186304"/>
    <w:rsid w:val="00186FBD"/>
    <w:rsid w:val="00187F0D"/>
    <w:rsid w:val="00187FC3"/>
    <w:rsid w:val="001934D7"/>
    <w:rsid w:val="001936D6"/>
    <w:rsid w:val="00193841"/>
    <w:rsid w:val="001939FA"/>
    <w:rsid w:val="00193DB1"/>
    <w:rsid w:val="00193DE1"/>
    <w:rsid w:val="001946E4"/>
    <w:rsid w:val="00194925"/>
    <w:rsid w:val="00195817"/>
    <w:rsid w:val="00195FBF"/>
    <w:rsid w:val="001A0222"/>
    <w:rsid w:val="001A0EE0"/>
    <w:rsid w:val="001A2041"/>
    <w:rsid w:val="001A2B69"/>
    <w:rsid w:val="001A31C4"/>
    <w:rsid w:val="001A40A6"/>
    <w:rsid w:val="001A76FC"/>
    <w:rsid w:val="001B1189"/>
    <w:rsid w:val="001B118C"/>
    <w:rsid w:val="001B3D65"/>
    <w:rsid w:val="001B4E3F"/>
    <w:rsid w:val="001B78F4"/>
    <w:rsid w:val="001B7AB0"/>
    <w:rsid w:val="001B7C60"/>
    <w:rsid w:val="001B7CED"/>
    <w:rsid w:val="001C0724"/>
    <w:rsid w:val="001C09FD"/>
    <w:rsid w:val="001C153C"/>
    <w:rsid w:val="001C25A7"/>
    <w:rsid w:val="001C33BD"/>
    <w:rsid w:val="001C4BC7"/>
    <w:rsid w:val="001C6E96"/>
    <w:rsid w:val="001C70F1"/>
    <w:rsid w:val="001C7584"/>
    <w:rsid w:val="001D17C6"/>
    <w:rsid w:val="001D2661"/>
    <w:rsid w:val="001D2E1D"/>
    <w:rsid w:val="001D3286"/>
    <w:rsid w:val="001D44C8"/>
    <w:rsid w:val="001D5BB3"/>
    <w:rsid w:val="001D64EA"/>
    <w:rsid w:val="001D65B3"/>
    <w:rsid w:val="001E0AB4"/>
    <w:rsid w:val="001E1151"/>
    <w:rsid w:val="001E27E0"/>
    <w:rsid w:val="001E3E61"/>
    <w:rsid w:val="001E3FA4"/>
    <w:rsid w:val="001E3FE1"/>
    <w:rsid w:val="001E5A54"/>
    <w:rsid w:val="001E5DFA"/>
    <w:rsid w:val="001E6716"/>
    <w:rsid w:val="001E71B1"/>
    <w:rsid w:val="001E7E07"/>
    <w:rsid w:val="001F26E6"/>
    <w:rsid w:val="001F3324"/>
    <w:rsid w:val="001F3CC8"/>
    <w:rsid w:val="001F5505"/>
    <w:rsid w:val="001F5D24"/>
    <w:rsid w:val="001F6B60"/>
    <w:rsid w:val="0020423F"/>
    <w:rsid w:val="00204594"/>
    <w:rsid w:val="0020549A"/>
    <w:rsid w:val="0020630A"/>
    <w:rsid w:val="0020790F"/>
    <w:rsid w:val="00207C3B"/>
    <w:rsid w:val="002121C7"/>
    <w:rsid w:val="00214A58"/>
    <w:rsid w:val="00214A5A"/>
    <w:rsid w:val="00214E6F"/>
    <w:rsid w:val="0021570C"/>
    <w:rsid w:val="00217CEB"/>
    <w:rsid w:val="002201A7"/>
    <w:rsid w:val="00220782"/>
    <w:rsid w:val="002208D1"/>
    <w:rsid w:val="00221EAC"/>
    <w:rsid w:val="002224A2"/>
    <w:rsid w:val="00223B03"/>
    <w:rsid w:val="00224240"/>
    <w:rsid w:val="00224410"/>
    <w:rsid w:val="00224A55"/>
    <w:rsid w:val="00225F73"/>
    <w:rsid w:val="002305F8"/>
    <w:rsid w:val="0023130D"/>
    <w:rsid w:val="00231E8C"/>
    <w:rsid w:val="00232505"/>
    <w:rsid w:val="00232D36"/>
    <w:rsid w:val="00233038"/>
    <w:rsid w:val="0023369F"/>
    <w:rsid w:val="00233880"/>
    <w:rsid w:val="00233A4F"/>
    <w:rsid w:val="00234E51"/>
    <w:rsid w:val="002364DC"/>
    <w:rsid w:val="00236B2C"/>
    <w:rsid w:val="002405AC"/>
    <w:rsid w:val="00241B6B"/>
    <w:rsid w:val="0024227F"/>
    <w:rsid w:val="00243D24"/>
    <w:rsid w:val="00244E83"/>
    <w:rsid w:val="00246806"/>
    <w:rsid w:val="002506D3"/>
    <w:rsid w:val="002533F6"/>
    <w:rsid w:val="00254DC3"/>
    <w:rsid w:val="00256728"/>
    <w:rsid w:val="002570B3"/>
    <w:rsid w:val="002570F8"/>
    <w:rsid w:val="002572DB"/>
    <w:rsid w:val="00260225"/>
    <w:rsid w:val="00267DDF"/>
    <w:rsid w:val="002708D6"/>
    <w:rsid w:val="00273FA6"/>
    <w:rsid w:val="00274BCA"/>
    <w:rsid w:val="002760B0"/>
    <w:rsid w:val="00276353"/>
    <w:rsid w:val="00280135"/>
    <w:rsid w:val="00282E2A"/>
    <w:rsid w:val="00282FD7"/>
    <w:rsid w:val="0028499E"/>
    <w:rsid w:val="00286B84"/>
    <w:rsid w:val="002916C4"/>
    <w:rsid w:val="00292412"/>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7632"/>
    <w:rsid w:val="002B025B"/>
    <w:rsid w:val="002B02A8"/>
    <w:rsid w:val="002B043E"/>
    <w:rsid w:val="002B0E80"/>
    <w:rsid w:val="002B0F1C"/>
    <w:rsid w:val="002B237E"/>
    <w:rsid w:val="002B5FFB"/>
    <w:rsid w:val="002B700D"/>
    <w:rsid w:val="002B72D9"/>
    <w:rsid w:val="002C1B62"/>
    <w:rsid w:val="002C1E64"/>
    <w:rsid w:val="002C3D8C"/>
    <w:rsid w:val="002C5700"/>
    <w:rsid w:val="002C5798"/>
    <w:rsid w:val="002C5818"/>
    <w:rsid w:val="002C58A3"/>
    <w:rsid w:val="002C75D1"/>
    <w:rsid w:val="002C7C55"/>
    <w:rsid w:val="002D0331"/>
    <w:rsid w:val="002D1D15"/>
    <w:rsid w:val="002D1EDE"/>
    <w:rsid w:val="002D22CD"/>
    <w:rsid w:val="002D3FFB"/>
    <w:rsid w:val="002D4730"/>
    <w:rsid w:val="002D48B3"/>
    <w:rsid w:val="002D4ECE"/>
    <w:rsid w:val="002D516A"/>
    <w:rsid w:val="002D5C6C"/>
    <w:rsid w:val="002E2011"/>
    <w:rsid w:val="002E227D"/>
    <w:rsid w:val="002E31EE"/>
    <w:rsid w:val="002E33AC"/>
    <w:rsid w:val="002E43B0"/>
    <w:rsid w:val="002E53F7"/>
    <w:rsid w:val="002E65F4"/>
    <w:rsid w:val="002E717E"/>
    <w:rsid w:val="002E7496"/>
    <w:rsid w:val="002E76D4"/>
    <w:rsid w:val="002F0B22"/>
    <w:rsid w:val="002F2055"/>
    <w:rsid w:val="002F2720"/>
    <w:rsid w:val="002F35FF"/>
    <w:rsid w:val="002F37A1"/>
    <w:rsid w:val="002F37B4"/>
    <w:rsid w:val="002F49CD"/>
    <w:rsid w:val="002F510A"/>
    <w:rsid w:val="00300E99"/>
    <w:rsid w:val="00302853"/>
    <w:rsid w:val="00304885"/>
    <w:rsid w:val="00306D38"/>
    <w:rsid w:val="00307179"/>
    <w:rsid w:val="00307D30"/>
    <w:rsid w:val="003104A9"/>
    <w:rsid w:val="00311105"/>
    <w:rsid w:val="00312155"/>
    <w:rsid w:val="003122DE"/>
    <w:rsid w:val="0031248B"/>
    <w:rsid w:val="00312ED0"/>
    <w:rsid w:val="00312FA5"/>
    <w:rsid w:val="0031311B"/>
    <w:rsid w:val="003148D3"/>
    <w:rsid w:val="003153C7"/>
    <w:rsid w:val="00316FE9"/>
    <w:rsid w:val="00317723"/>
    <w:rsid w:val="00317955"/>
    <w:rsid w:val="003205F9"/>
    <w:rsid w:val="00320B4B"/>
    <w:rsid w:val="003243AD"/>
    <w:rsid w:val="003246B2"/>
    <w:rsid w:val="003250C5"/>
    <w:rsid w:val="003254C3"/>
    <w:rsid w:val="00326B8E"/>
    <w:rsid w:val="00327D1F"/>
    <w:rsid w:val="00330560"/>
    <w:rsid w:val="0033199A"/>
    <w:rsid w:val="00332190"/>
    <w:rsid w:val="0033273E"/>
    <w:rsid w:val="00332B36"/>
    <w:rsid w:val="00335089"/>
    <w:rsid w:val="00336D45"/>
    <w:rsid w:val="003373E7"/>
    <w:rsid w:val="00337715"/>
    <w:rsid w:val="00337CAB"/>
    <w:rsid w:val="00337DEB"/>
    <w:rsid w:val="00337EEF"/>
    <w:rsid w:val="00340587"/>
    <w:rsid w:val="0034091F"/>
    <w:rsid w:val="00340DFE"/>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3E9E"/>
    <w:rsid w:val="003640AA"/>
    <w:rsid w:val="00365024"/>
    <w:rsid w:val="003662C4"/>
    <w:rsid w:val="00367CC6"/>
    <w:rsid w:val="00371122"/>
    <w:rsid w:val="00371EE4"/>
    <w:rsid w:val="003734CF"/>
    <w:rsid w:val="00373AA6"/>
    <w:rsid w:val="00373B29"/>
    <w:rsid w:val="003741E5"/>
    <w:rsid w:val="00374234"/>
    <w:rsid w:val="003745C9"/>
    <w:rsid w:val="003757D2"/>
    <w:rsid w:val="003758F2"/>
    <w:rsid w:val="00375927"/>
    <w:rsid w:val="00375F68"/>
    <w:rsid w:val="003807A7"/>
    <w:rsid w:val="00381D00"/>
    <w:rsid w:val="00382859"/>
    <w:rsid w:val="003860C8"/>
    <w:rsid w:val="003873C8"/>
    <w:rsid w:val="003876BF"/>
    <w:rsid w:val="003904EF"/>
    <w:rsid w:val="003906D5"/>
    <w:rsid w:val="0039175E"/>
    <w:rsid w:val="00392099"/>
    <w:rsid w:val="0039325F"/>
    <w:rsid w:val="00393E7A"/>
    <w:rsid w:val="003943F0"/>
    <w:rsid w:val="00394B8D"/>
    <w:rsid w:val="00395048"/>
    <w:rsid w:val="00395237"/>
    <w:rsid w:val="0039553C"/>
    <w:rsid w:val="00396142"/>
    <w:rsid w:val="00396233"/>
    <w:rsid w:val="0039679A"/>
    <w:rsid w:val="00397C9E"/>
    <w:rsid w:val="003A09CD"/>
    <w:rsid w:val="003A2F64"/>
    <w:rsid w:val="003A3635"/>
    <w:rsid w:val="003A435F"/>
    <w:rsid w:val="003A5240"/>
    <w:rsid w:val="003A6FC8"/>
    <w:rsid w:val="003B06AE"/>
    <w:rsid w:val="003B17C6"/>
    <w:rsid w:val="003B1D08"/>
    <w:rsid w:val="003B1FBA"/>
    <w:rsid w:val="003B2599"/>
    <w:rsid w:val="003B491D"/>
    <w:rsid w:val="003B66B1"/>
    <w:rsid w:val="003C059C"/>
    <w:rsid w:val="003C2576"/>
    <w:rsid w:val="003C2EF6"/>
    <w:rsid w:val="003C3DCB"/>
    <w:rsid w:val="003C465D"/>
    <w:rsid w:val="003C48A0"/>
    <w:rsid w:val="003C4F78"/>
    <w:rsid w:val="003C5F50"/>
    <w:rsid w:val="003C693D"/>
    <w:rsid w:val="003D1F0B"/>
    <w:rsid w:val="003D2612"/>
    <w:rsid w:val="003D27CF"/>
    <w:rsid w:val="003D4A6B"/>
    <w:rsid w:val="003D57AE"/>
    <w:rsid w:val="003D6D75"/>
    <w:rsid w:val="003D7F3A"/>
    <w:rsid w:val="003E0450"/>
    <w:rsid w:val="003E0733"/>
    <w:rsid w:val="003E20B3"/>
    <w:rsid w:val="003E49BB"/>
    <w:rsid w:val="003E512B"/>
    <w:rsid w:val="003E710B"/>
    <w:rsid w:val="003F0281"/>
    <w:rsid w:val="003F10CB"/>
    <w:rsid w:val="003F1915"/>
    <w:rsid w:val="003F225E"/>
    <w:rsid w:val="003F30F0"/>
    <w:rsid w:val="003F5C25"/>
    <w:rsid w:val="003F69E7"/>
    <w:rsid w:val="0040018F"/>
    <w:rsid w:val="00401197"/>
    <w:rsid w:val="00401411"/>
    <w:rsid w:val="00401519"/>
    <w:rsid w:val="00401B4B"/>
    <w:rsid w:val="0040206C"/>
    <w:rsid w:val="00402E8F"/>
    <w:rsid w:val="0040567D"/>
    <w:rsid w:val="004072DC"/>
    <w:rsid w:val="00410B4F"/>
    <w:rsid w:val="00410E09"/>
    <w:rsid w:val="00412156"/>
    <w:rsid w:val="00413522"/>
    <w:rsid w:val="0041492A"/>
    <w:rsid w:val="004163BC"/>
    <w:rsid w:val="00416672"/>
    <w:rsid w:val="0041685A"/>
    <w:rsid w:val="004172EC"/>
    <w:rsid w:val="00420114"/>
    <w:rsid w:val="0042032D"/>
    <w:rsid w:val="0042086F"/>
    <w:rsid w:val="00420C26"/>
    <w:rsid w:val="004218C4"/>
    <w:rsid w:val="00421FC4"/>
    <w:rsid w:val="00422733"/>
    <w:rsid w:val="00422817"/>
    <w:rsid w:val="0042298E"/>
    <w:rsid w:val="00423068"/>
    <w:rsid w:val="004237BA"/>
    <w:rsid w:val="00424255"/>
    <w:rsid w:val="00425615"/>
    <w:rsid w:val="00425AF9"/>
    <w:rsid w:val="004263C5"/>
    <w:rsid w:val="0042658D"/>
    <w:rsid w:val="00426835"/>
    <w:rsid w:val="00430DB8"/>
    <w:rsid w:val="004313AB"/>
    <w:rsid w:val="00431EB3"/>
    <w:rsid w:val="004333B8"/>
    <w:rsid w:val="00435305"/>
    <w:rsid w:val="004359BC"/>
    <w:rsid w:val="004373AA"/>
    <w:rsid w:val="00440090"/>
    <w:rsid w:val="00440635"/>
    <w:rsid w:val="0044084D"/>
    <w:rsid w:val="00442401"/>
    <w:rsid w:val="0044679B"/>
    <w:rsid w:val="00446C41"/>
    <w:rsid w:val="004528F6"/>
    <w:rsid w:val="0045291C"/>
    <w:rsid w:val="0045447F"/>
    <w:rsid w:val="0045548D"/>
    <w:rsid w:val="004555AB"/>
    <w:rsid w:val="004602FF"/>
    <w:rsid w:val="0046113D"/>
    <w:rsid w:val="004617DB"/>
    <w:rsid w:val="00462933"/>
    <w:rsid w:val="004631C6"/>
    <w:rsid w:val="004632DE"/>
    <w:rsid w:val="00463E4E"/>
    <w:rsid w:val="00465960"/>
    <w:rsid w:val="00465975"/>
    <w:rsid w:val="004661C2"/>
    <w:rsid w:val="004711A4"/>
    <w:rsid w:val="0047220D"/>
    <w:rsid w:val="00472C0E"/>
    <w:rsid w:val="00475216"/>
    <w:rsid w:val="00481AD5"/>
    <w:rsid w:val="00482562"/>
    <w:rsid w:val="004828AD"/>
    <w:rsid w:val="00484989"/>
    <w:rsid w:val="00485DEA"/>
    <w:rsid w:val="004872FF"/>
    <w:rsid w:val="0049056B"/>
    <w:rsid w:val="00491790"/>
    <w:rsid w:val="00491F0A"/>
    <w:rsid w:val="004928AB"/>
    <w:rsid w:val="0049308C"/>
    <w:rsid w:val="00493DE8"/>
    <w:rsid w:val="00494179"/>
    <w:rsid w:val="004956B8"/>
    <w:rsid w:val="00496E90"/>
    <w:rsid w:val="0049769A"/>
    <w:rsid w:val="004A0032"/>
    <w:rsid w:val="004A1058"/>
    <w:rsid w:val="004A1083"/>
    <w:rsid w:val="004A2ACD"/>
    <w:rsid w:val="004A30F9"/>
    <w:rsid w:val="004A3A43"/>
    <w:rsid w:val="004A3FF9"/>
    <w:rsid w:val="004A559F"/>
    <w:rsid w:val="004A753C"/>
    <w:rsid w:val="004A7574"/>
    <w:rsid w:val="004B0921"/>
    <w:rsid w:val="004B09F9"/>
    <w:rsid w:val="004B0B4A"/>
    <w:rsid w:val="004B1729"/>
    <w:rsid w:val="004B22F2"/>
    <w:rsid w:val="004B376E"/>
    <w:rsid w:val="004B37B3"/>
    <w:rsid w:val="004B3A5A"/>
    <w:rsid w:val="004B3CF1"/>
    <w:rsid w:val="004B418A"/>
    <w:rsid w:val="004B4ED6"/>
    <w:rsid w:val="004B4F28"/>
    <w:rsid w:val="004B54D4"/>
    <w:rsid w:val="004B6509"/>
    <w:rsid w:val="004B6E07"/>
    <w:rsid w:val="004B7090"/>
    <w:rsid w:val="004B7365"/>
    <w:rsid w:val="004B79F9"/>
    <w:rsid w:val="004C21AC"/>
    <w:rsid w:val="004C2656"/>
    <w:rsid w:val="004C3B05"/>
    <w:rsid w:val="004C4D29"/>
    <w:rsid w:val="004C5924"/>
    <w:rsid w:val="004C5AE3"/>
    <w:rsid w:val="004C739A"/>
    <w:rsid w:val="004D0F86"/>
    <w:rsid w:val="004D133A"/>
    <w:rsid w:val="004D207B"/>
    <w:rsid w:val="004D262C"/>
    <w:rsid w:val="004D3B50"/>
    <w:rsid w:val="004D3EAB"/>
    <w:rsid w:val="004D4C17"/>
    <w:rsid w:val="004D5C46"/>
    <w:rsid w:val="004D60DA"/>
    <w:rsid w:val="004D6390"/>
    <w:rsid w:val="004E130F"/>
    <w:rsid w:val="004E141F"/>
    <w:rsid w:val="004E17B2"/>
    <w:rsid w:val="004E24A6"/>
    <w:rsid w:val="004E30D7"/>
    <w:rsid w:val="004E37F9"/>
    <w:rsid w:val="004E380E"/>
    <w:rsid w:val="004E44BD"/>
    <w:rsid w:val="004E587D"/>
    <w:rsid w:val="004E66A6"/>
    <w:rsid w:val="004F0120"/>
    <w:rsid w:val="004F1E1F"/>
    <w:rsid w:val="004F282E"/>
    <w:rsid w:val="004F3A72"/>
    <w:rsid w:val="004F3DD1"/>
    <w:rsid w:val="004F548D"/>
    <w:rsid w:val="004F5512"/>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7D73"/>
    <w:rsid w:val="00511C96"/>
    <w:rsid w:val="00511F44"/>
    <w:rsid w:val="0051415B"/>
    <w:rsid w:val="005146DE"/>
    <w:rsid w:val="00514B57"/>
    <w:rsid w:val="005150B2"/>
    <w:rsid w:val="00516BD7"/>
    <w:rsid w:val="00520746"/>
    <w:rsid w:val="005217B6"/>
    <w:rsid w:val="005224E8"/>
    <w:rsid w:val="005224EB"/>
    <w:rsid w:val="00523787"/>
    <w:rsid w:val="00524B26"/>
    <w:rsid w:val="00524BFE"/>
    <w:rsid w:val="00525DAD"/>
    <w:rsid w:val="00525FEB"/>
    <w:rsid w:val="00526D5A"/>
    <w:rsid w:val="00530513"/>
    <w:rsid w:val="00530FB3"/>
    <w:rsid w:val="005316FC"/>
    <w:rsid w:val="005320C7"/>
    <w:rsid w:val="00532C55"/>
    <w:rsid w:val="00532F38"/>
    <w:rsid w:val="005338DF"/>
    <w:rsid w:val="0053497C"/>
    <w:rsid w:val="0053538A"/>
    <w:rsid w:val="00535B7B"/>
    <w:rsid w:val="0053706D"/>
    <w:rsid w:val="00540AD1"/>
    <w:rsid w:val="00541E82"/>
    <w:rsid w:val="00543511"/>
    <w:rsid w:val="0054383E"/>
    <w:rsid w:val="00543D3B"/>
    <w:rsid w:val="005446C0"/>
    <w:rsid w:val="0054486B"/>
    <w:rsid w:val="00544D09"/>
    <w:rsid w:val="00545536"/>
    <w:rsid w:val="005477D5"/>
    <w:rsid w:val="00547AFD"/>
    <w:rsid w:val="005503B8"/>
    <w:rsid w:val="00550524"/>
    <w:rsid w:val="005520B7"/>
    <w:rsid w:val="00556EEE"/>
    <w:rsid w:val="00557467"/>
    <w:rsid w:val="00557530"/>
    <w:rsid w:val="005604D7"/>
    <w:rsid w:val="00560545"/>
    <w:rsid w:val="00560703"/>
    <w:rsid w:val="005608D5"/>
    <w:rsid w:val="005622E9"/>
    <w:rsid w:val="00562A1B"/>
    <w:rsid w:val="005640BB"/>
    <w:rsid w:val="0056420A"/>
    <w:rsid w:val="00564FD1"/>
    <w:rsid w:val="0056586B"/>
    <w:rsid w:val="00572C51"/>
    <w:rsid w:val="00574986"/>
    <w:rsid w:val="00575F58"/>
    <w:rsid w:val="0057605C"/>
    <w:rsid w:val="005767E8"/>
    <w:rsid w:val="0057714B"/>
    <w:rsid w:val="0058156A"/>
    <w:rsid w:val="00582DFB"/>
    <w:rsid w:val="00583FFD"/>
    <w:rsid w:val="00585661"/>
    <w:rsid w:val="005864C3"/>
    <w:rsid w:val="0058667A"/>
    <w:rsid w:val="005869E9"/>
    <w:rsid w:val="00591009"/>
    <w:rsid w:val="005932F5"/>
    <w:rsid w:val="0059470B"/>
    <w:rsid w:val="00595E13"/>
    <w:rsid w:val="005A52D2"/>
    <w:rsid w:val="005A5A6E"/>
    <w:rsid w:val="005A6A83"/>
    <w:rsid w:val="005A6C59"/>
    <w:rsid w:val="005A6DE8"/>
    <w:rsid w:val="005A776E"/>
    <w:rsid w:val="005B1950"/>
    <w:rsid w:val="005B2CFA"/>
    <w:rsid w:val="005B35B7"/>
    <w:rsid w:val="005B5346"/>
    <w:rsid w:val="005B6B73"/>
    <w:rsid w:val="005C125B"/>
    <w:rsid w:val="005C40EF"/>
    <w:rsid w:val="005C4315"/>
    <w:rsid w:val="005C516B"/>
    <w:rsid w:val="005C5F7F"/>
    <w:rsid w:val="005C6C07"/>
    <w:rsid w:val="005C7104"/>
    <w:rsid w:val="005D017A"/>
    <w:rsid w:val="005D1195"/>
    <w:rsid w:val="005D2D0B"/>
    <w:rsid w:val="005D3248"/>
    <w:rsid w:val="005D44F9"/>
    <w:rsid w:val="005D4694"/>
    <w:rsid w:val="005D4748"/>
    <w:rsid w:val="005D5562"/>
    <w:rsid w:val="005E048A"/>
    <w:rsid w:val="005E04C9"/>
    <w:rsid w:val="005E05A5"/>
    <w:rsid w:val="005E2BF2"/>
    <w:rsid w:val="005E3516"/>
    <w:rsid w:val="005E407D"/>
    <w:rsid w:val="005E586E"/>
    <w:rsid w:val="005E70FC"/>
    <w:rsid w:val="005F2A2B"/>
    <w:rsid w:val="005F4A07"/>
    <w:rsid w:val="005F518F"/>
    <w:rsid w:val="005F5A47"/>
    <w:rsid w:val="005F6C81"/>
    <w:rsid w:val="005F7274"/>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A3C"/>
    <w:rsid w:val="0061311F"/>
    <w:rsid w:val="00613B9D"/>
    <w:rsid w:val="00613E54"/>
    <w:rsid w:val="0061500E"/>
    <w:rsid w:val="00615929"/>
    <w:rsid w:val="00616771"/>
    <w:rsid w:val="0061748A"/>
    <w:rsid w:val="0061754C"/>
    <w:rsid w:val="00620DA0"/>
    <w:rsid w:val="00621C87"/>
    <w:rsid w:val="006222FB"/>
    <w:rsid w:val="006230EC"/>
    <w:rsid w:val="00623776"/>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7431"/>
    <w:rsid w:val="00647DDE"/>
    <w:rsid w:val="00647E7E"/>
    <w:rsid w:val="00650B7A"/>
    <w:rsid w:val="00650CDE"/>
    <w:rsid w:val="0065226C"/>
    <w:rsid w:val="0065292C"/>
    <w:rsid w:val="00654206"/>
    <w:rsid w:val="00654F6C"/>
    <w:rsid w:val="006554F2"/>
    <w:rsid w:val="00657624"/>
    <w:rsid w:val="00657D03"/>
    <w:rsid w:val="006615BB"/>
    <w:rsid w:val="00661890"/>
    <w:rsid w:val="0066278B"/>
    <w:rsid w:val="00665CD6"/>
    <w:rsid w:val="00666C4F"/>
    <w:rsid w:val="00667FDD"/>
    <w:rsid w:val="00670757"/>
    <w:rsid w:val="00670762"/>
    <w:rsid w:val="0067082F"/>
    <w:rsid w:val="006722B9"/>
    <w:rsid w:val="00673960"/>
    <w:rsid w:val="0067424D"/>
    <w:rsid w:val="00675166"/>
    <w:rsid w:val="006757A7"/>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11FD"/>
    <w:rsid w:val="006A1E19"/>
    <w:rsid w:val="006A2742"/>
    <w:rsid w:val="006A2D9E"/>
    <w:rsid w:val="006A3A25"/>
    <w:rsid w:val="006A3D7F"/>
    <w:rsid w:val="006A5FC7"/>
    <w:rsid w:val="006A5FE7"/>
    <w:rsid w:val="006A6D72"/>
    <w:rsid w:val="006A7025"/>
    <w:rsid w:val="006B3466"/>
    <w:rsid w:val="006B3626"/>
    <w:rsid w:val="006B4CC7"/>
    <w:rsid w:val="006B4E8E"/>
    <w:rsid w:val="006B53EB"/>
    <w:rsid w:val="006B6A53"/>
    <w:rsid w:val="006B6A7C"/>
    <w:rsid w:val="006B6E5B"/>
    <w:rsid w:val="006B714B"/>
    <w:rsid w:val="006B7BFD"/>
    <w:rsid w:val="006B7D9D"/>
    <w:rsid w:val="006B7E0F"/>
    <w:rsid w:val="006B7F8D"/>
    <w:rsid w:val="006C060D"/>
    <w:rsid w:val="006C20BE"/>
    <w:rsid w:val="006C218E"/>
    <w:rsid w:val="006C2BF7"/>
    <w:rsid w:val="006C4F77"/>
    <w:rsid w:val="006C59A6"/>
    <w:rsid w:val="006C5F2B"/>
    <w:rsid w:val="006C6392"/>
    <w:rsid w:val="006D06B8"/>
    <w:rsid w:val="006D2D56"/>
    <w:rsid w:val="006D2F33"/>
    <w:rsid w:val="006E1591"/>
    <w:rsid w:val="006E1904"/>
    <w:rsid w:val="006E1D7B"/>
    <w:rsid w:val="006E2FFB"/>
    <w:rsid w:val="006E3065"/>
    <w:rsid w:val="006E4A20"/>
    <w:rsid w:val="006E6DF3"/>
    <w:rsid w:val="006E7209"/>
    <w:rsid w:val="006F3085"/>
    <w:rsid w:val="006F3299"/>
    <w:rsid w:val="00701393"/>
    <w:rsid w:val="007018FB"/>
    <w:rsid w:val="007026CF"/>
    <w:rsid w:val="00702D70"/>
    <w:rsid w:val="00705A64"/>
    <w:rsid w:val="00706B80"/>
    <w:rsid w:val="00706CFD"/>
    <w:rsid w:val="00706FAB"/>
    <w:rsid w:val="007107B7"/>
    <w:rsid w:val="00711128"/>
    <w:rsid w:val="00711B28"/>
    <w:rsid w:val="007122B7"/>
    <w:rsid w:val="00712514"/>
    <w:rsid w:val="00713CF6"/>
    <w:rsid w:val="007141A3"/>
    <w:rsid w:val="00714C29"/>
    <w:rsid w:val="0071517E"/>
    <w:rsid w:val="007156AC"/>
    <w:rsid w:val="007156F4"/>
    <w:rsid w:val="00717392"/>
    <w:rsid w:val="00720C78"/>
    <w:rsid w:val="00721C07"/>
    <w:rsid w:val="0072220A"/>
    <w:rsid w:val="007231B1"/>
    <w:rsid w:val="00723ACD"/>
    <w:rsid w:val="0072411E"/>
    <w:rsid w:val="007245F8"/>
    <w:rsid w:val="00724F42"/>
    <w:rsid w:val="007269D0"/>
    <w:rsid w:val="007326AD"/>
    <w:rsid w:val="00734E17"/>
    <w:rsid w:val="00735B50"/>
    <w:rsid w:val="0073691B"/>
    <w:rsid w:val="00737495"/>
    <w:rsid w:val="0074008D"/>
    <w:rsid w:val="0074095B"/>
    <w:rsid w:val="00741C79"/>
    <w:rsid w:val="007426BB"/>
    <w:rsid w:val="00742A04"/>
    <w:rsid w:val="00742D55"/>
    <w:rsid w:val="00742F16"/>
    <w:rsid w:val="0074351F"/>
    <w:rsid w:val="00743BD0"/>
    <w:rsid w:val="00743C8A"/>
    <w:rsid w:val="00744A8F"/>
    <w:rsid w:val="0074593A"/>
    <w:rsid w:val="0074634C"/>
    <w:rsid w:val="00750ED6"/>
    <w:rsid w:val="007513E4"/>
    <w:rsid w:val="00752B5E"/>
    <w:rsid w:val="00753E4E"/>
    <w:rsid w:val="00754A58"/>
    <w:rsid w:val="007561A8"/>
    <w:rsid w:val="00756622"/>
    <w:rsid w:val="007569F3"/>
    <w:rsid w:val="00756C81"/>
    <w:rsid w:val="0075746E"/>
    <w:rsid w:val="0076047B"/>
    <w:rsid w:val="00761193"/>
    <w:rsid w:val="00761321"/>
    <w:rsid w:val="007616AB"/>
    <w:rsid w:val="00764010"/>
    <w:rsid w:val="007646B8"/>
    <w:rsid w:val="00764885"/>
    <w:rsid w:val="00765236"/>
    <w:rsid w:val="00765721"/>
    <w:rsid w:val="0076669C"/>
    <w:rsid w:val="0076691D"/>
    <w:rsid w:val="00771416"/>
    <w:rsid w:val="00771922"/>
    <w:rsid w:val="00774398"/>
    <w:rsid w:val="0077547D"/>
    <w:rsid w:val="00775FA4"/>
    <w:rsid w:val="007802E6"/>
    <w:rsid w:val="00781850"/>
    <w:rsid w:val="00781ACC"/>
    <w:rsid w:val="00783645"/>
    <w:rsid w:val="00784028"/>
    <w:rsid w:val="00785A59"/>
    <w:rsid w:val="0078786D"/>
    <w:rsid w:val="00787D4E"/>
    <w:rsid w:val="007903AE"/>
    <w:rsid w:val="00790A30"/>
    <w:rsid w:val="00790BA3"/>
    <w:rsid w:val="00790DE5"/>
    <w:rsid w:val="00791364"/>
    <w:rsid w:val="00791771"/>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6631"/>
    <w:rsid w:val="007B1585"/>
    <w:rsid w:val="007B17D7"/>
    <w:rsid w:val="007B2BE6"/>
    <w:rsid w:val="007B409D"/>
    <w:rsid w:val="007B5649"/>
    <w:rsid w:val="007B640D"/>
    <w:rsid w:val="007B737A"/>
    <w:rsid w:val="007C2512"/>
    <w:rsid w:val="007C3500"/>
    <w:rsid w:val="007C3756"/>
    <w:rsid w:val="007C3CD8"/>
    <w:rsid w:val="007C3F0C"/>
    <w:rsid w:val="007C560C"/>
    <w:rsid w:val="007C7489"/>
    <w:rsid w:val="007C7E5D"/>
    <w:rsid w:val="007D1704"/>
    <w:rsid w:val="007D1A74"/>
    <w:rsid w:val="007D1CC6"/>
    <w:rsid w:val="007D2E36"/>
    <w:rsid w:val="007D2EB5"/>
    <w:rsid w:val="007D40CF"/>
    <w:rsid w:val="007D68F9"/>
    <w:rsid w:val="007D7AFE"/>
    <w:rsid w:val="007E1652"/>
    <w:rsid w:val="007E2606"/>
    <w:rsid w:val="007E2CE1"/>
    <w:rsid w:val="007E2E6B"/>
    <w:rsid w:val="007E5543"/>
    <w:rsid w:val="007E55AA"/>
    <w:rsid w:val="007E5D17"/>
    <w:rsid w:val="007E698B"/>
    <w:rsid w:val="007E69F5"/>
    <w:rsid w:val="007E6C53"/>
    <w:rsid w:val="007E6E4B"/>
    <w:rsid w:val="007E6EC8"/>
    <w:rsid w:val="007E77D1"/>
    <w:rsid w:val="007F13A5"/>
    <w:rsid w:val="007F39DC"/>
    <w:rsid w:val="007F5293"/>
    <w:rsid w:val="007F5AD6"/>
    <w:rsid w:val="007F5D03"/>
    <w:rsid w:val="0080060A"/>
    <w:rsid w:val="0080289A"/>
    <w:rsid w:val="008029D0"/>
    <w:rsid w:val="00802A4D"/>
    <w:rsid w:val="00803833"/>
    <w:rsid w:val="00803CBA"/>
    <w:rsid w:val="00803FAB"/>
    <w:rsid w:val="00803FDA"/>
    <w:rsid w:val="00804E50"/>
    <w:rsid w:val="00804E97"/>
    <w:rsid w:val="00805261"/>
    <w:rsid w:val="0080528E"/>
    <w:rsid w:val="00806749"/>
    <w:rsid w:val="00806B6C"/>
    <w:rsid w:val="00806C8A"/>
    <w:rsid w:val="00807207"/>
    <w:rsid w:val="00810AB6"/>
    <w:rsid w:val="00811C03"/>
    <w:rsid w:val="00812DD3"/>
    <w:rsid w:val="00813789"/>
    <w:rsid w:val="00813DCF"/>
    <w:rsid w:val="008151D8"/>
    <w:rsid w:val="0082032F"/>
    <w:rsid w:val="00820496"/>
    <w:rsid w:val="0082059A"/>
    <w:rsid w:val="008214BE"/>
    <w:rsid w:val="00822FEB"/>
    <w:rsid w:val="00824061"/>
    <w:rsid w:val="0082456A"/>
    <w:rsid w:val="0082597E"/>
    <w:rsid w:val="00826292"/>
    <w:rsid w:val="00827BEB"/>
    <w:rsid w:val="00827F4B"/>
    <w:rsid w:val="00830B70"/>
    <w:rsid w:val="00831290"/>
    <w:rsid w:val="00831A1C"/>
    <w:rsid w:val="00833333"/>
    <w:rsid w:val="0083383F"/>
    <w:rsid w:val="00833DA2"/>
    <w:rsid w:val="00833DD1"/>
    <w:rsid w:val="0083581A"/>
    <w:rsid w:val="00835C78"/>
    <w:rsid w:val="00837FA3"/>
    <w:rsid w:val="00841431"/>
    <w:rsid w:val="008425EC"/>
    <w:rsid w:val="00846DBA"/>
    <w:rsid w:val="00847B02"/>
    <w:rsid w:val="00850B7E"/>
    <w:rsid w:val="0085153C"/>
    <w:rsid w:val="00852218"/>
    <w:rsid w:val="00852D4D"/>
    <w:rsid w:val="008536DD"/>
    <w:rsid w:val="00855504"/>
    <w:rsid w:val="00855863"/>
    <w:rsid w:val="008560FA"/>
    <w:rsid w:val="00856E6B"/>
    <w:rsid w:val="00856F0C"/>
    <w:rsid w:val="00857E15"/>
    <w:rsid w:val="008611E9"/>
    <w:rsid w:val="00861865"/>
    <w:rsid w:val="00863DCE"/>
    <w:rsid w:val="00864D4C"/>
    <w:rsid w:val="00866662"/>
    <w:rsid w:val="00866ABD"/>
    <w:rsid w:val="00867632"/>
    <w:rsid w:val="00870872"/>
    <w:rsid w:val="00872AE4"/>
    <w:rsid w:val="008738E2"/>
    <w:rsid w:val="0087422E"/>
    <w:rsid w:val="008745EE"/>
    <w:rsid w:val="008749F0"/>
    <w:rsid w:val="00874D36"/>
    <w:rsid w:val="008755AC"/>
    <w:rsid w:val="00880E56"/>
    <w:rsid w:val="00881A1B"/>
    <w:rsid w:val="00881FE4"/>
    <w:rsid w:val="00882A8B"/>
    <w:rsid w:val="00884B63"/>
    <w:rsid w:val="008850FF"/>
    <w:rsid w:val="00885BB1"/>
    <w:rsid w:val="0088711B"/>
    <w:rsid w:val="00887204"/>
    <w:rsid w:val="00890738"/>
    <w:rsid w:val="00890819"/>
    <w:rsid w:val="00892382"/>
    <w:rsid w:val="00892406"/>
    <w:rsid w:val="0089246A"/>
    <w:rsid w:val="00893EBA"/>
    <w:rsid w:val="00893FA9"/>
    <w:rsid w:val="00894A95"/>
    <w:rsid w:val="00894B40"/>
    <w:rsid w:val="00894D25"/>
    <w:rsid w:val="00897B24"/>
    <w:rsid w:val="008A2637"/>
    <w:rsid w:val="008A2AE5"/>
    <w:rsid w:val="008A3A85"/>
    <w:rsid w:val="008A4409"/>
    <w:rsid w:val="008A45CF"/>
    <w:rsid w:val="008A5314"/>
    <w:rsid w:val="008A641F"/>
    <w:rsid w:val="008A6542"/>
    <w:rsid w:val="008B0EDC"/>
    <w:rsid w:val="008B1C6E"/>
    <w:rsid w:val="008B258D"/>
    <w:rsid w:val="008B28D3"/>
    <w:rsid w:val="008B2B9C"/>
    <w:rsid w:val="008B30BD"/>
    <w:rsid w:val="008B5326"/>
    <w:rsid w:val="008B7526"/>
    <w:rsid w:val="008C1049"/>
    <w:rsid w:val="008C15FA"/>
    <w:rsid w:val="008C1C68"/>
    <w:rsid w:val="008C219A"/>
    <w:rsid w:val="008C2BF5"/>
    <w:rsid w:val="008C4670"/>
    <w:rsid w:val="008C5044"/>
    <w:rsid w:val="008C5FAB"/>
    <w:rsid w:val="008C6B42"/>
    <w:rsid w:val="008C6DE2"/>
    <w:rsid w:val="008D01E0"/>
    <w:rsid w:val="008D0C36"/>
    <w:rsid w:val="008D3C00"/>
    <w:rsid w:val="008D4F05"/>
    <w:rsid w:val="008D5790"/>
    <w:rsid w:val="008D62FD"/>
    <w:rsid w:val="008D69BC"/>
    <w:rsid w:val="008D6CB0"/>
    <w:rsid w:val="008D6FFF"/>
    <w:rsid w:val="008D718D"/>
    <w:rsid w:val="008D7451"/>
    <w:rsid w:val="008E0B3D"/>
    <w:rsid w:val="008E0BC3"/>
    <w:rsid w:val="008E23BF"/>
    <w:rsid w:val="008E2564"/>
    <w:rsid w:val="008E2CBB"/>
    <w:rsid w:val="008E617E"/>
    <w:rsid w:val="008E62DD"/>
    <w:rsid w:val="008E655A"/>
    <w:rsid w:val="008E6685"/>
    <w:rsid w:val="008E70DE"/>
    <w:rsid w:val="008F05FC"/>
    <w:rsid w:val="008F09EE"/>
    <w:rsid w:val="008F0C8D"/>
    <w:rsid w:val="008F1198"/>
    <w:rsid w:val="008F210B"/>
    <w:rsid w:val="008F2846"/>
    <w:rsid w:val="008F3548"/>
    <w:rsid w:val="008F3BD9"/>
    <w:rsid w:val="008F43A4"/>
    <w:rsid w:val="008F44AB"/>
    <w:rsid w:val="008F4838"/>
    <w:rsid w:val="008F5484"/>
    <w:rsid w:val="008F5D7E"/>
    <w:rsid w:val="008F6B4C"/>
    <w:rsid w:val="008F6D12"/>
    <w:rsid w:val="008F7496"/>
    <w:rsid w:val="008F7A90"/>
    <w:rsid w:val="00902B07"/>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636F"/>
    <w:rsid w:val="00926C88"/>
    <w:rsid w:val="0092736D"/>
    <w:rsid w:val="00930E1F"/>
    <w:rsid w:val="0093213B"/>
    <w:rsid w:val="009336B9"/>
    <w:rsid w:val="00934C1A"/>
    <w:rsid w:val="00934F3C"/>
    <w:rsid w:val="00935694"/>
    <w:rsid w:val="00937C0A"/>
    <w:rsid w:val="009415D3"/>
    <w:rsid w:val="00941991"/>
    <w:rsid w:val="00942873"/>
    <w:rsid w:val="009429AC"/>
    <w:rsid w:val="00943DF5"/>
    <w:rsid w:val="00943FC9"/>
    <w:rsid w:val="009451F3"/>
    <w:rsid w:val="0094520C"/>
    <w:rsid w:val="00945CFA"/>
    <w:rsid w:val="00946F34"/>
    <w:rsid w:val="009472C5"/>
    <w:rsid w:val="0094752E"/>
    <w:rsid w:val="009503FF"/>
    <w:rsid w:val="00951168"/>
    <w:rsid w:val="00952D77"/>
    <w:rsid w:val="009541EF"/>
    <w:rsid w:val="00954864"/>
    <w:rsid w:val="00955C23"/>
    <w:rsid w:val="00956024"/>
    <w:rsid w:val="00956221"/>
    <w:rsid w:val="00956443"/>
    <w:rsid w:val="00956755"/>
    <w:rsid w:val="00956CDC"/>
    <w:rsid w:val="00956E4C"/>
    <w:rsid w:val="0095756C"/>
    <w:rsid w:val="009607E5"/>
    <w:rsid w:val="009614C9"/>
    <w:rsid w:val="00962251"/>
    <w:rsid w:val="00962CCF"/>
    <w:rsid w:val="00963C5A"/>
    <w:rsid w:val="0096454E"/>
    <w:rsid w:val="00965137"/>
    <w:rsid w:val="00967E71"/>
    <w:rsid w:val="00971189"/>
    <w:rsid w:val="00971A34"/>
    <w:rsid w:val="009773A8"/>
    <w:rsid w:val="00980228"/>
    <w:rsid w:val="009830AF"/>
    <w:rsid w:val="0098348C"/>
    <w:rsid w:val="009837A1"/>
    <w:rsid w:val="00983A84"/>
    <w:rsid w:val="00984A9C"/>
    <w:rsid w:val="00984B2F"/>
    <w:rsid w:val="0098519D"/>
    <w:rsid w:val="0098573C"/>
    <w:rsid w:val="009870AF"/>
    <w:rsid w:val="00990E10"/>
    <w:rsid w:val="00991077"/>
    <w:rsid w:val="009912DD"/>
    <w:rsid w:val="0099163D"/>
    <w:rsid w:val="009941F1"/>
    <w:rsid w:val="0099421C"/>
    <w:rsid w:val="0099581E"/>
    <w:rsid w:val="009971D4"/>
    <w:rsid w:val="009A05F8"/>
    <w:rsid w:val="009A2B13"/>
    <w:rsid w:val="009A69C4"/>
    <w:rsid w:val="009A7AF3"/>
    <w:rsid w:val="009B04E0"/>
    <w:rsid w:val="009B32B4"/>
    <w:rsid w:val="009B33ED"/>
    <w:rsid w:val="009B415D"/>
    <w:rsid w:val="009B5B08"/>
    <w:rsid w:val="009B5DE0"/>
    <w:rsid w:val="009B705F"/>
    <w:rsid w:val="009C0828"/>
    <w:rsid w:val="009C0EB5"/>
    <w:rsid w:val="009C1940"/>
    <w:rsid w:val="009C1D50"/>
    <w:rsid w:val="009C2AF3"/>
    <w:rsid w:val="009C6159"/>
    <w:rsid w:val="009C7AAC"/>
    <w:rsid w:val="009D0782"/>
    <w:rsid w:val="009D0DD2"/>
    <w:rsid w:val="009D1DA3"/>
    <w:rsid w:val="009D1DBE"/>
    <w:rsid w:val="009D37AF"/>
    <w:rsid w:val="009D4DD5"/>
    <w:rsid w:val="009D60D3"/>
    <w:rsid w:val="009D6D3D"/>
    <w:rsid w:val="009D6F46"/>
    <w:rsid w:val="009D7AAC"/>
    <w:rsid w:val="009E3E1F"/>
    <w:rsid w:val="009E4EB1"/>
    <w:rsid w:val="009E5C5D"/>
    <w:rsid w:val="009E67C6"/>
    <w:rsid w:val="009F0BF0"/>
    <w:rsid w:val="009F1296"/>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B1"/>
    <w:rsid w:val="00A16313"/>
    <w:rsid w:val="00A17961"/>
    <w:rsid w:val="00A17E84"/>
    <w:rsid w:val="00A21340"/>
    <w:rsid w:val="00A21A33"/>
    <w:rsid w:val="00A220C1"/>
    <w:rsid w:val="00A22271"/>
    <w:rsid w:val="00A226F7"/>
    <w:rsid w:val="00A22C77"/>
    <w:rsid w:val="00A23A62"/>
    <w:rsid w:val="00A23DB7"/>
    <w:rsid w:val="00A24631"/>
    <w:rsid w:val="00A24829"/>
    <w:rsid w:val="00A24895"/>
    <w:rsid w:val="00A27C5B"/>
    <w:rsid w:val="00A307D0"/>
    <w:rsid w:val="00A30D6F"/>
    <w:rsid w:val="00A31B52"/>
    <w:rsid w:val="00A31D8C"/>
    <w:rsid w:val="00A32026"/>
    <w:rsid w:val="00A321FE"/>
    <w:rsid w:val="00A32423"/>
    <w:rsid w:val="00A32B8F"/>
    <w:rsid w:val="00A3372A"/>
    <w:rsid w:val="00A33E0D"/>
    <w:rsid w:val="00A34091"/>
    <w:rsid w:val="00A35DCF"/>
    <w:rsid w:val="00A364F9"/>
    <w:rsid w:val="00A37265"/>
    <w:rsid w:val="00A37F15"/>
    <w:rsid w:val="00A41401"/>
    <w:rsid w:val="00A44904"/>
    <w:rsid w:val="00A4685D"/>
    <w:rsid w:val="00A46B25"/>
    <w:rsid w:val="00A46E3C"/>
    <w:rsid w:val="00A473BD"/>
    <w:rsid w:val="00A47420"/>
    <w:rsid w:val="00A47D9F"/>
    <w:rsid w:val="00A50A7C"/>
    <w:rsid w:val="00A51093"/>
    <w:rsid w:val="00A52541"/>
    <w:rsid w:val="00A52B49"/>
    <w:rsid w:val="00A5452F"/>
    <w:rsid w:val="00A54F19"/>
    <w:rsid w:val="00A56473"/>
    <w:rsid w:val="00A56E27"/>
    <w:rsid w:val="00A56F35"/>
    <w:rsid w:val="00A57C1F"/>
    <w:rsid w:val="00A60107"/>
    <w:rsid w:val="00A601FC"/>
    <w:rsid w:val="00A616C6"/>
    <w:rsid w:val="00A628AC"/>
    <w:rsid w:val="00A636FF"/>
    <w:rsid w:val="00A639D1"/>
    <w:rsid w:val="00A63E63"/>
    <w:rsid w:val="00A6487C"/>
    <w:rsid w:val="00A64921"/>
    <w:rsid w:val="00A64F58"/>
    <w:rsid w:val="00A65418"/>
    <w:rsid w:val="00A65615"/>
    <w:rsid w:val="00A659B3"/>
    <w:rsid w:val="00A659B8"/>
    <w:rsid w:val="00A72B97"/>
    <w:rsid w:val="00A73309"/>
    <w:rsid w:val="00A73C58"/>
    <w:rsid w:val="00A753F1"/>
    <w:rsid w:val="00A755AA"/>
    <w:rsid w:val="00A7617D"/>
    <w:rsid w:val="00A7694A"/>
    <w:rsid w:val="00A8073C"/>
    <w:rsid w:val="00A8367B"/>
    <w:rsid w:val="00A852F4"/>
    <w:rsid w:val="00A85CA7"/>
    <w:rsid w:val="00A86BD2"/>
    <w:rsid w:val="00A87461"/>
    <w:rsid w:val="00A87C40"/>
    <w:rsid w:val="00A90C0A"/>
    <w:rsid w:val="00A918D7"/>
    <w:rsid w:val="00A92D9A"/>
    <w:rsid w:val="00A9433B"/>
    <w:rsid w:val="00A951FF"/>
    <w:rsid w:val="00A955F8"/>
    <w:rsid w:val="00A969C9"/>
    <w:rsid w:val="00AA16B3"/>
    <w:rsid w:val="00AA1C64"/>
    <w:rsid w:val="00AA1E2C"/>
    <w:rsid w:val="00AA221D"/>
    <w:rsid w:val="00AA3215"/>
    <w:rsid w:val="00AA4DFB"/>
    <w:rsid w:val="00AA5BA0"/>
    <w:rsid w:val="00AA6A75"/>
    <w:rsid w:val="00AB087A"/>
    <w:rsid w:val="00AB265A"/>
    <w:rsid w:val="00AB2A4C"/>
    <w:rsid w:val="00AB2F61"/>
    <w:rsid w:val="00AB4443"/>
    <w:rsid w:val="00AB5937"/>
    <w:rsid w:val="00AB5A97"/>
    <w:rsid w:val="00AB5D85"/>
    <w:rsid w:val="00AB609A"/>
    <w:rsid w:val="00AB63A9"/>
    <w:rsid w:val="00AB713F"/>
    <w:rsid w:val="00AB7CCF"/>
    <w:rsid w:val="00AC19E2"/>
    <w:rsid w:val="00AC308D"/>
    <w:rsid w:val="00AC4110"/>
    <w:rsid w:val="00AC5DE5"/>
    <w:rsid w:val="00AC62C3"/>
    <w:rsid w:val="00AC7CC2"/>
    <w:rsid w:val="00AD084A"/>
    <w:rsid w:val="00AD1CC9"/>
    <w:rsid w:val="00AD509C"/>
    <w:rsid w:val="00AD594F"/>
    <w:rsid w:val="00AD5CD4"/>
    <w:rsid w:val="00AD5F78"/>
    <w:rsid w:val="00AD6AD5"/>
    <w:rsid w:val="00AD7455"/>
    <w:rsid w:val="00AE0A9F"/>
    <w:rsid w:val="00AE0EB9"/>
    <w:rsid w:val="00AE142A"/>
    <w:rsid w:val="00AE3100"/>
    <w:rsid w:val="00AE319F"/>
    <w:rsid w:val="00AE50D6"/>
    <w:rsid w:val="00AE59CA"/>
    <w:rsid w:val="00AE683F"/>
    <w:rsid w:val="00AF0197"/>
    <w:rsid w:val="00AF0CBE"/>
    <w:rsid w:val="00AF169D"/>
    <w:rsid w:val="00AF302F"/>
    <w:rsid w:val="00AF3214"/>
    <w:rsid w:val="00AF3E92"/>
    <w:rsid w:val="00AF6620"/>
    <w:rsid w:val="00AF7657"/>
    <w:rsid w:val="00B01F0E"/>
    <w:rsid w:val="00B02C75"/>
    <w:rsid w:val="00B02FF8"/>
    <w:rsid w:val="00B046BB"/>
    <w:rsid w:val="00B04800"/>
    <w:rsid w:val="00B1061D"/>
    <w:rsid w:val="00B10FA6"/>
    <w:rsid w:val="00B11E70"/>
    <w:rsid w:val="00B12BA4"/>
    <w:rsid w:val="00B14AC2"/>
    <w:rsid w:val="00B15346"/>
    <w:rsid w:val="00B15782"/>
    <w:rsid w:val="00B160DC"/>
    <w:rsid w:val="00B173C4"/>
    <w:rsid w:val="00B17422"/>
    <w:rsid w:val="00B20B54"/>
    <w:rsid w:val="00B211EA"/>
    <w:rsid w:val="00B219C3"/>
    <w:rsid w:val="00B21C9C"/>
    <w:rsid w:val="00B2316C"/>
    <w:rsid w:val="00B236A2"/>
    <w:rsid w:val="00B23AD9"/>
    <w:rsid w:val="00B23F07"/>
    <w:rsid w:val="00B24E15"/>
    <w:rsid w:val="00B27BAD"/>
    <w:rsid w:val="00B3059E"/>
    <w:rsid w:val="00B306CF"/>
    <w:rsid w:val="00B311F1"/>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B61"/>
    <w:rsid w:val="00B42660"/>
    <w:rsid w:val="00B437CB"/>
    <w:rsid w:val="00B445F0"/>
    <w:rsid w:val="00B44C72"/>
    <w:rsid w:val="00B44EE1"/>
    <w:rsid w:val="00B45280"/>
    <w:rsid w:val="00B45677"/>
    <w:rsid w:val="00B46BA6"/>
    <w:rsid w:val="00B472C3"/>
    <w:rsid w:val="00B47771"/>
    <w:rsid w:val="00B52124"/>
    <w:rsid w:val="00B530EB"/>
    <w:rsid w:val="00B5393F"/>
    <w:rsid w:val="00B55828"/>
    <w:rsid w:val="00B561E0"/>
    <w:rsid w:val="00B56AB4"/>
    <w:rsid w:val="00B57007"/>
    <w:rsid w:val="00B604B8"/>
    <w:rsid w:val="00B61A3F"/>
    <w:rsid w:val="00B623DD"/>
    <w:rsid w:val="00B63C52"/>
    <w:rsid w:val="00B65B5A"/>
    <w:rsid w:val="00B66C66"/>
    <w:rsid w:val="00B66F9B"/>
    <w:rsid w:val="00B67FED"/>
    <w:rsid w:val="00B7026F"/>
    <w:rsid w:val="00B72358"/>
    <w:rsid w:val="00B73E27"/>
    <w:rsid w:val="00B73ED5"/>
    <w:rsid w:val="00B75D88"/>
    <w:rsid w:val="00B80155"/>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C6"/>
    <w:rsid w:val="00B97ED3"/>
    <w:rsid w:val="00B97F57"/>
    <w:rsid w:val="00BA07FD"/>
    <w:rsid w:val="00BA114F"/>
    <w:rsid w:val="00BA17B9"/>
    <w:rsid w:val="00BA1AED"/>
    <w:rsid w:val="00BA35A8"/>
    <w:rsid w:val="00BA77EA"/>
    <w:rsid w:val="00BB0018"/>
    <w:rsid w:val="00BB1CFD"/>
    <w:rsid w:val="00BB28EF"/>
    <w:rsid w:val="00BB2D71"/>
    <w:rsid w:val="00BB3288"/>
    <w:rsid w:val="00BB44CC"/>
    <w:rsid w:val="00BB5F40"/>
    <w:rsid w:val="00BB6B2E"/>
    <w:rsid w:val="00BB72C1"/>
    <w:rsid w:val="00BB744D"/>
    <w:rsid w:val="00BB7849"/>
    <w:rsid w:val="00BB7960"/>
    <w:rsid w:val="00BC00FE"/>
    <w:rsid w:val="00BC1576"/>
    <w:rsid w:val="00BC188C"/>
    <w:rsid w:val="00BC1D84"/>
    <w:rsid w:val="00BC2BD0"/>
    <w:rsid w:val="00BC5B1B"/>
    <w:rsid w:val="00BC7318"/>
    <w:rsid w:val="00BC784F"/>
    <w:rsid w:val="00BC7A24"/>
    <w:rsid w:val="00BD0F0C"/>
    <w:rsid w:val="00BD131E"/>
    <w:rsid w:val="00BD2C31"/>
    <w:rsid w:val="00BD3344"/>
    <w:rsid w:val="00BD5D44"/>
    <w:rsid w:val="00BD624D"/>
    <w:rsid w:val="00BE0055"/>
    <w:rsid w:val="00BE10E5"/>
    <w:rsid w:val="00BE1AFE"/>
    <w:rsid w:val="00BE1FAF"/>
    <w:rsid w:val="00BE2391"/>
    <w:rsid w:val="00BE2BE0"/>
    <w:rsid w:val="00BE3098"/>
    <w:rsid w:val="00BE3A22"/>
    <w:rsid w:val="00BE4ABF"/>
    <w:rsid w:val="00BE5877"/>
    <w:rsid w:val="00BE712F"/>
    <w:rsid w:val="00BE7221"/>
    <w:rsid w:val="00BF14F2"/>
    <w:rsid w:val="00BF1CA2"/>
    <w:rsid w:val="00BF1F4E"/>
    <w:rsid w:val="00BF433C"/>
    <w:rsid w:val="00BF4F3B"/>
    <w:rsid w:val="00BF52E8"/>
    <w:rsid w:val="00BF70FF"/>
    <w:rsid w:val="00BF71A8"/>
    <w:rsid w:val="00C02AEA"/>
    <w:rsid w:val="00C03A65"/>
    <w:rsid w:val="00C04AAD"/>
    <w:rsid w:val="00C04F7E"/>
    <w:rsid w:val="00C11D7C"/>
    <w:rsid w:val="00C13918"/>
    <w:rsid w:val="00C15DFF"/>
    <w:rsid w:val="00C1732D"/>
    <w:rsid w:val="00C17354"/>
    <w:rsid w:val="00C204BE"/>
    <w:rsid w:val="00C20D60"/>
    <w:rsid w:val="00C2160B"/>
    <w:rsid w:val="00C21AE0"/>
    <w:rsid w:val="00C2216D"/>
    <w:rsid w:val="00C2327F"/>
    <w:rsid w:val="00C23584"/>
    <w:rsid w:val="00C23789"/>
    <w:rsid w:val="00C23C5E"/>
    <w:rsid w:val="00C276E0"/>
    <w:rsid w:val="00C30501"/>
    <w:rsid w:val="00C30A4B"/>
    <w:rsid w:val="00C30D24"/>
    <w:rsid w:val="00C30DB4"/>
    <w:rsid w:val="00C33E32"/>
    <w:rsid w:val="00C3660F"/>
    <w:rsid w:val="00C37C55"/>
    <w:rsid w:val="00C42609"/>
    <w:rsid w:val="00C4290B"/>
    <w:rsid w:val="00C43578"/>
    <w:rsid w:val="00C43869"/>
    <w:rsid w:val="00C464C2"/>
    <w:rsid w:val="00C46C5C"/>
    <w:rsid w:val="00C472EB"/>
    <w:rsid w:val="00C47C54"/>
    <w:rsid w:val="00C519DC"/>
    <w:rsid w:val="00C51A29"/>
    <w:rsid w:val="00C531B5"/>
    <w:rsid w:val="00C53894"/>
    <w:rsid w:val="00C53DE5"/>
    <w:rsid w:val="00C575D6"/>
    <w:rsid w:val="00C60012"/>
    <w:rsid w:val="00C60997"/>
    <w:rsid w:val="00C62753"/>
    <w:rsid w:val="00C63B9B"/>
    <w:rsid w:val="00C64AB9"/>
    <w:rsid w:val="00C64DD4"/>
    <w:rsid w:val="00C651A2"/>
    <w:rsid w:val="00C657C7"/>
    <w:rsid w:val="00C662C3"/>
    <w:rsid w:val="00C66585"/>
    <w:rsid w:val="00C677BE"/>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500C"/>
    <w:rsid w:val="00C9508A"/>
    <w:rsid w:val="00C96BF0"/>
    <w:rsid w:val="00C977EF"/>
    <w:rsid w:val="00CA1654"/>
    <w:rsid w:val="00CA19A6"/>
    <w:rsid w:val="00CA433A"/>
    <w:rsid w:val="00CA525A"/>
    <w:rsid w:val="00CA6C1F"/>
    <w:rsid w:val="00CB016A"/>
    <w:rsid w:val="00CB0190"/>
    <w:rsid w:val="00CB34F0"/>
    <w:rsid w:val="00CB3BAD"/>
    <w:rsid w:val="00CB4561"/>
    <w:rsid w:val="00CB4FBD"/>
    <w:rsid w:val="00CB6228"/>
    <w:rsid w:val="00CB6589"/>
    <w:rsid w:val="00CB6874"/>
    <w:rsid w:val="00CB6916"/>
    <w:rsid w:val="00CB7D39"/>
    <w:rsid w:val="00CC1D9C"/>
    <w:rsid w:val="00CC3362"/>
    <w:rsid w:val="00CC4A0A"/>
    <w:rsid w:val="00CC5265"/>
    <w:rsid w:val="00CC56B8"/>
    <w:rsid w:val="00CC5AEA"/>
    <w:rsid w:val="00CD02E3"/>
    <w:rsid w:val="00CD185D"/>
    <w:rsid w:val="00CD188D"/>
    <w:rsid w:val="00CD2999"/>
    <w:rsid w:val="00CD33E4"/>
    <w:rsid w:val="00CD37FD"/>
    <w:rsid w:val="00CD495A"/>
    <w:rsid w:val="00CD4B04"/>
    <w:rsid w:val="00CD50BF"/>
    <w:rsid w:val="00CD50C4"/>
    <w:rsid w:val="00CD614E"/>
    <w:rsid w:val="00CE002A"/>
    <w:rsid w:val="00CE0895"/>
    <w:rsid w:val="00CE1CDE"/>
    <w:rsid w:val="00CE3D96"/>
    <w:rsid w:val="00CE407E"/>
    <w:rsid w:val="00CE54EB"/>
    <w:rsid w:val="00CE5BA9"/>
    <w:rsid w:val="00CE5E57"/>
    <w:rsid w:val="00CE6165"/>
    <w:rsid w:val="00CE6B31"/>
    <w:rsid w:val="00CE6D8E"/>
    <w:rsid w:val="00CF0065"/>
    <w:rsid w:val="00CF00C1"/>
    <w:rsid w:val="00CF01A0"/>
    <w:rsid w:val="00CF3113"/>
    <w:rsid w:val="00CF361E"/>
    <w:rsid w:val="00CF4C51"/>
    <w:rsid w:val="00CF60A2"/>
    <w:rsid w:val="00CF7CBA"/>
    <w:rsid w:val="00D0015C"/>
    <w:rsid w:val="00D01967"/>
    <w:rsid w:val="00D01A1D"/>
    <w:rsid w:val="00D02B68"/>
    <w:rsid w:val="00D02CB1"/>
    <w:rsid w:val="00D02E62"/>
    <w:rsid w:val="00D040CD"/>
    <w:rsid w:val="00D06BFB"/>
    <w:rsid w:val="00D071A6"/>
    <w:rsid w:val="00D0789A"/>
    <w:rsid w:val="00D1092B"/>
    <w:rsid w:val="00D10DAC"/>
    <w:rsid w:val="00D10FB3"/>
    <w:rsid w:val="00D133D3"/>
    <w:rsid w:val="00D136BF"/>
    <w:rsid w:val="00D139DD"/>
    <w:rsid w:val="00D153BA"/>
    <w:rsid w:val="00D15AB0"/>
    <w:rsid w:val="00D15C4B"/>
    <w:rsid w:val="00D16B74"/>
    <w:rsid w:val="00D16D8C"/>
    <w:rsid w:val="00D17382"/>
    <w:rsid w:val="00D17513"/>
    <w:rsid w:val="00D176F6"/>
    <w:rsid w:val="00D225DC"/>
    <w:rsid w:val="00D2372F"/>
    <w:rsid w:val="00D256A2"/>
    <w:rsid w:val="00D2712A"/>
    <w:rsid w:val="00D27333"/>
    <w:rsid w:val="00D278D3"/>
    <w:rsid w:val="00D3155F"/>
    <w:rsid w:val="00D32FF6"/>
    <w:rsid w:val="00D3452F"/>
    <w:rsid w:val="00D358E7"/>
    <w:rsid w:val="00D3733B"/>
    <w:rsid w:val="00D377C8"/>
    <w:rsid w:val="00D4036E"/>
    <w:rsid w:val="00D406CB"/>
    <w:rsid w:val="00D40801"/>
    <w:rsid w:val="00D40F33"/>
    <w:rsid w:val="00D41794"/>
    <w:rsid w:val="00D431B0"/>
    <w:rsid w:val="00D449A4"/>
    <w:rsid w:val="00D46E17"/>
    <w:rsid w:val="00D47301"/>
    <w:rsid w:val="00D50887"/>
    <w:rsid w:val="00D5202E"/>
    <w:rsid w:val="00D5323A"/>
    <w:rsid w:val="00D541C2"/>
    <w:rsid w:val="00D56102"/>
    <w:rsid w:val="00D56F19"/>
    <w:rsid w:val="00D57A12"/>
    <w:rsid w:val="00D57F63"/>
    <w:rsid w:val="00D60609"/>
    <w:rsid w:val="00D615D9"/>
    <w:rsid w:val="00D61973"/>
    <w:rsid w:val="00D62364"/>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59E2"/>
    <w:rsid w:val="00D77741"/>
    <w:rsid w:val="00D807F6"/>
    <w:rsid w:val="00D80E51"/>
    <w:rsid w:val="00D80EFC"/>
    <w:rsid w:val="00D825D9"/>
    <w:rsid w:val="00D84217"/>
    <w:rsid w:val="00D876FB"/>
    <w:rsid w:val="00D87744"/>
    <w:rsid w:val="00D916A2"/>
    <w:rsid w:val="00D92B9C"/>
    <w:rsid w:val="00D93816"/>
    <w:rsid w:val="00D938B8"/>
    <w:rsid w:val="00D97067"/>
    <w:rsid w:val="00DA17C8"/>
    <w:rsid w:val="00DA1A31"/>
    <w:rsid w:val="00DA1F0E"/>
    <w:rsid w:val="00DA2B8A"/>
    <w:rsid w:val="00DA388A"/>
    <w:rsid w:val="00DA4AD8"/>
    <w:rsid w:val="00DA4BE9"/>
    <w:rsid w:val="00DA508D"/>
    <w:rsid w:val="00DA5E7C"/>
    <w:rsid w:val="00DA7079"/>
    <w:rsid w:val="00DA78C8"/>
    <w:rsid w:val="00DA7DE2"/>
    <w:rsid w:val="00DB13BC"/>
    <w:rsid w:val="00DB39AA"/>
    <w:rsid w:val="00DB3C41"/>
    <w:rsid w:val="00DB3ECF"/>
    <w:rsid w:val="00DB490B"/>
    <w:rsid w:val="00DB4C65"/>
    <w:rsid w:val="00DB57B4"/>
    <w:rsid w:val="00DB757D"/>
    <w:rsid w:val="00DC091D"/>
    <w:rsid w:val="00DC594D"/>
    <w:rsid w:val="00DD1BC7"/>
    <w:rsid w:val="00DD3A19"/>
    <w:rsid w:val="00DD3BDD"/>
    <w:rsid w:val="00DD4EB0"/>
    <w:rsid w:val="00DD56F7"/>
    <w:rsid w:val="00DD5E24"/>
    <w:rsid w:val="00DD7FA1"/>
    <w:rsid w:val="00DE20D1"/>
    <w:rsid w:val="00DE25C1"/>
    <w:rsid w:val="00DE2859"/>
    <w:rsid w:val="00DE2A15"/>
    <w:rsid w:val="00DE620F"/>
    <w:rsid w:val="00DE6644"/>
    <w:rsid w:val="00DE6A1E"/>
    <w:rsid w:val="00DE705C"/>
    <w:rsid w:val="00DE72D1"/>
    <w:rsid w:val="00DE793C"/>
    <w:rsid w:val="00DF14B7"/>
    <w:rsid w:val="00DF353E"/>
    <w:rsid w:val="00DF41B5"/>
    <w:rsid w:val="00DF4FF9"/>
    <w:rsid w:val="00DF63FB"/>
    <w:rsid w:val="00DF6D50"/>
    <w:rsid w:val="00DF7194"/>
    <w:rsid w:val="00E013C5"/>
    <w:rsid w:val="00E02492"/>
    <w:rsid w:val="00E032FC"/>
    <w:rsid w:val="00E047A1"/>
    <w:rsid w:val="00E05528"/>
    <w:rsid w:val="00E07FC8"/>
    <w:rsid w:val="00E10D5E"/>
    <w:rsid w:val="00E124EC"/>
    <w:rsid w:val="00E12EC4"/>
    <w:rsid w:val="00E14AF5"/>
    <w:rsid w:val="00E17900"/>
    <w:rsid w:val="00E20449"/>
    <w:rsid w:val="00E224B2"/>
    <w:rsid w:val="00E270C9"/>
    <w:rsid w:val="00E27FF9"/>
    <w:rsid w:val="00E3046C"/>
    <w:rsid w:val="00E30B4C"/>
    <w:rsid w:val="00E32D1A"/>
    <w:rsid w:val="00E341AB"/>
    <w:rsid w:val="00E34FFB"/>
    <w:rsid w:val="00E353B2"/>
    <w:rsid w:val="00E3632E"/>
    <w:rsid w:val="00E36636"/>
    <w:rsid w:val="00E3672F"/>
    <w:rsid w:val="00E3794E"/>
    <w:rsid w:val="00E37D7B"/>
    <w:rsid w:val="00E4142E"/>
    <w:rsid w:val="00E438BD"/>
    <w:rsid w:val="00E439BC"/>
    <w:rsid w:val="00E446A5"/>
    <w:rsid w:val="00E44B73"/>
    <w:rsid w:val="00E44FC2"/>
    <w:rsid w:val="00E45310"/>
    <w:rsid w:val="00E4572A"/>
    <w:rsid w:val="00E46B49"/>
    <w:rsid w:val="00E47CC8"/>
    <w:rsid w:val="00E50A15"/>
    <w:rsid w:val="00E526AF"/>
    <w:rsid w:val="00E548BC"/>
    <w:rsid w:val="00E55711"/>
    <w:rsid w:val="00E55860"/>
    <w:rsid w:val="00E55CC3"/>
    <w:rsid w:val="00E56022"/>
    <w:rsid w:val="00E565EE"/>
    <w:rsid w:val="00E5703D"/>
    <w:rsid w:val="00E60D8F"/>
    <w:rsid w:val="00E61035"/>
    <w:rsid w:val="00E61B64"/>
    <w:rsid w:val="00E61B8E"/>
    <w:rsid w:val="00E62342"/>
    <w:rsid w:val="00E62E19"/>
    <w:rsid w:val="00E64438"/>
    <w:rsid w:val="00E64610"/>
    <w:rsid w:val="00E64B1C"/>
    <w:rsid w:val="00E6673F"/>
    <w:rsid w:val="00E6769A"/>
    <w:rsid w:val="00E701AE"/>
    <w:rsid w:val="00E7059B"/>
    <w:rsid w:val="00E70B41"/>
    <w:rsid w:val="00E71253"/>
    <w:rsid w:val="00E72C0D"/>
    <w:rsid w:val="00E738B1"/>
    <w:rsid w:val="00E73B2C"/>
    <w:rsid w:val="00E73EC4"/>
    <w:rsid w:val="00E744F7"/>
    <w:rsid w:val="00E74892"/>
    <w:rsid w:val="00E74921"/>
    <w:rsid w:val="00E754D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4CD"/>
    <w:rsid w:val="00E96696"/>
    <w:rsid w:val="00E96746"/>
    <w:rsid w:val="00E97B19"/>
    <w:rsid w:val="00E97F43"/>
    <w:rsid w:val="00EA01A5"/>
    <w:rsid w:val="00EA0FF8"/>
    <w:rsid w:val="00EA22F6"/>
    <w:rsid w:val="00EA3077"/>
    <w:rsid w:val="00EA3344"/>
    <w:rsid w:val="00EA4DA5"/>
    <w:rsid w:val="00EA52FC"/>
    <w:rsid w:val="00EA6DB3"/>
    <w:rsid w:val="00EA7BE4"/>
    <w:rsid w:val="00EB0F22"/>
    <w:rsid w:val="00EB1B7D"/>
    <w:rsid w:val="00EB28FA"/>
    <w:rsid w:val="00EB297E"/>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1F4"/>
    <w:rsid w:val="00ED12BE"/>
    <w:rsid w:val="00ED1783"/>
    <w:rsid w:val="00ED224B"/>
    <w:rsid w:val="00ED23CA"/>
    <w:rsid w:val="00ED2C94"/>
    <w:rsid w:val="00ED36AD"/>
    <w:rsid w:val="00ED4846"/>
    <w:rsid w:val="00ED7813"/>
    <w:rsid w:val="00ED791A"/>
    <w:rsid w:val="00EE06EC"/>
    <w:rsid w:val="00EE2739"/>
    <w:rsid w:val="00EE5807"/>
    <w:rsid w:val="00EE66AC"/>
    <w:rsid w:val="00EE717E"/>
    <w:rsid w:val="00EE7E3D"/>
    <w:rsid w:val="00EF024A"/>
    <w:rsid w:val="00EF1A31"/>
    <w:rsid w:val="00EF4572"/>
    <w:rsid w:val="00EF48FF"/>
    <w:rsid w:val="00EF57FC"/>
    <w:rsid w:val="00EF5C24"/>
    <w:rsid w:val="00EF731E"/>
    <w:rsid w:val="00EF7F4B"/>
    <w:rsid w:val="00F000D7"/>
    <w:rsid w:val="00F0110D"/>
    <w:rsid w:val="00F01313"/>
    <w:rsid w:val="00F019D9"/>
    <w:rsid w:val="00F01BE2"/>
    <w:rsid w:val="00F01F01"/>
    <w:rsid w:val="00F04024"/>
    <w:rsid w:val="00F041A5"/>
    <w:rsid w:val="00F049FA"/>
    <w:rsid w:val="00F04E78"/>
    <w:rsid w:val="00F04E87"/>
    <w:rsid w:val="00F068A2"/>
    <w:rsid w:val="00F06FD9"/>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CE8"/>
    <w:rsid w:val="00F3640A"/>
    <w:rsid w:val="00F36564"/>
    <w:rsid w:val="00F367E5"/>
    <w:rsid w:val="00F37963"/>
    <w:rsid w:val="00F41295"/>
    <w:rsid w:val="00F4131A"/>
    <w:rsid w:val="00F42A53"/>
    <w:rsid w:val="00F43A44"/>
    <w:rsid w:val="00F4525D"/>
    <w:rsid w:val="00F4625B"/>
    <w:rsid w:val="00F46912"/>
    <w:rsid w:val="00F479D2"/>
    <w:rsid w:val="00F479ED"/>
    <w:rsid w:val="00F52A2D"/>
    <w:rsid w:val="00F531E2"/>
    <w:rsid w:val="00F5518A"/>
    <w:rsid w:val="00F56FE7"/>
    <w:rsid w:val="00F574F3"/>
    <w:rsid w:val="00F60E0A"/>
    <w:rsid w:val="00F639C3"/>
    <w:rsid w:val="00F64537"/>
    <w:rsid w:val="00F64811"/>
    <w:rsid w:val="00F65AC0"/>
    <w:rsid w:val="00F65EDA"/>
    <w:rsid w:val="00F66B03"/>
    <w:rsid w:val="00F66DD3"/>
    <w:rsid w:val="00F6706F"/>
    <w:rsid w:val="00F678FB"/>
    <w:rsid w:val="00F67E39"/>
    <w:rsid w:val="00F7091D"/>
    <w:rsid w:val="00F712A8"/>
    <w:rsid w:val="00F71397"/>
    <w:rsid w:val="00F71DE2"/>
    <w:rsid w:val="00F72346"/>
    <w:rsid w:val="00F7243A"/>
    <w:rsid w:val="00F72CDF"/>
    <w:rsid w:val="00F73EE2"/>
    <w:rsid w:val="00F7440C"/>
    <w:rsid w:val="00F751FD"/>
    <w:rsid w:val="00F77166"/>
    <w:rsid w:val="00F77A3A"/>
    <w:rsid w:val="00F80BD0"/>
    <w:rsid w:val="00F81DAD"/>
    <w:rsid w:val="00F82001"/>
    <w:rsid w:val="00F822CD"/>
    <w:rsid w:val="00F82671"/>
    <w:rsid w:val="00F84E5F"/>
    <w:rsid w:val="00F852EA"/>
    <w:rsid w:val="00F85D75"/>
    <w:rsid w:val="00F85DB8"/>
    <w:rsid w:val="00F86C0A"/>
    <w:rsid w:val="00F873D5"/>
    <w:rsid w:val="00F90706"/>
    <w:rsid w:val="00F91542"/>
    <w:rsid w:val="00F93B5E"/>
    <w:rsid w:val="00F94115"/>
    <w:rsid w:val="00F95B85"/>
    <w:rsid w:val="00F9714D"/>
    <w:rsid w:val="00F97A6A"/>
    <w:rsid w:val="00FA205F"/>
    <w:rsid w:val="00FA215E"/>
    <w:rsid w:val="00FA4DAD"/>
    <w:rsid w:val="00FA6457"/>
    <w:rsid w:val="00FA7C1E"/>
    <w:rsid w:val="00FB0CCF"/>
    <w:rsid w:val="00FB1271"/>
    <w:rsid w:val="00FB40E5"/>
    <w:rsid w:val="00FB5F5D"/>
    <w:rsid w:val="00FC2183"/>
    <w:rsid w:val="00FC4395"/>
    <w:rsid w:val="00FC43A3"/>
    <w:rsid w:val="00FC48AD"/>
    <w:rsid w:val="00FC5133"/>
    <w:rsid w:val="00FC572F"/>
    <w:rsid w:val="00FC60F7"/>
    <w:rsid w:val="00FC6411"/>
    <w:rsid w:val="00FC6AD0"/>
    <w:rsid w:val="00FC6FA1"/>
    <w:rsid w:val="00FD3FDE"/>
    <w:rsid w:val="00FD4110"/>
    <w:rsid w:val="00FD4655"/>
    <w:rsid w:val="00FD530B"/>
    <w:rsid w:val="00FD67FD"/>
    <w:rsid w:val="00FE0483"/>
    <w:rsid w:val="00FE3B4F"/>
    <w:rsid w:val="00FE45AC"/>
    <w:rsid w:val="00FE6CF4"/>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0DE4"/>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kansblackseaforum.org/bbsf-news/" TargetMode="External"/><Relationship Id="rId13" Type="http://schemas.openxmlformats.org/officeDocument/2006/relationships/hyperlink" Target="https://www.ekathimerini.com/economy/1196664/november-electricity-subsidies-to-drop-to-430-million-euro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lkansblackseaforum.org/" TargetMode="External"/><Relationship Id="rId12" Type="http://schemas.openxmlformats.org/officeDocument/2006/relationships/hyperlink" Target="https://www.ekathimerini.com/economy/1196660/industry-faces-5-energy-cu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alia.ambrazeviciute@urm.lt" TargetMode="External"/><Relationship Id="rId1" Type="http://schemas.openxmlformats.org/officeDocument/2006/relationships/styles" Target="styles.xml"/><Relationship Id="rId6" Type="http://schemas.openxmlformats.org/officeDocument/2006/relationships/hyperlink" Target="https://promitheasconference.wordpress.com/" TargetMode="External"/><Relationship Id="rId11" Type="http://schemas.openxmlformats.org/officeDocument/2006/relationships/hyperlink" Target="https://www.posidoniaseatourism.com" TargetMode="External"/><Relationship Id="rId5" Type="http://schemas.openxmlformats.org/officeDocument/2006/relationships/endnotes" Target="endnotes.xml"/><Relationship Id="rId15" Type="http://schemas.openxmlformats.org/officeDocument/2006/relationships/hyperlink" Target="https://www.ekathimerini.com/economy/1196775/greece-to-be-corridor-of-power/" TargetMode="External"/><Relationship Id="rId10" Type="http://schemas.openxmlformats.org/officeDocument/2006/relationships/hyperlink" Target="https://www.thessalonikisummit.gr/%20" TargetMode="External"/><Relationship Id="rId4" Type="http://schemas.openxmlformats.org/officeDocument/2006/relationships/footnotes" Target="footnotes.xml"/><Relationship Id="rId9" Type="http://schemas.openxmlformats.org/officeDocument/2006/relationships/hyperlink" Target="https://balkansblackseaforum.org/high-level-meeting-with-the-ambassador-of-lithuania-for-bbsf2022/" TargetMode="External"/><Relationship Id="rId14" Type="http://schemas.openxmlformats.org/officeDocument/2006/relationships/hyperlink" Target="https://www.ekathimerini.com/economy/1196767/gas-rate-drop-may-take-a-while-to-trickle-down-to-retail-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18</Pages>
  <Words>30412</Words>
  <Characters>17336</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Dalia Ambrazevičiūtė</cp:lastModifiedBy>
  <cp:revision>40</cp:revision>
  <cp:lastPrinted>2022-11-12T20:44:00Z</cp:lastPrinted>
  <dcterms:created xsi:type="dcterms:W3CDTF">2022-11-12T20:50:00Z</dcterms:created>
  <dcterms:modified xsi:type="dcterms:W3CDTF">2022-11-13T15:26:00Z</dcterms:modified>
</cp:coreProperties>
</file>