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72D4" w14:textId="77777777" w:rsidR="0072561F" w:rsidRPr="0072561F" w:rsidRDefault="0072561F" w:rsidP="0072561F">
      <w:pPr>
        <w:shd w:val="clear" w:color="auto" w:fill="FFFFFF"/>
        <w:spacing w:after="0" w:line="240" w:lineRule="auto"/>
        <w:jc w:val="both"/>
        <w:rPr>
          <w:rFonts w:ascii="Arial" w:eastAsia="Times New Roman" w:hAnsi="Arial" w:cs="Arial"/>
          <w:color w:val="222222"/>
          <w:sz w:val="24"/>
          <w:szCs w:val="24"/>
          <w:lang w:eastAsia="lt-LT"/>
        </w:rPr>
      </w:pPr>
      <w:r w:rsidRPr="0072561F">
        <w:rPr>
          <w:rFonts w:ascii="Times New Roman" w:eastAsia="Times New Roman" w:hAnsi="Times New Roman" w:cs="Times New Roman"/>
          <w:b/>
          <w:bCs/>
          <w:color w:val="000000"/>
          <w:sz w:val="24"/>
          <w:szCs w:val="24"/>
          <w:lang w:eastAsia="lt-LT"/>
        </w:rPr>
        <w:t>Lietuvos Respublikos ambasada Švedijos Karalystėje</w:t>
      </w:r>
    </w:p>
    <w:p w14:paraId="6BC2E197" w14:textId="77777777" w:rsidR="0072561F" w:rsidRPr="0072561F" w:rsidRDefault="0072561F" w:rsidP="0072561F">
      <w:pPr>
        <w:shd w:val="clear" w:color="auto" w:fill="FFFFFF"/>
        <w:spacing w:after="0" w:line="240" w:lineRule="auto"/>
        <w:jc w:val="both"/>
        <w:rPr>
          <w:rFonts w:ascii="Arial" w:eastAsia="Times New Roman" w:hAnsi="Arial" w:cs="Arial"/>
          <w:color w:val="222222"/>
          <w:sz w:val="24"/>
          <w:szCs w:val="24"/>
          <w:lang w:eastAsia="lt-LT"/>
        </w:rPr>
      </w:pPr>
      <w:r w:rsidRPr="0072561F">
        <w:rPr>
          <w:rFonts w:ascii="Times New Roman" w:eastAsia="Times New Roman" w:hAnsi="Times New Roman" w:cs="Times New Roman"/>
          <w:color w:val="000000"/>
          <w:sz w:val="24"/>
          <w:szCs w:val="24"/>
          <w:lang w:eastAsia="lt-LT"/>
        </w:rPr>
        <w:t> </w:t>
      </w:r>
    </w:p>
    <w:p w14:paraId="2E554F00" w14:textId="77777777" w:rsidR="0072561F" w:rsidRPr="0072561F" w:rsidRDefault="0072561F" w:rsidP="0072561F">
      <w:pPr>
        <w:shd w:val="clear" w:color="auto" w:fill="FFFFFF"/>
        <w:spacing w:after="0" w:line="240" w:lineRule="auto"/>
        <w:jc w:val="both"/>
        <w:rPr>
          <w:rFonts w:ascii="Arial" w:eastAsia="Times New Roman" w:hAnsi="Arial" w:cs="Arial"/>
          <w:color w:val="222222"/>
          <w:sz w:val="24"/>
          <w:szCs w:val="24"/>
          <w:lang w:eastAsia="lt-LT"/>
        </w:rPr>
      </w:pPr>
      <w:r w:rsidRPr="0072561F">
        <w:rPr>
          <w:rFonts w:ascii="Times New Roman" w:eastAsia="Times New Roman" w:hAnsi="Times New Roman" w:cs="Times New Roman"/>
          <w:b/>
          <w:bCs/>
          <w:color w:val="000000"/>
          <w:sz w:val="24"/>
          <w:szCs w:val="24"/>
          <w:lang w:eastAsia="lt-LT"/>
        </w:rPr>
        <w:t>2022 M. RUGPJŪČIO MĖN. ŠVEDIJOS EKONOMINĖS SITUACIJOS APŽVALGA</w:t>
      </w:r>
    </w:p>
    <w:p w14:paraId="19C47145" w14:textId="77777777" w:rsidR="0072561F" w:rsidRPr="0072561F" w:rsidRDefault="0072561F" w:rsidP="0072561F">
      <w:pPr>
        <w:shd w:val="clear" w:color="auto" w:fill="FFFFFF"/>
        <w:spacing w:after="0" w:line="240" w:lineRule="auto"/>
        <w:jc w:val="both"/>
        <w:rPr>
          <w:rFonts w:ascii="Arial" w:eastAsia="Times New Roman" w:hAnsi="Arial" w:cs="Arial"/>
          <w:color w:val="222222"/>
          <w:sz w:val="24"/>
          <w:szCs w:val="24"/>
          <w:lang w:eastAsia="lt-LT"/>
        </w:rPr>
      </w:pPr>
      <w:r w:rsidRPr="0072561F">
        <w:rPr>
          <w:rFonts w:ascii="Times New Roman" w:eastAsia="Times New Roman" w:hAnsi="Times New Roman" w:cs="Times New Roman"/>
          <w:b/>
          <w:bCs/>
          <w:color w:val="000000"/>
          <w:sz w:val="24"/>
          <w:szCs w:val="24"/>
          <w:lang w:eastAsia="lt-LT"/>
        </w:rPr>
        <w:t> </w:t>
      </w:r>
    </w:p>
    <w:p w14:paraId="203A155F" w14:textId="77777777" w:rsidR="0072561F" w:rsidRPr="0072561F" w:rsidRDefault="0072561F" w:rsidP="0072561F">
      <w:pPr>
        <w:shd w:val="clear" w:color="auto" w:fill="FFFFFF"/>
        <w:spacing w:after="0" w:line="240" w:lineRule="auto"/>
        <w:jc w:val="both"/>
        <w:rPr>
          <w:rFonts w:ascii="Arial" w:eastAsia="Times New Roman" w:hAnsi="Arial" w:cs="Arial"/>
          <w:color w:val="222222"/>
          <w:sz w:val="24"/>
          <w:szCs w:val="24"/>
          <w:lang w:eastAsia="lt-LT"/>
        </w:rPr>
      </w:pPr>
      <w:r w:rsidRPr="0072561F">
        <w:rPr>
          <w:rFonts w:ascii="Times New Roman" w:eastAsia="Times New Roman" w:hAnsi="Times New Roman" w:cs="Times New Roman"/>
          <w:b/>
          <w:bCs/>
          <w:color w:val="000000"/>
          <w:sz w:val="24"/>
          <w:szCs w:val="24"/>
          <w:u w:val="single"/>
          <w:lang w:eastAsia="lt-LT"/>
        </w:rPr>
        <w:t>Pagrindinės naujienos trumpai:</w:t>
      </w:r>
    </w:p>
    <w:p w14:paraId="6F52A4EA" w14:textId="77777777" w:rsidR="0072561F" w:rsidRPr="0072561F" w:rsidRDefault="0072561F" w:rsidP="0072561F">
      <w:pPr>
        <w:shd w:val="clear" w:color="auto" w:fill="FFFFFF"/>
        <w:spacing w:before="100" w:beforeAutospacing="1" w:line="205" w:lineRule="atLeast"/>
        <w:ind w:left="1440"/>
        <w:jc w:val="both"/>
        <w:rPr>
          <w:rFonts w:ascii="Arial" w:eastAsia="Times New Roman" w:hAnsi="Arial" w:cs="Arial"/>
          <w:color w:val="222222"/>
          <w:sz w:val="24"/>
          <w:szCs w:val="24"/>
          <w:lang w:eastAsia="lt-LT"/>
        </w:rPr>
      </w:pPr>
      <w:r w:rsidRPr="0072561F">
        <w:rPr>
          <w:rFonts w:ascii="Wingdings" w:eastAsia="Times New Roman" w:hAnsi="Wingdings" w:cs="Arial"/>
          <w:color w:val="222222"/>
          <w:sz w:val="23"/>
          <w:szCs w:val="23"/>
          <w:lang w:eastAsia="lt-LT"/>
        </w:rPr>
        <w:t>Ø</w:t>
      </w:r>
      <w:r w:rsidRPr="0072561F">
        <w:rPr>
          <w:rFonts w:ascii="Times New Roman" w:eastAsia="Times New Roman" w:hAnsi="Times New Roman" w:cs="Times New Roman"/>
          <w:color w:val="222222"/>
          <w:sz w:val="14"/>
          <w:szCs w:val="14"/>
          <w:lang w:eastAsia="lt-LT"/>
        </w:rPr>
        <w:t>  </w:t>
      </w:r>
      <w:r w:rsidRPr="0072561F">
        <w:rPr>
          <w:rFonts w:ascii="Times New Roman" w:eastAsia="Times New Roman" w:hAnsi="Times New Roman" w:cs="Times New Roman"/>
          <w:b/>
          <w:bCs/>
          <w:color w:val="000000"/>
          <w:sz w:val="24"/>
          <w:szCs w:val="24"/>
          <w:lang w:eastAsia="lt-LT"/>
        </w:rPr>
        <w:t>Švedijos finansų ministerija prognozuoja šalies ekonominį nuosmukį</w:t>
      </w:r>
    </w:p>
    <w:p w14:paraId="508DA92E" w14:textId="77777777" w:rsidR="0072561F" w:rsidRPr="0072561F" w:rsidRDefault="0072561F" w:rsidP="0072561F">
      <w:pPr>
        <w:shd w:val="clear" w:color="auto" w:fill="FFFFFF"/>
        <w:spacing w:before="100" w:beforeAutospacing="1" w:line="205" w:lineRule="atLeast"/>
        <w:ind w:left="1440"/>
        <w:jc w:val="both"/>
        <w:rPr>
          <w:rFonts w:ascii="Arial" w:eastAsia="Times New Roman" w:hAnsi="Arial" w:cs="Arial"/>
          <w:color w:val="222222"/>
          <w:sz w:val="24"/>
          <w:szCs w:val="24"/>
          <w:lang w:eastAsia="lt-LT"/>
        </w:rPr>
      </w:pPr>
      <w:r w:rsidRPr="0072561F">
        <w:rPr>
          <w:rFonts w:ascii="Wingdings" w:eastAsia="Times New Roman" w:hAnsi="Wingdings" w:cs="Arial"/>
          <w:color w:val="222222"/>
          <w:sz w:val="23"/>
          <w:szCs w:val="23"/>
          <w:lang w:eastAsia="lt-LT"/>
        </w:rPr>
        <w:t>Ø</w:t>
      </w:r>
      <w:r w:rsidRPr="0072561F">
        <w:rPr>
          <w:rFonts w:ascii="Times New Roman" w:eastAsia="Times New Roman" w:hAnsi="Times New Roman" w:cs="Times New Roman"/>
          <w:color w:val="222222"/>
          <w:sz w:val="14"/>
          <w:szCs w:val="14"/>
          <w:lang w:eastAsia="lt-LT"/>
        </w:rPr>
        <w:t>  </w:t>
      </w:r>
      <w:r w:rsidRPr="0072561F">
        <w:rPr>
          <w:rFonts w:ascii="Times New Roman" w:eastAsia="Times New Roman" w:hAnsi="Times New Roman" w:cs="Times New Roman"/>
          <w:b/>
          <w:bCs/>
          <w:color w:val="000000"/>
          <w:sz w:val="24"/>
          <w:szCs w:val="24"/>
          <w:lang w:eastAsia="lt-LT"/>
        </w:rPr>
        <w:t>Švedijos Vyriausybės reakcija į aukštas elektros kainas – rekordinio dydžio kompensacijų programos namų ūkiams ir verslui</w:t>
      </w:r>
    </w:p>
    <w:p w14:paraId="65A0336F" w14:textId="77777777" w:rsidR="0072561F" w:rsidRPr="0072561F" w:rsidRDefault="0072561F" w:rsidP="0072561F">
      <w:pPr>
        <w:shd w:val="clear" w:color="auto" w:fill="FFFFFF"/>
        <w:spacing w:before="100" w:beforeAutospacing="1" w:after="100" w:afterAutospacing="1" w:line="240" w:lineRule="auto"/>
        <w:ind w:left="1440"/>
        <w:rPr>
          <w:rFonts w:ascii="Arial" w:eastAsia="Times New Roman" w:hAnsi="Arial" w:cs="Arial"/>
          <w:color w:val="222222"/>
          <w:sz w:val="24"/>
          <w:szCs w:val="24"/>
          <w:lang w:eastAsia="lt-LT"/>
        </w:rPr>
      </w:pPr>
      <w:r w:rsidRPr="0072561F">
        <w:rPr>
          <w:rFonts w:ascii="Wingdings" w:eastAsia="Times New Roman" w:hAnsi="Wingdings" w:cs="Arial"/>
          <w:color w:val="222222"/>
          <w:sz w:val="23"/>
          <w:szCs w:val="23"/>
          <w:lang w:eastAsia="lt-LT"/>
        </w:rPr>
        <w:t>Ø</w:t>
      </w:r>
      <w:r w:rsidRPr="0072561F">
        <w:rPr>
          <w:rFonts w:ascii="Times New Roman" w:eastAsia="Times New Roman" w:hAnsi="Times New Roman" w:cs="Times New Roman"/>
          <w:color w:val="222222"/>
          <w:sz w:val="14"/>
          <w:szCs w:val="14"/>
          <w:lang w:eastAsia="lt-LT"/>
        </w:rPr>
        <w:t>  </w:t>
      </w:r>
      <w:r w:rsidRPr="0072561F">
        <w:rPr>
          <w:rFonts w:ascii="Times New Roman" w:eastAsia="Times New Roman" w:hAnsi="Times New Roman" w:cs="Times New Roman"/>
          <w:b/>
          <w:bCs/>
          <w:color w:val="000000"/>
          <w:sz w:val="24"/>
          <w:szCs w:val="24"/>
          <w:lang w:eastAsia="lt-LT"/>
        </w:rPr>
        <w:t>Aukštos elektros kainos paskatino debatus dėl atsinaujinančios energetikos ir atominių elektrinių Švedijoje vystymo</w:t>
      </w:r>
    </w:p>
    <w:p w14:paraId="4DE20E7A" w14:textId="77777777" w:rsidR="0072561F" w:rsidRPr="0072561F" w:rsidRDefault="0072561F" w:rsidP="0072561F">
      <w:pPr>
        <w:shd w:val="clear" w:color="auto" w:fill="FFFFFF"/>
        <w:spacing w:after="0" w:line="240" w:lineRule="auto"/>
        <w:ind w:left="720"/>
        <w:jc w:val="both"/>
        <w:rPr>
          <w:rFonts w:ascii="Arial" w:eastAsia="Times New Roman" w:hAnsi="Arial" w:cs="Arial"/>
          <w:color w:val="222222"/>
          <w:sz w:val="24"/>
          <w:szCs w:val="24"/>
          <w:lang w:eastAsia="lt-LT"/>
        </w:rPr>
      </w:pPr>
      <w:r w:rsidRPr="0072561F">
        <w:rPr>
          <w:rFonts w:ascii="Times New Roman" w:eastAsia="Times New Roman" w:hAnsi="Times New Roman" w:cs="Times New Roman"/>
          <w:color w:val="000000"/>
          <w:sz w:val="24"/>
          <w:szCs w:val="24"/>
          <w:lang w:eastAsia="lt-LT"/>
        </w:rPr>
        <w:t> </w:t>
      </w:r>
    </w:p>
    <w:p w14:paraId="74524066" w14:textId="77777777" w:rsidR="0072561F" w:rsidRPr="0072561F" w:rsidRDefault="0072561F" w:rsidP="0072561F">
      <w:pPr>
        <w:shd w:val="clear" w:color="auto" w:fill="FFFFFF"/>
        <w:spacing w:after="0" w:line="240" w:lineRule="auto"/>
        <w:ind w:left="720"/>
        <w:jc w:val="both"/>
        <w:rPr>
          <w:rFonts w:ascii="Arial" w:eastAsia="Times New Roman" w:hAnsi="Arial" w:cs="Arial"/>
          <w:color w:val="222222"/>
          <w:sz w:val="24"/>
          <w:szCs w:val="24"/>
          <w:lang w:eastAsia="lt-LT"/>
        </w:rPr>
      </w:pPr>
      <w:r w:rsidRPr="0072561F">
        <w:rPr>
          <w:rFonts w:ascii="Times New Roman" w:eastAsia="Times New Roman" w:hAnsi="Times New Roman" w:cs="Times New Roman"/>
          <w:color w:val="000000"/>
          <w:sz w:val="24"/>
          <w:szCs w:val="24"/>
          <w:lang w:eastAsia="lt-LT"/>
        </w:rPr>
        <w:t> </w:t>
      </w:r>
    </w:p>
    <w:p w14:paraId="127D8058" w14:textId="77777777" w:rsidR="0072561F" w:rsidRPr="0072561F" w:rsidRDefault="0072561F" w:rsidP="0072561F">
      <w:pPr>
        <w:shd w:val="clear" w:color="auto" w:fill="FFFFFF"/>
        <w:spacing w:line="205" w:lineRule="atLeast"/>
        <w:jc w:val="both"/>
        <w:rPr>
          <w:rFonts w:ascii="Arial" w:eastAsia="Times New Roman" w:hAnsi="Arial" w:cs="Arial"/>
          <w:color w:val="222222"/>
          <w:sz w:val="24"/>
          <w:szCs w:val="24"/>
          <w:lang w:eastAsia="lt-LT"/>
        </w:rPr>
      </w:pPr>
      <w:r w:rsidRPr="0072561F">
        <w:rPr>
          <w:rFonts w:ascii="Times New Roman" w:eastAsia="Times New Roman" w:hAnsi="Times New Roman" w:cs="Times New Roman"/>
          <w:b/>
          <w:bCs/>
          <w:color w:val="222222"/>
          <w:sz w:val="24"/>
          <w:szCs w:val="24"/>
          <w:u w:val="single"/>
          <w:lang w:eastAsia="lt-LT"/>
        </w:rPr>
        <w:t>Švedijos Finansų ministerija prognozuoja šalies ekonominį nuosmukį</w:t>
      </w:r>
    </w:p>
    <w:p w14:paraId="73B16A09" w14:textId="77777777" w:rsidR="0072561F" w:rsidRPr="0072561F" w:rsidRDefault="0072561F" w:rsidP="0072561F">
      <w:pPr>
        <w:shd w:val="clear" w:color="auto" w:fill="FFFFFF"/>
        <w:spacing w:line="205" w:lineRule="atLeast"/>
        <w:jc w:val="both"/>
        <w:rPr>
          <w:rFonts w:ascii="Arial" w:eastAsia="Times New Roman" w:hAnsi="Arial" w:cs="Arial"/>
          <w:color w:val="222222"/>
          <w:sz w:val="24"/>
          <w:szCs w:val="24"/>
          <w:lang w:eastAsia="lt-LT"/>
        </w:rPr>
      </w:pPr>
      <w:r w:rsidRPr="0072561F">
        <w:rPr>
          <w:rFonts w:ascii="Times New Roman" w:eastAsia="Times New Roman" w:hAnsi="Times New Roman" w:cs="Times New Roman"/>
          <w:color w:val="222222"/>
          <w:sz w:val="24"/>
          <w:szCs w:val="24"/>
          <w:lang w:eastAsia="lt-LT"/>
        </w:rPr>
        <w:t>2022-08-19 d. Švedijos finansų ministerijos</w:t>
      </w:r>
      <w:r w:rsidRPr="0072561F">
        <w:rPr>
          <w:rFonts w:ascii="Times New Roman" w:eastAsia="Times New Roman" w:hAnsi="Times New Roman" w:cs="Times New Roman"/>
          <w:b/>
          <w:bCs/>
          <w:color w:val="222222"/>
          <w:sz w:val="24"/>
          <w:szCs w:val="24"/>
          <w:lang w:eastAsia="lt-LT"/>
        </w:rPr>
        <w:t> </w:t>
      </w:r>
      <w:r w:rsidRPr="0072561F">
        <w:rPr>
          <w:rFonts w:ascii="Times New Roman" w:eastAsia="Times New Roman" w:hAnsi="Times New Roman" w:cs="Times New Roman"/>
          <w:color w:val="222222"/>
          <w:sz w:val="24"/>
          <w:szCs w:val="24"/>
          <w:lang w:eastAsia="lt-LT"/>
        </w:rPr>
        <w:t>išplatintoje ataskaitoje prognozuojamas Švedijos ekonomikos susitraukimas, atsižvelgiant į esamą situaciją elektros energijos rinkoje, Rusijos karą prieš Ukrainą, globalius tiekimo grandžių trukdžius, augančias žaliavų kainas. Nors skelbiama, kad Švedijos ekonomika šiais metais augs 2,3%, tai yra dvigubai mažesnis augimas palyginus su 2021 m., o 2023 m. šis augimas sieks tik 0,4%. Pagrindinė priežastis – labai lėtai augantis namų ūkių vartojimas, taip pat susiduriama su aukšta infliacija (8%) bei aukštu nedarbo lygiu (7,6%). Fiksuojamas ir būstų kainų kritimas, manoma, kad šiais metais jos dar kris 15-20</w:t>
      </w:r>
      <w:r w:rsidRPr="0072561F">
        <w:rPr>
          <w:rFonts w:ascii="Times New Roman" w:eastAsia="Times New Roman" w:hAnsi="Times New Roman" w:cs="Times New Roman"/>
          <w:color w:val="222222"/>
          <w:sz w:val="24"/>
          <w:szCs w:val="24"/>
          <w:lang w:val="sv-SE" w:eastAsia="lt-LT"/>
        </w:rPr>
        <w:t>%. </w:t>
      </w:r>
      <w:r w:rsidRPr="0072561F">
        <w:rPr>
          <w:rFonts w:ascii="Times New Roman" w:eastAsia="Times New Roman" w:hAnsi="Times New Roman" w:cs="Times New Roman"/>
          <w:color w:val="222222"/>
          <w:sz w:val="24"/>
          <w:szCs w:val="24"/>
          <w:lang w:eastAsia="lt-LT"/>
        </w:rPr>
        <w:t>Pristatant ekonomines prognozes buvo atkreiptas dėmesys, kad dėl vyraujančios nestabilios situacijos pasaulyje yra sunku prognozuoti ir pateikiami duomenys gali drastiškai keistis. Tai atitinka ir šalies bankų makroekonomines prognozes, kurie pranašauja ekonominį sunkmetį ir teigia, kad infliacija žiemą bus dar didesnė, ir ji esą sieks 13%. Švedijos Vyriausybė planuoja, kad esama gera situacija su viešaisiais finansais galėtų veikti kaip ekonominis ramstis su sunkumais susiduriantiems namų ūkiams ir verslui. Planuojama, kad įvairaus masto ekonominėms reformoms būtų galima panaudoti 30 mlrd. SEK, tačiau ekspertai pabrėžia, kad tai turi būti nuodugniai apsvarstytos priemonės, kurios dar labiau nepablogintų fiskalinės situacijos ir nepadidintų infliacijos.</w:t>
      </w:r>
    </w:p>
    <w:p w14:paraId="783DD2B4" w14:textId="77777777" w:rsidR="0072561F" w:rsidRPr="0072561F" w:rsidRDefault="0072561F" w:rsidP="0072561F">
      <w:pPr>
        <w:shd w:val="clear" w:color="auto" w:fill="FFFFFF"/>
        <w:spacing w:after="0" w:line="240" w:lineRule="auto"/>
        <w:jc w:val="both"/>
        <w:rPr>
          <w:rFonts w:ascii="Arial" w:eastAsia="Times New Roman" w:hAnsi="Arial" w:cs="Arial"/>
          <w:color w:val="222222"/>
          <w:sz w:val="24"/>
          <w:szCs w:val="24"/>
          <w:lang w:eastAsia="lt-LT"/>
        </w:rPr>
      </w:pPr>
      <w:r w:rsidRPr="0072561F">
        <w:rPr>
          <w:rFonts w:ascii="Times New Roman" w:eastAsia="Times New Roman" w:hAnsi="Times New Roman" w:cs="Times New Roman"/>
          <w:color w:val="222222"/>
          <w:sz w:val="23"/>
          <w:szCs w:val="23"/>
          <w:lang w:eastAsia="lt-LT"/>
        </w:rPr>
        <w:t> </w:t>
      </w:r>
    </w:p>
    <w:p w14:paraId="76C931E8" w14:textId="77777777" w:rsidR="0072561F" w:rsidRPr="0072561F" w:rsidRDefault="0072561F" w:rsidP="0072561F">
      <w:pPr>
        <w:shd w:val="clear" w:color="auto" w:fill="FFFFFF"/>
        <w:spacing w:after="0" w:line="240" w:lineRule="auto"/>
        <w:jc w:val="both"/>
        <w:rPr>
          <w:rFonts w:ascii="Arial" w:eastAsia="Times New Roman" w:hAnsi="Arial" w:cs="Arial"/>
          <w:color w:val="222222"/>
          <w:sz w:val="24"/>
          <w:szCs w:val="24"/>
          <w:lang w:eastAsia="lt-LT"/>
        </w:rPr>
      </w:pPr>
      <w:r w:rsidRPr="0072561F">
        <w:rPr>
          <w:rFonts w:ascii="Times New Roman" w:eastAsia="Times New Roman" w:hAnsi="Times New Roman" w:cs="Times New Roman"/>
          <w:b/>
          <w:bCs/>
          <w:i/>
          <w:iCs/>
          <w:color w:val="222222"/>
          <w:sz w:val="24"/>
          <w:szCs w:val="24"/>
          <w:lang w:eastAsia="lt-LT"/>
        </w:rPr>
        <w:t>Švedijos ekonomikos augimo rodikliai 2021-2024 m.</w:t>
      </w:r>
    </w:p>
    <w:tbl>
      <w:tblPr>
        <w:tblW w:w="0" w:type="auto"/>
        <w:shd w:val="clear" w:color="auto" w:fill="FFFFFF"/>
        <w:tblCellMar>
          <w:left w:w="0" w:type="dxa"/>
          <w:right w:w="0" w:type="dxa"/>
        </w:tblCellMar>
        <w:tblLook w:val="04A0" w:firstRow="1" w:lastRow="0" w:firstColumn="1" w:lastColumn="0" w:noHBand="0" w:noVBand="1"/>
      </w:tblPr>
      <w:tblGrid>
        <w:gridCol w:w="2019"/>
        <w:gridCol w:w="1574"/>
        <w:gridCol w:w="1574"/>
        <w:gridCol w:w="1574"/>
        <w:gridCol w:w="1574"/>
      </w:tblGrid>
      <w:tr w:rsidR="0072561F" w:rsidRPr="0072561F" w14:paraId="3ED0EBB2" w14:textId="77777777" w:rsidTr="0072561F">
        <w:tc>
          <w:tcPr>
            <w:tcW w:w="15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8C8E7D"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color w:val="222222"/>
                <w:sz w:val="23"/>
                <w:szCs w:val="23"/>
                <w:lang w:eastAsia="lt-LT"/>
              </w:rPr>
              <w:t> </w:t>
            </w:r>
          </w:p>
        </w:tc>
        <w:tc>
          <w:tcPr>
            <w:tcW w:w="15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4318F7"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b/>
                <w:bCs/>
                <w:color w:val="222222"/>
                <w:sz w:val="23"/>
                <w:szCs w:val="23"/>
                <w:lang w:eastAsia="lt-LT"/>
              </w:rPr>
              <w:t>2021 m. proc.</w:t>
            </w:r>
          </w:p>
        </w:tc>
        <w:tc>
          <w:tcPr>
            <w:tcW w:w="15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F21A77B"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b/>
                <w:bCs/>
                <w:color w:val="222222"/>
                <w:sz w:val="23"/>
                <w:szCs w:val="23"/>
                <w:lang w:eastAsia="lt-LT"/>
              </w:rPr>
              <w:t>2022 m. proc.</w:t>
            </w:r>
          </w:p>
        </w:tc>
        <w:tc>
          <w:tcPr>
            <w:tcW w:w="15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922D4F3"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b/>
                <w:bCs/>
                <w:color w:val="222222"/>
                <w:sz w:val="23"/>
                <w:szCs w:val="23"/>
                <w:lang w:eastAsia="lt-LT"/>
              </w:rPr>
              <w:t>2023 m. proc.</w:t>
            </w:r>
          </w:p>
        </w:tc>
        <w:tc>
          <w:tcPr>
            <w:tcW w:w="15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50621D"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b/>
                <w:bCs/>
                <w:color w:val="222222"/>
                <w:sz w:val="23"/>
                <w:szCs w:val="23"/>
                <w:lang w:eastAsia="lt-LT"/>
              </w:rPr>
              <w:t>2024 m. proc.</w:t>
            </w:r>
          </w:p>
        </w:tc>
      </w:tr>
      <w:tr w:rsidR="0072561F" w:rsidRPr="0072561F" w14:paraId="6272C0E8" w14:textId="77777777" w:rsidTr="0072561F">
        <w:tc>
          <w:tcPr>
            <w:tcW w:w="15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EEDA90"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b/>
                <w:bCs/>
                <w:color w:val="222222"/>
                <w:sz w:val="23"/>
                <w:szCs w:val="23"/>
                <w:lang w:eastAsia="lt-LT"/>
              </w:rPr>
              <w:t>BVP</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43AA6B"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color w:val="222222"/>
                <w:sz w:val="23"/>
                <w:szCs w:val="23"/>
                <w:lang w:eastAsia="lt-LT"/>
              </w:rPr>
              <w:t>5,1</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ED981F"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color w:val="222222"/>
                <w:sz w:val="23"/>
                <w:szCs w:val="23"/>
                <w:lang w:eastAsia="lt-LT"/>
              </w:rPr>
              <w:t>2,3</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F1C183"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color w:val="222222"/>
                <w:sz w:val="23"/>
                <w:szCs w:val="23"/>
                <w:lang w:eastAsia="lt-LT"/>
              </w:rPr>
              <w:t>0,4</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99C04A"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color w:val="222222"/>
                <w:sz w:val="23"/>
                <w:szCs w:val="23"/>
                <w:lang w:eastAsia="lt-LT"/>
              </w:rPr>
              <w:t>2,2</w:t>
            </w:r>
          </w:p>
        </w:tc>
      </w:tr>
      <w:tr w:rsidR="0072561F" w:rsidRPr="0072561F" w14:paraId="0E3E9B8C" w14:textId="77777777" w:rsidTr="0072561F">
        <w:tc>
          <w:tcPr>
            <w:tcW w:w="15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5F5EF1"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b/>
                <w:bCs/>
                <w:color w:val="222222"/>
                <w:sz w:val="23"/>
                <w:szCs w:val="23"/>
                <w:lang w:eastAsia="lt-LT"/>
              </w:rPr>
              <w:t>Bendroji Vyriausybės skola, </w:t>
            </w:r>
            <w:r w:rsidRPr="0072561F">
              <w:rPr>
                <w:rFonts w:ascii="Times New Roman" w:eastAsia="Times New Roman" w:hAnsi="Times New Roman" w:cs="Times New Roman"/>
                <w:b/>
                <w:bCs/>
                <w:color w:val="222222"/>
                <w:sz w:val="23"/>
                <w:szCs w:val="23"/>
                <w:lang w:val="sv-SE" w:eastAsia="lt-LT"/>
              </w:rPr>
              <w:t>% nuo BVP</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CA3B83"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color w:val="222222"/>
                <w:sz w:val="23"/>
                <w:szCs w:val="23"/>
                <w:lang w:eastAsia="lt-LT"/>
              </w:rPr>
              <w:t>36.2</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59E302"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color w:val="222222"/>
                <w:sz w:val="23"/>
                <w:szCs w:val="23"/>
                <w:lang w:eastAsia="lt-LT"/>
              </w:rPr>
              <w:t>32</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66BC71"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color w:val="222222"/>
                <w:sz w:val="23"/>
                <w:szCs w:val="23"/>
                <w:lang w:eastAsia="lt-LT"/>
              </w:rPr>
              <w:t>29.3</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57E023"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color w:val="222222"/>
                <w:sz w:val="23"/>
                <w:szCs w:val="23"/>
                <w:lang w:eastAsia="lt-LT"/>
              </w:rPr>
              <w:t>27.6</w:t>
            </w:r>
          </w:p>
        </w:tc>
      </w:tr>
      <w:tr w:rsidR="0072561F" w:rsidRPr="0072561F" w14:paraId="228675FD" w14:textId="77777777" w:rsidTr="0072561F">
        <w:tc>
          <w:tcPr>
            <w:tcW w:w="15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E214DE"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b/>
                <w:bCs/>
                <w:color w:val="222222"/>
                <w:sz w:val="23"/>
                <w:szCs w:val="23"/>
                <w:lang w:eastAsia="lt-LT"/>
              </w:rPr>
              <w:t>Infliacija</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47354F"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color w:val="222222"/>
                <w:sz w:val="23"/>
                <w:szCs w:val="23"/>
                <w:lang w:eastAsia="lt-LT"/>
              </w:rPr>
              <w:t>2,2</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D4D510"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color w:val="222222"/>
                <w:sz w:val="23"/>
                <w:szCs w:val="23"/>
                <w:lang w:eastAsia="lt-LT"/>
              </w:rPr>
              <w:t>8</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FEBDF3"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color w:val="222222"/>
                <w:sz w:val="23"/>
                <w:szCs w:val="23"/>
                <w:lang w:eastAsia="lt-LT"/>
              </w:rPr>
              <w:t>6,3</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C9E5EB"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color w:val="222222"/>
                <w:sz w:val="23"/>
                <w:szCs w:val="23"/>
                <w:lang w:eastAsia="lt-LT"/>
              </w:rPr>
              <w:t>2,8</w:t>
            </w:r>
          </w:p>
        </w:tc>
      </w:tr>
      <w:tr w:rsidR="0072561F" w:rsidRPr="0072561F" w14:paraId="58989010" w14:textId="77777777" w:rsidTr="0072561F">
        <w:tc>
          <w:tcPr>
            <w:tcW w:w="15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692A14"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b/>
                <w:bCs/>
                <w:color w:val="222222"/>
                <w:sz w:val="23"/>
                <w:szCs w:val="23"/>
                <w:lang w:eastAsia="lt-LT"/>
              </w:rPr>
              <w:t>Eksportas</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7FF977"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color w:val="222222"/>
                <w:sz w:val="23"/>
                <w:szCs w:val="23"/>
                <w:lang w:eastAsia="lt-LT"/>
              </w:rPr>
              <w:t>7,9</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92068C"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color w:val="222222"/>
                <w:sz w:val="23"/>
                <w:szCs w:val="23"/>
                <w:lang w:eastAsia="lt-LT"/>
              </w:rPr>
              <w:t>4,7</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120B2B"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color w:val="222222"/>
                <w:sz w:val="23"/>
                <w:szCs w:val="23"/>
                <w:lang w:eastAsia="lt-LT"/>
              </w:rPr>
              <w:t>1,8</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433016"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color w:val="222222"/>
                <w:sz w:val="23"/>
                <w:szCs w:val="23"/>
                <w:lang w:eastAsia="lt-LT"/>
              </w:rPr>
              <w:t>3,0</w:t>
            </w:r>
          </w:p>
        </w:tc>
      </w:tr>
      <w:tr w:rsidR="0072561F" w:rsidRPr="0072561F" w14:paraId="5AE1EE3A" w14:textId="77777777" w:rsidTr="0072561F">
        <w:tc>
          <w:tcPr>
            <w:tcW w:w="15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DB8802"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b/>
                <w:bCs/>
                <w:color w:val="222222"/>
                <w:sz w:val="23"/>
                <w:szCs w:val="23"/>
                <w:lang w:eastAsia="lt-LT"/>
              </w:rPr>
              <w:t>Importas</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FD9888"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color w:val="222222"/>
                <w:sz w:val="23"/>
                <w:szCs w:val="23"/>
                <w:lang w:eastAsia="lt-LT"/>
              </w:rPr>
              <w:t>9,6</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D17126"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color w:val="222222"/>
                <w:sz w:val="23"/>
                <w:szCs w:val="23"/>
                <w:lang w:eastAsia="lt-LT"/>
              </w:rPr>
              <w:t>4,9</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EE8D2D"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color w:val="222222"/>
                <w:sz w:val="23"/>
                <w:szCs w:val="23"/>
                <w:lang w:eastAsia="lt-LT"/>
              </w:rPr>
              <w:t>1</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AAF767"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color w:val="222222"/>
                <w:sz w:val="23"/>
                <w:szCs w:val="23"/>
                <w:lang w:eastAsia="lt-LT"/>
              </w:rPr>
              <w:t>1,5</w:t>
            </w:r>
          </w:p>
        </w:tc>
      </w:tr>
      <w:tr w:rsidR="0072561F" w:rsidRPr="0072561F" w14:paraId="23D070D2" w14:textId="77777777" w:rsidTr="0072561F">
        <w:tc>
          <w:tcPr>
            <w:tcW w:w="15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7D0FAC"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b/>
                <w:bCs/>
                <w:color w:val="222222"/>
                <w:sz w:val="23"/>
                <w:szCs w:val="23"/>
                <w:lang w:eastAsia="lt-LT"/>
              </w:rPr>
              <w:t>Nedarbo lygis</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CF02D6"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color w:val="222222"/>
                <w:sz w:val="23"/>
                <w:szCs w:val="23"/>
                <w:lang w:eastAsia="lt-LT"/>
              </w:rPr>
              <w:t>8,8</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ACC548"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color w:val="222222"/>
                <w:sz w:val="23"/>
                <w:szCs w:val="23"/>
                <w:lang w:eastAsia="lt-LT"/>
              </w:rPr>
              <w:t>7,6</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190018"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color w:val="222222"/>
                <w:sz w:val="23"/>
                <w:szCs w:val="23"/>
                <w:lang w:eastAsia="lt-LT"/>
              </w:rPr>
              <w:t>7,7</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25879C" w14:textId="77777777" w:rsidR="0072561F" w:rsidRPr="0072561F" w:rsidRDefault="0072561F" w:rsidP="0072561F">
            <w:pPr>
              <w:spacing w:after="0" w:line="240" w:lineRule="auto"/>
              <w:jc w:val="both"/>
              <w:rPr>
                <w:rFonts w:ascii="Roboto" w:eastAsia="Times New Roman" w:hAnsi="Roboto" w:cs="Arial"/>
                <w:color w:val="222222"/>
                <w:sz w:val="24"/>
                <w:szCs w:val="24"/>
                <w:lang w:eastAsia="lt-LT"/>
              </w:rPr>
            </w:pPr>
            <w:r w:rsidRPr="0072561F">
              <w:rPr>
                <w:rFonts w:ascii="Times New Roman" w:eastAsia="Times New Roman" w:hAnsi="Times New Roman" w:cs="Times New Roman"/>
                <w:color w:val="222222"/>
                <w:sz w:val="23"/>
                <w:szCs w:val="23"/>
                <w:lang w:eastAsia="lt-LT"/>
              </w:rPr>
              <w:t>7,2</w:t>
            </w:r>
          </w:p>
        </w:tc>
      </w:tr>
    </w:tbl>
    <w:p w14:paraId="0E84F997" w14:textId="77777777" w:rsidR="0072561F" w:rsidRPr="0072561F" w:rsidRDefault="0072561F" w:rsidP="0072561F">
      <w:pPr>
        <w:shd w:val="clear" w:color="auto" w:fill="FFFFFF"/>
        <w:spacing w:after="0" w:line="240" w:lineRule="auto"/>
        <w:jc w:val="both"/>
        <w:rPr>
          <w:rFonts w:ascii="Arial" w:eastAsia="Times New Roman" w:hAnsi="Arial" w:cs="Arial"/>
          <w:color w:val="222222"/>
          <w:sz w:val="24"/>
          <w:szCs w:val="24"/>
          <w:lang w:eastAsia="lt-LT"/>
        </w:rPr>
      </w:pPr>
      <w:r w:rsidRPr="0072561F">
        <w:rPr>
          <w:rFonts w:ascii="Times New Roman" w:eastAsia="Times New Roman" w:hAnsi="Times New Roman" w:cs="Times New Roman"/>
          <w:color w:val="222222"/>
          <w:sz w:val="23"/>
          <w:szCs w:val="23"/>
          <w:lang w:eastAsia="lt-LT"/>
        </w:rPr>
        <w:t>  </w:t>
      </w:r>
    </w:p>
    <w:p w14:paraId="1E67CC68" w14:textId="77777777" w:rsidR="0072561F" w:rsidRPr="0072561F" w:rsidRDefault="0072561F" w:rsidP="0072561F">
      <w:pPr>
        <w:shd w:val="clear" w:color="auto" w:fill="FFFFFF"/>
        <w:spacing w:line="205" w:lineRule="atLeast"/>
        <w:jc w:val="both"/>
        <w:rPr>
          <w:rFonts w:ascii="Arial" w:eastAsia="Times New Roman" w:hAnsi="Arial" w:cs="Arial"/>
          <w:color w:val="222222"/>
          <w:sz w:val="24"/>
          <w:szCs w:val="24"/>
          <w:lang w:eastAsia="lt-LT"/>
        </w:rPr>
      </w:pPr>
      <w:r w:rsidRPr="0072561F">
        <w:rPr>
          <w:rFonts w:ascii="Times New Roman" w:eastAsia="Times New Roman" w:hAnsi="Times New Roman" w:cs="Times New Roman"/>
          <w:b/>
          <w:bCs/>
          <w:color w:val="000000"/>
          <w:sz w:val="24"/>
          <w:szCs w:val="24"/>
          <w:lang w:eastAsia="lt-LT"/>
        </w:rPr>
        <w:t> </w:t>
      </w:r>
    </w:p>
    <w:p w14:paraId="0F196E40" w14:textId="77777777" w:rsidR="0072561F" w:rsidRPr="0072561F" w:rsidRDefault="0072561F" w:rsidP="0072561F">
      <w:pPr>
        <w:shd w:val="clear" w:color="auto" w:fill="FFFFFF"/>
        <w:spacing w:line="205" w:lineRule="atLeast"/>
        <w:jc w:val="both"/>
        <w:rPr>
          <w:rFonts w:ascii="Arial" w:eastAsia="Times New Roman" w:hAnsi="Arial" w:cs="Arial"/>
          <w:color w:val="222222"/>
          <w:sz w:val="24"/>
          <w:szCs w:val="24"/>
          <w:lang w:eastAsia="lt-LT"/>
        </w:rPr>
      </w:pPr>
      <w:r w:rsidRPr="0072561F">
        <w:rPr>
          <w:rFonts w:ascii="Times New Roman" w:eastAsia="Times New Roman" w:hAnsi="Times New Roman" w:cs="Times New Roman"/>
          <w:b/>
          <w:bCs/>
          <w:color w:val="000000"/>
          <w:sz w:val="24"/>
          <w:szCs w:val="24"/>
          <w:u w:val="single"/>
          <w:lang w:eastAsia="lt-LT"/>
        </w:rPr>
        <w:t>Švedijos Vyriausybės reakcija į aukštas elektros kainas – rekordinio dydžio kompensacijų programos namų ūkiams ir verslui</w:t>
      </w:r>
    </w:p>
    <w:p w14:paraId="5DA75721" w14:textId="77777777" w:rsidR="0072561F" w:rsidRPr="0072561F" w:rsidRDefault="0072561F" w:rsidP="0072561F">
      <w:pPr>
        <w:shd w:val="clear" w:color="auto" w:fill="FFFFFF"/>
        <w:spacing w:after="0" w:line="240" w:lineRule="auto"/>
        <w:jc w:val="both"/>
        <w:rPr>
          <w:rFonts w:ascii="Arial" w:eastAsia="Times New Roman" w:hAnsi="Arial" w:cs="Arial"/>
          <w:color w:val="222222"/>
          <w:sz w:val="24"/>
          <w:szCs w:val="24"/>
          <w:lang w:eastAsia="lt-LT"/>
        </w:rPr>
      </w:pPr>
      <w:r w:rsidRPr="0072561F">
        <w:rPr>
          <w:rFonts w:ascii="Times New Roman" w:eastAsia="Times New Roman" w:hAnsi="Times New Roman" w:cs="Times New Roman"/>
          <w:color w:val="222222"/>
          <w:sz w:val="24"/>
          <w:szCs w:val="24"/>
          <w:lang w:eastAsia="lt-LT"/>
        </w:rPr>
        <w:lastRenderedPageBreak/>
        <w:t>Rugpjūtis Švedijoje pasižymėjo kas savaitę mušamais elektros kainų rekordais. Pikas buvo pastebimas rugpjūčio 17 d., kuomet pietinėje Švedijos dalyje elektros kaina siekė 7,70 SEK už kWh. Tiesa, šalies šiaurėje kainos buvo rekordiškai žemos, vos 0,50 SEK už kWh. Šiuos skirtumus lemia tai, kad pietinė Švedijos dalyje elektros energijos infrastruktūra yra glaudžiai susijusi su likusia Europa, kur energija pagrinde gaunama iš anglies ir dujų, o šiaurinėje Švedijoje naudojama daugiausiai vėjo jėgainėse ir hidroelektrinėse pagaminta energija. Šiuo metu šiaurinėje dalyje yra pakankamai elektros energijos, sukaupti nemaži rezervai, tačiau egzistuoja elektros perdavimo kliūtys iš šiaurės į pietus, todėl galimybės šią pigią energiją šalies pietuose yra ypač ribotos. Rugpjūčio pabaigoje situacija keitėsi, pietų Švedijoje kaina truputį sumažėjo ir šiai dienai siekia apie 6 SEK už kWh, tačiau šiaurinėje dalyje fiksuojamas kainos padidėjimas net 4 kartus ir dabar siekia 2 SEK už kWh. Prie kainų augimo prisidėjo ir </w:t>
      </w:r>
      <w:proofErr w:type="spellStart"/>
      <w:r w:rsidRPr="0072561F">
        <w:rPr>
          <w:rFonts w:ascii="Times New Roman" w:eastAsia="Times New Roman" w:hAnsi="Times New Roman" w:cs="Times New Roman"/>
          <w:color w:val="222222"/>
          <w:sz w:val="24"/>
          <w:szCs w:val="24"/>
          <w:lang w:eastAsia="lt-LT"/>
        </w:rPr>
        <w:t>Ringhals</w:t>
      </w:r>
      <w:proofErr w:type="spellEnd"/>
      <w:r w:rsidRPr="0072561F">
        <w:rPr>
          <w:rFonts w:ascii="Times New Roman" w:eastAsia="Times New Roman" w:hAnsi="Times New Roman" w:cs="Times New Roman"/>
          <w:color w:val="222222"/>
          <w:sz w:val="24"/>
          <w:szCs w:val="24"/>
          <w:lang w:eastAsia="lt-LT"/>
        </w:rPr>
        <w:t> 4 AE laikinas uždarymas, kuris truks iki pat gruodžio mėnesio. Ši AE pagamina 4% elektros energijos Švedijoje, jos uždarymas turės poveikį elektros kainai. Ekspertai skaičiuoja, kad rugpjūčio kainų rekordai yra tik pradžia, numatoma, kad žiemą gali būti fiksuojamas dabartinės kainos išaugimas net 4 kartus. Reaguodama į situaciją Vyriausybė rugpjūčio 17 d. paskelbė, kad namų ūkiai ir tiesiogiai nuo išaugusių elektros kainų nukentėję verslai gaus kompensacijas, kurių vertė sieks 60 mlrd. SEK.  Rugsėjo 1 d.  pranešta, kad prie šios sumos papildomai bus skiriama dar 30 mlrd. SEK. Nors tokios kompensacijos yra rekordinės (palyginus su pernai metų kompensacijomis jos yra didesnės 4 kartus), abejojama, kad jų užteks, namų ūkiai ir verslas skatinamas taupyti elektros energiją.</w:t>
      </w:r>
    </w:p>
    <w:p w14:paraId="77C66A92" w14:textId="77777777" w:rsidR="0072561F" w:rsidRPr="0072561F" w:rsidRDefault="0072561F" w:rsidP="0072561F">
      <w:pPr>
        <w:shd w:val="clear" w:color="auto" w:fill="FFFFFF"/>
        <w:spacing w:after="0" w:line="240" w:lineRule="auto"/>
        <w:rPr>
          <w:rFonts w:ascii="Arial" w:eastAsia="Times New Roman" w:hAnsi="Arial" w:cs="Arial"/>
          <w:color w:val="222222"/>
          <w:sz w:val="24"/>
          <w:szCs w:val="24"/>
          <w:lang w:eastAsia="lt-LT"/>
        </w:rPr>
      </w:pPr>
      <w:r w:rsidRPr="0072561F">
        <w:rPr>
          <w:rFonts w:ascii="Times New Roman" w:eastAsia="Times New Roman" w:hAnsi="Times New Roman" w:cs="Times New Roman"/>
          <w:color w:val="222222"/>
          <w:sz w:val="24"/>
          <w:szCs w:val="24"/>
          <w:lang w:eastAsia="lt-LT"/>
        </w:rPr>
        <w:t>Rugsėjo 4 d. Vyriausybė paskelbė, kad įgyvendins 250 mlrd. SEK vertės likvidumo garantijų programą elektros gamintojams, kurie yra registruoti </w:t>
      </w:r>
      <w:proofErr w:type="spellStart"/>
      <w:r w:rsidRPr="0072561F">
        <w:rPr>
          <w:rFonts w:ascii="Times New Roman" w:eastAsia="Times New Roman" w:hAnsi="Times New Roman" w:cs="Times New Roman"/>
          <w:color w:val="222222"/>
          <w:sz w:val="24"/>
          <w:szCs w:val="24"/>
          <w:lang w:eastAsia="lt-LT"/>
        </w:rPr>
        <w:t>Nasdaq</w:t>
      </w:r>
      <w:proofErr w:type="spellEnd"/>
      <w:r w:rsidRPr="0072561F">
        <w:rPr>
          <w:rFonts w:ascii="Times New Roman" w:eastAsia="Times New Roman" w:hAnsi="Times New Roman" w:cs="Times New Roman"/>
          <w:color w:val="222222"/>
          <w:sz w:val="24"/>
          <w:szCs w:val="24"/>
          <w:lang w:eastAsia="lt-LT"/>
        </w:rPr>
        <w:t> </w:t>
      </w:r>
      <w:proofErr w:type="spellStart"/>
      <w:r w:rsidRPr="0072561F">
        <w:rPr>
          <w:rFonts w:ascii="Times New Roman" w:eastAsia="Times New Roman" w:hAnsi="Times New Roman" w:cs="Times New Roman"/>
          <w:color w:val="222222"/>
          <w:sz w:val="24"/>
          <w:szCs w:val="24"/>
          <w:lang w:eastAsia="lt-LT"/>
        </w:rPr>
        <w:t>Clearing</w:t>
      </w:r>
      <w:proofErr w:type="spellEnd"/>
      <w:r w:rsidRPr="0072561F">
        <w:rPr>
          <w:rFonts w:ascii="Times New Roman" w:eastAsia="Times New Roman" w:hAnsi="Times New Roman" w:cs="Times New Roman"/>
          <w:color w:val="222222"/>
          <w:sz w:val="24"/>
          <w:szCs w:val="24"/>
          <w:lang w:eastAsia="lt-LT"/>
        </w:rPr>
        <w:t> AB. Taip reaguota į Gazprom pareiškimą, jog stabdomas Nord </w:t>
      </w:r>
      <w:proofErr w:type="spellStart"/>
      <w:r w:rsidRPr="0072561F">
        <w:rPr>
          <w:rFonts w:ascii="Times New Roman" w:eastAsia="Times New Roman" w:hAnsi="Times New Roman" w:cs="Times New Roman"/>
          <w:color w:val="222222"/>
          <w:sz w:val="24"/>
          <w:szCs w:val="24"/>
          <w:lang w:eastAsia="lt-LT"/>
        </w:rPr>
        <w:t>Stream</w:t>
      </w:r>
      <w:proofErr w:type="spellEnd"/>
      <w:r w:rsidRPr="0072561F">
        <w:rPr>
          <w:rFonts w:ascii="Times New Roman" w:eastAsia="Times New Roman" w:hAnsi="Times New Roman" w:cs="Times New Roman"/>
          <w:color w:val="222222"/>
          <w:sz w:val="24"/>
          <w:szCs w:val="24"/>
          <w:lang w:eastAsia="lt-LT"/>
        </w:rPr>
        <w:t>. Vyriausybė baiminasi, kad dėl to dar stipriau kils elektros kainos, kyla grėsmė tiek Šiaurės šalių, tiek Baltijos šalių finansiniam stabilumui, blogiausiu atveju gresia finansinė krizė. Matoma, kad daugėja bendrovių, kurios nors ir yra finansiškai stabilios, susiduria su problemomis dėl likvidumo, sparčiai augant ne tik elektros kainoms, bet sumoms, kurios mokamos </w:t>
      </w:r>
      <w:proofErr w:type="spellStart"/>
      <w:r w:rsidRPr="0072561F">
        <w:rPr>
          <w:rFonts w:ascii="Times New Roman" w:eastAsia="Times New Roman" w:hAnsi="Times New Roman" w:cs="Times New Roman"/>
          <w:color w:val="222222"/>
          <w:sz w:val="24"/>
          <w:szCs w:val="24"/>
          <w:lang w:eastAsia="lt-LT"/>
        </w:rPr>
        <w:t>Nasdaq</w:t>
      </w:r>
      <w:proofErr w:type="spellEnd"/>
      <w:r w:rsidRPr="0072561F">
        <w:rPr>
          <w:rFonts w:ascii="Times New Roman" w:eastAsia="Times New Roman" w:hAnsi="Times New Roman" w:cs="Times New Roman"/>
          <w:color w:val="222222"/>
          <w:sz w:val="24"/>
          <w:szCs w:val="24"/>
          <w:lang w:eastAsia="lt-LT"/>
        </w:rPr>
        <w:t> </w:t>
      </w:r>
      <w:proofErr w:type="spellStart"/>
      <w:r w:rsidRPr="0072561F">
        <w:rPr>
          <w:rFonts w:ascii="Times New Roman" w:eastAsia="Times New Roman" w:hAnsi="Times New Roman" w:cs="Times New Roman"/>
          <w:color w:val="222222"/>
          <w:sz w:val="24"/>
          <w:szCs w:val="24"/>
          <w:lang w:eastAsia="lt-LT"/>
        </w:rPr>
        <w:t>Clearing</w:t>
      </w:r>
      <w:proofErr w:type="spellEnd"/>
      <w:r w:rsidRPr="0072561F">
        <w:rPr>
          <w:rFonts w:ascii="Times New Roman" w:eastAsia="Times New Roman" w:hAnsi="Times New Roman" w:cs="Times New Roman"/>
          <w:color w:val="222222"/>
          <w:sz w:val="24"/>
          <w:szCs w:val="24"/>
          <w:lang w:eastAsia="lt-LT"/>
        </w:rPr>
        <w:t> AB (per vasarą išaugo nuo 25 mlrd. SEK iki 180 mlrd. SEK). Situacija dabar stabili, bet, jeigu bent vienas didelis elektros gamintojas patirtų bankrotą, kiltų domino reakcija, kuri išprovokuotų finansinę krizę. Pati programa veiktų 2022-2023 m., ja naudotis galėtų tiek Šiaurės, tiek Baltijos šalių elektros gamintojai.</w:t>
      </w:r>
    </w:p>
    <w:p w14:paraId="11F35E39" w14:textId="77777777" w:rsidR="0072561F" w:rsidRPr="0072561F" w:rsidRDefault="0072561F" w:rsidP="0072561F">
      <w:pPr>
        <w:shd w:val="clear" w:color="auto" w:fill="FFFFFF"/>
        <w:spacing w:after="0" w:line="240" w:lineRule="auto"/>
        <w:rPr>
          <w:rFonts w:ascii="Arial" w:eastAsia="Times New Roman" w:hAnsi="Arial" w:cs="Arial"/>
          <w:color w:val="222222"/>
          <w:sz w:val="24"/>
          <w:szCs w:val="24"/>
          <w:lang w:eastAsia="lt-LT"/>
        </w:rPr>
      </w:pPr>
      <w:r w:rsidRPr="0072561F">
        <w:rPr>
          <w:rFonts w:ascii="Arial" w:eastAsia="Times New Roman" w:hAnsi="Arial" w:cs="Arial"/>
          <w:color w:val="222222"/>
          <w:sz w:val="24"/>
          <w:szCs w:val="24"/>
          <w:lang w:eastAsia="lt-LT"/>
        </w:rPr>
        <w:t> </w:t>
      </w:r>
    </w:p>
    <w:p w14:paraId="40727BDC" w14:textId="77777777" w:rsidR="0072561F" w:rsidRPr="0072561F" w:rsidRDefault="0072561F" w:rsidP="0072561F">
      <w:pPr>
        <w:shd w:val="clear" w:color="auto" w:fill="FFFFFF"/>
        <w:spacing w:after="0" w:line="240" w:lineRule="auto"/>
        <w:rPr>
          <w:rFonts w:ascii="Arial" w:eastAsia="Times New Roman" w:hAnsi="Arial" w:cs="Arial"/>
          <w:color w:val="222222"/>
          <w:sz w:val="24"/>
          <w:szCs w:val="24"/>
          <w:lang w:eastAsia="lt-LT"/>
        </w:rPr>
      </w:pPr>
      <w:r w:rsidRPr="0072561F">
        <w:rPr>
          <w:rFonts w:ascii="Arial" w:eastAsia="Times New Roman" w:hAnsi="Arial" w:cs="Arial"/>
          <w:color w:val="222222"/>
          <w:sz w:val="24"/>
          <w:szCs w:val="24"/>
          <w:lang w:eastAsia="lt-LT"/>
        </w:rPr>
        <w:t> </w:t>
      </w:r>
    </w:p>
    <w:p w14:paraId="030687E2" w14:textId="77777777" w:rsidR="0072561F" w:rsidRPr="0072561F" w:rsidRDefault="0072561F" w:rsidP="0072561F">
      <w:pPr>
        <w:shd w:val="clear" w:color="auto" w:fill="FFFFFF"/>
        <w:spacing w:after="0" w:line="240" w:lineRule="auto"/>
        <w:rPr>
          <w:rFonts w:ascii="Arial" w:eastAsia="Times New Roman" w:hAnsi="Arial" w:cs="Arial"/>
          <w:color w:val="222222"/>
          <w:sz w:val="24"/>
          <w:szCs w:val="24"/>
          <w:lang w:eastAsia="lt-LT"/>
        </w:rPr>
      </w:pPr>
      <w:r w:rsidRPr="0072561F">
        <w:rPr>
          <w:rFonts w:ascii="Times New Roman" w:eastAsia="Times New Roman" w:hAnsi="Times New Roman" w:cs="Times New Roman"/>
          <w:b/>
          <w:bCs/>
          <w:color w:val="222222"/>
          <w:sz w:val="24"/>
          <w:szCs w:val="24"/>
          <w:u w:val="single"/>
          <w:lang w:eastAsia="lt-LT"/>
        </w:rPr>
        <w:t>Aukštos elektros kainos paskatino debatus dėl atsinaujinančios energetikos ir atominių elektrinių Švedijoje vystymo</w:t>
      </w:r>
    </w:p>
    <w:p w14:paraId="2C979E3A" w14:textId="77777777" w:rsidR="0072561F" w:rsidRPr="0072561F" w:rsidRDefault="0072561F" w:rsidP="0072561F">
      <w:pPr>
        <w:shd w:val="clear" w:color="auto" w:fill="FFFFFF"/>
        <w:spacing w:after="0" w:line="240" w:lineRule="auto"/>
        <w:rPr>
          <w:rFonts w:ascii="Arial" w:eastAsia="Times New Roman" w:hAnsi="Arial" w:cs="Arial"/>
          <w:color w:val="222222"/>
          <w:sz w:val="24"/>
          <w:szCs w:val="24"/>
          <w:lang w:eastAsia="lt-LT"/>
        </w:rPr>
      </w:pPr>
      <w:r w:rsidRPr="0072561F">
        <w:rPr>
          <w:rFonts w:ascii="Arial" w:eastAsia="Times New Roman" w:hAnsi="Arial" w:cs="Arial"/>
          <w:color w:val="222222"/>
          <w:sz w:val="24"/>
          <w:szCs w:val="24"/>
          <w:lang w:eastAsia="lt-LT"/>
        </w:rPr>
        <w:t> </w:t>
      </w:r>
    </w:p>
    <w:p w14:paraId="4F9DE898" w14:textId="77777777" w:rsidR="0072561F" w:rsidRPr="0072561F" w:rsidRDefault="0072561F" w:rsidP="0072561F">
      <w:pPr>
        <w:shd w:val="clear" w:color="auto" w:fill="FFFFFF"/>
        <w:spacing w:after="0" w:line="240" w:lineRule="auto"/>
        <w:rPr>
          <w:rFonts w:ascii="Arial" w:eastAsia="Times New Roman" w:hAnsi="Arial" w:cs="Arial"/>
          <w:color w:val="222222"/>
          <w:sz w:val="24"/>
          <w:szCs w:val="24"/>
          <w:lang w:eastAsia="lt-LT"/>
        </w:rPr>
      </w:pPr>
      <w:r w:rsidRPr="0072561F">
        <w:rPr>
          <w:rFonts w:ascii="Times New Roman" w:eastAsia="Times New Roman" w:hAnsi="Times New Roman" w:cs="Times New Roman"/>
          <w:color w:val="000000"/>
          <w:sz w:val="24"/>
          <w:szCs w:val="24"/>
          <w:lang w:eastAsia="lt-LT"/>
        </w:rPr>
        <w:t xml:space="preserve">Švedijoje rugsėjo 11 d. vyks rinkimai į parlamentą, todėl elektros kainų tema pateko į politinių debatų dėmesio centrą. Tiek Vyriausybė, tiek opozicinės partijos siūlo įvarius variantus, kaip sumažinti neigiamą elektros kainų efektą namų ūkiams ir verslui, bet tuo pačiu daugėja dėmesio atsinaujinančios energetikos ir atominės energetikos vystymui. Nors viešajame diskurse augančios elektros kainos siejamos su karu Ukrainoje, įvardijama, kad Rusija vykdo ir energetinį karą, tiek opozicija, tiek dalis verslo atstovų mano, kad dabartinė situacija nulemta Vyriausybės veiksmų, kuomet Švedijoje buvo uždarytos 4 AE ne iki galo apgalvojant alternatyvas joms bei inicijuoti aukšti mokesčiai kogeneracinėms elektrinėms. Dabar dauguma partijų, ypač iš opozicijos, pasisako, kad būtina modernizuoti ir didinti pajėgumus jau veikiančių AE bei statyti naujas. Kogeneracinių jėgainių klausimu siūloma mažinti mokesčius biodegalams, šiuo metu šie mokesčiai lemia tai, kad </w:t>
      </w:r>
      <w:proofErr w:type="spellStart"/>
      <w:r w:rsidRPr="0072561F">
        <w:rPr>
          <w:rFonts w:ascii="Times New Roman" w:eastAsia="Times New Roman" w:hAnsi="Times New Roman" w:cs="Times New Roman"/>
          <w:color w:val="000000"/>
          <w:sz w:val="24"/>
          <w:szCs w:val="24"/>
          <w:lang w:eastAsia="lt-LT"/>
        </w:rPr>
        <w:t>konegeracinė</w:t>
      </w:r>
      <w:proofErr w:type="spellEnd"/>
      <w:r w:rsidRPr="0072561F">
        <w:rPr>
          <w:rFonts w:ascii="Times New Roman" w:eastAsia="Times New Roman" w:hAnsi="Times New Roman" w:cs="Times New Roman"/>
          <w:color w:val="000000"/>
          <w:sz w:val="24"/>
          <w:szCs w:val="24"/>
          <w:lang w:eastAsia="lt-LT"/>
        </w:rPr>
        <w:t xml:space="preserve"> energetika nėra pernelyg vystoma ir ekonomiškai nėra patraukli. Į pasiūlymus reaguoja ir Vyriausybė, kuri paskelbė, kad didins AE pajėgumus, peržiūrės galimybes aktyvuoti kogeneracines elektrines. Tačiau akcentuojama, kad būtina telktis ir į žaliąją energetiką, todėl papildomai Vyriausybė trumpins leidimų statyti vėjo elektrinių parkus jūroje išdavimo laikus, įves reikalavimą įrengti saulės energijos elementus viešuosiuose pastatuose.</w:t>
      </w:r>
    </w:p>
    <w:p w14:paraId="77F0F1AC" w14:textId="77777777" w:rsidR="0072561F" w:rsidRPr="0072561F" w:rsidRDefault="0072561F" w:rsidP="0072561F">
      <w:pPr>
        <w:shd w:val="clear" w:color="auto" w:fill="FFFFFF"/>
        <w:spacing w:after="0" w:line="240" w:lineRule="auto"/>
        <w:rPr>
          <w:rFonts w:ascii="Arial" w:eastAsia="Times New Roman" w:hAnsi="Arial" w:cs="Arial"/>
          <w:color w:val="222222"/>
          <w:sz w:val="24"/>
          <w:szCs w:val="24"/>
          <w:lang w:eastAsia="lt-LT"/>
        </w:rPr>
      </w:pPr>
      <w:r w:rsidRPr="0072561F">
        <w:rPr>
          <w:rFonts w:ascii="Arial" w:eastAsia="Times New Roman" w:hAnsi="Arial" w:cs="Arial"/>
          <w:color w:val="222222"/>
          <w:sz w:val="24"/>
          <w:szCs w:val="24"/>
          <w:lang w:eastAsia="lt-LT"/>
        </w:rPr>
        <w:t> </w:t>
      </w:r>
    </w:p>
    <w:p w14:paraId="7174473F" w14:textId="77777777" w:rsidR="0072561F" w:rsidRPr="0072561F" w:rsidRDefault="0072561F" w:rsidP="0072561F">
      <w:pPr>
        <w:shd w:val="clear" w:color="auto" w:fill="FFFFFF"/>
        <w:spacing w:after="0" w:line="240" w:lineRule="auto"/>
        <w:jc w:val="both"/>
        <w:rPr>
          <w:rFonts w:ascii="Arial" w:eastAsia="Times New Roman" w:hAnsi="Arial" w:cs="Arial"/>
          <w:color w:val="222222"/>
          <w:sz w:val="24"/>
          <w:szCs w:val="24"/>
          <w:lang w:eastAsia="lt-LT"/>
        </w:rPr>
      </w:pPr>
      <w:r w:rsidRPr="0072561F">
        <w:rPr>
          <w:rFonts w:ascii="Times New Roman" w:eastAsia="Times New Roman" w:hAnsi="Times New Roman" w:cs="Times New Roman"/>
          <w:color w:val="000000"/>
          <w:sz w:val="24"/>
          <w:szCs w:val="24"/>
          <w:lang w:eastAsia="lt-LT"/>
        </w:rPr>
        <w:lastRenderedPageBreak/>
        <w:t> </w:t>
      </w:r>
    </w:p>
    <w:p w14:paraId="14DE2E28" w14:textId="77777777" w:rsidR="0072561F" w:rsidRPr="0072561F" w:rsidRDefault="0072561F" w:rsidP="0072561F">
      <w:pPr>
        <w:shd w:val="clear" w:color="auto" w:fill="FFFFFF"/>
        <w:spacing w:after="0" w:line="240" w:lineRule="auto"/>
        <w:jc w:val="both"/>
        <w:rPr>
          <w:rFonts w:ascii="Arial" w:eastAsia="Times New Roman" w:hAnsi="Arial" w:cs="Arial"/>
          <w:color w:val="222222"/>
          <w:sz w:val="24"/>
          <w:szCs w:val="24"/>
          <w:lang w:eastAsia="lt-LT"/>
        </w:rPr>
      </w:pPr>
      <w:r w:rsidRPr="0072561F">
        <w:rPr>
          <w:rFonts w:ascii="Times New Roman" w:eastAsia="Times New Roman" w:hAnsi="Times New Roman" w:cs="Times New Roman"/>
          <w:color w:val="000000"/>
          <w:sz w:val="24"/>
          <w:szCs w:val="24"/>
          <w:lang w:eastAsia="lt-LT"/>
        </w:rPr>
        <w:t> </w:t>
      </w:r>
    </w:p>
    <w:p w14:paraId="2A9D6829" w14:textId="77777777" w:rsidR="0072561F" w:rsidRPr="0072561F" w:rsidRDefault="0072561F" w:rsidP="0072561F">
      <w:pPr>
        <w:shd w:val="clear" w:color="auto" w:fill="FFFFFF"/>
        <w:spacing w:after="0" w:line="240" w:lineRule="auto"/>
        <w:jc w:val="both"/>
        <w:rPr>
          <w:rFonts w:ascii="Arial" w:eastAsia="Times New Roman" w:hAnsi="Arial" w:cs="Arial"/>
          <w:color w:val="222222"/>
          <w:sz w:val="24"/>
          <w:szCs w:val="24"/>
          <w:lang w:eastAsia="lt-LT"/>
        </w:rPr>
      </w:pPr>
      <w:r w:rsidRPr="0072561F">
        <w:rPr>
          <w:rFonts w:ascii="Times New Roman" w:eastAsia="Times New Roman" w:hAnsi="Times New Roman" w:cs="Times New Roman"/>
          <w:color w:val="000000"/>
          <w:sz w:val="24"/>
          <w:szCs w:val="24"/>
          <w:lang w:eastAsia="lt-LT"/>
        </w:rPr>
        <w:t>Pastabos: nurodytos piniginės sumos perskaičiuotos pagal kursą 1 EUR = 10,70 SEK</w:t>
      </w:r>
    </w:p>
    <w:p w14:paraId="264CD817" w14:textId="77777777" w:rsidR="00214DA7" w:rsidRDefault="00214DA7"/>
    <w:sectPr w:rsidR="00214DA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1F"/>
    <w:rsid w:val="00214DA7"/>
    <w:rsid w:val="007256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796F"/>
  <w15:chartTrackingRefBased/>
  <w15:docId w15:val="{24446951-DD9C-4ACC-9348-DA012E32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61F"/>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3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4292</Words>
  <Characters>2448</Characters>
  <Application>Microsoft Office Word</Application>
  <DocSecurity>0</DocSecurity>
  <Lines>20</Lines>
  <Paragraphs>13</Paragraphs>
  <ScaleCrop>false</ScaleCrop>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Veršinina</dc:creator>
  <cp:keywords/>
  <dc:description/>
  <cp:lastModifiedBy>Jelena Veršinina</cp:lastModifiedBy>
  <cp:revision>1</cp:revision>
  <dcterms:created xsi:type="dcterms:W3CDTF">2022-09-07T08:48:00Z</dcterms:created>
  <dcterms:modified xsi:type="dcterms:W3CDTF">2022-09-07T08:49:00Z</dcterms:modified>
</cp:coreProperties>
</file>