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68767" w14:textId="77777777" w:rsidR="0082621A" w:rsidRPr="007558DE" w:rsidRDefault="00B007D3" w:rsidP="0043734E">
      <w:pPr>
        <w:spacing w:after="0" w:line="240" w:lineRule="auto"/>
        <w:jc w:val="center"/>
        <w:rPr>
          <w:rFonts w:ascii="Times New Roman" w:hAnsi="Times New Roman"/>
          <w:b/>
          <w:color w:val="000000" w:themeColor="text1"/>
          <w:sz w:val="24"/>
          <w:szCs w:val="24"/>
        </w:rPr>
      </w:pPr>
      <w:r w:rsidRPr="007558DE">
        <w:rPr>
          <w:rFonts w:ascii="Times New Roman" w:hAnsi="Times New Roman"/>
          <w:b/>
          <w:color w:val="000000" w:themeColor="text1"/>
          <w:sz w:val="24"/>
          <w:szCs w:val="24"/>
        </w:rPr>
        <w:t xml:space="preserve">Lietuvos Respublikos </w:t>
      </w:r>
      <w:r w:rsidR="0041535F" w:rsidRPr="007558DE">
        <w:rPr>
          <w:rFonts w:ascii="Times New Roman" w:hAnsi="Times New Roman"/>
          <w:b/>
          <w:color w:val="000000" w:themeColor="text1"/>
          <w:sz w:val="24"/>
          <w:szCs w:val="24"/>
        </w:rPr>
        <w:t>diplomatinių atstovybių</w:t>
      </w:r>
      <w:r w:rsidR="00C476BF" w:rsidRPr="007558DE">
        <w:rPr>
          <w:rFonts w:ascii="Times New Roman" w:hAnsi="Times New Roman"/>
          <w:b/>
          <w:color w:val="000000" w:themeColor="text1"/>
          <w:sz w:val="24"/>
          <w:szCs w:val="24"/>
        </w:rPr>
        <w:t xml:space="preserve"> </w:t>
      </w:r>
      <w:r w:rsidR="0041535F" w:rsidRPr="007558DE">
        <w:rPr>
          <w:rFonts w:ascii="Times New Roman" w:hAnsi="Times New Roman"/>
          <w:b/>
          <w:color w:val="000000" w:themeColor="text1"/>
          <w:sz w:val="24"/>
          <w:szCs w:val="24"/>
        </w:rPr>
        <w:t>JAV</w:t>
      </w:r>
    </w:p>
    <w:p w14:paraId="69354066" w14:textId="77777777" w:rsidR="0082621A" w:rsidRPr="007558DE" w:rsidRDefault="0082621A" w:rsidP="0043734E">
      <w:pPr>
        <w:spacing w:after="0" w:line="240" w:lineRule="auto"/>
        <w:jc w:val="center"/>
        <w:rPr>
          <w:rFonts w:ascii="Times New Roman" w:hAnsi="Times New Roman"/>
          <w:color w:val="000000" w:themeColor="text1"/>
          <w:sz w:val="24"/>
          <w:szCs w:val="24"/>
        </w:rPr>
      </w:pPr>
    </w:p>
    <w:p w14:paraId="3AF47BEC" w14:textId="77777777" w:rsidR="0082621A" w:rsidRPr="007558DE" w:rsidRDefault="0082621A" w:rsidP="0043734E">
      <w:pPr>
        <w:spacing w:after="0" w:line="240" w:lineRule="auto"/>
        <w:jc w:val="center"/>
        <w:rPr>
          <w:rFonts w:ascii="Times New Roman" w:hAnsi="Times New Roman"/>
          <w:b/>
          <w:color w:val="000000" w:themeColor="text1"/>
          <w:sz w:val="24"/>
          <w:szCs w:val="24"/>
        </w:rPr>
      </w:pPr>
      <w:r w:rsidRPr="007558DE">
        <w:rPr>
          <w:rFonts w:ascii="Times New Roman" w:hAnsi="Times New Roman"/>
          <w:b/>
          <w:color w:val="000000" w:themeColor="text1"/>
          <w:sz w:val="24"/>
          <w:szCs w:val="24"/>
        </w:rPr>
        <w:t>AKTUALIOS EKONOMINĖS INFORMACIJOS SUVESTINĖ</w:t>
      </w:r>
    </w:p>
    <w:p w14:paraId="5042D1AB" w14:textId="77777777" w:rsidR="0082621A" w:rsidRPr="007558DE" w:rsidRDefault="0082621A" w:rsidP="0043734E">
      <w:pPr>
        <w:spacing w:after="0" w:line="240" w:lineRule="auto"/>
        <w:jc w:val="center"/>
        <w:rPr>
          <w:rFonts w:ascii="Times New Roman" w:hAnsi="Times New Roman"/>
          <w:b/>
          <w:color w:val="000000" w:themeColor="text1"/>
          <w:sz w:val="24"/>
          <w:szCs w:val="24"/>
        </w:rPr>
      </w:pPr>
    </w:p>
    <w:p w14:paraId="2E726B28" w14:textId="65C79A20" w:rsidR="0082621A" w:rsidRPr="007558DE" w:rsidRDefault="00156BFB" w:rsidP="0043734E">
      <w:pPr>
        <w:spacing w:after="0" w:line="240" w:lineRule="auto"/>
        <w:jc w:val="center"/>
        <w:rPr>
          <w:rFonts w:ascii="Times New Roman" w:hAnsi="Times New Roman"/>
          <w:color w:val="000000" w:themeColor="text1"/>
          <w:sz w:val="24"/>
          <w:szCs w:val="24"/>
        </w:rPr>
      </w:pPr>
      <w:r w:rsidRPr="007558DE">
        <w:rPr>
          <w:rFonts w:ascii="Times New Roman" w:hAnsi="Times New Roman"/>
          <w:color w:val="000000" w:themeColor="text1"/>
          <w:sz w:val="24"/>
          <w:szCs w:val="24"/>
        </w:rPr>
        <w:t>20</w:t>
      </w:r>
      <w:r w:rsidR="00856927" w:rsidRPr="007558DE">
        <w:rPr>
          <w:rFonts w:ascii="Times New Roman" w:hAnsi="Times New Roman"/>
          <w:color w:val="000000" w:themeColor="text1"/>
          <w:sz w:val="24"/>
          <w:szCs w:val="24"/>
        </w:rPr>
        <w:t>2</w:t>
      </w:r>
      <w:r w:rsidR="00ED2A35" w:rsidRPr="007558DE">
        <w:rPr>
          <w:rFonts w:ascii="Times New Roman" w:hAnsi="Times New Roman"/>
          <w:color w:val="000000" w:themeColor="text1"/>
          <w:sz w:val="24"/>
          <w:szCs w:val="24"/>
        </w:rPr>
        <w:t>2</w:t>
      </w:r>
      <w:r w:rsidR="00FD6794" w:rsidRPr="007558DE">
        <w:rPr>
          <w:rFonts w:ascii="Times New Roman" w:hAnsi="Times New Roman"/>
          <w:color w:val="000000" w:themeColor="text1"/>
          <w:sz w:val="24"/>
          <w:szCs w:val="24"/>
        </w:rPr>
        <w:t xml:space="preserve"> m.</w:t>
      </w:r>
      <w:r w:rsidR="00C476BF" w:rsidRPr="007558DE">
        <w:rPr>
          <w:rFonts w:ascii="Times New Roman" w:hAnsi="Times New Roman"/>
          <w:color w:val="000000" w:themeColor="text1"/>
          <w:sz w:val="24"/>
          <w:szCs w:val="24"/>
        </w:rPr>
        <w:t xml:space="preserve"> </w:t>
      </w:r>
      <w:r w:rsidR="00DA038A">
        <w:rPr>
          <w:rFonts w:ascii="Times New Roman" w:hAnsi="Times New Roman"/>
          <w:color w:val="000000" w:themeColor="text1"/>
          <w:sz w:val="24"/>
          <w:szCs w:val="24"/>
        </w:rPr>
        <w:t>kovo</w:t>
      </w:r>
      <w:r w:rsidR="00C476BF" w:rsidRPr="007558DE">
        <w:rPr>
          <w:rFonts w:ascii="Times New Roman" w:hAnsi="Times New Roman"/>
          <w:color w:val="000000" w:themeColor="text1"/>
          <w:sz w:val="24"/>
          <w:szCs w:val="24"/>
        </w:rPr>
        <w:t xml:space="preserve"> mėn.</w:t>
      </w:r>
      <w:r w:rsidR="00FD6794" w:rsidRPr="007558DE">
        <w:rPr>
          <w:rFonts w:ascii="Times New Roman" w:hAnsi="Times New Roman"/>
          <w:color w:val="000000" w:themeColor="text1"/>
          <w:sz w:val="24"/>
          <w:szCs w:val="24"/>
        </w:rPr>
        <w:t xml:space="preserve"> </w:t>
      </w:r>
    </w:p>
    <w:p w14:paraId="7685B5CB" w14:textId="77777777" w:rsidR="0082621A" w:rsidRPr="007558DE" w:rsidRDefault="0082621A" w:rsidP="0043734E">
      <w:pPr>
        <w:spacing w:after="0" w:line="240" w:lineRule="auto"/>
        <w:jc w:val="center"/>
        <w:rPr>
          <w:rFonts w:ascii="Times New Roman" w:hAnsi="Times New Roman"/>
          <w:color w:val="000000" w:themeColor="text1"/>
          <w:sz w:val="24"/>
          <w:szCs w:val="24"/>
        </w:rPr>
      </w:pP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8080"/>
        <w:gridCol w:w="3788"/>
        <w:gridCol w:w="1547"/>
      </w:tblGrid>
      <w:tr w:rsidR="008173A6" w:rsidRPr="007558DE" w14:paraId="21BDC792" w14:textId="77777777" w:rsidTr="00D40803">
        <w:trPr>
          <w:trHeight w:val="385"/>
        </w:trPr>
        <w:tc>
          <w:tcPr>
            <w:tcW w:w="1696" w:type="dxa"/>
            <w:shd w:val="clear" w:color="auto" w:fill="auto"/>
            <w:tcMar>
              <w:top w:w="29" w:type="dxa"/>
              <w:left w:w="115" w:type="dxa"/>
              <w:bottom w:w="29" w:type="dxa"/>
              <w:right w:w="115" w:type="dxa"/>
            </w:tcMar>
            <w:vAlign w:val="center"/>
          </w:tcPr>
          <w:p w14:paraId="029C2BE7" w14:textId="77777777" w:rsidR="0082621A" w:rsidRPr="007558DE" w:rsidRDefault="0082621A" w:rsidP="0043734E">
            <w:pPr>
              <w:pStyle w:val="Heading1"/>
              <w:spacing w:after="0" w:line="240" w:lineRule="auto"/>
              <w:rPr>
                <w:rFonts w:ascii="Times New Roman" w:hAnsi="Times New Roman" w:cs="Times New Roman"/>
                <w:color w:val="000000" w:themeColor="text1"/>
                <w:sz w:val="24"/>
                <w:szCs w:val="24"/>
              </w:rPr>
            </w:pPr>
            <w:r w:rsidRPr="007558DE">
              <w:rPr>
                <w:rFonts w:ascii="Times New Roman" w:hAnsi="Times New Roman" w:cs="Times New Roman"/>
                <w:color w:val="000000" w:themeColor="text1"/>
                <w:sz w:val="24"/>
                <w:szCs w:val="24"/>
              </w:rPr>
              <w:t>Data</w:t>
            </w:r>
          </w:p>
        </w:tc>
        <w:tc>
          <w:tcPr>
            <w:tcW w:w="8080" w:type="dxa"/>
            <w:shd w:val="clear" w:color="auto" w:fill="auto"/>
            <w:tcMar>
              <w:top w:w="29" w:type="dxa"/>
              <w:left w:w="115" w:type="dxa"/>
              <w:bottom w:w="29" w:type="dxa"/>
              <w:right w:w="115" w:type="dxa"/>
            </w:tcMar>
            <w:vAlign w:val="center"/>
          </w:tcPr>
          <w:p w14:paraId="3C4CF9D6" w14:textId="77777777" w:rsidR="0082621A" w:rsidRPr="007558DE" w:rsidRDefault="0082621A" w:rsidP="0043734E">
            <w:pPr>
              <w:pStyle w:val="Heading1"/>
              <w:spacing w:after="0" w:line="240" w:lineRule="auto"/>
              <w:rPr>
                <w:rFonts w:ascii="Times New Roman" w:hAnsi="Times New Roman" w:cs="Times New Roman"/>
                <w:color w:val="000000" w:themeColor="text1"/>
                <w:sz w:val="24"/>
                <w:szCs w:val="24"/>
              </w:rPr>
            </w:pPr>
            <w:r w:rsidRPr="007558DE">
              <w:rPr>
                <w:rFonts w:ascii="Times New Roman" w:hAnsi="Times New Roman" w:cs="Times New Roman"/>
                <w:color w:val="000000" w:themeColor="text1"/>
                <w:sz w:val="24"/>
                <w:szCs w:val="24"/>
              </w:rPr>
              <w:t>Pateikiamos informacijos apibendrinimas</w:t>
            </w:r>
          </w:p>
        </w:tc>
        <w:tc>
          <w:tcPr>
            <w:tcW w:w="3788" w:type="dxa"/>
            <w:shd w:val="clear" w:color="auto" w:fill="auto"/>
            <w:tcMar>
              <w:top w:w="29" w:type="dxa"/>
              <w:left w:w="115" w:type="dxa"/>
              <w:bottom w:w="29" w:type="dxa"/>
              <w:right w:w="115" w:type="dxa"/>
            </w:tcMar>
            <w:vAlign w:val="center"/>
          </w:tcPr>
          <w:p w14:paraId="70195411" w14:textId="77777777" w:rsidR="0082621A" w:rsidRPr="007558DE" w:rsidRDefault="0082621A" w:rsidP="0043734E">
            <w:pPr>
              <w:pStyle w:val="Heading1"/>
              <w:spacing w:after="0" w:line="240" w:lineRule="auto"/>
              <w:rPr>
                <w:rFonts w:ascii="Times New Roman" w:hAnsi="Times New Roman" w:cs="Times New Roman"/>
                <w:color w:val="000000" w:themeColor="text1"/>
                <w:sz w:val="24"/>
                <w:szCs w:val="24"/>
              </w:rPr>
            </w:pPr>
            <w:r w:rsidRPr="007558DE">
              <w:rPr>
                <w:rFonts w:ascii="Times New Roman" w:hAnsi="Times New Roman" w:cs="Times New Roman"/>
                <w:color w:val="000000" w:themeColor="text1"/>
                <w:sz w:val="24"/>
                <w:szCs w:val="24"/>
              </w:rPr>
              <w:t>Informacijos šaltinis</w:t>
            </w:r>
          </w:p>
        </w:tc>
        <w:tc>
          <w:tcPr>
            <w:tcW w:w="1547" w:type="dxa"/>
            <w:shd w:val="clear" w:color="auto" w:fill="auto"/>
            <w:tcMar>
              <w:top w:w="29" w:type="dxa"/>
              <w:left w:w="115" w:type="dxa"/>
              <w:bottom w:w="29" w:type="dxa"/>
              <w:right w:w="115" w:type="dxa"/>
            </w:tcMar>
            <w:vAlign w:val="center"/>
          </w:tcPr>
          <w:p w14:paraId="16BB1267" w14:textId="77777777" w:rsidR="0082621A" w:rsidRPr="007558DE" w:rsidRDefault="0082621A" w:rsidP="0043734E">
            <w:pPr>
              <w:pStyle w:val="Heading1"/>
              <w:spacing w:after="0" w:line="240" w:lineRule="auto"/>
              <w:rPr>
                <w:rFonts w:ascii="Times New Roman" w:hAnsi="Times New Roman" w:cs="Times New Roman"/>
                <w:color w:val="000000" w:themeColor="text1"/>
                <w:sz w:val="24"/>
                <w:szCs w:val="24"/>
              </w:rPr>
            </w:pPr>
            <w:r w:rsidRPr="007558DE">
              <w:rPr>
                <w:rFonts w:ascii="Times New Roman" w:hAnsi="Times New Roman" w:cs="Times New Roman"/>
                <w:color w:val="000000" w:themeColor="text1"/>
                <w:sz w:val="24"/>
                <w:szCs w:val="24"/>
              </w:rPr>
              <w:t>Pastabos</w:t>
            </w:r>
          </w:p>
        </w:tc>
      </w:tr>
      <w:tr w:rsidR="008173A6" w:rsidRPr="007558DE" w14:paraId="2E2C9EC1" w14:textId="77777777" w:rsidTr="00685855">
        <w:trPr>
          <w:trHeight w:val="216"/>
        </w:trPr>
        <w:tc>
          <w:tcPr>
            <w:tcW w:w="15111" w:type="dxa"/>
            <w:gridSpan w:val="4"/>
            <w:shd w:val="clear" w:color="auto" w:fill="auto"/>
            <w:tcMar>
              <w:top w:w="29" w:type="dxa"/>
              <w:left w:w="115" w:type="dxa"/>
              <w:bottom w:w="29" w:type="dxa"/>
              <w:right w:w="115" w:type="dxa"/>
            </w:tcMar>
          </w:tcPr>
          <w:p w14:paraId="089DF0D4" w14:textId="77777777" w:rsidR="0082621A" w:rsidRPr="007558DE" w:rsidRDefault="0082621A" w:rsidP="0043734E">
            <w:pPr>
              <w:spacing w:after="0" w:line="240" w:lineRule="auto"/>
              <w:rPr>
                <w:rFonts w:ascii="Times New Roman" w:hAnsi="Times New Roman"/>
                <w:sz w:val="24"/>
                <w:szCs w:val="24"/>
              </w:rPr>
            </w:pPr>
            <w:r w:rsidRPr="007558DE">
              <w:rPr>
                <w:rFonts w:ascii="Times New Roman" w:hAnsi="Times New Roman"/>
                <w:sz w:val="24"/>
                <w:szCs w:val="24"/>
              </w:rPr>
              <w:t>Lietuvos eksportuotojams aktuali informacija</w:t>
            </w:r>
          </w:p>
        </w:tc>
      </w:tr>
      <w:tr w:rsidR="005F67B0" w:rsidRPr="007558DE" w14:paraId="79BDB0E2" w14:textId="77777777" w:rsidTr="00C60A1C">
        <w:trPr>
          <w:trHeight w:val="2767"/>
        </w:trPr>
        <w:tc>
          <w:tcPr>
            <w:tcW w:w="1696" w:type="dxa"/>
            <w:shd w:val="clear" w:color="auto" w:fill="auto"/>
            <w:tcMar>
              <w:top w:w="29" w:type="dxa"/>
              <w:left w:w="115" w:type="dxa"/>
              <w:bottom w:w="29" w:type="dxa"/>
              <w:right w:w="115" w:type="dxa"/>
            </w:tcMar>
          </w:tcPr>
          <w:p w14:paraId="35FA6CD7" w14:textId="77777777" w:rsidR="005F67B0" w:rsidRPr="007558DE" w:rsidRDefault="005F67B0" w:rsidP="000140B3">
            <w:pPr>
              <w:spacing w:after="0" w:line="240" w:lineRule="auto"/>
              <w:rPr>
                <w:rFonts w:ascii="Times New Roman" w:hAnsi="Times New Roman"/>
                <w:sz w:val="24"/>
                <w:szCs w:val="24"/>
              </w:rPr>
            </w:pPr>
          </w:p>
        </w:tc>
        <w:tc>
          <w:tcPr>
            <w:tcW w:w="8080" w:type="dxa"/>
            <w:shd w:val="clear" w:color="auto" w:fill="auto"/>
            <w:tcMar>
              <w:top w:w="29" w:type="dxa"/>
              <w:left w:w="115" w:type="dxa"/>
              <w:bottom w:w="29" w:type="dxa"/>
              <w:right w:w="115" w:type="dxa"/>
            </w:tcMar>
          </w:tcPr>
          <w:p w14:paraId="632E41F4" w14:textId="687E92D4" w:rsidR="00C60A1C" w:rsidRPr="00000279" w:rsidRDefault="00F651AC" w:rsidP="00000279">
            <w:pPr>
              <w:jc w:val="both"/>
              <w:rPr>
                <w:rFonts w:ascii="Times New Roman" w:eastAsiaTheme="minorHAnsi" w:hAnsi="Times New Roman"/>
                <w:sz w:val="24"/>
                <w:szCs w:val="24"/>
              </w:rPr>
            </w:pPr>
            <w:r w:rsidRPr="00000279">
              <w:rPr>
                <w:rFonts w:ascii="Times New Roman" w:hAnsi="Times New Roman"/>
                <w:sz w:val="24"/>
                <w:szCs w:val="24"/>
              </w:rPr>
              <w:t xml:space="preserve">JAV prekybos departamento duomenimis, </w:t>
            </w:r>
            <w:r w:rsidRPr="00000279">
              <w:rPr>
                <w:rFonts w:ascii="Times New Roman" w:hAnsi="Times New Roman"/>
                <w:bCs/>
                <w:sz w:val="24"/>
                <w:szCs w:val="24"/>
              </w:rPr>
              <w:t>mažmeninė prekyba vasario mėn. išaugo 0,3 %</w:t>
            </w:r>
            <w:r w:rsidRPr="00000279">
              <w:rPr>
                <w:rFonts w:ascii="Times New Roman" w:hAnsi="Times New Roman"/>
                <w:sz w:val="24"/>
                <w:szCs w:val="24"/>
              </w:rPr>
              <w:t>, kai nuo gruodžio iki sausio mėn. buvo užfiksuotas patikslintas 4,9 % šuolis, paskatintas darbo užmokesčio didėjimo bei tiesioginių išmokų. Sausio mėnesio padidėjimas buvo didžiausias išlaidų šuolis nuo praėjusių metų kovo, kai Amerikos namų ūkiai gavo paskutinį federalinį 1400 JAV dolerių skatinimo paketą. Baldų ir namų apstatymo pardavimai vasarį sumažėjo 1%, o buitinės elektronikos ir buitinės technikos parduotuvėse pardavimai sumažėjo 0,6%. Pardavimas internetu sumažėjo 3,7%. Restoranų pardavimai išaugo 2,5 proc.</w:t>
            </w:r>
          </w:p>
        </w:tc>
        <w:tc>
          <w:tcPr>
            <w:tcW w:w="3788" w:type="dxa"/>
            <w:shd w:val="clear" w:color="auto" w:fill="auto"/>
            <w:tcMar>
              <w:top w:w="29" w:type="dxa"/>
              <w:left w:w="115" w:type="dxa"/>
              <w:bottom w:w="29" w:type="dxa"/>
              <w:right w:w="115" w:type="dxa"/>
            </w:tcMar>
          </w:tcPr>
          <w:p w14:paraId="00A52348" w14:textId="6D4F2F01" w:rsidR="005F67B0" w:rsidRPr="00000279" w:rsidRDefault="00F651AC" w:rsidP="007558DE">
            <w:pPr>
              <w:shd w:val="clear" w:color="auto" w:fill="FFFFFF"/>
              <w:spacing w:after="0" w:line="240" w:lineRule="auto"/>
              <w:rPr>
                <w:rFonts w:ascii="Times New Roman" w:eastAsia="Times New Roman" w:hAnsi="Times New Roman"/>
                <w:sz w:val="24"/>
                <w:szCs w:val="24"/>
              </w:rPr>
            </w:pPr>
            <w:hyperlink r:id="rId10" w:history="1">
              <w:r w:rsidRPr="00000279">
                <w:rPr>
                  <w:rStyle w:val="Hyperlink"/>
                  <w:rFonts w:ascii="Times New Roman" w:eastAsia="Times New Roman" w:hAnsi="Times New Roman"/>
                  <w:sz w:val="24"/>
                  <w:szCs w:val="24"/>
                </w:rPr>
                <w:t>Mažmeninės prekybos 2022 m. pradžios tendencijos</w:t>
              </w:r>
            </w:hyperlink>
          </w:p>
        </w:tc>
        <w:tc>
          <w:tcPr>
            <w:tcW w:w="1547" w:type="dxa"/>
            <w:shd w:val="clear" w:color="auto" w:fill="auto"/>
            <w:tcMar>
              <w:top w:w="29" w:type="dxa"/>
              <w:left w:w="115" w:type="dxa"/>
              <w:bottom w:w="29" w:type="dxa"/>
              <w:right w:w="115" w:type="dxa"/>
            </w:tcMar>
          </w:tcPr>
          <w:p w14:paraId="5A473B60" w14:textId="77777777" w:rsidR="005F67B0" w:rsidRPr="007558DE" w:rsidRDefault="005F67B0" w:rsidP="0043734E">
            <w:pPr>
              <w:spacing w:after="0" w:line="240" w:lineRule="auto"/>
              <w:rPr>
                <w:rFonts w:ascii="Times New Roman" w:hAnsi="Times New Roman"/>
                <w:color w:val="000000" w:themeColor="text1"/>
                <w:sz w:val="24"/>
                <w:szCs w:val="24"/>
              </w:rPr>
            </w:pPr>
          </w:p>
        </w:tc>
      </w:tr>
      <w:tr w:rsidR="00C66AD5" w:rsidRPr="007558DE" w14:paraId="50571018" w14:textId="77777777" w:rsidTr="00D40803">
        <w:trPr>
          <w:trHeight w:val="234"/>
        </w:trPr>
        <w:tc>
          <w:tcPr>
            <w:tcW w:w="1696" w:type="dxa"/>
            <w:shd w:val="clear" w:color="auto" w:fill="auto"/>
            <w:tcMar>
              <w:top w:w="29" w:type="dxa"/>
              <w:left w:w="115" w:type="dxa"/>
              <w:bottom w:w="29" w:type="dxa"/>
              <w:right w:w="115" w:type="dxa"/>
            </w:tcMar>
          </w:tcPr>
          <w:p w14:paraId="36E20C5E" w14:textId="77777777" w:rsidR="00C66AD5" w:rsidRPr="007558DE" w:rsidRDefault="00C66AD5" w:rsidP="000140B3">
            <w:pPr>
              <w:spacing w:after="0" w:line="240" w:lineRule="auto"/>
              <w:rPr>
                <w:rFonts w:ascii="Times New Roman" w:hAnsi="Times New Roman"/>
                <w:sz w:val="24"/>
                <w:szCs w:val="24"/>
              </w:rPr>
            </w:pPr>
          </w:p>
        </w:tc>
        <w:tc>
          <w:tcPr>
            <w:tcW w:w="8080" w:type="dxa"/>
            <w:shd w:val="clear" w:color="auto" w:fill="auto"/>
            <w:tcMar>
              <w:top w:w="29" w:type="dxa"/>
              <w:left w:w="115" w:type="dxa"/>
              <w:bottom w:w="29" w:type="dxa"/>
              <w:right w:w="115" w:type="dxa"/>
            </w:tcMar>
          </w:tcPr>
          <w:p w14:paraId="19013A75" w14:textId="10FE2C98" w:rsidR="007C6B4F" w:rsidRPr="00000279" w:rsidRDefault="00F440E4" w:rsidP="00000279">
            <w:pPr>
              <w:jc w:val="both"/>
              <w:rPr>
                <w:rFonts w:ascii="Times New Roman" w:eastAsia="Times New Roman" w:hAnsi="Times New Roman"/>
                <w:sz w:val="24"/>
                <w:szCs w:val="24"/>
              </w:rPr>
            </w:pPr>
            <w:r w:rsidRPr="00000279">
              <w:rPr>
                <w:rFonts w:ascii="Times New Roman" w:hAnsi="Times New Roman"/>
                <w:bCs/>
                <w:sz w:val="24"/>
                <w:szCs w:val="24"/>
              </w:rPr>
              <w:t xml:space="preserve">JAV pervežimų keliais analitikai </w:t>
            </w:r>
            <w:proofErr w:type="spellStart"/>
            <w:r w:rsidRPr="00000279">
              <w:rPr>
                <w:rFonts w:ascii="Times New Roman" w:hAnsi="Times New Roman"/>
                <w:bCs/>
                <w:sz w:val="24"/>
                <w:szCs w:val="24"/>
              </w:rPr>
              <w:t>FreightWaves</w:t>
            </w:r>
            <w:proofErr w:type="spellEnd"/>
            <w:r w:rsidRPr="00000279">
              <w:rPr>
                <w:rFonts w:ascii="Times New Roman" w:hAnsi="Times New Roman"/>
                <w:bCs/>
                <w:sz w:val="24"/>
                <w:szCs w:val="24"/>
              </w:rPr>
              <w:t xml:space="preserve"> signalizuoja prekybos apyvartos sulėtėjimą JAV</w:t>
            </w:r>
            <w:r w:rsidRPr="00000279">
              <w:rPr>
                <w:rFonts w:ascii="Times New Roman" w:hAnsi="Times New Roman"/>
                <w:sz w:val="24"/>
                <w:szCs w:val="24"/>
              </w:rPr>
              <w:t xml:space="preserve">. Kovas paprastai yra stiprus mėnuo krovinių pervežime, nes prekybininkai pradeda kaupti lentynas ruošdamiesi vasarai. Kovo pabaigoje ketvirčio pervežimų apimtys paprastai didėja, nes siuntėjai didina pardavimus ir mažina atsargas. Šiais metais tokio padidėjimo nepastebima. Kovo mėnesio apimtys yra švelnesnės nei bet kuriuo metu 2021 m. (išskyrus šventes). Po dvejų metų masinio fizinių prekių vartojimo vartotojai pristabdo savo išlaidas. COVID-19 situacijai gerėjant, vartotojai perkelia savo išlaidas nuo fizinių prekių į keliones ir pramogas. Taip pat aukštos degalų kainos ir sparčiai auganti infliacija mažina vartotojų pasitikėjimą ir pardavimų apimtis. Šiai dienai situaciją galima apibūdinti taip - pastaruosius dvejus metus prekybininkams trūko atsargų. Siekdami užsitikrinti pakankamą jų kiekį, jie užsisakė daugiau, nei reikėjo, ir dabar susiduria su problemomis dėl per didelio užsakymo. Pagrindinė perkrovimo infrastruktūra, pvz., uostai, sandėliai, paskirstymo centrai ir </w:t>
            </w:r>
            <w:proofErr w:type="spellStart"/>
            <w:r w:rsidRPr="00000279">
              <w:rPr>
                <w:rFonts w:ascii="Times New Roman" w:hAnsi="Times New Roman"/>
                <w:sz w:val="24"/>
                <w:szCs w:val="24"/>
              </w:rPr>
              <w:t>intermodalinės</w:t>
            </w:r>
            <w:proofErr w:type="spellEnd"/>
            <w:r w:rsidRPr="00000279">
              <w:rPr>
                <w:rFonts w:ascii="Times New Roman" w:hAnsi="Times New Roman"/>
                <w:sz w:val="24"/>
                <w:szCs w:val="24"/>
              </w:rPr>
              <w:t xml:space="preserve"> rampos, yra </w:t>
            </w:r>
            <w:r w:rsidRPr="00000279">
              <w:rPr>
                <w:rFonts w:ascii="Times New Roman" w:hAnsi="Times New Roman"/>
                <w:sz w:val="24"/>
                <w:szCs w:val="24"/>
              </w:rPr>
              <w:lastRenderedPageBreak/>
              <w:t>užsikimšusios, todėl sulėtėjo krovinių gabenimo greitis, sumažėjo pardavimai ir padidėjo atsargų lygis. Taigi, šalia augančios infliacijos ir palūkanų normų, paklausos persigrupavimo nuo fizinių prekių prie paslaugų bei esant aukštai atidėtai pasiūlai, gali prognozuoti mažmeninės apyvartos apimčių gana ženklų sumažėjimą artimoje perspektyvoje.</w:t>
            </w:r>
          </w:p>
        </w:tc>
        <w:tc>
          <w:tcPr>
            <w:tcW w:w="3788" w:type="dxa"/>
            <w:shd w:val="clear" w:color="auto" w:fill="auto"/>
            <w:tcMar>
              <w:top w:w="29" w:type="dxa"/>
              <w:left w:w="115" w:type="dxa"/>
              <w:bottom w:w="29" w:type="dxa"/>
              <w:right w:w="115" w:type="dxa"/>
            </w:tcMar>
          </w:tcPr>
          <w:p w14:paraId="5F2C58D8" w14:textId="33ABE5FC" w:rsidR="00CD1C1E" w:rsidRPr="00000279" w:rsidRDefault="00F440E4" w:rsidP="00566340">
            <w:pPr>
              <w:shd w:val="clear" w:color="auto" w:fill="FFFFFF"/>
              <w:spacing w:after="0" w:line="240" w:lineRule="auto"/>
              <w:rPr>
                <w:rFonts w:ascii="Times New Roman" w:eastAsia="Times New Roman" w:hAnsi="Times New Roman"/>
                <w:sz w:val="24"/>
                <w:szCs w:val="24"/>
              </w:rPr>
            </w:pPr>
            <w:hyperlink r:id="rId11" w:history="1">
              <w:r w:rsidRPr="00000279">
                <w:rPr>
                  <w:rStyle w:val="Hyperlink"/>
                  <w:rFonts w:ascii="Times New Roman" w:eastAsia="Times New Roman" w:hAnsi="Times New Roman"/>
                  <w:sz w:val="24"/>
                  <w:szCs w:val="24"/>
                </w:rPr>
                <w:t>JAV pervežimų automobiliais rinkos analizė</w:t>
              </w:r>
            </w:hyperlink>
          </w:p>
        </w:tc>
        <w:tc>
          <w:tcPr>
            <w:tcW w:w="1547" w:type="dxa"/>
            <w:shd w:val="clear" w:color="auto" w:fill="auto"/>
            <w:tcMar>
              <w:top w:w="29" w:type="dxa"/>
              <w:left w:w="115" w:type="dxa"/>
              <w:bottom w:w="29" w:type="dxa"/>
              <w:right w:w="115" w:type="dxa"/>
            </w:tcMar>
          </w:tcPr>
          <w:p w14:paraId="4359351A" w14:textId="77777777" w:rsidR="00C66AD5" w:rsidRPr="007558DE" w:rsidRDefault="00C66AD5" w:rsidP="0043734E">
            <w:pPr>
              <w:spacing w:after="0" w:line="240" w:lineRule="auto"/>
              <w:rPr>
                <w:rFonts w:ascii="Times New Roman" w:hAnsi="Times New Roman"/>
                <w:color w:val="000000" w:themeColor="text1"/>
                <w:sz w:val="24"/>
                <w:szCs w:val="24"/>
              </w:rPr>
            </w:pPr>
          </w:p>
        </w:tc>
      </w:tr>
      <w:tr w:rsidR="00D024D4" w:rsidRPr="007558DE" w14:paraId="1B55A349" w14:textId="77777777" w:rsidTr="00D40803">
        <w:trPr>
          <w:trHeight w:val="234"/>
        </w:trPr>
        <w:tc>
          <w:tcPr>
            <w:tcW w:w="1696" w:type="dxa"/>
            <w:shd w:val="clear" w:color="auto" w:fill="auto"/>
            <w:tcMar>
              <w:top w:w="29" w:type="dxa"/>
              <w:left w:w="115" w:type="dxa"/>
              <w:bottom w:w="29" w:type="dxa"/>
              <w:right w:w="115" w:type="dxa"/>
            </w:tcMar>
          </w:tcPr>
          <w:p w14:paraId="33638540" w14:textId="77777777" w:rsidR="00D024D4" w:rsidRPr="007558DE" w:rsidRDefault="00D024D4" w:rsidP="00D024D4">
            <w:pPr>
              <w:spacing w:after="0" w:line="240" w:lineRule="auto"/>
              <w:rPr>
                <w:rFonts w:ascii="Times New Roman" w:hAnsi="Times New Roman"/>
                <w:sz w:val="24"/>
                <w:szCs w:val="24"/>
              </w:rPr>
            </w:pPr>
          </w:p>
        </w:tc>
        <w:tc>
          <w:tcPr>
            <w:tcW w:w="8080" w:type="dxa"/>
            <w:shd w:val="clear" w:color="auto" w:fill="auto"/>
            <w:tcMar>
              <w:top w:w="29" w:type="dxa"/>
              <w:left w:w="115" w:type="dxa"/>
              <w:bottom w:w="29" w:type="dxa"/>
              <w:right w:w="115" w:type="dxa"/>
            </w:tcMar>
          </w:tcPr>
          <w:p w14:paraId="20ABD748" w14:textId="77777777" w:rsidR="00C60A1C" w:rsidRDefault="00865D36" w:rsidP="00000279">
            <w:pPr>
              <w:shd w:val="clear" w:color="auto" w:fill="FFFFFF"/>
              <w:spacing w:after="0" w:line="240" w:lineRule="auto"/>
              <w:jc w:val="both"/>
              <w:rPr>
                <w:rFonts w:ascii="Times New Roman" w:hAnsi="Times New Roman"/>
                <w:sz w:val="24"/>
                <w:szCs w:val="24"/>
                <w:lang w:eastAsia="lt-LT"/>
              </w:rPr>
            </w:pPr>
            <w:r w:rsidRPr="00000279">
              <w:rPr>
                <w:rFonts w:ascii="Times New Roman" w:hAnsi="Times New Roman"/>
                <w:sz w:val="24"/>
                <w:szCs w:val="24"/>
                <w:lang w:eastAsia="lt-LT"/>
              </w:rPr>
              <w:t xml:space="preserve">Prezidento </w:t>
            </w:r>
            <w:proofErr w:type="spellStart"/>
            <w:r w:rsidRPr="00000279">
              <w:rPr>
                <w:rFonts w:ascii="Times New Roman" w:hAnsi="Times New Roman"/>
                <w:sz w:val="24"/>
                <w:szCs w:val="24"/>
                <w:lang w:eastAsia="lt-LT"/>
              </w:rPr>
              <w:t>Baideno</w:t>
            </w:r>
            <w:proofErr w:type="spellEnd"/>
            <w:r w:rsidRPr="00000279">
              <w:rPr>
                <w:rFonts w:ascii="Times New Roman" w:hAnsi="Times New Roman"/>
                <w:sz w:val="24"/>
                <w:szCs w:val="24"/>
                <w:lang w:eastAsia="lt-LT"/>
              </w:rPr>
              <w:t xml:space="preserve"> administracija pristatė naujas viešųjų/federalinių įsigijimų taisykles. Naujose taisyklėse dominuoja “</w:t>
            </w:r>
            <w:proofErr w:type="spellStart"/>
            <w:r w:rsidRPr="00000279">
              <w:rPr>
                <w:rFonts w:ascii="Times New Roman" w:hAnsi="Times New Roman"/>
                <w:sz w:val="24"/>
                <w:szCs w:val="24"/>
                <w:lang w:eastAsia="lt-LT"/>
              </w:rPr>
              <w:t>Buy</w:t>
            </w:r>
            <w:proofErr w:type="spellEnd"/>
            <w:r w:rsidRPr="00000279">
              <w:rPr>
                <w:rFonts w:ascii="Times New Roman" w:hAnsi="Times New Roman"/>
                <w:sz w:val="24"/>
                <w:szCs w:val="24"/>
                <w:lang w:eastAsia="lt-LT"/>
              </w:rPr>
              <w:t xml:space="preserve"> American” reikalavimai, kurie sako, kad 60 proc. produkto komponentų vertės turi būti sukurta JAV, šis reikalavimas bus pakeltas iki 75 proc. 2029 m. Šiuo reikalavimu skatinama viešąsias įstaigas pirkti JAV pagamintus produktus.</w:t>
            </w:r>
          </w:p>
          <w:p w14:paraId="0BFBB834" w14:textId="48E1FCCB" w:rsidR="00000279" w:rsidRPr="00000279" w:rsidRDefault="00000279" w:rsidP="00000279">
            <w:pPr>
              <w:shd w:val="clear" w:color="auto" w:fill="FFFFFF"/>
              <w:spacing w:after="0" w:line="240" w:lineRule="auto"/>
              <w:jc w:val="both"/>
              <w:rPr>
                <w:rFonts w:ascii="Times New Roman" w:eastAsia="Times New Roman" w:hAnsi="Times New Roman"/>
                <w:sz w:val="24"/>
                <w:szCs w:val="24"/>
              </w:rPr>
            </w:pPr>
          </w:p>
        </w:tc>
        <w:tc>
          <w:tcPr>
            <w:tcW w:w="3788" w:type="dxa"/>
            <w:shd w:val="clear" w:color="auto" w:fill="auto"/>
            <w:tcMar>
              <w:top w:w="29" w:type="dxa"/>
              <w:left w:w="115" w:type="dxa"/>
              <w:bottom w:w="29" w:type="dxa"/>
              <w:right w:w="115" w:type="dxa"/>
            </w:tcMar>
          </w:tcPr>
          <w:p w14:paraId="52D64F19" w14:textId="1DBC8403" w:rsidR="00986B87" w:rsidRPr="00000279" w:rsidRDefault="004603A1" w:rsidP="00D024D4">
            <w:pPr>
              <w:shd w:val="clear" w:color="auto" w:fill="FFFFFF"/>
              <w:spacing w:after="0" w:line="240" w:lineRule="auto"/>
              <w:rPr>
                <w:rFonts w:ascii="Times New Roman" w:hAnsi="Times New Roman"/>
                <w:sz w:val="24"/>
                <w:szCs w:val="24"/>
              </w:rPr>
            </w:pPr>
            <w:hyperlink r:id="rId12" w:history="1">
              <w:r w:rsidRPr="00000279">
                <w:rPr>
                  <w:rStyle w:val="Hyperlink"/>
                  <w:rFonts w:ascii="Times New Roman" w:hAnsi="Times New Roman"/>
                  <w:sz w:val="24"/>
                  <w:szCs w:val="24"/>
                </w:rPr>
                <w:t>Informacija apie pavirtintas taisykles</w:t>
              </w:r>
            </w:hyperlink>
          </w:p>
        </w:tc>
        <w:tc>
          <w:tcPr>
            <w:tcW w:w="1547" w:type="dxa"/>
            <w:shd w:val="clear" w:color="auto" w:fill="auto"/>
            <w:tcMar>
              <w:top w:w="29" w:type="dxa"/>
              <w:left w:w="115" w:type="dxa"/>
              <w:bottom w:w="29" w:type="dxa"/>
              <w:right w:w="115" w:type="dxa"/>
            </w:tcMar>
          </w:tcPr>
          <w:p w14:paraId="02A5525E" w14:textId="77777777" w:rsidR="00D024D4" w:rsidRPr="007558DE" w:rsidRDefault="00D024D4" w:rsidP="00D024D4">
            <w:pPr>
              <w:spacing w:after="0" w:line="240" w:lineRule="auto"/>
              <w:rPr>
                <w:rFonts w:ascii="Times New Roman" w:hAnsi="Times New Roman"/>
                <w:color w:val="000000" w:themeColor="text1"/>
                <w:sz w:val="24"/>
                <w:szCs w:val="24"/>
              </w:rPr>
            </w:pPr>
          </w:p>
        </w:tc>
      </w:tr>
      <w:tr w:rsidR="00156744" w:rsidRPr="007558DE" w14:paraId="5791824A" w14:textId="77777777" w:rsidTr="00D40803">
        <w:trPr>
          <w:trHeight w:val="234"/>
        </w:trPr>
        <w:tc>
          <w:tcPr>
            <w:tcW w:w="1696" w:type="dxa"/>
            <w:shd w:val="clear" w:color="auto" w:fill="auto"/>
            <w:tcMar>
              <w:top w:w="29" w:type="dxa"/>
              <w:left w:w="115" w:type="dxa"/>
              <w:bottom w:w="29" w:type="dxa"/>
              <w:right w:w="115" w:type="dxa"/>
            </w:tcMar>
          </w:tcPr>
          <w:p w14:paraId="45AC7D5C" w14:textId="77777777" w:rsidR="00156744" w:rsidRPr="007558DE" w:rsidRDefault="00156744" w:rsidP="00156744">
            <w:pPr>
              <w:spacing w:after="0" w:line="240" w:lineRule="auto"/>
              <w:rPr>
                <w:rFonts w:ascii="Times New Roman" w:hAnsi="Times New Roman"/>
                <w:sz w:val="24"/>
                <w:szCs w:val="24"/>
              </w:rPr>
            </w:pPr>
          </w:p>
        </w:tc>
        <w:tc>
          <w:tcPr>
            <w:tcW w:w="8080" w:type="dxa"/>
            <w:shd w:val="clear" w:color="auto" w:fill="auto"/>
            <w:tcMar>
              <w:top w:w="29" w:type="dxa"/>
              <w:left w:w="115" w:type="dxa"/>
              <w:bottom w:w="29" w:type="dxa"/>
              <w:right w:w="115" w:type="dxa"/>
            </w:tcMar>
          </w:tcPr>
          <w:p w14:paraId="4EFCF421" w14:textId="77777777" w:rsidR="00C60A1C" w:rsidRPr="00000279" w:rsidRDefault="004603A1" w:rsidP="00000279">
            <w:pPr>
              <w:spacing w:after="0" w:line="240" w:lineRule="auto"/>
              <w:jc w:val="both"/>
              <w:rPr>
                <w:rFonts w:ascii="Times New Roman" w:hAnsi="Times New Roman"/>
                <w:sz w:val="24"/>
                <w:szCs w:val="24"/>
              </w:rPr>
            </w:pPr>
            <w:r w:rsidRPr="00000279">
              <w:rPr>
                <w:rFonts w:ascii="Times New Roman" w:hAnsi="Times New Roman"/>
                <w:sz w:val="24"/>
                <w:szCs w:val="24"/>
              </w:rPr>
              <w:t xml:space="preserve">JAV administracija paskelbė apie daugybę programų ir dotacijų, padėsiančių atgaivinti vietinę gamybą ir spręsti tiekimo grandinių problemas Jungtinėse Valstijose. Nors Los Andželo ir </w:t>
            </w:r>
            <w:proofErr w:type="spellStart"/>
            <w:r w:rsidRPr="00000279">
              <w:rPr>
                <w:rFonts w:ascii="Times New Roman" w:hAnsi="Times New Roman"/>
                <w:sz w:val="24"/>
                <w:szCs w:val="24"/>
              </w:rPr>
              <w:t>Long</w:t>
            </w:r>
            <w:proofErr w:type="spellEnd"/>
            <w:r w:rsidRPr="00000279">
              <w:rPr>
                <w:rFonts w:ascii="Times New Roman" w:hAnsi="Times New Roman"/>
                <w:sz w:val="24"/>
                <w:szCs w:val="24"/>
              </w:rPr>
              <w:t xml:space="preserve"> </w:t>
            </w:r>
            <w:proofErr w:type="spellStart"/>
            <w:r w:rsidRPr="00000279">
              <w:rPr>
                <w:rFonts w:ascii="Times New Roman" w:hAnsi="Times New Roman"/>
                <w:sz w:val="24"/>
                <w:szCs w:val="24"/>
              </w:rPr>
              <w:t>Byčo</w:t>
            </w:r>
            <w:proofErr w:type="spellEnd"/>
            <w:r w:rsidRPr="00000279">
              <w:rPr>
                <w:rFonts w:ascii="Times New Roman" w:hAnsi="Times New Roman"/>
                <w:sz w:val="24"/>
                <w:szCs w:val="24"/>
              </w:rPr>
              <w:t xml:space="preserve"> uostuose laukiančių konteinerinių laivų judėjimo greitis didėja ir eilėje stovinčių laivų skaičius sumažėjo, tačiau spūsčių problema išlieka. Pasenusiai uostų infrastruktūrai atnaujinti JAV Transporto departamentas skyrė 450 mln. USD dotacijų programą. Taip pat per ateinančias savaites planuojama skirti  papildomai lėšų transporto infrastruktūros projektams, bei parengti valstybinio krovinių vežimo plano gaires, kuriose bus įtraukti atnaujinti reikalavimai atsižvelgiantys į krovinių srautus bei elektroninės prekybos poveikį. JAV administracija siūlo naują vidinės rinkos gamybos iniciatyvą per Eksporto ir importo banką (EXIM), kad būtų finansuojami JAV įsikūrę puslaidininkių, biotechnologijų ir biomedicinos produktų gamintojai, mažos ir atsinaujinančios energijos įmonės.</w:t>
            </w:r>
          </w:p>
          <w:p w14:paraId="5289AC6E" w14:textId="77777777" w:rsidR="00B75251" w:rsidRPr="00000279" w:rsidRDefault="00B75251" w:rsidP="00000279">
            <w:pPr>
              <w:spacing w:after="0" w:line="240" w:lineRule="auto"/>
              <w:jc w:val="both"/>
              <w:rPr>
                <w:rFonts w:ascii="Times New Roman" w:hAnsi="Times New Roman"/>
                <w:sz w:val="24"/>
                <w:szCs w:val="24"/>
              </w:rPr>
            </w:pPr>
          </w:p>
          <w:p w14:paraId="055200F3" w14:textId="6DCDAB97" w:rsidR="00B75251" w:rsidRPr="00000279" w:rsidRDefault="00B75251" w:rsidP="00000279">
            <w:pPr>
              <w:spacing w:after="0" w:line="240" w:lineRule="auto"/>
              <w:jc w:val="both"/>
              <w:rPr>
                <w:rFonts w:ascii="Times New Roman" w:eastAsia="Times New Roman" w:hAnsi="Times New Roman"/>
                <w:sz w:val="24"/>
                <w:szCs w:val="24"/>
              </w:rPr>
            </w:pPr>
            <w:r w:rsidRPr="00000279">
              <w:rPr>
                <w:rStyle w:val="gmail-y2iqfc"/>
                <w:rFonts w:ascii="Times New Roman" w:hAnsi="Times New Roman"/>
                <w:sz w:val="24"/>
                <w:szCs w:val="24"/>
              </w:rPr>
              <w:t xml:space="preserve">Remiantis naujausiais „Los Angeles </w:t>
            </w:r>
            <w:proofErr w:type="spellStart"/>
            <w:r w:rsidRPr="00000279">
              <w:rPr>
                <w:rStyle w:val="gmail-y2iqfc"/>
                <w:rFonts w:ascii="Times New Roman" w:hAnsi="Times New Roman"/>
                <w:sz w:val="24"/>
                <w:szCs w:val="24"/>
              </w:rPr>
              <w:t>Signal</w:t>
            </w:r>
            <w:proofErr w:type="spellEnd"/>
            <w:r w:rsidRPr="00000279">
              <w:rPr>
                <w:rStyle w:val="gmail-y2iqfc"/>
                <w:rFonts w:ascii="Times New Roman" w:hAnsi="Times New Roman"/>
                <w:sz w:val="24"/>
                <w:szCs w:val="24"/>
              </w:rPr>
              <w:t>“ uosto optimizavimo platformos duomenimis, vidutinis laivų laukimo laikas Los Andželo terminaluose sumažėjo iki 3,1 dienos, kai kurios įstaigos praneša apie nedidelį vėlavimą arba jo visai nėra.</w:t>
            </w:r>
            <w:r w:rsidRPr="00000279">
              <w:rPr>
                <w:rFonts w:ascii="Times New Roman" w:hAnsi="Times New Roman"/>
                <w:sz w:val="24"/>
                <w:szCs w:val="24"/>
              </w:rPr>
              <w:t xml:space="preserve"> </w:t>
            </w:r>
            <w:r w:rsidRPr="00000279">
              <w:rPr>
                <w:rStyle w:val="gmail-y2iqfc"/>
                <w:rFonts w:ascii="Times New Roman" w:hAnsi="Times New Roman"/>
                <w:sz w:val="24"/>
                <w:szCs w:val="24"/>
              </w:rPr>
              <w:t>Tiekimo grandinės sutrikimai Kinijoje, pagerėjusios sausumos transportavimo paslaugos  ir besitęsiantis krovinių perkėlimas į iki šiol mažiau apkrautus JAV rytinės  įlankos pakrantės uostus laikomos pagrindinėmis spūsčių mažėjimo priežastimis. Tačiau Niujorke įsikūrusios tiekimo grandinės ir krovinių gabenimo platformos „</w:t>
            </w:r>
            <w:proofErr w:type="spellStart"/>
            <w:r w:rsidRPr="00000279">
              <w:rPr>
                <w:rStyle w:val="gmail-y2iqfc"/>
                <w:rFonts w:ascii="Times New Roman" w:hAnsi="Times New Roman"/>
                <w:sz w:val="24"/>
                <w:szCs w:val="24"/>
              </w:rPr>
              <w:t>Shifl</w:t>
            </w:r>
            <w:proofErr w:type="spellEnd"/>
            <w:r w:rsidRPr="00000279">
              <w:rPr>
                <w:rStyle w:val="gmail-y2iqfc"/>
                <w:rFonts w:ascii="Times New Roman" w:hAnsi="Times New Roman"/>
                <w:sz w:val="24"/>
                <w:szCs w:val="24"/>
              </w:rPr>
              <w:t>“ ataskaitoje teigiama, kad pagerėjęs atsargų lygis ir sumažėjusi vartotojų paklausa taip pat galėjo turėti įtakos importo apimčių mažėjimui</w:t>
            </w:r>
          </w:p>
        </w:tc>
        <w:tc>
          <w:tcPr>
            <w:tcW w:w="3788" w:type="dxa"/>
            <w:shd w:val="clear" w:color="auto" w:fill="auto"/>
            <w:tcMar>
              <w:top w:w="29" w:type="dxa"/>
              <w:left w:w="115" w:type="dxa"/>
              <w:bottom w:w="29" w:type="dxa"/>
              <w:right w:w="115" w:type="dxa"/>
            </w:tcMar>
          </w:tcPr>
          <w:p w14:paraId="74BB5399" w14:textId="77777777" w:rsidR="00ED75B6" w:rsidRPr="00000279" w:rsidRDefault="004603A1" w:rsidP="00652216">
            <w:pPr>
              <w:shd w:val="clear" w:color="auto" w:fill="FFFFFF"/>
              <w:spacing w:after="0" w:line="240" w:lineRule="auto"/>
              <w:rPr>
                <w:rFonts w:ascii="Times New Roman" w:hAnsi="Times New Roman"/>
                <w:sz w:val="24"/>
                <w:szCs w:val="24"/>
              </w:rPr>
            </w:pPr>
            <w:hyperlink r:id="rId13" w:history="1">
              <w:r w:rsidRPr="00000279">
                <w:rPr>
                  <w:rStyle w:val="Hyperlink"/>
                  <w:rFonts w:ascii="Times New Roman" w:hAnsi="Times New Roman"/>
                  <w:sz w:val="24"/>
                  <w:szCs w:val="24"/>
                </w:rPr>
                <w:t>Informacija apie pradedamas vietinės gamybos gaivinimo ir tiekimo grandinių problemų sprendimo programas</w:t>
              </w:r>
            </w:hyperlink>
            <w:r w:rsidRPr="00000279">
              <w:rPr>
                <w:rFonts w:ascii="Times New Roman" w:hAnsi="Times New Roman"/>
                <w:sz w:val="24"/>
                <w:szCs w:val="24"/>
              </w:rPr>
              <w:t xml:space="preserve"> </w:t>
            </w:r>
          </w:p>
          <w:p w14:paraId="1A7D95C7" w14:textId="77777777" w:rsidR="00B75251" w:rsidRPr="00000279" w:rsidRDefault="00B75251" w:rsidP="00652216">
            <w:pPr>
              <w:shd w:val="clear" w:color="auto" w:fill="FFFFFF"/>
              <w:spacing w:after="0" w:line="240" w:lineRule="auto"/>
              <w:rPr>
                <w:rFonts w:ascii="Times New Roman" w:hAnsi="Times New Roman"/>
                <w:sz w:val="24"/>
                <w:szCs w:val="24"/>
              </w:rPr>
            </w:pPr>
          </w:p>
          <w:p w14:paraId="35FB2B8A" w14:textId="7E79BF1C" w:rsidR="00B75251" w:rsidRPr="00000279" w:rsidRDefault="00B75251" w:rsidP="00652216">
            <w:pPr>
              <w:shd w:val="clear" w:color="auto" w:fill="FFFFFF"/>
              <w:spacing w:after="0" w:line="240" w:lineRule="auto"/>
              <w:rPr>
                <w:rFonts w:ascii="Times New Roman" w:hAnsi="Times New Roman"/>
                <w:sz w:val="24"/>
                <w:szCs w:val="24"/>
              </w:rPr>
            </w:pPr>
            <w:hyperlink r:id="rId14" w:history="1">
              <w:r w:rsidRPr="00000279">
                <w:rPr>
                  <w:rStyle w:val="Hyperlink"/>
                  <w:rFonts w:ascii="Times New Roman" w:hAnsi="Times New Roman"/>
                  <w:sz w:val="24"/>
                  <w:szCs w:val="24"/>
                </w:rPr>
                <w:t>Informacija apie situaciją JAV uostose</w:t>
              </w:r>
            </w:hyperlink>
          </w:p>
        </w:tc>
        <w:tc>
          <w:tcPr>
            <w:tcW w:w="1547" w:type="dxa"/>
            <w:shd w:val="clear" w:color="auto" w:fill="auto"/>
            <w:tcMar>
              <w:top w:w="29" w:type="dxa"/>
              <w:left w:w="115" w:type="dxa"/>
              <w:bottom w:w="29" w:type="dxa"/>
              <w:right w:w="115" w:type="dxa"/>
            </w:tcMar>
          </w:tcPr>
          <w:p w14:paraId="7FC22EFC" w14:textId="77777777" w:rsidR="00156744" w:rsidRPr="007558DE" w:rsidRDefault="00156744" w:rsidP="00156744">
            <w:pPr>
              <w:spacing w:after="0" w:line="240" w:lineRule="auto"/>
              <w:rPr>
                <w:rFonts w:ascii="Times New Roman" w:hAnsi="Times New Roman"/>
                <w:color w:val="000000" w:themeColor="text1"/>
                <w:sz w:val="24"/>
                <w:szCs w:val="24"/>
              </w:rPr>
            </w:pPr>
          </w:p>
        </w:tc>
      </w:tr>
      <w:tr w:rsidR="00E978E7" w:rsidRPr="007558DE" w14:paraId="7127AA60" w14:textId="77777777" w:rsidTr="00D40803">
        <w:trPr>
          <w:trHeight w:val="234"/>
        </w:trPr>
        <w:tc>
          <w:tcPr>
            <w:tcW w:w="1696" w:type="dxa"/>
            <w:shd w:val="clear" w:color="auto" w:fill="auto"/>
            <w:tcMar>
              <w:top w:w="29" w:type="dxa"/>
              <w:left w:w="115" w:type="dxa"/>
              <w:bottom w:w="29" w:type="dxa"/>
              <w:right w:w="115" w:type="dxa"/>
            </w:tcMar>
          </w:tcPr>
          <w:p w14:paraId="620A5D6F" w14:textId="77777777" w:rsidR="00E978E7" w:rsidRPr="007558DE" w:rsidRDefault="00E978E7" w:rsidP="00156744">
            <w:pPr>
              <w:spacing w:after="0" w:line="240" w:lineRule="auto"/>
              <w:rPr>
                <w:rFonts w:ascii="Times New Roman" w:hAnsi="Times New Roman"/>
                <w:sz w:val="24"/>
                <w:szCs w:val="24"/>
              </w:rPr>
            </w:pPr>
          </w:p>
        </w:tc>
        <w:tc>
          <w:tcPr>
            <w:tcW w:w="8080" w:type="dxa"/>
            <w:shd w:val="clear" w:color="auto" w:fill="auto"/>
            <w:tcMar>
              <w:top w:w="29" w:type="dxa"/>
              <w:left w:w="115" w:type="dxa"/>
              <w:bottom w:w="29" w:type="dxa"/>
              <w:right w:w="115" w:type="dxa"/>
            </w:tcMar>
          </w:tcPr>
          <w:p w14:paraId="4A8FE71A" w14:textId="77777777" w:rsidR="00C60A1C" w:rsidRPr="00000279" w:rsidRDefault="00000279" w:rsidP="00000279">
            <w:pPr>
              <w:spacing w:after="0" w:line="240" w:lineRule="auto"/>
              <w:jc w:val="both"/>
              <w:rPr>
                <w:rFonts w:ascii="Times New Roman" w:hAnsi="Times New Roman"/>
                <w:iCs/>
                <w:sz w:val="24"/>
                <w:szCs w:val="24"/>
              </w:rPr>
            </w:pPr>
            <w:r w:rsidRPr="00000279">
              <w:rPr>
                <w:rFonts w:ascii="Times New Roman" w:hAnsi="Times New Roman"/>
                <w:sz w:val="24"/>
                <w:szCs w:val="24"/>
              </w:rPr>
              <w:t xml:space="preserve">Baltųjų rūmų </w:t>
            </w:r>
            <w:r w:rsidRPr="00000279">
              <w:rPr>
                <w:rFonts w:ascii="Times New Roman" w:hAnsi="Times New Roman"/>
                <w:sz w:val="24"/>
                <w:szCs w:val="24"/>
              </w:rPr>
              <w:t xml:space="preserve">išplatino pranešimą, kur </w:t>
            </w:r>
            <w:r w:rsidRPr="00000279">
              <w:rPr>
                <w:rFonts w:ascii="Times New Roman" w:hAnsi="Times New Roman"/>
                <w:sz w:val="24"/>
                <w:szCs w:val="24"/>
              </w:rPr>
              <w:t xml:space="preserve">akcentuojama, kad </w:t>
            </w:r>
            <w:r w:rsidRPr="00000279">
              <w:rPr>
                <w:rFonts w:ascii="Times New Roman" w:hAnsi="Times New Roman"/>
                <w:iCs/>
                <w:sz w:val="24"/>
                <w:szCs w:val="24"/>
              </w:rPr>
              <w:t xml:space="preserve">Rusijos karas gali sutrikdyti svarbiausių žemės ūkio prekių tiekimą iš Juodosios jūros regiono, keldamas pavojų pasauliniam apsirūpinimu maistu, ypač pažeidžiamoms Artimųjų Rytų ir Afrikos gyventojų grupėms. JAV, įgyvendindamos iniciatyvą „Pamaitinti ateitį“ ir prisiimdamos įsipareigojimus dėl mitybos, per ateinančius penkerius metus skirs daugiau nei </w:t>
            </w:r>
            <w:r w:rsidRPr="00000279">
              <w:rPr>
                <w:rFonts w:ascii="Times New Roman" w:hAnsi="Times New Roman"/>
                <w:bCs/>
                <w:iCs/>
                <w:sz w:val="24"/>
                <w:szCs w:val="24"/>
              </w:rPr>
              <w:t>11 mlrd. USD</w:t>
            </w:r>
            <w:r w:rsidRPr="00000279">
              <w:rPr>
                <w:rFonts w:ascii="Times New Roman" w:hAnsi="Times New Roman"/>
                <w:iCs/>
                <w:sz w:val="24"/>
                <w:szCs w:val="24"/>
              </w:rPr>
              <w:t xml:space="preserve"> lėšų  sušvelninti maisto ir trąšų kainų kilimo padarinius.</w:t>
            </w:r>
          </w:p>
          <w:p w14:paraId="42AF648F" w14:textId="41B7FDC9" w:rsidR="00000279" w:rsidRPr="00000279" w:rsidRDefault="00000279" w:rsidP="00000279">
            <w:pPr>
              <w:spacing w:after="0" w:line="240" w:lineRule="auto"/>
              <w:jc w:val="both"/>
              <w:rPr>
                <w:rFonts w:ascii="Times New Roman" w:hAnsi="Times New Roman"/>
                <w:color w:val="59626A"/>
                <w:sz w:val="24"/>
                <w:szCs w:val="24"/>
                <w:shd w:val="clear" w:color="auto" w:fill="FFFFFF"/>
              </w:rPr>
            </w:pPr>
          </w:p>
        </w:tc>
        <w:tc>
          <w:tcPr>
            <w:tcW w:w="3788" w:type="dxa"/>
            <w:shd w:val="clear" w:color="auto" w:fill="auto"/>
            <w:tcMar>
              <w:top w:w="29" w:type="dxa"/>
              <w:left w:w="115" w:type="dxa"/>
              <w:bottom w:w="29" w:type="dxa"/>
              <w:right w:w="115" w:type="dxa"/>
            </w:tcMar>
          </w:tcPr>
          <w:p w14:paraId="5DB197BE" w14:textId="55E5FEB3" w:rsidR="00E978E7" w:rsidRPr="00000279" w:rsidRDefault="00000279" w:rsidP="00652216">
            <w:pPr>
              <w:shd w:val="clear" w:color="auto" w:fill="FFFFFF"/>
              <w:spacing w:after="0" w:line="240" w:lineRule="auto"/>
              <w:rPr>
                <w:rFonts w:ascii="Times New Roman" w:hAnsi="Times New Roman"/>
                <w:sz w:val="24"/>
                <w:szCs w:val="24"/>
              </w:rPr>
            </w:pPr>
            <w:hyperlink r:id="rId15" w:history="1">
              <w:r w:rsidRPr="00000279">
                <w:rPr>
                  <w:rStyle w:val="Hyperlink"/>
                  <w:rFonts w:ascii="Times New Roman" w:hAnsi="Times New Roman"/>
                  <w:sz w:val="24"/>
                  <w:szCs w:val="24"/>
                </w:rPr>
                <w:t>JAV Baltųjų rūmų pranešimas apie pagalbos Ukrainai ir aplinkiniams regionams pagalbos paketą</w:t>
              </w:r>
            </w:hyperlink>
          </w:p>
        </w:tc>
        <w:tc>
          <w:tcPr>
            <w:tcW w:w="1547" w:type="dxa"/>
            <w:shd w:val="clear" w:color="auto" w:fill="auto"/>
            <w:tcMar>
              <w:top w:w="29" w:type="dxa"/>
              <w:left w:w="115" w:type="dxa"/>
              <w:bottom w:w="29" w:type="dxa"/>
              <w:right w:w="115" w:type="dxa"/>
            </w:tcMar>
          </w:tcPr>
          <w:p w14:paraId="01172D0B" w14:textId="77777777" w:rsidR="00E978E7" w:rsidRPr="007558DE" w:rsidRDefault="00E978E7" w:rsidP="00156744">
            <w:pPr>
              <w:spacing w:after="0" w:line="240" w:lineRule="auto"/>
              <w:rPr>
                <w:rFonts w:ascii="Times New Roman" w:hAnsi="Times New Roman"/>
                <w:color w:val="000000" w:themeColor="text1"/>
                <w:sz w:val="24"/>
                <w:szCs w:val="24"/>
              </w:rPr>
            </w:pPr>
          </w:p>
        </w:tc>
      </w:tr>
      <w:tr w:rsidR="00265B5E" w:rsidRPr="007558DE" w14:paraId="0DAAA8DC" w14:textId="77777777" w:rsidTr="00D40803">
        <w:trPr>
          <w:trHeight w:val="234"/>
        </w:trPr>
        <w:tc>
          <w:tcPr>
            <w:tcW w:w="1696" w:type="dxa"/>
            <w:shd w:val="clear" w:color="auto" w:fill="auto"/>
            <w:tcMar>
              <w:top w:w="29" w:type="dxa"/>
              <w:left w:w="115" w:type="dxa"/>
              <w:bottom w:w="29" w:type="dxa"/>
              <w:right w:w="115" w:type="dxa"/>
            </w:tcMar>
          </w:tcPr>
          <w:p w14:paraId="2CABAE86" w14:textId="77777777" w:rsidR="00265B5E" w:rsidRPr="007558DE" w:rsidRDefault="00265B5E" w:rsidP="00156744">
            <w:pPr>
              <w:spacing w:after="0" w:line="240" w:lineRule="auto"/>
              <w:rPr>
                <w:rFonts w:ascii="Times New Roman" w:hAnsi="Times New Roman"/>
                <w:sz w:val="24"/>
                <w:szCs w:val="24"/>
              </w:rPr>
            </w:pPr>
          </w:p>
        </w:tc>
        <w:tc>
          <w:tcPr>
            <w:tcW w:w="8080" w:type="dxa"/>
            <w:shd w:val="clear" w:color="auto" w:fill="auto"/>
            <w:tcMar>
              <w:top w:w="29" w:type="dxa"/>
              <w:left w:w="115" w:type="dxa"/>
              <w:bottom w:w="29" w:type="dxa"/>
              <w:right w:w="115" w:type="dxa"/>
            </w:tcMar>
          </w:tcPr>
          <w:p w14:paraId="34C224D2" w14:textId="77777777" w:rsidR="00C60A1C" w:rsidRPr="00000279" w:rsidRDefault="00000279" w:rsidP="00000279">
            <w:pPr>
              <w:spacing w:after="0" w:line="240" w:lineRule="auto"/>
              <w:jc w:val="both"/>
              <w:rPr>
                <w:rFonts w:ascii="Times New Roman" w:hAnsi="Times New Roman"/>
                <w:sz w:val="24"/>
                <w:szCs w:val="24"/>
              </w:rPr>
            </w:pPr>
            <w:r w:rsidRPr="00000279">
              <w:rPr>
                <w:rFonts w:ascii="Times New Roman" w:hAnsi="Times New Roman"/>
                <w:sz w:val="24"/>
                <w:szCs w:val="24"/>
              </w:rPr>
              <w:t xml:space="preserve">JAV uždraudė </w:t>
            </w:r>
            <w:r w:rsidRPr="00000279">
              <w:rPr>
                <w:rFonts w:ascii="Times New Roman" w:hAnsi="Times New Roman"/>
                <w:bCs/>
                <w:sz w:val="24"/>
                <w:szCs w:val="24"/>
              </w:rPr>
              <w:t xml:space="preserve">žuvies, jūros gėrybių, alkoholinių gėrimų importą iš Rusijos. 2022 m. </w:t>
            </w:r>
            <w:r w:rsidRPr="00000279">
              <w:rPr>
                <w:rFonts w:ascii="Times New Roman" w:hAnsi="Times New Roman"/>
                <w:sz w:val="24"/>
                <w:szCs w:val="24"/>
              </w:rPr>
              <w:t xml:space="preserve">kovo 11 d. prezidentas </w:t>
            </w:r>
            <w:proofErr w:type="spellStart"/>
            <w:r w:rsidRPr="00000279">
              <w:rPr>
                <w:rFonts w:ascii="Times New Roman" w:hAnsi="Times New Roman"/>
                <w:sz w:val="24"/>
                <w:szCs w:val="24"/>
              </w:rPr>
              <w:t>Bidenas</w:t>
            </w:r>
            <w:proofErr w:type="spellEnd"/>
            <w:r w:rsidRPr="00000279">
              <w:rPr>
                <w:rFonts w:ascii="Times New Roman" w:hAnsi="Times New Roman"/>
                <w:sz w:val="24"/>
                <w:szCs w:val="24"/>
              </w:rPr>
              <w:t xml:space="preserve"> išleido vykdomąjį įsakymą, kuriuo uždraudžiama į JAV įvežti šiuos Rusijos Federacijos kilmės produktus: žuvį, jūros gėrybes ir jų gaminius; alkoholinius gėrimus ir nepramoninius deimantus. JAV Iždo departamento užsienio turto kontrolės biuras (OFAC) išdavė bendrąją licenciją, pagal kurią </w:t>
            </w:r>
            <w:r w:rsidRPr="00000279">
              <w:rPr>
                <w:rFonts w:ascii="Times New Roman" w:hAnsi="Times New Roman"/>
                <w:sz w:val="24"/>
                <w:szCs w:val="24"/>
              </w:rPr>
              <w:t>leista</w:t>
            </w:r>
            <w:r w:rsidRPr="00000279">
              <w:rPr>
                <w:rFonts w:ascii="Times New Roman" w:hAnsi="Times New Roman"/>
                <w:sz w:val="24"/>
                <w:szCs w:val="24"/>
              </w:rPr>
              <w:t xml:space="preserve"> užbaigti esamus šių prekių importo sandorius iki kovo 25 d.</w:t>
            </w:r>
          </w:p>
          <w:p w14:paraId="51530C51" w14:textId="75EA3362" w:rsidR="00000279" w:rsidRPr="00000279" w:rsidRDefault="00000279" w:rsidP="00000279">
            <w:pPr>
              <w:spacing w:after="0" w:line="240" w:lineRule="auto"/>
              <w:jc w:val="both"/>
              <w:rPr>
                <w:rFonts w:ascii="Times New Roman" w:hAnsi="Times New Roman"/>
                <w:sz w:val="24"/>
                <w:szCs w:val="24"/>
              </w:rPr>
            </w:pPr>
          </w:p>
        </w:tc>
        <w:tc>
          <w:tcPr>
            <w:tcW w:w="3788" w:type="dxa"/>
            <w:shd w:val="clear" w:color="auto" w:fill="auto"/>
            <w:tcMar>
              <w:top w:w="29" w:type="dxa"/>
              <w:left w:w="115" w:type="dxa"/>
              <w:bottom w:w="29" w:type="dxa"/>
              <w:right w:w="115" w:type="dxa"/>
            </w:tcMar>
          </w:tcPr>
          <w:p w14:paraId="7A0C5DC2" w14:textId="6AB9C13B" w:rsidR="00265B5E" w:rsidRPr="00000279" w:rsidRDefault="00000279" w:rsidP="00265B5E">
            <w:pPr>
              <w:shd w:val="clear" w:color="auto" w:fill="FFFFFF"/>
              <w:spacing w:after="0" w:line="240" w:lineRule="auto"/>
              <w:rPr>
                <w:rFonts w:ascii="Times New Roman" w:hAnsi="Times New Roman"/>
                <w:sz w:val="24"/>
                <w:szCs w:val="24"/>
              </w:rPr>
            </w:pPr>
            <w:hyperlink r:id="rId16" w:history="1">
              <w:r w:rsidRPr="00000279">
                <w:rPr>
                  <w:rStyle w:val="Hyperlink"/>
                  <w:rFonts w:ascii="Times New Roman" w:hAnsi="Times New Roman"/>
                  <w:sz w:val="24"/>
                  <w:szCs w:val="24"/>
                </w:rPr>
                <w:t>JAV taikomos sankcijos Rusijai</w:t>
              </w:r>
            </w:hyperlink>
          </w:p>
        </w:tc>
        <w:tc>
          <w:tcPr>
            <w:tcW w:w="1547" w:type="dxa"/>
            <w:shd w:val="clear" w:color="auto" w:fill="auto"/>
            <w:tcMar>
              <w:top w:w="29" w:type="dxa"/>
              <w:left w:w="115" w:type="dxa"/>
              <w:bottom w:w="29" w:type="dxa"/>
              <w:right w:w="115" w:type="dxa"/>
            </w:tcMar>
          </w:tcPr>
          <w:p w14:paraId="4775CF9E" w14:textId="77777777" w:rsidR="00265B5E" w:rsidRPr="007558DE" w:rsidRDefault="00265B5E" w:rsidP="00156744">
            <w:pPr>
              <w:spacing w:after="0" w:line="240" w:lineRule="auto"/>
              <w:rPr>
                <w:rFonts w:ascii="Times New Roman" w:hAnsi="Times New Roman"/>
                <w:color w:val="000000" w:themeColor="text1"/>
                <w:sz w:val="24"/>
                <w:szCs w:val="24"/>
              </w:rPr>
            </w:pPr>
          </w:p>
        </w:tc>
      </w:tr>
      <w:tr w:rsidR="00156744" w:rsidRPr="007558DE" w14:paraId="73D2C789" w14:textId="77777777" w:rsidTr="00685855">
        <w:trPr>
          <w:trHeight w:val="216"/>
        </w:trPr>
        <w:tc>
          <w:tcPr>
            <w:tcW w:w="15111" w:type="dxa"/>
            <w:gridSpan w:val="4"/>
            <w:shd w:val="clear" w:color="auto" w:fill="auto"/>
            <w:tcMar>
              <w:top w:w="29" w:type="dxa"/>
              <w:left w:w="115" w:type="dxa"/>
              <w:bottom w:w="29" w:type="dxa"/>
              <w:right w:w="115" w:type="dxa"/>
            </w:tcMar>
          </w:tcPr>
          <w:p w14:paraId="27DA1134" w14:textId="6B239A17" w:rsidR="00156744" w:rsidRPr="00000279" w:rsidRDefault="00156744" w:rsidP="00000279">
            <w:pPr>
              <w:spacing w:after="0" w:line="240" w:lineRule="auto"/>
              <w:jc w:val="both"/>
              <w:rPr>
                <w:rFonts w:ascii="Times New Roman" w:hAnsi="Times New Roman"/>
                <w:sz w:val="24"/>
                <w:szCs w:val="24"/>
              </w:rPr>
            </w:pPr>
            <w:r w:rsidRPr="00000279">
              <w:rPr>
                <w:rFonts w:ascii="Times New Roman" w:hAnsi="Times New Roman"/>
                <w:sz w:val="24"/>
                <w:szCs w:val="24"/>
              </w:rPr>
              <w:t>Investicijoms pritraukti į Lietuvą aktuali informacija</w:t>
            </w:r>
          </w:p>
        </w:tc>
      </w:tr>
      <w:tr w:rsidR="00156744" w:rsidRPr="007558DE" w14:paraId="35095AEE" w14:textId="77777777" w:rsidTr="00D40803">
        <w:trPr>
          <w:trHeight w:val="234"/>
        </w:trPr>
        <w:tc>
          <w:tcPr>
            <w:tcW w:w="1696" w:type="dxa"/>
            <w:shd w:val="clear" w:color="auto" w:fill="auto"/>
            <w:tcMar>
              <w:top w:w="29" w:type="dxa"/>
              <w:left w:w="115" w:type="dxa"/>
              <w:bottom w:w="29" w:type="dxa"/>
              <w:right w:w="115" w:type="dxa"/>
            </w:tcMar>
          </w:tcPr>
          <w:p w14:paraId="26560C88" w14:textId="77777777" w:rsidR="00156744" w:rsidRPr="007558DE" w:rsidRDefault="00156744" w:rsidP="00156744">
            <w:pPr>
              <w:spacing w:after="0" w:line="240" w:lineRule="auto"/>
              <w:rPr>
                <w:rFonts w:ascii="Times New Roman" w:hAnsi="Times New Roman"/>
                <w:sz w:val="24"/>
                <w:szCs w:val="24"/>
                <w:highlight w:val="yellow"/>
              </w:rPr>
            </w:pPr>
          </w:p>
        </w:tc>
        <w:tc>
          <w:tcPr>
            <w:tcW w:w="8080" w:type="dxa"/>
            <w:shd w:val="clear" w:color="auto" w:fill="auto"/>
            <w:tcMar>
              <w:top w:w="29" w:type="dxa"/>
              <w:left w:w="115" w:type="dxa"/>
              <w:bottom w:w="29" w:type="dxa"/>
              <w:right w:w="115" w:type="dxa"/>
            </w:tcMar>
          </w:tcPr>
          <w:p w14:paraId="4E2B9273" w14:textId="72764FB3" w:rsidR="009A78D8" w:rsidRPr="00000279" w:rsidRDefault="003315F6" w:rsidP="00000279">
            <w:pPr>
              <w:jc w:val="both"/>
              <w:rPr>
                <w:rFonts w:ascii="Times New Roman" w:eastAsia="Times New Roman" w:hAnsi="Times New Roman"/>
                <w:sz w:val="24"/>
                <w:szCs w:val="24"/>
              </w:rPr>
            </w:pPr>
            <w:r w:rsidRPr="00000279">
              <w:rPr>
                <w:rFonts w:ascii="Times New Roman" w:hAnsi="Times New Roman"/>
                <w:sz w:val="24"/>
                <w:szCs w:val="24"/>
              </w:rPr>
              <w:t>Čikagoje (priemiestyje) registruota gyvybės mokslų milžinė „</w:t>
            </w:r>
            <w:proofErr w:type="spellStart"/>
            <w:r w:rsidRPr="00000279">
              <w:rPr>
                <w:rFonts w:ascii="Times New Roman" w:hAnsi="Times New Roman"/>
                <w:bCs/>
                <w:sz w:val="24"/>
                <w:szCs w:val="24"/>
              </w:rPr>
              <w:t>AbbVie</w:t>
            </w:r>
            <w:proofErr w:type="spellEnd"/>
            <w:r w:rsidRPr="00000279">
              <w:rPr>
                <w:rFonts w:ascii="Times New Roman" w:hAnsi="Times New Roman"/>
                <w:bCs/>
                <w:sz w:val="24"/>
                <w:szCs w:val="24"/>
              </w:rPr>
              <w:t xml:space="preserve">“ įsigijo Belgijos </w:t>
            </w:r>
            <w:proofErr w:type="spellStart"/>
            <w:r w:rsidRPr="00000279">
              <w:rPr>
                <w:rFonts w:ascii="Times New Roman" w:hAnsi="Times New Roman"/>
                <w:bCs/>
                <w:sz w:val="24"/>
                <w:szCs w:val="24"/>
              </w:rPr>
              <w:t>neuromokslų</w:t>
            </w:r>
            <w:proofErr w:type="spellEnd"/>
            <w:r w:rsidRPr="00000279">
              <w:rPr>
                <w:rFonts w:ascii="Times New Roman" w:hAnsi="Times New Roman"/>
                <w:bCs/>
                <w:sz w:val="24"/>
                <w:szCs w:val="24"/>
              </w:rPr>
              <w:t xml:space="preserve"> </w:t>
            </w:r>
            <w:proofErr w:type="spellStart"/>
            <w:r w:rsidRPr="00000279">
              <w:rPr>
                <w:rFonts w:ascii="Times New Roman" w:hAnsi="Times New Roman"/>
                <w:bCs/>
                <w:sz w:val="24"/>
                <w:szCs w:val="24"/>
              </w:rPr>
              <w:t>startuolį</w:t>
            </w:r>
            <w:proofErr w:type="spellEnd"/>
            <w:r w:rsidRPr="00000279">
              <w:rPr>
                <w:rFonts w:ascii="Times New Roman" w:hAnsi="Times New Roman"/>
                <w:bCs/>
                <w:sz w:val="24"/>
                <w:szCs w:val="24"/>
              </w:rPr>
              <w:t xml:space="preserve"> „</w:t>
            </w:r>
            <w:proofErr w:type="spellStart"/>
            <w:r w:rsidRPr="00000279">
              <w:rPr>
                <w:rFonts w:ascii="Times New Roman" w:hAnsi="Times New Roman"/>
                <w:bCs/>
                <w:sz w:val="24"/>
                <w:szCs w:val="24"/>
              </w:rPr>
              <w:t>Syndesi</w:t>
            </w:r>
            <w:proofErr w:type="spellEnd"/>
            <w:r w:rsidRPr="00000279">
              <w:rPr>
                <w:rFonts w:ascii="Times New Roman" w:hAnsi="Times New Roman"/>
                <w:bCs/>
                <w:sz w:val="24"/>
                <w:szCs w:val="24"/>
              </w:rPr>
              <w:t xml:space="preserve"> </w:t>
            </w:r>
            <w:proofErr w:type="spellStart"/>
            <w:r w:rsidRPr="00000279">
              <w:rPr>
                <w:rFonts w:ascii="Times New Roman" w:hAnsi="Times New Roman"/>
                <w:bCs/>
                <w:sz w:val="24"/>
                <w:szCs w:val="24"/>
              </w:rPr>
              <w:t>Therapeutics</w:t>
            </w:r>
            <w:proofErr w:type="spellEnd"/>
            <w:r w:rsidRPr="00000279">
              <w:rPr>
                <w:rFonts w:ascii="Times New Roman" w:hAnsi="Times New Roman"/>
                <w:bCs/>
                <w:sz w:val="24"/>
                <w:szCs w:val="24"/>
              </w:rPr>
              <w:t>“</w:t>
            </w:r>
            <w:r w:rsidRPr="00000279">
              <w:rPr>
                <w:rFonts w:ascii="Times New Roman" w:hAnsi="Times New Roman"/>
                <w:sz w:val="24"/>
                <w:szCs w:val="24"/>
              </w:rPr>
              <w:t xml:space="preserve">, sukūrusį gydymo būdus Alzheimerio ligai gydyti. </w:t>
            </w:r>
            <w:r w:rsidRPr="00000279">
              <w:rPr>
                <w:rFonts w:ascii="Times New Roman" w:hAnsi="Times New Roman"/>
                <w:bCs/>
                <w:sz w:val="24"/>
                <w:szCs w:val="24"/>
              </w:rPr>
              <w:t>Sandorio vertė siekia iki 1 mlrd.</w:t>
            </w:r>
            <w:r w:rsidRPr="00000279">
              <w:rPr>
                <w:rFonts w:ascii="Times New Roman" w:hAnsi="Times New Roman"/>
                <w:sz w:val="24"/>
                <w:szCs w:val="24"/>
              </w:rPr>
              <w:t xml:space="preserve"> JAV dolerių. „</w:t>
            </w:r>
            <w:proofErr w:type="spellStart"/>
            <w:r w:rsidRPr="00000279">
              <w:rPr>
                <w:rFonts w:ascii="Times New Roman" w:hAnsi="Times New Roman"/>
                <w:sz w:val="24"/>
                <w:szCs w:val="24"/>
              </w:rPr>
              <w:t>Syndesi</w:t>
            </w:r>
            <w:proofErr w:type="spellEnd"/>
            <w:r w:rsidRPr="00000279">
              <w:rPr>
                <w:rFonts w:ascii="Times New Roman" w:hAnsi="Times New Roman"/>
                <w:sz w:val="24"/>
                <w:szCs w:val="24"/>
              </w:rPr>
              <w:t>“ padės „</w:t>
            </w:r>
            <w:proofErr w:type="spellStart"/>
            <w:r w:rsidRPr="00000279">
              <w:rPr>
                <w:rFonts w:ascii="Times New Roman" w:hAnsi="Times New Roman"/>
                <w:sz w:val="24"/>
                <w:szCs w:val="24"/>
              </w:rPr>
              <w:t>AbbVie</w:t>
            </w:r>
            <w:proofErr w:type="spellEnd"/>
            <w:r w:rsidRPr="00000279">
              <w:rPr>
                <w:rFonts w:ascii="Times New Roman" w:hAnsi="Times New Roman"/>
                <w:sz w:val="24"/>
                <w:szCs w:val="24"/>
              </w:rPr>
              <w:t>“ išplėsti savo neurologijos vaistų portfelį, kurį sudaro tokie vaistai kaip „</w:t>
            </w:r>
            <w:proofErr w:type="spellStart"/>
            <w:r w:rsidRPr="00000279">
              <w:rPr>
                <w:rFonts w:ascii="Times New Roman" w:hAnsi="Times New Roman"/>
                <w:sz w:val="24"/>
                <w:szCs w:val="24"/>
              </w:rPr>
              <w:t>Vraylar</w:t>
            </w:r>
            <w:proofErr w:type="spellEnd"/>
            <w:r w:rsidRPr="00000279">
              <w:rPr>
                <w:rFonts w:ascii="Times New Roman" w:hAnsi="Times New Roman"/>
                <w:sz w:val="24"/>
                <w:szCs w:val="24"/>
              </w:rPr>
              <w:t>“, „</w:t>
            </w:r>
            <w:proofErr w:type="spellStart"/>
            <w:r w:rsidRPr="00000279">
              <w:rPr>
                <w:rFonts w:ascii="Times New Roman" w:hAnsi="Times New Roman"/>
                <w:sz w:val="24"/>
                <w:szCs w:val="24"/>
              </w:rPr>
              <w:t>Botox</w:t>
            </w:r>
            <w:proofErr w:type="spellEnd"/>
            <w:r w:rsidRPr="00000279">
              <w:rPr>
                <w:rFonts w:ascii="Times New Roman" w:hAnsi="Times New Roman"/>
                <w:sz w:val="24"/>
                <w:szCs w:val="24"/>
              </w:rPr>
              <w:t xml:space="preserve"> </w:t>
            </w:r>
            <w:proofErr w:type="spellStart"/>
            <w:r w:rsidRPr="00000279">
              <w:rPr>
                <w:rFonts w:ascii="Times New Roman" w:hAnsi="Times New Roman"/>
                <w:sz w:val="24"/>
                <w:szCs w:val="24"/>
              </w:rPr>
              <w:t>Therapeutic</w:t>
            </w:r>
            <w:proofErr w:type="spellEnd"/>
            <w:r w:rsidRPr="00000279">
              <w:rPr>
                <w:rFonts w:ascii="Times New Roman" w:hAnsi="Times New Roman"/>
                <w:sz w:val="24"/>
                <w:szCs w:val="24"/>
              </w:rPr>
              <w:t>“, „</w:t>
            </w:r>
            <w:proofErr w:type="spellStart"/>
            <w:r w:rsidRPr="00000279">
              <w:rPr>
                <w:rFonts w:ascii="Times New Roman" w:hAnsi="Times New Roman"/>
                <w:sz w:val="24"/>
                <w:szCs w:val="24"/>
              </w:rPr>
              <w:t>Ubrelvy</w:t>
            </w:r>
            <w:proofErr w:type="spellEnd"/>
            <w:r w:rsidRPr="00000279">
              <w:rPr>
                <w:rFonts w:ascii="Times New Roman" w:hAnsi="Times New Roman"/>
                <w:sz w:val="24"/>
                <w:szCs w:val="24"/>
              </w:rPr>
              <w:t>“ ir neseniai išleista „</w:t>
            </w:r>
            <w:proofErr w:type="spellStart"/>
            <w:r w:rsidRPr="00000279">
              <w:rPr>
                <w:rFonts w:ascii="Times New Roman" w:hAnsi="Times New Roman"/>
                <w:sz w:val="24"/>
                <w:szCs w:val="24"/>
              </w:rPr>
              <w:t>Qulipta</w:t>
            </w:r>
            <w:proofErr w:type="spellEnd"/>
            <w:r w:rsidRPr="00000279">
              <w:rPr>
                <w:rFonts w:ascii="Times New Roman" w:hAnsi="Times New Roman"/>
                <w:sz w:val="24"/>
                <w:szCs w:val="24"/>
              </w:rPr>
              <w:t>“</w:t>
            </w:r>
          </w:p>
        </w:tc>
        <w:tc>
          <w:tcPr>
            <w:tcW w:w="3788" w:type="dxa"/>
            <w:shd w:val="clear" w:color="auto" w:fill="auto"/>
            <w:tcMar>
              <w:top w:w="29" w:type="dxa"/>
              <w:left w:w="115" w:type="dxa"/>
              <w:bottom w:w="29" w:type="dxa"/>
              <w:right w:w="115" w:type="dxa"/>
            </w:tcMar>
          </w:tcPr>
          <w:p w14:paraId="789E25D5" w14:textId="2214CF22" w:rsidR="00156744" w:rsidRPr="00000279" w:rsidRDefault="00F651AC" w:rsidP="00F37182">
            <w:pPr>
              <w:spacing w:after="0" w:line="240" w:lineRule="auto"/>
              <w:rPr>
                <w:rFonts w:ascii="Times New Roman" w:hAnsi="Times New Roman"/>
                <w:sz w:val="24"/>
                <w:szCs w:val="24"/>
              </w:rPr>
            </w:pPr>
            <w:hyperlink r:id="rId17" w:history="1">
              <w:r w:rsidRPr="00000279">
                <w:rPr>
                  <w:rStyle w:val="Hyperlink"/>
                  <w:rFonts w:ascii="Times New Roman" w:hAnsi="Times New Roman"/>
                  <w:sz w:val="24"/>
                  <w:szCs w:val="24"/>
                </w:rPr>
                <w:t xml:space="preserve">Informacija apie </w:t>
              </w:r>
              <w:proofErr w:type="spellStart"/>
              <w:r w:rsidRPr="00000279">
                <w:rPr>
                  <w:rStyle w:val="Hyperlink"/>
                  <w:rFonts w:ascii="Times New Roman" w:hAnsi="Times New Roman"/>
                  <w:sz w:val="24"/>
                  <w:szCs w:val="24"/>
                </w:rPr>
                <w:t>AbbVie</w:t>
              </w:r>
              <w:proofErr w:type="spellEnd"/>
              <w:r w:rsidRPr="00000279">
                <w:rPr>
                  <w:rStyle w:val="Hyperlink"/>
                  <w:rFonts w:ascii="Times New Roman" w:hAnsi="Times New Roman"/>
                  <w:sz w:val="24"/>
                  <w:szCs w:val="24"/>
                </w:rPr>
                <w:t xml:space="preserve"> įsigijimą</w:t>
              </w:r>
            </w:hyperlink>
          </w:p>
        </w:tc>
        <w:tc>
          <w:tcPr>
            <w:tcW w:w="1547" w:type="dxa"/>
            <w:shd w:val="clear" w:color="auto" w:fill="auto"/>
            <w:tcMar>
              <w:top w:w="29" w:type="dxa"/>
              <w:left w:w="115" w:type="dxa"/>
              <w:bottom w:w="29" w:type="dxa"/>
              <w:right w:w="115" w:type="dxa"/>
            </w:tcMar>
          </w:tcPr>
          <w:p w14:paraId="661E5756" w14:textId="77777777" w:rsidR="00156744" w:rsidRPr="007558DE" w:rsidRDefault="00156744" w:rsidP="00156744">
            <w:pPr>
              <w:spacing w:after="0" w:line="240" w:lineRule="auto"/>
              <w:rPr>
                <w:rFonts w:ascii="Times New Roman" w:hAnsi="Times New Roman"/>
                <w:color w:val="000000" w:themeColor="text1"/>
                <w:sz w:val="24"/>
                <w:szCs w:val="24"/>
              </w:rPr>
            </w:pPr>
          </w:p>
        </w:tc>
      </w:tr>
      <w:tr w:rsidR="00156744" w:rsidRPr="007558DE" w14:paraId="194BB96F" w14:textId="77777777" w:rsidTr="00D40803">
        <w:trPr>
          <w:trHeight w:val="234"/>
        </w:trPr>
        <w:tc>
          <w:tcPr>
            <w:tcW w:w="1696" w:type="dxa"/>
            <w:shd w:val="clear" w:color="auto" w:fill="auto"/>
            <w:tcMar>
              <w:top w:w="29" w:type="dxa"/>
              <w:left w:w="115" w:type="dxa"/>
              <w:bottom w:w="29" w:type="dxa"/>
              <w:right w:w="115" w:type="dxa"/>
            </w:tcMar>
          </w:tcPr>
          <w:p w14:paraId="042C654D" w14:textId="77777777" w:rsidR="00156744" w:rsidRPr="007558DE" w:rsidRDefault="00156744" w:rsidP="00156744">
            <w:pPr>
              <w:spacing w:after="0" w:line="240" w:lineRule="auto"/>
              <w:rPr>
                <w:rFonts w:ascii="Times New Roman" w:hAnsi="Times New Roman"/>
                <w:sz w:val="24"/>
                <w:szCs w:val="24"/>
                <w:highlight w:val="yellow"/>
              </w:rPr>
            </w:pPr>
          </w:p>
        </w:tc>
        <w:tc>
          <w:tcPr>
            <w:tcW w:w="8080" w:type="dxa"/>
            <w:shd w:val="clear" w:color="auto" w:fill="auto"/>
            <w:tcMar>
              <w:top w:w="29" w:type="dxa"/>
              <w:left w:w="115" w:type="dxa"/>
              <w:bottom w:w="29" w:type="dxa"/>
              <w:right w:w="115" w:type="dxa"/>
            </w:tcMar>
          </w:tcPr>
          <w:p w14:paraId="34DC7373" w14:textId="77777777" w:rsidR="00F651AC" w:rsidRPr="00000279" w:rsidRDefault="00F651AC" w:rsidP="00000279">
            <w:pPr>
              <w:jc w:val="both"/>
              <w:rPr>
                <w:rFonts w:ascii="Times New Roman" w:eastAsiaTheme="minorHAnsi" w:hAnsi="Times New Roman"/>
                <w:sz w:val="24"/>
                <w:szCs w:val="24"/>
              </w:rPr>
            </w:pPr>
            <w:r w:rsidRPr="00000279">
              <w:rPr>
                <w:rFonts w:ascii="Times New Roman" w:hAnsi="Times New Roman"/>
                <w:sz w:val="24"/>
                <w:szCs w:val="24"/>
              </w:rPr>
              <w:t xml:space="preserve">Čikaga turi neblogus šansus pasivaržyti dėl infrastruktūros projektų finansavimo iš </w:t>
            </w:r>
            <w:proofErr w:type="spellStart"/>
            <w:r w:rsidRPr="00000279">
              <w:rPr>
                <w:rFonts w:ascii="Times New Roman" w:hAnsi="Times New Roman"/>
                <w:sz w:val="24"/>
                <w:szCs w:val="24"/>
              </w:rPr>
              <w:t>Joe</w:t>
            </w:r>
            <w:proofErr w:type="spellEnd"/>
            <w:r w:rsidRPr="00000279">
              <w:rPr>
                <w:rFonts w:ascii="Times New Roman" w:hAnsi="Times New Roman"/>
                <w:sz w:val="24"/>
                <w:szCs w:val="24"/>
              </w:rPr>
              <w:t xml:space="preserve"> </w:t>
            </w:r>
            <w:proofErr w:type="spellStart"/>
            <w:r w:rsidRPr="00000279">
              <w:rPr>
                <w:rFonts w:ascii="Times New Roman" w:hAnsi="Times New Roman"/>
                <w:sz w:val="24"/>
                <w:szCs w:val="24"/>
              </w:rPr>
              <w:t>Biden</w:t>
            </w:r>
            <w:proofErr w:type="spellEnd"/>
            <w:r w:rsidRPr="00000279">
              <w:rPr>
                <w:rFonts w:ascii="Times New Roman" w:hAnsi="Times New Roman"/>
                <w:sz w:val="24"/>
                <w:szCs w:val="24"/>
              </w:rPr>
              <w:t xml:space="preserve"> Infrastruktūros 1 trilijono dolerių plėtros programos. Šaltiniai teigia, kad finansuojami galėtų būti Šiaurės </w:t>
            </w:r>
            <w:proofErr w:type="spellStart"/>
            <w:r w:rsidRPr="00000279">
              <w:rPr>
                <w:rFonts w:ascii="Times New Roman" w:hAnsi="Times New Roman"/>
                <w:sz w:val="24"/>
                <w:szCs w:val="24"/>
              </w:rPr>
              <w:t>DuSable</w:t>
            </w:r>
            <w:proofErr w:type="spellEnd"/>
            <w:r w:rsidRPr="00000279">
              <w:rPr>
                <w:rFonts w:ascii="Times New Roman" w:hAnsi="Times New Roman"/>
                <w:sz w:val="24"/>
                <w:szCs w:val="24"/>
              </w:rPr>
              <w:t xml:space="preserve"> ežero pakrantės kelio rekonstrukcijos, Čikagos tranzito tarnybos (CTA) metro mėlynosios linijos pratęsimas iki </w:t>
            </w:r>
            <w:proofErr w:type="spellStart"/>
            <w:r w:rsidRPr="00000279">
              <w:rPr>
                <w:rFonts w:ascii="Times New Roman" w:hAnsi="Times New Roman"/>
                <w:sz w:val="24"/>
                <w:szCs w:val="24"/>
              </w:rPr>
              <w:t>Manheimo</w:t>
            </w:r>
            <w:proofErr w:type="spellEnd"/>
            <w:r w:rsidRPr="00000279">
              <w:rPr>
                <w:rFonts w:ascii="Times New Roman" w:hAnsi="Times New Roman"/>
                <w:sz w:val="24"/>
                <w:szCs w:val="24"/>
              </w:rPr>
              <w:t xml:space="preserve"> kelio, kaip dalis </w:t>
            </w:r>
            <w:proofErr w:type="spellStart"/>
            <w:r w:rsidRPr="00000279">
              <w:rPr>
                <w:rFonts w:ascii="Times New Roman" w:hAnsi="Times New Roman"/>
                <w:sz w:val="24"/>
                <w:szCs w:val="24"/>
              </w:rPr>
              <w:t>Eisenhower</w:t>
            </w:r>
            <w:proofErr w:type="spellEnd"/>
            <w:r w:rsidRPr="00000279">
              <w:rPr>
                <w:rFonts w:ascii="Times New Roman" w:hAnsi="Times New Roman"/>
                <w:sz w:val="24"/>
                <w:szCs w:val="24"/>
              </w:rPr>
              <w:t xml:space="preserve"> greitkelio (I-90) rekonstrukcijos, iš dalies finansuojamos 75-osios gatvės geležinkelio linijos užbaigimo ir kt. projektai. </w:t>
            </w:r>
          </w:p>
          <w:p w14:paraId="3636F378" w14:textId="5410521C" w:rsidR="00C60A1C" w:rsidRPr="00000279" w:rsidRDefault="00C60A1C" w:rsidP="00000279">
            <w:pPr>
              <w:spacing w:after="0" w:line="240" w:lineRule="auto"/>
              <w:jc w:val="both"/>
              <w:rPr>
                <w:rFonts w:ascii="Times New Roman" w:hAnsi="Times New Roman"/>
                <w:sz w:val="24"/>
                <w:szCs w:val="24"/>
              </w:rPr>
            </w:pPr>
          </w:p>
        </w:tc>
        <w:tc>
          <w:tcPr>
            <w:tcW w:w="3788" w:type="dxa"/>
            <w:shd w:val="clear" w:color="auto" w:fill="auto"/>
            <w:tcMar>
              <w:top w:w="29" w:type="dxa"/>
              <w:left w:w="115" w:type="dxa"/>
              <w:bottom w:w="29" w:type="dxa"/>
              <w:right w:w="115" w:type="dxa"/>
            </w:tcMar>
          </w:tcPr>
          <w:p w14:paraId="6F475E67" w14:textId="77777777" w:rsidR="00075790" w:rsidRPr="00000279" w:rsidRDefault="00F651AC" w:rsidP="00156744">
            <w:pPr>
              <w:spacing w:after="0" w:line="240" w:lineRule="auto"/>
              <w:rPr>
                <w:rFonts w:ascii="Times New Roman" w:hAnsi="Times New Roman"/>
                <w:sz w:val="24"/>
                <w:szCs w:val="24"/>
              </w:rPr>
            </w:pPr>
            <w:hyperlink r:id="rId18" w:history="1">
              <w:r w:rsidRPr="00000279">
                <w:rPr>
                  <w:rStyle w:val="Hyperlink"/>
                  <w:rFonts w:ascii="Times New Roman" w:hAnsi="Times New Roman"/>
                  <w:sz w:val="24"/>
                  <w:szCs w:val="24"/>
                </w:rPr>
                <w:t>JAV Transporto departamento informacija</w:t>
              </w:r>
            </w:hyperlink>
          </w:p>
          <w:p w14:paraId="6F6B4AF2" w14:textId="77777777" w:rsidR="00F651AC" w:rsidRPr="00000279" w:rsidRDefault="00F651AC" w:rsidP="00156744">
            <w:pPr>
              <w:spacing w:after="0" w:line="240" w:lineRule="auto"/>
              <w:rPr>
                <w:rFonts w:ascii="Times New Roman" w:hAnsi="Times New Roman"/>
                <w:sz w:val="24"/>
                <w:szCs w:val="24"/>
              </w:rPr>
            </w:pPr>
          </w:p>
          <w:p w14:paraId="75271AC8" w14:textId="1007B524" w:rsidR="00F651AC" w:rsidRPr="00000279" w:rsidRDefault="00F651AC" w:rsidP="00F651AC">
            <w:pPr>
              <w:spacing w:after="0" w:line="240" w:lineRule="auto"/>
              <w:rPr>
                <w:rFonts w:ascii="Times New Roman" w:hAnsi="Times New Roman"/>
                <w:sz w:val="24"/>
                <w:szCs w:val="24"/>
              </w:rPr>
            </w:pPr>
            <w:hyperlink r:id="rId19" w:history="1">
              <w:r w:rsidRPr="00000279">
                <w:rPr>
                  <w:rStyle w:val="Hyperlink"/>
                  <w:rFonts w:ascii="Times New Roman" w:hAnsi="Times New Roman"/>
                  <w:sz w:val="24"/>
                  <w:szCs w:val="24"/>
                </w:rPr>
                <w:t xml:space="preserve">Transporto sekretoriaus </w:t>
              </w:r>
              <w:proofErr w:type="spellStart"/>
              <w:r w:rsidRPr="00000279">
                <w:rPr>
                  <w:rStyle w:val="Hyperlink"/>
                  <w:rFonts w:ascii="Times New Roman" w:hAnsi="Times New Roman"/>
                  <w:sz w:val="24"/>
                  <w:szCs w:val="24"/>
                </w:rPr>
                <w:t>Pete</w:t>
              </w:r>
              <w:proofErr w:type="spellEnd"/>
              <w:r w:rsidRPr="00000279">
                <w:rPr>
                  <w:rStyle w:val="Hyperlink"/>
                  <w:rFonts w:ascii="Times New Roman" w:hAnsi="Times New Roman"/>
                  <w:sz w:val="24"/>
                  <w:szCs w:val="24"/>
                </w:rPr>
                <w:t xml:space="preserve"> </w:t>
              </w:r>
              <w:proofErr w:type="spellStart"/>
              <w:r w:rsidRPr="00000279">
                <w:rPr>
                  <w:rStyle w:val="Hyperlink"/>
                  <w:rFonts w:ascii="Times New Roman" w:hAnsi="Times New Roman"/>
                  <w:sz w:val="24"/>
                  <w:szCs w:val="24"/>
                </w:rPr>
                <w:t>Buttigieg</w:t>
              </w:r>
              <w:proofErr w:type="spellEnd"/>
              <w:r w:rsidRPr="00000279">
                <w:rPr>
                  <w:rStyle w:val="Hyperlink"/>
                  <w:rFonts w:ascii="Times New Roman" w:hAnsi="Times New Roman"/>
                  <w:sz w:val="24"/>
                  <w:szCs w:val="24"/>
                </w:rPr>
                <w:t xml:space="preserve"> pasisakymas</w:t>
              </w:r>
            </w:hyperlink>
            <w:r w:rsidRPr="00000279">
              <w:rPr>
                <w:rFonts w:ascii="Times New Roman" w:hAnsi="Times New Roman"/>
                <w:sz w:val="24"/>
                <w:szCs w:val="24"/>
              </w:rPr>
              <w:t xml:space="preserve"> </w:t>
            </w:r>
          </w:p>
        </w:tc>
        <w:tc>
          <w:tcPr>
            <w:tcW w:w="1547" w:type="dxa"/>
            <w:shd w:val="clear" w:color="auto" w:fill="auto"/>
            <w:tcMar>
              <w:top w:w="29" w:type="dxa"/>
              <w:left w:w="115" w:type="dxa"/>
              <w:bottom w:w="29" w:type="dxa"/>
              <w:right w:w="115" w:type="dxa"/>
            </w:tcMar>
          </w:tcPr>
          <w:p w14:paraId="783B62D7" w14:textId="77777777" w:rsidR="00156744" w:rsidRPr="007558DE" w:rsidRDefault="00156744" w:rsidP="00156744">
            <w:pPr>
              <w:spacing w:after="0" w:line="240" w:lineRule="auto"/>
              <w:rPr>
                <w:rFonts w:ascii="Times New Roman" w:hAnsi="Times New Roman"/>
                <w:color w:val="000000" w:themeColor="text1"/>
                <w:sz w:val="24"/>
                <w:szCs w:val="24"/>
              </w:rPr>
            </w:pPr>
          </w:p>
        </w:tc>
      </w:tr>
      <w:tr w:rsidR="004603A1" w:rsidRPr="007558DE" w14:paraId="5434BB41" w14:textId="77777777" w:rsidTr="00D40803">
        <w:trPr>
          <w:trHeight w:val="234"/>
        </w:trPr>
        <w:tc>
          <w:tcPr>
            <w:tcW w:w="1696" w:type="dxa"/>
            <w:shd w:val="clear" w:color="auto" w:fill="auto"/>
            <w:tcMar>
              <w:top w:w="29" w:type="dxa"/>
              <w:left w:w="115" w:type="dxa"/>
              <w:bottom w:w="29" w:type="dxa"/>
              <w:right w:w="115" w:type="dxa"/>
            </w:tcMar>
          </w:tcPr>
          <w:p w14:paraId="225406A9" w14:textId="77777777" w:rsidR="004603A1" w:rsidRPr="007558DE" w:rsidRDefault="004603A1" w:rsidP="00156744">
            <w:pPr>
              <w:spacing w:after="0" w:line="240" w:lineRule="auto"/>
              <w:rPr>
                <w:rFonts w:ascii="Times New Roman" w:hAnsi="Times New Roman"/>
                <w:sz w:val="24"/>
                <w:szCs w:val="24"/>
                <w:highlight w:val="yellow"/>
              </w:rPr>
            </w:pPr>
          </w:p>
        </w:tc>
        <w:tc>
          <w:tcPr>
            <w:tcW w:w="8080" w:type="dxa"/>
            <w:shd w:val="clear" w:color="auto" w:fill="auto"/>
            <w:tcMar>
              <w:top w:w="29" w:type="dxa"/>
              <w:left w:w="115" w:type="dxa"/>
              <w:bottom w:w="29" w:type="dxa"/>
              <w:right w:w="115" w:type="dxa"/>
            </w:tcMar>
          </w:tcPr>
          <w:p w14:paraId="0C905817" w14:textId="1C3E67ED" w:rsidR="004603A1" w:rsidRPr="00000279" w:rsidRDefault="004603A1" w:rsidP="00000279">
            <w:pPr>
              <w:jc w:val="both"/>
              <w:rPr>
                <w:rFonts w:ascii="Times New Roman" w:hAnsi="Times New Roman"/>
                <w:sz w:val="24"/>
                <w:szCs w:val="24"/>
              </w:rPr>
            </w:pPr>
            <w:r w:rsidRPr="00000279">
              <w:rPr>
                <w:rFonts w:ascii="Times New Roman" w:hAnsi="Times New Roman"/>
                <w:sz w:val="24"/>
                <w:szCs w:val="24"/>
              </w:rPr>
              <w:t xml:space="preserve">Pirmaujanti medicinos įrangos teikėja </w:t>
            </w:r>
            <w:proofErr w:type="spellStart"/>
            <w:r w:rsidRPr="00000279">
              <w:rPr>
                <w:rFonts w:ascii="Times New Roman" w:hAnsi="Times New Roman"/>
                <w:sz w:val="24"/>
                <w:szCs w:val="24"/>
              </w:rPr>
              <w:t>Mendtronix</w:t>
            </w:r>
            <w:proofErr w:type="spellEnd"/>
            <w:r w:rsidRPr="00000279">
              <w:rPr>
                <w:rFonts w:ascii="Times New Roman" w:hAnsi="Times New Roman"/>
                <w:sz w:val="24"/>
                <w:szCs w:val="24"/>
              </w:rPr>
              <w:t xml:space="preserve"> </w:t>
            </w:r>
            <w:proofErr w:type="spellStart"/>
            <w:r w:rsidRPr="00000279">
              <w:rPr>
                <w:rFonts w:ascii="Times New Roman" w:hAnsi="Times New Roman"/>
                <w:sz w:val="24"/>
                <w:szCs w:val="24"/>
              </w:rPr>
              <w:t>Inc</w:t>
            </w:r>
            <w:proofErr w:type="spellEnd"/>
            <w:r w:rsidRPr="00000279">
              <w:rPr>
                <w:rFonts w:ascii="Times New Roman" w:hAnsi="Times New Roman"/>
                <w:sz w:val="24"/>
                <w:szCs w:val="24"/>
              </w:rPr>
              <w:t>. praneša apie naujo didžiulio objekto įsigijimą JAV Vakarų pakrantėje, San Diege, Kalifornijoje. Naujai įsigytas 88 000 kv. pėdų objektas apims visas įmones vakarinės pakrantės veiklas, skirtas medicinos prietaisams. Šis žingsnis leis įmonei pasiekti platesnę auditoriją, konsoliduos tris esamas San Diego srities operacijas ir suteiks daugiau galimybių nuolatiniam augimui.</w:t>
            </w:r>
          </w:p>
        </w:tc>
        <w:tc>
          <w:tcPr>
            <w:tcW w:w="3788" w:type="dxa"/>
            <w:shd w:val="clear" w:color="auto" w:fill="auto"/>
            <w:tcMar>
              <w:top w:w="29" w:type="dxa"/>
              <w:left w:w="115" w:type="dxa"/>
              <w:bottom w:w="29" w:type="dxa"/>
              <w:right w:w="115" w:type="dxa"/>
            </w:tcMar>
          </w:tcPr>
          <w:p w14:paraId="189023E7" w14:textId="6C90BF14" w:rsidR="004603A1" w:rsidRPr="00000279" w:rsidRDefault="004603A1" w:rsidP="00156744">
            <w:pPr>
              <w:spacing w:after="0" w:line="240" w:lineRule="auto"/>
              <w:rPr>
                <w:rFonts w:ascii="Times New Roman" w:hAnsi="Times New Roman"/>
                <w:sz w:val="24"/>
                <w:szCs w:val="24"/>
              </w:rPr>
            </w:pPr>
            <w:hyperlink r:id="rId20" w:history="1">
              <w:r w:rsidRPr="00000279">
                <w:rPr>
                  <w:rStyle w:val="Hyperlink"/>
                  <w:rFonts w:ascii="Times New Roman" w:hAnsi="Times New Roman"/>
                  <w:sz w:val="24"/>
                  <w:szCs w:val="24"/>
                </w:rPr>
                <w:t xml:space="preserve">Informacija apie </w:t>
              </w:r>
              <w:proofErr w:type="spellStart"/>
              <w:r w:rsidRPr="00000279">
                <w:rPr>
                  <w:rStyle w:val="Hyperlink"/>
                  <w:rFonts w:ascii="Times New Roman" w:hAnsi="Times New Roman"/>
                  <w:sz w:val="24"/>
                  <w:szCs w:val="24"/>
                </w:rPr>
                <w:t>Mendtronix</w:t>
              </w:r>
              <w:proofErr w:type="spellEnd"/>
              <w:r w:rsidRPr="00000279">
                <w:rPr>
                  <w:rStyle w:val="Hyperlink"/>
                  <w:rFonts w:ascii="Times New Roman" w:hAnsi="Times New Roman"/>
                  <w:sz w:val="24"/>
                  <w:szCs w:val="24"/>
                </w:rPr>
                <w:t xml:space="preserve"> įsigijimą</w:t>
              </w:r>
            </w:hyperlink>
          </w:p>
        </w:tc>
        <w:tc>
          <w:tcPr>
            <w:tcW w:w="1547" w:type="dxa"/>
            <w:shd w:val="clear" w:color="auto" w:fill="auto"/>
            <w:tcMar>
              <w:top w:w="29" w:type="dxa"/>
              <w:left w:w="115" w:type="dxa"/>
              <w:bottom w:w="29" w:type="dxa"/>
              <w:right w:w="115" w:type="dxa"/>
            </w:tcMar>
          </w:tcPr>
          <w:p w14:paraId="6CBE1B93" w14:textId="77777777" w:rsidR="004603A1" w:rsidRPr="007558DE" w:rsidRDefault="004603A1" w:rsidP="00156744">
            <w:pPr>
              <w:spacing w:after="0" w:line="240" w:lineRule="auto"/>
              <w:rPr>
                <w:rFonts w:ascii="Times New Roman" w:hAnsi="Times New Roman"/>
                <w:color w:val="000000" w:themeColor="text1"/>
                <w:sz w:val="24"/>
                <w:szCs w:val="24"/>
              </w:rPr>
            </w:pPr>
          </w:p>
        </w:tc>
      </w:tr>
      <w:tr w:rsidR="0060373E" w:rsidRPr="007558DE" w14:paraId="46D225FE" w14:textId="77777777" w:rsidTr="00685855">
        <w:trPr>
          <w:trHeight w:val="354"/>
        </w:trPr>
        <w:tc>
          <w:tcPr>
            <w:tcW w:w="15111" w:type="dxa"/>
            <w:gridSpan w:val="4"/>
            <w:shd w:val="clear" w:color="auto" w:fill="auto"/>
            <w:tcMar>
              <w:top w:w="29" w:type="dxa"/>
              <w:left w:w="115" w:type="dxa"/>
              <w:bottom w:w="29" w:type="dxa"/>
              <w:right w:w="115" w:type="dxa"/>
            </w:tcMar>
          </w:tcPr>
          <w:p w14:paraId="6A046CE3" w14:textId="77777777" w:rsidR="0060373E" w:rsidRPr="00000279" w:rsidRDefault="0060373E" w:rsidP="00000279">
            <w:pPr>
              <w:spacing w:after="0" w:line="240" w:lineRule="auto"/>
              <w:jc w:val="both"/>
              <w:rPr>
                <w:rFonts w:ascii="Times New Roman" w:hAnsi="Times New Roman"/>
                <w:sz w:val="24"/>
                <w:szCs w:val="24"/>
              </w:rPr>
            </w:pPr>
            <w:r w:rsidRPr="00000279">
              <w:rPr>
                <w:rFonts w:ascii="Times New Roman" w:hAnsi="Times New Roman"/>
                <w:sz w:val="24"/>
                <w:szCs w:val="24"/>
              </w:rPr>
              <w:t>Bendra ekonominė informacija</w:t>
            </w:r>
          </w:p>
        </w:tc>
      </w:tr>
      <w:tr w:rsidR="0060373E" w:rsidRPr="007558DE" w14:paraId="4C6331D3" w14:textId="77777777" w:rsidTr="00D40803">
        <w:trPr>
          <w:trHeight w:val="216"/>
        </w:trPr>
        <w:tc>
          <w:tcPr>
            <w:tcW w:w="1696" w:type="dxa"/>
            <w:shd w:val="clear" w:color="auto" w:fill="auto"/>
            <w:tcMar>
              <w:top w:w="29" w:type="dxa"/>
              <w:left w:w="115" w:type="dxa"/>
              <w:bottom w:w="29" w:type="dxa"/>
              <w:right w:w="115" w:type="dxa"/>
            </w:tcMar>
          </w:tcPr>
          <w:p w14:paraId="28618E98" w14:textId="77777777" w:rsidR="0060373E" w:rsidRPr="007558DE" w:rsidRDefault="0060373E" w:rsidP="0060373E">
            <w:pPr>
              <w:spacing w:after="0" w:line="240" w:lineRule="auto"/>
              <w:rPr>
                <w:rFonts w:ascii="Times New Roman" w:hAnsi="Times New Roman"/>
                <w:sz w:val="24"/>
                <w:szCs w:val="24"/>
              </w:rPr>
            </w:pPr>
          </w:p>
        </w:tc>
        <w:tc>
          <w:tcPr>
            <w:tcW w:w="8080" w:type="dxa"/>
            <w:shd w:val="clear" w:color="auto" w:fill="auto"/>
            <w:tcMar>
              <w:top w:w="29" w:type="dxa"/>
              <w:left w:w="115" w:type="dxa"/>
              <w:bottom w:w="29" w:type="dxa"/>
              <w:right w:w="115" w:type="dxa"/>
            </w:tcMar>
          </w:tcPr>
          <w:p w14:paraId="6C3035E9" w14:textId="77777777" w:rsidR="001B7EE2" w:rsidRPr="00000279" w:rsidRDefault="00F651AC" w:rsidP="00000279">
            <w:pPr>
              <w:spacing w:after="0" w:line="240" w:lineRule="auto"/>
              <w:jc w:val="both"/>
              <w:rPr>
                <w:rFonts w:ascii="Times New Roman" w:hAnsi="Times New Roman"/>
                <w:sz w:val="24"/>
                <w:szCs w:val="24"/>
              </w:rPr>
            </w:pPr>
            <w:r w:rsidRPr="00000279">
              <w:rPr>
                <w:rFonts w:ascii="Times New Roman" w:hAnsi="Times New Roman"/>
                <w:sz w:val="24"/>
                <w:szCs w:val="24"/>
              </w:rPr>
              <w:t xml:space="preserve">2022 m. kovo 15–16 d. vykusiame Federalinio atvirosios rinkos komiteto (FOMC) posėdyje posėdžio dalyviai pateikė savo prognozes apie labiausiai tikėtinus realaus bendrojo vidaus produkto (BVP) augimo, nedarbo lygio ir infliacijos rezultatus kiekvieniems metams nuo 2022 iki 2024 m. ir ilgesniu laikotarpiu. </w:t>
            </w:r>
            <w:r w:rsidRPr="00000279">
              <w:rPr>
                <w:rFonts w:ascii="Times New Roman" w:hAnsi="Times New Roman"/>
                <w:bCs/>
                <w:sz w:val="24"/>
                <w:szCs w:val="24"/>
              </w:rPr>
              <w:t>Federalinis rezervų bankas paskelbė, kad padidins palūkanų normas</w:t>
            </w:r>
            <w:r w:rsidRPr="00000279">
              <w:rPr>
                <w:rFonts w:ascii="Times New Roman" w:hAnsi="Times New Roman"/>
                <w:sz w:val="24"/>
                <w:szCs w:val="24"/>
              </w:rPr>
              <w:t xml:space="preserve">, siekdamas sustabdyti ekonomikos perkaitimą ir sumažinti infliaciją, kuri yra aukščiausia per keturis dešimtmečius. </w:t>
            </w:r>
            <w:proofErr w:type="spellStart"/>
            <w:r w:rsidRPr="00000279">
              <w:rPr>
                <w:rFonts w:ascii="Times New Roman" w:hAnsi="Times New Roman"/>
                <w:sz w:val="24"/>
                <w:szCs w:val="24"/>
              </w:rPr>
              <w:t>Fed</w:t>
            </w:r>
            <w:proofErr w:type="spellEnd"/>
            <w:r w:rsidRPr="00000279">
              <w:rPr>
                <w:rFonts w:ascii="Times New Roman" w:hAnsi="Times New Roman"/>
                <w:sz w:val="24"/>
                <w:szCs w:val="24"/>
              </w:rPr>
              <w:t xml:space="preserve"> pareigūnai pareiškė, kad jie padidins bazinę federalinių fondų palūkanų normą ketvirtadaliu procentinio punkto iki 0,25–0,5 procento nuo beveik nulio dabar. Teigiama, kad infliacija buvo didelė dėl „didesnio kainų spaudimo“ ir pridūrė, kad karas Ukrainoje ir „susiję įvykiai greičiausiai sukurs papildomą spaudimą infliacijai“, sakoma pranešime. Šis pareiškimas taip pat parodė, kad </w:t>
            </w:r>
            <w:proofErr w:type="spellStart"/>
            <w:r w:rsidRPr="00000279">
              <w:rPr>
                <w:rFonts w:ascii="Times New Roman" w:hAnsi="Times New Roman"/>
                <w:sz w:val="24"/>
                <w:szCs w:val="24"/>
              </w:rPr>
              <w:t>Fed</w:t>
            </w:r>
            <w:proofErr w:type="spellEnd"/>
            <w:r w:rsidRPr="00000279">
              <w:rPr>
                <w:rFonts w:ascii="Times New Roman" w:hAnsi="Times New Roman"/>
                <w:sz w:val="24"/>
                <w:szCs w:val="24"/>
              </w:rPr>
              <w:t xml:space="preserve"> netrukus gali paskelbti ir įgyvendinti planą sumažinti savo 9 trilijonų dolerių turto portfelį. Praėjusią savaitę centrinis bankas baigė ilgalaikę turto pirkimo skatinimo programą. Naujos prognozės rodo, kad dauguma pareigūnų tikisi, kad </w:t>
            </w:r>
            <w:r w:rsidRPr="00000279">
              <w:rPr>
                <w:rFonts w:ascii="Times New Roman" w:hAnsi="Times New Roman"/>
                <w:bCs/>
                <w:sz w:val="24"/>
                <w:szCs w:val="24"/>
              </w:rPr>
              <w:t>iki šių metų pabaigos federalinių fondų palūkanų norma padidės bent iki 1,875%,</w:t>
            </w:r>
            <w:r w:rsidRPr="00000279">
              <w:rPr>
                <w:rFonts w:ascii="Times New Roman" w:hAnsi="Times New Roman"/>
                <w:sz w:val="24"/>
                <w:szCs w:val="24"/>
              </w:rPr>
              <w:t xml:space="preserve"> remiantis 16 pareigūnų mediana, bei iki maždaug 2,75% iki 2023 m. pabaigos, o 2024 m. Tai reiškia, kad šiais metais laukia septyni palūkanų normų padidinimai ketvirčiu procentinio punkto, o kitais metais – dar trys ar keturi.</w:t>
            </w:r>
          </w:p>
          <w:p w14:paraId="41A8352F" w14:textId="10AD8767" w:rsidR="00F440E4" w:rsidRPr="00000279" w:rsidRDefault="00F440E4" w:rsidP="00000279">
            <w:pPr>
              <w:spacing w:after="0" w:line="240" w:lineRule="auto"/>
              <w:jc w:val="both"/>
              <w:rPr>
                <w:rFonts w:ascii="Times New Roman" w:eastAsiaTheme="minorHAnsi" w:hAnsi="Times New Roman"/>
                <w:sz w:val="24"/>
                <w:szCs w:val="24"/>
              </w:rPr>
            </w:pPr>
          </w:p>
        </w:tc>
        <w:tc>
          <w:tcPr>
            <w:tcW w:w="3788" w:type="dxa"/>
            <w:shd w:val="clear" w:color="auto" w:fill="auto"/>
            <w:tcMar>
              <w:top w:w="29" w:type="dxa"/>
              <w:left w:w="115" w:type="dxa"/>
              <w:bottom w:w="29" w:type="dxa"/>
              <w:right w:w="115" w:type="dxa"/>
            </w:tcMar>
          </w:tcPr>
          <w:p w14:paraId="6D0D2F5A" w14:textId="16CB4336" w:rsidR="0060373E" w:rsidRPr="00000279" w:rsidRDefault="00F651AC" w:rsidP="0060373E">
            <w:pPr>
              <w:spacing w:after="0" w:line="240" w:lineRule="auto"/>
              <w:rPr>
                <w:rFonts w:ascii="Times New Roman" w:hAnsi="Times New Roman"/>
                <w:sz w:val="24"/>
                <w:szCs w:val="24"/>
              </w:rPr>
            </w:pPr>
            <w:hyperlink r:id="rId21" w:history="1">
              <w:r w:rsidRPr="00000279">
                <w:rPr>
                  <w:rStyle w:val="Hyperlink"/>
                  <w:rFonts w:ascii="Times New Roman" w:hAnsi="Times New Roman"/>
                  <w:sz w:val="24"/>
                  <w:szCs w:val="24"/>
                </w:rPr>
                <w:t>FED ekonominės prognozės</w:t>
              </w:r>
            </w:hyperlink>
          </w:p>
        </w:tc>
        <w:tc>
          <w:tcPr>
            <w:tcW w:w="1547" w:type="dxa"/>
            <w:shd w:val="clear" w:color="auto" w:fill="auto"/>
            <w:tcMar>
              <w:top w:w="29" w:type="dxa"/>
              <w:left w:w="115" w:type="dxa"/>
              <w:bottom w:w="29" w:type="dxa"/>
              <w:right w:w="115" w:type="dxa"/>
            </w:tcMar>
          </w:tcPr>
          <w:p w14:paraId="2DDE8363" w14:textId="77777777" w:rsidR="0060373E" w:rsidRPr="007558DE" w:rsidRDefault="0060373E" w:rsidP="0060373E">
            <w:pPr>
              <w:spacing w:after="0" w:line="240" w:lineRule="auto"/>
              <w:rPr>
                <w:rFonts w:ascii="Times New Roman" w:hAnsi="Times New Roman"/>
                <w:color w:val="000000" w:themeColor="text1"/>
                <w:sz w:val="24"/>
                <w:szCs w:val="24"/>
              </w:rPr>
            </w:pPr>
          </w:p>
        </w:tc>
      </w:tr>
      <w:tr w:rsidR="0060373E" w:rsidRPr="007558DE" w14:paraId="72270115" w14:textId="77777777" w:rsidTr="00D40803">
        <w:trPr>
          <w:trHeight w:val="216"/>
        </w:trPr>
        <w:tc>
          <w:tcPr>
            <w:tcW w:w="1696" w:type="dxa"/>
            <w:shd w:val="clear" w:color="auto" w:fill="auto"/>
            <w:tcMar>
              <w:top w:w="29" w:type="dxa"/>
              <w:left w:w="115" w:type="dxa"/>
              <w:bottom w:w="29" w:type="dxa"/>
              <w:right w:w="115" w:type="dxa"/>
            </w:tcMar>
          </w:tcPr>
          <w:p w14:paraId="2F9F7536" w14:textId="77777777" w:rsidR="0060373E" w:rsidRPr="007558DE" w:rsidRDefault="0060373E" w:rsidP="0060373E">
            <w:pPr>
              <w:spacing w:after="0" w:line="240" w:lineRule="auto"/>
              <w:rPr>
                <w:rFonts w:ascii="Times New Roman" w:hAnsi="Times New Roman"/>
                <w:sz w:val="24"/>
                <w:szCs w:val="24"/>
              </w:rPr>
            </w:pPr>
          </w:p>
        </w:tc>
        <w:tc>
          <w:tcPr>
            <w:tcW w:w="8080" w:type="dxa"/>
            <w:shd w:val="clear" w:color="auto" w:fill="auto"/>
            <w:tcMar>
              <w:top w:w="29" w:type="dxa"/>
              <w:left w:w="115" w:type="dxa"/>
              <w:bottom w:w="29" w:type="dxa"/>
              <w:right w:w="115" w:type="dxa"/>
            </w:tcMar>
          </w:tcPr>
          <w:p w14:paraId="13606CFD" w14:textId="5D3A9C77" w:rsidR="0060373E" w:rsidRPr="00000279" w:rsidRDefault="00F440E4" w:rsidP="00461E64">
            <w:pPr>
              <w:jc w:val="both"/>
              <w:rPr>
                <w:rFonts w:ascii="Times New Roman" w:eastAsiaTheme="minorHAnsi" w:hAnsi="Times New Roman"/>
                <w:sz w:val="24"/>
                <w:szCs w:val="24"/>
              </w:rPr>
            </w:pPr>
            <w:r w:rsidRPr="00000279">
              <w:rPr>
                <w:rFonts w:ascii="Times New Roman" w:hAnsi="Times New Roman"/>
                <w:sz w:val="24"/>
                <w:szCs w:val="24"/>
              </w:rPr>
              <w:t xml:space="preserve">JAV Federalinio rezervų banko (FED) pirmininkas </w:t>
            </w:r>
            <w:proofErr w:type="spellStart"/>
            <w:r w:rsidRPr="00000279">
              <w:rPr>
                <w:rFonts w:ascii="Times New Roman" w:hAnsi="Times New Roman"/>
                <w:sz w:val="24"/>
                <w:szCs w:val="24"/>
              </w:rPr>
              <w:t>Jerome</w:t>
            </w:r>
            <w:proofErr w:type="spellEnd"/>
            <w:r w:rsidRPr="00000279">
              <w:rPr>
                <w:rFonts w:ascii="Times New Roman" w:hAnsi="Times New Roman"/>
                <w:sz w:val="24"/>
                <w:szCs w:val="24"/>
              </w:rPr>
              <w:t xml:space="preserve"> </w:t>
            </w:r>
            <w:proofErr w:type="spellStart"/>
            <w:r w:rsidRPr="00000279">
              <w:rPr>
                <w:rFonts w:ascii="Times New Roman" w:hAnsi="Times New Roman"/>
                <w:sz w:val="24"/>
                <w:szCs w:val="24"/>
              </w:rPr>
              <w:t>Powell</w:t>
            </w:r>
            <w:proofErr w:type="spellEnd"/>
            <w:r w:rsidRPr="00000279">
              <w:rPr>
                <w:rFonts w:ascii="Times New Roman" w:hAnsi="Times New Roman"/>
                <w:sz w:val="24"/>
                <w:szCs w:val="24"/>
              </w:rPr>
              <w:t xml:space="preserve"> teigia, </w:t>
            </w:r>
            <w:r w:rsidRPr="00000279">
              <w:rPr>
                <w:rFonts w:ascii="Times New Roman" w:hAnsi="Times New Roman"/>
                <w:bCs/>
                <w:sz w:val="24"/>
                <w:szCs w:val="24"/>
              </w:rPr>
              <w:t>kad centrinis bankas yra pasirengęs kelti palūkanų normas net pusės procentinio punkto žingsniais</w:t>
            </w:r>
            <w:r w:rsidRPr="00000279">
              <w:rPr>
                <w:rFonts w:ascii="Times New Roman" w:hAnsi="Times New Roman"/>
                <w:sz w:val="24"/>
                <w:szCs w:val="24"/>
              </w:rPr>
              <w:t xml:space="preserve">, kad sąmoningai sulėtintų ekonomikos augimą, jei nuspręs, kad tokie žingsniai yra pagrįsti infliacijai sumažinti. FED padidino bazinę palūkanų normą ketvirtadaliu procentinio punkto iki 0,25-0,5 proc. ir šiuo metu planuotų (prielaida!) ją kelti iki maždaug 2,75 proc. metinių palūkanų normos metų </w:t>
            </w:r>
            <w:r w:rsidRPr="00000279">
              <w:rPr>
                <w:rFonts w:ascii="Times New Roman" w:hAnsi="Times New Roman"/>
                <w:sz w:val="24"/>
                <w:szCs w:val="24"/>
              </w:rPr>
              <w:lastRenderedPageBreak/>
              <w:t xml:space="preserve">pabaigoje. Dauguma FED pareigūnų mano, kad neutrali norma, darant prielaidą, kad infliacija yra 2%, turi būti beveik 2,5%. Tačiau </w:t>
            </w:r>
            <w:proofErr w:type="spellStart"/>
            <w:r w:rsidRPr="00000279">
              <w:rPr>
                <w:rFonts w:ascii="Times New Roman" w:hAnsi="Times New Roman"/>
                <w:sz w:val="24"/>
                <w:szCs w:val="24"/>
              </w:rPr>
              <w:t>J.Powell</w:t>
            </w:r>
            <w:proofErr w:type="spellEnd"/>
            <w:r w:rsidRPr="00000279">
              <w:rPr>
                <w:rFonts w:ascii="Times New Roman" w:hAnsi="Times New Roman"/>
                <w:sz w:val="24"/>
                <w:szCs w:val="24"/>
              </w:rPr>
              <w:t xml:space="preserve"> ne kartą pabrėžė netikrumą, susijusį su esamais (pandemija) ir naujais veiksniais (Rusijos karas Ukrainoje), su kuriais kuriuo susiduria FED pareigūnai, vertindami padėtį. Remiantis FED infliacijos </w:t>
            </w:r>
            <w:proofErr w:type="spellStart"/>
            <w:r w:rsidRPr="00000279">
              <w:rPr>
                <w:rFonts w:ascii="Times New Roman" w:hAnsi="Times New Roman"/>
                <w:sz w:val="24"/>
                <w:szCs w:val="24"/>
              </w:rPr>
              <w:t>roduklliu</w:t>
            </w:r>
            <w:proofErr w:type="spellEnd"/>
            <w:r w:rsidRPr="00000279">
              <w:rPr>
                <w:rFonts w:ascii="Times New Roman" w:hAnsi="Times New Roman"/>
                <w:sz w:val="24"/>
                <w:szCs w:val="24"/>
              </w:rPr>
              <w:t xml:space="preserve">, sausio mėn. metinė infliacija pakilo iki 6,1%. Pagrindinė infliacija, neįskaitant maisto ir energijos, pakilo iki 5,2%. Dauguma pareigūnų dabar mano, kad pagrindinė infliacija metų pabaigoje sieks 4,1%. </w:t>
            </w:r>
            <w:proofErr w:type="spellStart"/>
            <w:r w:rsidRPr="00000279">
              <w:rPr>
                <w:rFonts w:ascii="Times New Roman" w:hAnsi="Times New Roman"/>
                <w:sz w:val="24"/>
                <w:szCs w:val="24"/>
              </w:rPr>
              <w:t>J.Powell</w:t>
            </w:r>
            <w:proofErr w:type="spellEnd"/>
            <w:r w:rsidRPr="00000279">
              <w:rPr>
                <w:rFonts w:ascii="Times New Roman" w:hAnsi="Times New Roman"/>
                <w:sz w:val="24"/>
                <w:szCs w:val="24"/>
              </w:rPr>
              <w:t xml:space="preserve"> teigia, kad infliacijos perspektyvos „labai pablogėjo dar prieš Rusijai įsiveržiant į Ukrainą“, ir perspėjo, kad karo Europoje padariniai ir Vakarų sankcijos Rusijos ekonomikai gali dar labiau sustiprinti tiekimo grandinės sutrikimus ir didinti kainas. </w:t>
            </w:r>
          </w:p>
        </w:tc>
        <w:tc>
          <w:tcPr>
            <w:tcW w:w="3788" w:type="dxa"/>
            <w:shd w:val="clear" w:color="auto" w:fill="auto"/>
            <w:tcMar>
              <w:top w:w="29" w:type="dxa"/>
              <w:left w:w="115" w:type="dxa"/>
              <w:bottom w:w="29" w:type="dxa"/>
              <w:right w:w="115" w:type="dxa"/>
            </w:tcMar>
          </w:tcPr>
          <w:p w14:paraId="7541ED9D" w14:textId="7E4146D0" w:rsidR="00FE6F7B" w:rsidRPr="00000279" w:rsidRDefault="00F440E4" w:rsidP="0060373E">
            <w:pPr>
              <w:spacing w:after="0" w:line="240" w:lineRule="auto"/>
              <w:rPr>
                <w:rFonts w:ascii="Times New Roman" w:hAnsi="Times New Roman"/>
                <w:sz w:val="24"/>
                <w:szCs w:val="24"/>
              </w:rPr>
            </w:pPr>
            <w:hyperlink r:id="rId22" w:history="1">
              <w:r w:rsidRPr="00000279">
                <w:rPr>
                  <w:rStyle w:val="Hyperlink"/>
                  <w:rFonts w:ascii="Times New Roman" w:hAnsi="Times New Roman"/>
                  <w:sz w:val="24"/>
                  <w:szCs w:val="24"/>
                </w:rPr>
                <w:t>FED vadovo komentarai dėl palūkanų normos kėlimo</w:t>
              </w:r>
            </w:hyperlink>
          </w:p>
        </w:tc>
        <w:tc>
          <w:tcPr>
            <w:tcW w:w="1547" w:type="dxa"/>
            <w:shd w:val="clear" w:color="auto" w:fill="auto"/>
            <w:tcMar>
              <w:top w:w="29" w:type="dxa"/>
              <w:left w:w="115" w:type="dxa"/>
              <w:bottom w:w="29" w:type="dxa"/>
              <w:right w:w="115" w:type="dxa"/>
            </w:tcMar>
          </w:tcPr>
          <w:p w14:paraId="7D4599B7" w14:textId="77777777" w:rsidR="0060373E" w:rsidRPr="007558DE" w:rsidRDefault="0060373E" w:rsidP="0060373E">
            <w:pPr>
              <w:spacing w:after="0" w:line="240" w:lineRule="auto"/>
              <w:rPr>
                <w:rFonts w:ascii="Times New Roman" w:hAnsi="Times New Roman"/>
                <w:color w:val="000000" w:themeColor="text1"/>
                <w:sz w:val="24"/>
                <w:szCs w:val="24"/>
              </w:rPr>
            </w:pPr>
          </w:p>
        </w:tc>
      </w:tr>
      <w:tr w:rsidR="0060373E" w:rsidRPr="007558DE" w14:paraId="1E984284" w14:textId="77777777" w:rsidTr="00D40803">
        <w:trPr>
          <w:trHeight w:val="216"/>
        </w:trPr>
        <w:tc>
          <w:tcPr>
            <w:tcW w:w="1696" w:type="dxa"/>
            <w:shd w:val="clear" w:color="auto" w:fill="auto"/>
            <w:tcMar>
              <w:top w:w="29" w:type="dxa"/>
              <w:left w:w="115" w:type="dxa"/>
              <w:bottom w:w="29" w:type="dxa"/>
              <w:right w:w="115" w:type="dxa"/>
            </w:tcMar>
          </w:tcPr>
          <w:p w14:paraId="15540ABE" w14:textId="77777777" w:rsidR="0060373E" w:rsidRPr="007558DE" w:rsidRDefault="0060373E" w:rsidP="0060373E">
            <w:pPr>
              <w:spacing w:after="0" w:line="240" w:lineRule="auto"/>
              <w:rPr>
                <w:rFonts w:ascii="Times New Roman" w:hAnsi="Times New Roman"/>
                <w:sz w:val="24"/>
                <w:szCs w:val="24"/>
              </w:rPr>
            </w:pPr>
          </w:p>
        </w:tc>
        <w:tc>
          <w:tcPr>
            <w:tcW w:w="8080" w:type="dxa"/>
            <w:shd w:val="clear" w:color="auto" w:fill="auto"/>
            <w:tcMar>
              <w:top w:w="29" w:type="dxa"/>
              <w:left w:w="115" w:type="dxa"/>
              <w:bottom w:w="29" w:type="dxa"/>
              <w:right w:w="115" w:type="dxa"/>
            </w:tcMar>
          </w:tcPr>
          <w:p w14:paraId="542CD9BD" w14:textId="20B542DE" w:rsidR="00E978E7" w:rsidRPr="00461E64" w:rsidRDefault="006A057D" w:rsidP="00000279">
            <w:pPr>
              <w:spacing w:line="240" w:lineRule="auto"/>
              <w:jc w:val="both"/>
              <w:rPr>
                <w:rFonts w:ascii="Times New Roman" w:eastAsiaTheme="minorHAnsi" w:hAnsi="Times New Roman"/>
                <w:sz w:val="24"/>
                <w:szCs w:val="24"/>
              </w:rPr>
            </w:pPr>
            <w:r w:rsidRPr="00461E64">
              <w:rPr>
                <w:rFonts w:ascii="Times New Roman" w:hAnsi="Times New Roman"/>
                <w:sz w:val="24"/>
                <w:szCs w:val="24"/>
              </w:rPr>
              <w:t>Darbo statistikos federalinio biuro duomenimis, JAV š. m. vasario mėn. atkurta 19,6 mln. darbo vietų iš 21 mln., kurios buvo prarastos dėl COVID19 pandemijos. Dvidešimt vienoje valstijoje darbo vietų skaičius jau viršija prieš pandemiją buvusį užimtumo lygį. Iš žemyninių valstijų blogiausia situacija išlieka Niujorko valstijoje, kurioje užimtumo lygis vis dar 4,1 procento mažesnis nei prieš pandemiją. Daugiausia darbo vietų buvo prarasta Niujorko mieste, kuriame šiuo metu vis dar 7 procentais mažiau darbo vietų nei 2020 metų vasario mėnesį. Apklausos rodo, kad Niujorko ekonomikos atsigavimą apsunkina nerimas dėl padidėjusio nusikalstamumo ir prastėjančios gyvenimo kokybės.</w:t>
            </w:r>
          </w:p>
        </w:tc>
        <w:tc>
          <w:tcPr>
            <w:tcW w:w="3788" w:type="dxa"/>
            <w:shd w:val="clear" w:color="auto" w:fill="auto"/>
            <w:tcMar>
              <w:top w:w="29" w:type="dxa"/>
              <w:left w:w="115" w:type="dxa"/>
              <w:bottom w:w="29" w:type="dxa"/>
              <w:right w:w="115" w:type="dxa"/>
            </w:tcMar>
          </w:tcPr>
          <w:p w14:paraId="76C76561" w14:textId="77777777" w:rsidR="00226F31" w:rsidRPr="00000279" w:rsidRDefault="006A057D" w:rsidP="0060373E">
            <w:pPr>
              <w:spacing w:after="0" w:line="240" w:lineRule="auto"/>
              <w:rPr>
                <w:rFonts w:ascii="Times New Roman" w:eastAsia="Times New Roman" w:hAnsi="Times New Roman"/>
                <w:color w:val="050505"/>
                <w:sz w:val="24"/>
                <w:szCs w:val="24"/>
              </w:rPr>
            </w:pPr>
            <w:hyperlink r:id="rId23" w:history="1">
              <w:r w:rsidRPr="00000279">
                <w:rPr>
                  <w:rStyle w:val="Hyperlink"/>
                  <w:rFonts w:ascii="Times New Roman" w:eastAsia="Times New Roman" w:hAnsi="Times New Roman"/>
                  <w:sz w:val="24"/>
                  <w:szCs w:val="24"/>
                </w:rPr>
                <w:t>JAV Darbo rinkos tendencijų analizė</w:t>
              </w:r>
            </w:hyperlink>
          </w:p>
          <w:p w14:paraId="2FC9655D" w14:textId="77777777" w:rsidR="006A057D" w:rsidRPr="00000279" w:rsidRDefault="006A057D" w:rsidP="0060373E">
            <w:pPr>
              <w:spacing w:after="0" w:line="240" w:lineRule="auto"/>
              <w:rPr>
                <w:rFonts w:ascii="Times New Roman" w:eastAsia="Times New Roman" w:hAnsi="Times New Roman"/>
                <w:color w:val="050505"/>
                <w:sz w:val="24"/>
                <w:szCs w:val="24"/>
              </w:rPr>
            </w:pPr>
          </w:p>
          <w:p w14:paraId="57AA02C6" w14:textId="6A19D82B" w:rsidR="006A057D" w:rsidRPr="00000279" w:rsidRDefault="006A057D" w:rsidP="0060373E">
            <w:pPr>
              <w:spacing w:after="0" w:line="240" w:lineRule="auto"/>
              <w:rPr>
                <w:rFonts w:ascii="Times New Roman" w:eastAsia="Times New Roman" w:hAnsi="Times New Roman"/>
                <w:color w:val="050505"/>
                <w:sz w:val="24"/>
                <w:szCs w:val="24"/>
              </w:rPr>
            </w:pPr>
            <w:hyperlink r:id="rId24" w:history="1">
              <w:r w:rsidRPr="00000279">
                <w:rPr>
                  <w:rStyle w:val="Hyperlink"/>
                  <w:rFonts w:ascii="Times New Roman" w:eastAsia="Times New Roman" w:hAnsi="Times New Roman"/>
                  <w:sz w:val="24"/>
                  <w:szCs w:val="24"/>
                </w:rPr>
                <w:t>Darbo statistikos biuro COVID19 poveikio darbo rinkai analizė</w:t>
              </w:r>
            </w:hyperlink>
          </w:p>
        </w:tc>
        <w:tc>
          <w:tcPr>
            <w:tcW w:w="1547" w:type="dxa"/>
            <w:shd w:val="clear" w:color="auto" w:fill="auto"/>
            <w:tcMar>
              <w:top w:w="29" w:type="dxa"/>
              <w:left w:w="115" w:type="dxa"/>
              <w:bottom w:w="29" w:type="dxa"/>
              <w:right w:w="115" w:type="dxa"/>
            </w:tcMar>
          </w:tcPr>
          <w:p w14:paraId="30393AF9" w14:textId="77777777" w:rsidR="0060373E" w:rsidRPr="007558DE" w:rsidRDefault="0060373E" w:rsidP="0060373E">
            <w:pPr>
              <w:spacing w:after="0" w:line="240" w:lineRule="auto"/>
              <w:rPr>
                <w:rFonts w:ascii="Times New Roman" w:hAnsi="Times New Roman"/>
                <w:color w:val="000000" w:themeColor="text1"/>
                <w:sz w:val="24"/>
                <w:szCs w:val="24"/>
                <w:lang w:val="en-US"/>
              </w:rPr>
            </w:pPr>
          </w:p>
        </w:tc>
      </w:tr>
      <w:tr w:rsidR="0060373E" w:rsidRPr="007558DE" w14:paraId="75BBBA73" w14:textId="77777777" w:rsidTr="00D40803">
        <w:trPr>
          <w:trHeight w:val="216"/>
        </w:trPr>
        <w:tc>
          <w:tcPr>
            <w:tcW w:w="1696" w:type="dxa"/>
            <w:shd w:val="clear" w:color="auto" w:fill="auto"/>
            <w:tcMar>
              <w:top w:w="29" w:type="dxa"/>
              <w:left w:w="115" w:type="dxa"/>
              <w:bottom w:w="29" w:type="dxa"/>
              <w:right w:w="115" w:type="dxa"/>
            </w:tcMar>
          </w:tcPr>
          <w:p w14:paraId="5D402ACB" w14:textId="77777777" w:rsidR="0060373E" w:rsidRPr="007558DE" w:rsidRDefault="0060373E" w:rsidP="0060373E">
            <w:pPr>
              <w:spacing w:after="0" w:line="240" w:lineRule="auto"/>
              <w:rPr>
                <w:rFonts w:ascii="Times New Roman" w:hAnsi="Times New Roman"/>
                <w:sz w:val="24"/>
                <w:szCs w:val="24"/>
              </w:rPr>
            </w:pPr>
          </w:p>
        </w:tc>
        <w:tc>
          <w:tcPr>
            <w:tcW w:w="8080" w:type="dxa"/>
            <w:shd w:val="clear" w:color="auto" w:fill="auto"/>
            <w:tcMar>
              <w:top w:w="29" w:type="dxa"/>
              <w:left w:w="115" w:type="dxa"/>
              <w:bottom w:w="29" w:type="dxa"/>
              <w:right w:w="115" w:type="dxa"/>
            </w:tcMar>
          </w:tcPr>
          <w:p w14:paraId="01B6A5DC" w14:textId="384A3C6C" w:rsidR="0060373E" w:rsidRPr="00461E64" w:rsidRDefault="006A057D" w:rsidP="00000279">
            <w:pPr>
              <w:spacing w:line="240" w:lineRule="auto"/>
              <w:jc w:val="both"/>
              <w:rPr>
                <w:rFonts w:ascii="Times New Roman" w:hAnsi="Times New Roman"/>
                <w:sz w:val="24"/>
                <w:szCs w:val="24"/>
              </w:rPr>
            </w:pPr>
            <w:r w:rsidRPr="00461E64">
              <w:rPr>
                <w:rFonts w:ascii="Times New Roman" w:hAnsi="Times New Roman"/>
                <w:sz w:val="24"/>
                <w:szCs w:val="24"/>
              </w:rPr>
              <w:t>Gyvenamojo būsto nuomos kainos Niujorko mieste per metus (2021 m. sausis- 2022 m. sausis) vidutiniškai pakilo 33 procentais ir dvigubai viršija bendrąjį JAV nuomos vidurkį. Tai didžiausias nuomos kainos šuolis iš 100 didžiųjų JAV miestų.</w:t>
            </w:r>
          </w:p>
        </w:tc>
        <w:tc>
          <w:tcPr>
            <w:tcW w:w="3788" w:type="dxa"/>
            <w:shd w:val="clear" w:color="auto" w:fill="auto"/>
            <w:tcMar>
              <w:top w:w="29" w:type="dxa"/>
              <w:left w:w="115" w:type="dxa"/>
              <w:bottom w:w="29" w:type="dxa"/>
              <w:right w:w="115" w:type="dxa"/>
            </w:tcMar>
          </w:tcPr>
          <w:p w14:paraId="5705A2EA" w14:textId="10DFA360" w:rsidR="00AE6929" w:rsidRPr="00000279" w:rsidRDefault="00865D36" w:rsidP="0060373E">
            <w:pPr>
              <w:spacing w:after="0" w:line="240" w:lineRule="auto"/>
              <w:rPr>
                <w:rFonts w:ascii="Times New Roman" w:hAnsi="Times New Roman"/>
                <w:sz w:val="24"/>
                <w:szCs w:val="24"/>
              </w:rPr>
            </w:pPr>
            <w:hyperlink r:id="rId25" w:history="1">
              <w:r w:rsidRPr="00000279">
                <w:rPr>
                  <w:rStyle w:val="Hyperlink"/>
                  <w:rFonts w:ascii="Times New Roman" w:hAnsi="Times New Roman"/>
                  <w:sz w:val="24"/>
                  <w:szCs w:val="24"/>
                </w:rPr>
                <w:t>NT nuomos rinkos analizė</w:t>
              </w:r>
            </w:hyperlink>
            <w:r w:rsidRPr="00000279">
              <w:rPr>
                <w:rFonts w:ascii="Times New Roman" w:hAnsi="Times New Roman"/>
                <w:sz w:val="24"/>
                <w:szCs w:val="24"/>
              </w:rPr>
              <w:t xml:space="preserve"> </w:t>
            </w:r>
          </w:p>
        </w:tc>
        <w:tc>
          <w:tcPr>
            <w:tcW w:w="1547" w:type="dxa"/>
            <w:shd w:val="clear" w:color="auto" w:fill="auto"/>
            <w:tcMar>
              <w:top w:w="29" w:type="dxa"/>
              <w:left w:w="115" w:type="dxa"/>
              <w:bottom w:w="29" w:type="dxa"/>
              <w:right w:w="115" w:type="dxa"/>
            </w:tcMar>
          </w:tcPr>
          <w:p w14:paraId="0E47DB7B" w14:textId="77777777" w:rsidR="0060373E" w:rsidRPr="007558DE" w:rsidRDefault="0060373E" w:rsidP="0060373E">
            <w:pPr>
              <w:spacing w:after="0" w:line="240" w:lineRule="auto"/>
              <w:rPr>
                <w:rFonts w:ascii="Times New Roman" w:hAnsi="Times New Roman"/>
                <w:color w:val="000000" w:themeColor="text1"/>
                <w:sz w:val="24"/>
                <w:szCs w:val="24"/>
              </w:rPr>
            </w:pPr>
          </w:p>
        </w:tc>
      </w:tr>
      <w:tr w:rsidR="00E978E7" w:rsidRPr="007558DE" w14:paraId="15D95606" w14:textId="77777777" w:rsidTr="00D40803">
        <w:trPr>
          <w:trHeight w:val="216"/>
        </w:trPr>
        <w:tc>
          <w:tcPr>
            <w:tcW w:w="1696" w:type="dxa"/>
            <w:shd w:val="clear" w:color="auto" w:fill="auto"/>
            <w:tcMar>
              <w:top w:w="29" w:type="dxa"/>
              <w:left w:w="115" w:type="dxa"/>
              <w:bottom w:w="29" w:type="dxa"/>
              <w:right w:w="115" w:type="dxa"/>
            </w:tcMar>
          </w:tcPr>
          <w:p w14:paraId="7914A76C" w14:textId="77777777" w:rsidR="00E978E7" w:rsidRPr="007558DE" w:rsidRDefault="00E978E7" w:rsidP="001B7EE2">
            <w:pPr>
              <w:spacing w:after="0" w:line="240" w:lineRule="auto"/>
              <w:jc w:val="both"/>
              <w:rPr>
                <w:rFonts w:ascii="Times New Roman" w:hAnsi="Times New Roman"/>
                <w:sz w:val="24"/>
                <w:szCs w:val="24"/>
              </w:rPr>
            </w:pPr>
          </w:p>
        </w:tc>
        <w:tc>
          <w:tcPr>
            <w:tcW w:w="8080" w:type="dxa"/>
            <w:shd w:val="clear" w:color="auto" w:fill="auto"/>
            <w:tcMar>
              <w:top w:w="29" w:type="dxa"/>
              <w:left w:w="115" w:type="dxa"/>
              <w:bottom w:w="29" w:type="dxa"/>
              <w:right w:w="115" w:type="dxa"/>
            </w:tcMar>
          </w:tcPr>
          <w:p w14:paraId="042DA5B2" w14:textId="439F079A" w:rsidR="00865D36" w:rsidRPr="00461E64" w:rsidRDefault="00865D36" w:rsidP="00000279">
            <w:pPr>
              <w:jc w:val="both"/>
              <w:rPr>
                <w:rFonts w:ascii="Times New Roman" w:hAnsi="Times New Roman"/>
                <w:sz w:val="24"/>
                <w:szCs w:val="24"/>
              </w:rPr>
            </w:pPr>
            <w:r w:rsidRPr="00461E64">
              <w:rPr>
                <w:rFonts w:ascii="Times New Roman" w:hAnsi="Times New Roman"/>
                <w:sz w:val="24"/>
                <w:szCs w:val="24"/>
              </w:rPr>
              <w:t xml:space="preserve">Kovo 17-20 dienomis </w:t>
            </w:r>
            <w:proofErr w:type="spellStart"/>
            <w:r w:rsidRPr="00461E64">
              <w:rPr>
                <w:rFonts w:ascii="Times New Roman" w:hAnsi="Times New Roman"/>
                <w:sz w:val="24"/>
                <w:szCs w:val="24"/>
              </w:rPr>
              <w:t>Niujoke</w:t>
            </w:r>
            <w:proofErr w:type="spellEnd"/>
            <w:r w:rsidRPr="00461E64">
              <w:rPr>
                <w:rFonts w:ascii="Times New Roman" w:hAnsi="Times New Roman"/>
                <w:sz w:val="24"/>
                <w:szCs w:val="24"/>
              </w:rPr>
              <w:t xml:space="preserve"> </w:t>
            </w:r>
            <w:proofErr w:type="spellStart"/>
            <w:r w:rsidRPr="00461E64">
              <w:rPr>
                <w:rFonts w:ascii="Times New Roman" w:hAnsi="Times New Roman"/>
                <w:sz w:val="24"/>
                <w:szCs w:val="24"/>
              </w:rPr>
              <w:t>Jacob</w:t>
            </w:r>
            <w:proofErr w:type="spellEnd"/>
            <w:r w:rsidRPr="00461E64">
              <w:rPr>
                <w:rFonts w:ascii="Times New Roman" w:hAnsi="Times New Roman"/>
                <w:sz w:val="24"/>
                <w:szCs w:val="24"/>
              </w:rPr>
              <w:t xml:space="preserve"> K. </w:t>
            </w:r>
            <w:proofErr w:type="spellStart"/>
            <w:r w:rsidRPr="00461E64">
              <w:rPr>
                <w:rFonts w:ascii="Times New Roman" w:hAnsi="Times New Roman"/>
                <w:sz w:val="24"/>
                <w:szCs w:val="24"/>
              </w:rPr>
              <w:t>Javits</w:t>
            </w:r>
            <w:proofErr w:type="spellEnd"/>
            <w:r w:rsidRPr="00461E64">
              <w:rPr>
                <w:rFonts w:ascii="Times New Roman" w:hAnsi="Times New Roman"/>
                <w:sz w:val="24"/>
                <w:szCs w:val="24"/>
              </w:rPr>
              <w:t xml:space="preserve"> centre vyko turizmo paroda „</w:t>
            </w:r>
            <w:proofErr w:type="spellStart"/>
            <w:r w:rsidRPr="00461E64">
              <w:rPr>
                <w:rFonts w:ascii="Times New Roman" w:hAnsi="Times New Roman"/>
                <w:i/>
                <w:iCs/>
                <w:sz w:val="24"/>
                <w:szCs w:val="24"/>
              </w:rPr>
              <w:t>New</w:t>
            </w:r>
            <w:proofErr w:type="spellEnd"/>
            <w:r w:rsidRPr="00461E64">
              <w:rPr>
                <w:rFonts w:ascii="Times New Roman" w:hAnsi="Times New Roman"/>
                <w:i/>
                <w:iCs/>
                <w:sz w:val="24"/>
                <w:szCs w:val="24"/>
              </w:rPr>
              <w:t xml:space="preserve"> York Travel</w:t>
            </w:r>
            <w:r w:rsidRPr="00461E64">
              <w:rPr>
                <w:rFonts w:ascii="Times New Roman" w:hAnsi="Times New Roman"/>
                <w:sz w:val="24"/>
                <w:szCs w:val="24"/>
              </w:rPr>
              <w:t xml:space="preserve"> &amp; </w:t>
            </w:r>
            <w:proofErr w:type="spellStart"/>
            <w:r w:rsidRPr="00461E64">
              <w:rPr>
                <w:rFonts w:ascii="Times New Roman" w:hAnsi="Times New Roman"/>
                <w:i/>
                <w:iCs/>
                <w:sz w:val="24"/>
                <w:szCs w:val="24"/>
              </w:rPr>
              <w:t>Adventure</w:t>
            </w:r>
            <w:proofErr w:type="spellEnd"/>
            <w:r w:rsidRPr="00461E64">
              <w:rPr>
                <w:rFonts w:ascii="Times New Roman" w:hAnsi="Times New Roman"/>
                <w:i/>
                <w:iCs/>
                <w:sz w:val="24"/>
                <w:szCs w:val="24"/>
              </w:rPr>
              <w:t xml:space="preserve"> </w:t>
            </w:r>
            <w:proofErr w:type="spellStart"/>
            <w:r w:rsidRPr="00461E64">
              <w:rPr>
                <w:rFonts w:ascii="Times New Roman" w:hAnsi="Times New Roman"/>
                <w:i/>
                <w:iCs/>
                <w:sz w:val="24"/>
                <w:szCs w:val="24"/>
              </w:rPr>
              <w:t>Show</w:t>
            </w:r>
            <w:proofErr w:type="spellEnd"/>
            <w:r w:rsidRPr="00461E64">
              <w:rPr>
                <w:rFonts w:ascii="Times New Roman" w:hAnsi="Times New Roman"/>
                <w:i/>
                <w:iCs/>
                <w:sz w:val="24"/>
                <w:szCs w:val="24"/>
              </w:rPr>
              <w:t xml:space="preserve">”. </w:t>
            </w:r>
            <w:r w:rsidRPr="00461E64">
              <w:rPr>
                <w:rFonts w:ascii="Times New Roman" w:hAnsi="Times New Roman"/>
                <w:sz w:val="24"/>
                <w:szCs w:val="24"/>
              </w:rPr>
              <w:t xml:space="preserve">Parodoje dalyvavo dvi turizmo įmonės iš Lietuvos. UAB „Baltic </w:t>
            </w:r>
            <w:proofErr w:type="spellStart"/>
            <w:r w:rsidRPr="00461E64">
              <w:rPr>
                <w:rFonts w:ascii="Times New Roman" w:hAnsi="Times New Roman"/>
                <w:sz w:val="24"/>
                <w:szCs w:val="24"/>
              </w:rPr>
              <w:t>Holidays</w:t>
            </w:r>
            <w:proofErr w:type="spellEnd"/>
            <w:r w:rsidRPr="00461E64">
              <w:rPr>
                <w:rFonts w:ascii="Times New Roman" w:hAnsi="Times New Roman"/>
                <w:sz w:val="24"/>
                <w:szCs w:val="24"/>
              </w:rPr>
              <w:t xml:space="preserve">“ vadovas prieš parodą apsilankė Generaliniame konsulate Niujorke, pasidalino įžvalgomis dėl Rusijos karo prieš Ukrainą įtakos įvažiuojamajam turizmui Baltijos ir Šiaurės šalių regione. JAV valstybės departamento griežta rekomendacija JAV piliečiams nevykti į Rusiją tiesiogiai </w:t>
            </w:r>
            <w:r w:rsidRPr="00461E64">
              <w:rPr>
                <w:rFonts w:ascii="Times New Roman" w:hAnsi="Times New Roman"/>
                <w:sz w:val="24"/>
                <w:szCs w:val="24"/>
              </w:rPr>
              <w:lastRenderedPageBreak/>
              <w:t xml:space="preserve">atsiliepia ir Baltijos šalių turizmui, nebelieka populiaraus turizmo maršruto Vilnius – Ryga – Talinas – Sankt Peterburgas. </w:t>
            </w:r>
          </w:p>
          <w:p w14:paraId="2867E142" w14:textId="398C8D20" w:rsidR="00C60A1C" w:rsidRPr="00461E64" w:rsidRDefault="00865D36" w:rsidP="00461E64">
            <w:pPr>
              <w:jc w:val="both"/>
              <w:rPr>
                <w:rFonts w:ascii="Times New Roman" w:hAnsi="Times New Roman"/>
                <w:sz w:val="24"/>
                <w:szCs w:val="24"/>
              </w:rPr>
            </w:pPr>
            <w:r w:rsidRPr="00461E64">
              <w:rPr>
                <w:rFonts w:ascii="Times New Roman" w:hAnsi="Times New Roman"/>
                <w:sz w:val="24"/>
                <w:szCs w:val="24"/>
              </w:rPr>
              <w:t xml:space="preserve">Po parodos kovo 23 d.  Vašingtone buvo organizuotas Lietuvos turizmo (žydų paveldo ir kultūros) galimybių pristatymas žydų bendruomenei. Lietuvos turizmo atstovų teigimu šiuo metu, norint pritraukti turistus į Lietuvą reikia ieškoti specifinių nišų. </w:t>
            </w:r>
          </w:p>
        </w:tc>
        <w:tc>
          <w:tcPr>
            <w:tcW w:w="3788" w:type="dxa"/>
            <w:shd w:val="clear" w:color="auto" w:fill="auto"/>
            <w:tcMar>
              <w:top w:w="29" w:type="dxa"/>
              <w:left w:w="115" w:type="dxa"/>
              <w:bottom w:w="29" w:type="dxa"/>
              <w:right w:w="115" w:type="dxa"/>
            </w:tcMar>
          </w:tcPr>
          <w:p w14:paraId="343960BE" w14:textId="46D96B06" w:rsidR="00E978E7" w:rsidRPr="00000279" w:rsidRDefault="00865D36" w:rsidP="0060373E">
            <w:pPr>
              <w:spacing w:after="0" w:line="240" w:lineRule="auto"/>
              <w:rPr>
                <w:rFonts w:ascii="Times New Roman" w:hAnsi="Times New Roman"/>
                <w:sz w:val="24"/>
                <w:szCs w:val="24"/>
              </w:rPr>
            </w:pPr>
            <w:r w:rsidRPr="00000279">
              <w:rPr>
                <w:rFonts w:ascii="Times New Roman" w:hAnsi="Times New Roman"/>
                <w:sz w:val="24"/>
                <w:szCs w:val="24"/>
              </w:rPr>
              <w:lastRenderedPageBreak/>
              <w:t>Konsulato Niujorke ir ambasados Vašingtone informacija</w:t>
            </w:r>
          </w:p>
        </w:tc>
        <w:tc>
          <w:tcPr>
            <w:tcW w:w="1547" w:type="dxa"/>
            <w:shd w:val="clear" w:color="auto" w:fill="auto"/>
            <w:tcMar>
              <w:top w:w="29" w:type="dxa"/>
              <w:left w:w="115" w:type="dxa"/>
              <w:bottom w:w="29" w:type="dxa"/>
              <w:right w:w="115" w:type="dxa"/>
            </w:tcMar>
          </w:tcPr>
          <w:p w14:paraId="1841229B" w14:textId="77777777" w:rsidR="00E978E7" w:rsidRPr="007558DE" w:rsidRDefault="00E978E7" w:rsidP="0060373E">
            <w:pPr>
              <w:spacing w:after="0" w:line="240" w:lineRule="auto"/>
              <w:rPr>
                <w:rFonts w:ascii="Times New Roman" w:hAnsi="Times New Roman"/>
                <w:color w:val="000000" w:themeColor="text1"/>
                <w:sz w:val="24"/>
                <w:szCs w:val="24"/>
              </w:rPr>
            </w:pPr>
          </w:p>
        </w:tc>
      </w:tr>
      <w:tr w:rsidR="00D30A60" w:rsidRPr="007558DE" w14:paraId="55F2AD94" w14:textId="77777777" w:rsidTr="00D30A60">
        <w:trPr>
          <w:trHeight w:val="1147"/>
        </w:trPr>
        <w:tc>
          <w:tcPr>
            <w:tcW w:w="1696" w:type="dxa"/>
            <w:shd w:val="clear" w:color="auto" w:fill="auto"/>
            <w:tcMar>
              <w:top w:w="29" w:type="dxa"/>
              <w:left w:w="115" w:type="dxa"/>
              <w:bottom w:w="29" w:type="dxa"/>
              <w:right w:w="115" w:type="dxa"/>
            </w:tcMar>
          </w:tcPr>
          <w:p w14:paraId="0952A4EA" w14:textId="77777777" w:rsidR="00D30A60" w:rsidRPr="007558DE" w:rsidRDefault="00D30A60" w:rsidP="001B7EE2">
            <w:pPr>
              <w:spacing w:after="0" w:line="240" w:lineRule="auto"/>
              <w:jc w:val="both"/>
              <w:rPr>
                <w:rFonts w:ascii="Times New Roman" w:hAnsi="Times New Roman"/>
                <w:sz w:val="24"/>
                <w:szCs w:val="24"/>
              </w:rPr>
            </w:pPr>
          </w:p>
        </w:tc>
        <w:tc>
          <w:tcPr>
            <w:tcW w:w="8080" w:type="dxa"/>
            <w:shd w:val="clear" w:color="auto" w:fill="auto"/>
            <w:tcMar>
              <w:top w:w="29" w:type="dxa"/>
              <w:left w:w="115" w:type="dxa"/>
              <w:bottom w:w="29" w:type="dxa"/>
              <w:right w:w="115" w:type="dxa"/>
            </w:tcMar>
          </w:tcPr>
          <w:p w14:paraId="4A353EA2" w14:textId="77777777" w:rsidR="00D30A60" w:rsidRDefault="004603A1" w:rsidP="00000279">
            <w:pPr>
              <w:spacing w:after="0" w:line="240" w:lineRule="auto"/>
              <w:jc w:val="both"/>
              <w:rPr>
                <w:rFonts w:ascii="Times New Roman" w:hAnsi="Times New Roman"/>
                <w:sz w:val="24"/>
                <w:szCs w:val="24"/>
              </w:rPr>
            </w:pPr>
            <w:r w:rsidRPr="00000279">
              <w:rPr>
                <w:rFonts w:ascii="Times New Roman" w:hAnsi="Times New Roman"/>
                <w:sz w:val="24"/>
                <w:szCs w:val="24"/>
              </w:rPr>
              <w:t xml:space="preserve">Aukštos naftos ir energijos kainos toliau prisidės prie infliacijos augimo. Prognozuojama, kad reikšmingas JAV ir OPEC šalių gavybos padidėjimas lems naftos kainų mažėjimą ir infliacijos kontrolę tik antroje 2022 m. pusėje. Nors Kalifornijos ekonomika auga, tačiau laisvalaikio ir svetingumo bei turizmo sektoriai vis dar susiduria su </w:t>
            </w:r>
            <w:proofErr w:type="spellStart"/>
            <w:r w:rsidRPr="00000279">
              <w:rPr>
                <w:rFonts w:ascii="Times New Roman" w:hAnsi="Times New Roman"/>
                <w:sz w:val="24"/>
                <w:szCs w:val="24"/>
              </w:rPr>
              <w:t>popandeminiais</w:t>
            </w:r>
            <w:proofErr w:type="spellEnd"/>
            <w:r w:rsidRPr="00000279">
              <w:rPr>
                <w:rFonts w:ascii="Times New Roman" w:hAnsi="Times New Roman"/>
                <w:sz w:val="24"/>
                <w:szCs w:val="24"/>
              </w:rPr>
              <w:t xml:space="preserve"> iššūkiais dėl vis dar taikomų ribojimų ir darbo iš namų. Prognozuojama, jog Kalifornijos ekonomikos augimą spartins trys pagrindiniai sektoriai - technologijos, logistika ir statyba. O laisvalaikio ir svetingumo bei mažmeninės prekybos užimtumas iki 2024 m. turėtų grįžti į 2019 m. lygį, ir tuomet prognozuojama, kad Kalifornijos ekonomika vėl augs sparčiau nei visos JAV ekonomika.</w:t>
            </w:r>
          </w:p>
          <w:p w14:paraId="428D6D04" w14:textId="231DD305" w:rsidR="00461E64" w:rsidRPr="00000279" w:rsidRDefault="00461E64" w:rsidP="00000279">
            <w:pPr>
              <w:spacing w:after="0" w:line="240" w:lineRule="auto"/>
              <w:jc w:val="both"/>
              <w:rPr>
                <w:rFonts w:ascii="Times New Roman" w:hAnsi="Times New Roman"/>
                <w:sz w:val="24"/>
                <w:szCs w:val="24"/>
              </w:rPr>
            </w:pPr>
            <w:bookmarkStart w:id="0" w:name="_GoBack"/>
            <w:bookmarkEnd w:id="0"/>
          </w:p>
        </w:tc>
        <w:tc>
          <w:tcPr>
            <w:tcW w:w="3788" w:type="dxa"/>
            <w:shd w:val="clear" w:color="auto" w:fill="auto"/>
            <w:tcMar>
              <w:top w:w="29" w:type="dxa"/>
              <w:left w:w="115" w:type="dxa"/>
              <w:bottom w:w="29" w:type="dxa"/>
              <w:right w:w="115" w:type="dxa"/>
            </w:tcMar>
          </w:tcPr>
          <w:p w14:paraId="469BFB49" w14:textId="235684EB" w:rsidR="00D30A60" w:rsidRPr="00000279" w:rsidRDefault="004603A1" w:rsidP="0060373E">
            <w:pPr>
              <w:spacing w:after="0" w:line="240" w:lineRule="auto"/>
              <w:rPr>
                <w:rFonts w:ascii="Times New Roman" w:hAnsi="Times New Roman"/>
                <w:sz w:val="24"/>
                <w:szCs w:val="24"/>
              </w:rPr>
            </w:pPr>
            <w:hyperlink r:id="rId26" w:history="1">
              <w:r w:rsidRPr="00000279">
                <w:rPr>
                  <w:rStyle w:val="Hyperlink"/>
                  <w:rFonts w:ascii="Times New Roman" w:hAnsi="Times New Roman"/>
                  <w:sz w:val="24"/>
                  <w:szCs w:val="24"/>
                </w:rPr>
                <w:t>Kalifornijos universiteto Andersono verslo mokyklos vertinimas</w:t>
              </w:r>
            </w:hyperlink>
          </w:p>
        </w:tc>
        <w:tc>
          <w:tcPr>
            <w:tcW w:w="1547" w:type="dxa"/>
            <w:shd w:val="clear" w:color="auto" w:fill="auto"/>
            <w:tcMar>
              <w:top w:w="29" w:type="dxa"/>
              <w:left w:w="115" w:type="dxa"/>
              <w:bottom w:w="29" w:type="dxa"/>
              <w:right w:w="115" w:type="dxa"/>
            </w:tcMar>
          </w:tcPr>
          <w:p w14:paraId="6903E846" w14:textId="77777777" w:rsidR="00D30A60" w:rsidRPr="007558DE" w:rsidRDefault="00D30A60" w:rsidP="0060373E">
            <w:pPr>
              <w:spacing w:after="0" w:line="240" w:lineRule="auto"/>
              <w:rPr>
                <w:rFonts w:ascii="Times New Roman" w:hAnsi="Times New Roman"/>
                <w:color w:val="000000" w:themeColor="text1"/>
                <w:sz w:val="24"/>
                <w:szCs w:val="24"/>
              </w:rPr>
            </w:pPr>
          </w:p>
        </w:tc>
      </w:tr>
      <w:tr w:rsidR="00D30A60" w:rsidRPr="007558DE" w14:paraId="699A715E" w14:textId="77777777" w:rsidTr="00D30A60">
        <w:trPr>
          <w:trHeight w:val="1147"/>
        </w:trPr>
        <w:tc>
          <w:tcPr>
            <w:tcW w:w="1696" w:type="dxa"/>
            <w:shd w:val="clear" w:color="auto" w:fill="auto"/>
            <w:tcMar>
              <w:top w:w="29" w:type="dxa"/>
              <w:left w:w="115" w:type="dxa"/>
              <w:bottom w:w="29" w:type="dxa"/>
              <w:right w:w="115" w:type="dxa"/>
            </w:tcMar>
          </w:tcPr>
          <w:p w14:paraId="1B04EA25" w14:textId="77777777" w:rsidR="00D30A60" w:rsidRPr="007558DE" w:rsidRDefault="00D30A60" w:rsidP="001B7EE2">
            <w:pPr>
              <w:spacing w:after="0" w:line="240" w:lineRule="auto"/>
              <w:jc w:val="both"/>
              <w:rPr>
                <w:rFonts w:ascii="Times New Roman" w:hAnsi="Times New Roman"/>
                <w:sz w:val="24"/>
                <w:szCs w:val="24"/>
              </w:rPr>
            </w:pPr>
          </w:p>
        </w:tc>
        <w:tc>
          <w:tcPr>
            <w:tcW w:w="8080" w:type="dxa"/>
            <w:shd w:val="clear" w:color="auto" w:fill="auto"/>
            <w:tcMar>
              <w:top w:w="29" w:type="dxa"/>
              <w:left w:w="115" w:type="dxa"/>
              <w:bottom w:w="29" w:type="dxa"/>
              <w:right w:w="115" w:type="dxa"/>
            </w:tcMar>
          </w:tcPr>
          <w:p w14:paraId="2697560C" w14:textId="6230C0F9" w:rsidR="00D30A60" w:rsidRPr="00000279" w:rsidRDefault="00B75251" w:rsidP="00000279">
            <w:pPr>
              <w:jc w:val="both"/>
              <w:rPr>
                <w:rFonts w:ascii="Times New Roman" w:eastAsiaTheme="minorHAnsi" w:hAnsi="Times New Roman"/>
                <w:sz w:val="24"/>
                <w:szCs w:val="24"/>
              </w:rPr>
            </w:pPr>
            <w:r w:rsidRPr="00000279">
              <w:rPr>
                <w:rFonts w:ascii="Times New Roman" w:hAnsi="Times New Roman"/>
                <w:sz w:val="24"/>
                <w:szCs w:val="24"/>
              </w:rPr>
              <w:t xml:space="preserve">JAV maisto kainų pokyčiai. </w:t>
            </w:r>
            <w:r w:rsidRPr="00000279">
              <w:rPr>
                <w:rFonts w:ascii="Times New Roman" w:eastAsia="Times New Roman" w:hAnsi="Times New Roman"/>
                <w:sz w:val="24"/>
                <w:szCs w:val="24"/>
              </w:rPr>
              <w:t xml:space="preserve">Nuo 2022 m. sausio iki vasario mėnesio visų maisto produktų kainų indeksas padidėjo 1 proc., o maisto kainos buvo 7,9 proc. didesnės nei 2021 m. vasario mėn. (maisto kainos restoranuose, kavinėse per vasario mėn. augo </w:t>
            </w:r>
            <w:r w:rsidRPr="00000279">
              <w:rPr>
                <w:rStyle w:val="y2iqfc"/>
                <w:rFonts w:ascii="Times New Roman" w:hAnsi="Times New Roman"/>
                <w:sz w:val="24"/>
                <w:szCs w:val="24"/>
              </w:rPr>
              <w:t xml:space="preserve">0,4 proc., o per metus – 6,8 proc.; maisto kainos maisto pardavimo tinkluose per vasario mėn. augo 1,4 proc., o per metus – 8,6 proc.). Prognozuojama, kad per 2022 metus abiem šioms maisto kategorijoms numatomas papildomas augimas, </w:t>
            </w:r>
            <w:proofErr w:type="spellStart"/>
            <w:r w:rsidRPr="00000279">
              <w:rPr>
                <w:rStyle w:val="y2iqfc"/>
                <w:rFonts w:ascii="Times New Roman" w:hAnsi="Times New Roman"/>
                <w:sz w:val="24"/>
                <w:szCs w:val="24"/>
              </w:rPr>
              <w:t>t.y</w:t>
            </w:r>
            <w:proofErr w:type="spellEnd"/>
            <w:r w:rsidRPr="00000279">
              <w:rPr>
                <w:rStyle w:val="y2iqfc"/>
                <w:rFonts w:ascii="Times New Roman" w:hAnsi="Times New Roman"/>
                <w:sz w:val="24"/>
                <w:szCs w:val="24"/>
              </w:rPr>
              <w:t>. nuo 4,5 iki 5,5 proc. (</w:t>
            </w:r>
            <w:r w:rsidRPr="00000279">
              <w:rPr>
                <w:rStyle w:val="y2iqfc"/>
                <w:rFonts w:ascii="Times New Roman" w:hAnsi="Times New Roman"/>
                <w:i/>
                <w:sz w:val="24"/>
                <w:szCs w:val="24"/>
              </w:rPr>
              <w:t>paukštienos kainoms numatomas augimas 6-7 proc.; kiaušinių – 2,5-3,5 proc.; pieno produktų – 4-5 proc.; duonos gaminių – 3-4 proc.</w:t>
            </w:r>
            <w:r w:rsidRPr="00000279">
              <w:rPr>
                <w:rStyle w:val="y2iqfc"/>
                <w:rFonts w:ascii="Times New Roman" w:hAnsi="Times New Roman"/>
                <w:sz w:val="24"/>
                <w:szCs w:val="24"/>
              </w:rPr>
              <w:t>).</w:t>
            </w:r>
          </w:p>
        </w:tc>
        <w:tc>
          <w:tcPr>
            <w:tcW w:w="3788" w:type="dxa"/>
            <w:shd w:val="clear" w:color="auto" w:fill="auto"/>
            <w:tcMar>
              <w:top w:w="29" w:type="dxa"/>
              <w:left w:w="115" w:type="dxa"/>
              <w:bottom w:w="29" w:type="dxa"/>
              <w:right w:w="115" w:type="dxa"/>
            </w:tcMar>
          </w:tcPr>
          <w:p w14:paraId="16CCE493" w14:textId="617743EF" w:rsidR="00D30A60" w:rsidRPr="00000279" w:rsidRDefault="00B75251" w:rsidP="00D30A60">
            <w:pPr>
              <w:spacing w:after="0" w:line="240" w:lineRule="auto"/>
              <w:rPr>
                <w:rFonts w:ascii="Times New Roman" w:hAnsi="Times New Roman"/>
                <w:sz w:val="24"/>
                <w:szCs w:val="24"/>
              </w:rPr>
            </w:pPr>
            <w:hyperlink r:id="rId27" w:history="1">
              <w:r w:rsidRPr="00000279">
                <w:rPr>
                  <w:rStyle w:val="Hyperlink"/>
                  <w:rFonts w:ascii="Times New Roman" w:hAnsi="Times New Roman"/>
                  <w:sz w:val="24"/>
                  <w:szCs w:val="24"/>
                </w:rPr>
                <w:t>JAV žemės ūkio departamento duomenys</w:t>
              </w:r>
            </w:hyperlink>
          </w:p>
        </w:tc>
        <w:tc>
          <w:tcPr>
            <w:tcW w:w="1547" w:type="dxa"/>
            <w:shd w:val="clear" w:color="auto" w:fill="auto"/>
            <w:tcMar>
              <w:top w:w="29" w:type="dxa"/>
              <w:left w:w="115" w:type="dxa"/>
              <w:bottom w:w="29" w:type="dxa"/>
              <w:right w:w="115" w:type="dxa"/>
            </w:tcMar>
          </w:tcPr>
          <w:p w14:paraId="4D69A98D" w14:textId="77777777" w:rsidR="00D30A60" w:rsidRPr="007558DE" w:rsidRDefault="00D30A60" w:rsidP="0060373E">
            <w:pPr>
              <w:spacing w:after="0" w:line="240" w:lineRule="auto"/>
              <w:rPr>
                <w:rFonts w:ascii="Times New Roman" w:hAnsi="Times New Roman"/>
                <w:color w:val="000000" w:themeColor="text1"/>
                <w:sz w:val="24"/>
                <w:szCs w:val="24"/>
              </w:rPr>
            </w:pPr>
          </w:p>
        </w:tc>
      </w:tr>
      <w:tr w:rsidR="00B75251" w:rsidRPr="007558DE" w14:paraId="7C0F1EE5" w14:textId="77777777" w:rsidTr="00D30A60">
        <w:trPr>
          <w:trHeight w:val="1147"/>
        </w:trPr>
        <w:tc>
          <w:tcPr>
            <w:tcW w:w="1696" w:type="dxa"/>
            <w:shd w:val="clear" w:color="auto" w:fill="auto"/>
            <w:tcMar>
              <w:top w:w="29" w:type="dxa"/>
              <w:left w:w="115" w:type="dxa"/>
              <w:bottom w:w="29" w:type="dxa"/>
              <w:right w:w="115" w:type="dxa"/>
            </w:tcMar>
          </w:tcPr>
          <w:p w14:paraId="0E484B82" w14:textId="77777777" w:rsidR="00B75251" w:rsidRPr="007558DE" w:rsidRDefault="00B75251" w:rsidP="001B7EE2">
            <w:pPr>
              <w:spacing w:after="0" w:line="240" w:lineRule="auto"/>
              <w:jc w:val="both"/>
              <w:rPr>
                <w:rFonts w:ascii="Times New Roman" w:hAnsi="Times New Roman"/>
                <w:sz w:val="24"/>
                <w:szCs w:val="24"/>
              </w:rPr>
            </w:pPr>
          </w:p>
        </w:tc>
        <w:tc>
          <w:tcPr>
            <w:tcW w:w="8080" w:type="dxa"/>
            <w:shd w:val="clear" w:color="auto" w:fill="auto"/>
            <w:tcMar>
              <w:top w:w="29" w:type="dxa"/>
              <w:left w:w="115" w:type="dxa"/>
              <w:bottom w:w="29" w:type="dxa"/>
              <w:right w:w="115" w:type="dxa"/>
            </w:tcMar>
          </w:tcPr>
          <w:p w14:paraId="06856D42" w14:textId="365C00A6" w:rsidR="00B75251" w:rsidRPr="00000279" w:rsidRDefault="00000279" w:rsidP="00000279">
            <w:pPr>
              <w:jc w:val="both"/>
              <w:rPr>
                <w:rFonts w:ascii="Times New Roman" w:hAnsi="Times New Roman"/>
                <w:sz w:val="24"/>
                <w:szCs w:val="24"/>
              </w:rPr>
            </w:pPr>
            <w:r w:rsidRPr="00000279">
              <w:rPr>
                <w:rFonts w:ascii="Times New Roman" w:hAnsi="Times New Roman"/>
                <w:sz w:val="24"/>
                <w:szCs w:val="24"/>
              </w:rPr>
              <w:t xml:space="preserve">JAV iniciatyvos trąšų sektoriaus gamybos atsparumui didinti. USDA pranešė, kad ketina skirti </w:t>
            </w:r>
            <w:r w:rsidRPr="00000279">
              <w:rPr>
                <w:rFonts w:ascii="Times New Roman" w:hAnsi="Times New Roman"/>
                <w:bCs/>
                <w:sz w:val="24"/>
                <w:szCs w:val="24"/>
              </w:rPr>
              <w:t>250 mln. USD finansinį paketą</w:t>
            </w:r>
            <w:r w:rsidRPr="00000279">
              <w:rPr>
                <w:rFonts w:ascii="Times New Roman" w:hAnsi="Times New Roman"/>
                <w:sz w:val="24"/>
                <w:szCs w:val="24"/>
              </w:rPr>
              <w:t xml:space="preserve">, skirtą nepriklausomai ir tvariai </w:t>
            </w:r>
            <w:r w:rsidRPr="00000279">
              <w:rPr>
                <w:rFonts w:ascii="Times New Roman" w:hAnsi="Times New Roman"/>
                <w:bCs/>
                <w:sz w:val="24"/>
                <w:szCs w:val="24"/>
              </w:rPr>
              <w:t>amerikietiškų trąšų gamybai</w:t>
            </w:r>
            <w:r w:rsidRPr="00000279">
              <w:rPr>
                <w:rFonts w:ascii="Times New Roman" w:hAnsi="Times New Roman"/>
                <w:sz w:val="24"/>
                <w:szCs w:val="24"/>
              </w:rPr>
              <w:t xml:space="preserve"> taip sprendžiant problemas, susijusias su Rusijos invazija į Ukrainą ir dėl to didėjančia konkurencija trąšų sektoriuje, tiekimo gardinių trūkinėjimu ir taip sumažinti padidėjusias žemės ūkio gamybos išlaidas </w:t>
            </w:r>
            <w:r w:rsidRPr="00000279">
              <w:rPr>
                <w:rFonts w:ascii="Times New Roman" w:hAnsi="Times New Roman"/>
                <w:sz w:val="24"/>
                <w:szCs w:val="24"/>
              </w:rPr>
              <w:lastRenderedPageBreak/>
              <w:t>JAV ūkininkams. USDA ketina atlikti ir papildomus viešus tyrimus dėl sėklų, trąšų ir kitų žemės ūkio gamybos žaliavų įsigijimo mažmeninėje rinkoje.</w:t>
            </w:r>
            <w:r w:rsidRPr="00000279">
              <w:rPr>
                <w:rFonts w:ascii="Times New Roman" w:hAnsi="Times New Roman"/>
                <w:sz w:val="24"/>
                <w:szCs w:val="24"/>
              </w:rPr>
              <w:t xml:space="preserve"> </w:t>
            </w:r>
            <w:r w:rsidRPr="00000279">
              <w:rPr>
                <w:rFonts w:ascii="Times New Roman" w:hAnsi="Times New Roman"/>
                <w:sz w:val="24"/>
                <w:szCs w:val="24"/>
              </w:rPr>
              <w:t>Paramos detalės bus aiškios šią vasarą, o pirminiai paramos išmokėjimai dar šių metų pabaigoje.</w:t>
            </w:r>
          </w:p>
        </w:tc>
        <w:tc>
          <w:tcPr>
            <w:tcW w:w="3788" w:type="dxa"/>
            <w:shd w:val="clear" w:color="auto" w:fill="auto"/>
            <w:tcMar>
              <w:top w:w="29" w:type="dxa"/>
              <w:left w:w="115" w:type="dxa"/>
              <w:bottom w:w="29" w:type="dxa"/>
              <w:right w:w="115" w:type="dxa"/>
            </w:tcMar>
          </w:tcPr>
          <w:p w14:paraId="47BD24D7" w14:textId="7EE71009" w:rsidR="00B75251" w:rsidRPr="00000279" w:rsidRDefault="00000279" w:rsidP="00D30A60">
            <w:pPr>
              <w:spacing w:after="0" w:line="240" w:lineRule="auto"/>
              <w:rPr>
                <w:rFonts w:ascii="Times New Roman" w:hAnsi="Times New Roman"/>
                <w:sz w:val="24"/>
                <w:szCs w:val="24"/>
              </w:rPr>
            </w:pPr>
            <w:hyperlink r:id="rId28" w:history="1">
              <w:r w:rsidRPr="00000279">
                <w:rPr>
                  <w:rStyle w:val="Hyperlink"/>
                  <w:rFonts w:ascii="Times New Roman" w:hAnsi="Times New Roman"/>
                  <w:sz w:val="24"/>
                  <w:szCs w:val="24"/>
                </w:rPr>
                <w:t>JAV ŽŪ departamento paramos anonsavimas</w:t>
              </w:r>
            </w:hyperlink>
          </w:p>
        </w:tc>
        <w:tc>
          <w:tcPr>
            <w:tcW w:w="1547" w:type="dxa"/>
            <w:shd w:val="clear" w:color="auto" w:fill="auto"/>
            <w:tcMar>
              <w:top w:w="29" w:type="dxa"/>
              <w:left w:w="115" w:type="dxa"/>
              <w:bottom w:w="29" w:type="dxa"/>
              <w:right w:w="115" w:type="dxa"/>
            </w:tcMar>
          </w:tcPr>
          <w:p w14:paraId="3E3B17DC" w14:textId="77777777" w:rsidR="00B75251" w:rsidRPr="007558DE" w:rsidRDefault="00B75251" w:rsidP="0060373E">
            <w:pPr>
              <w:spacing w:after="0" w:line="240" w:lineRule="auto"/>
              <w:rPr>
                <w:rFonts w:ascii="Times New Roman" w:hAnsi="Times New Roman"/>
                <w:color w:val="000000" w:themeColor="text1"/>
                <w:sz w:val="24"/>
                <w:szCs w:val="24"/>
              </w:rPr>
            </w:pPr>
          </w:p>
        </w:tc>
      </w:tr>
    </w:tbl>
    <w:p w14:paraId="701F6B8F" w14:textId="77777777" w:rsidR="004A5B8D" w:rsidRPr="007558DE" w:rsidRDefault="004A5B8D" w:rsidP="0043734E">
      <w:pPr>
        <w:spacing w:after="0" w:line="240" w:lineRule="auto"/>
        <w:rPr>
          <w:rFonts w:ascii="Times New Roman" w:hAnsi="Times New Roman"/>
          <w:color w:val="000000" w:themeColor="text1"/>
          <w:sz w:val="24"/>
          <w:szCs w:val="24"/>
        </w:rPr>
      </w:pPr>
    </w:p>
    <w:p w14:paraId="5A80D22D" w14:textId="73110CA8" w:rsidR="0082621A" w:rsidRPr="007558DE" w:rsidRDefault="0082621A" w:rsidP="0043734E">
      <w:pPr>
        <w:spacing w:after="0" w:line="240" w:lineRule="auto"/>
        <w:rPr>
          <w:rFonts w:ascii="Times New Roman" w:hAnsi="Times New Roman"/>
          <w:color w:val="000000" w:themeColor="text1"/>
          <w:sz w:val="24"/>
          <w:szCs w:val="24"/>
        </w:rPr>
      </w:pPr>
      <w:r w:rsidRPr="007558DE">
        <w:rPr>
          <w:rFonts w:ascii="Times New Roman" w:hAnsi="Times New Roman"/>
          <w:color w:val="000000" w:themeColor="text1"/>
          <w:sz w:val="24"/>
          <w:szCs w:val="24"/>
        </w:rPr>
        <w:t>Parengė:</w:t>
      </w:r>
    </w:p>
    <w:p w14:paraId="5D888D15" w14:textId="77777777" w:rsidR="00C66AD5" w:rsidRPr="007558DE" w:rsidRDefault="00C66AD5" w:rsidP="00C66AD5">
      <w:pPr>
        <w:spacing w:after="0" w:line="240" w:lineRule="auto"/>
        <w:rPr>
          <w:rFonts w:ascii="Times New Roman" w:hAnsi="Times New Roman"/>
          <w:color w:val="000000"/>
          <w:sz w:val="24"/>
          <w:szCs w:val="24"/>
        </w:rPr>
      </w:pPr>
      <w:r w:rsidRPr="007558DE">
        <w:rPr>
          <w:rFonts w:ascii="Times New Roman" w:hAnsi="Times New Roman"/>
          <w:color w:val="000000"/>
          <w:sz w:val="24"/>
          <w:szCs w:val="24"/>
        </w:rPr>
        <w:t xml:space="preserve">Danas Vaitkevičius, LR ambasados JAV patarėjas </w:t>
      </w:r>
      <w:hyperlink r:id="rId29" w:history="1">
        <w:r w:rsidRPr="007558DE">
          <w:rPr>
            <w:rStyle w:val="Hyperlink"/>
            <w:rFonts w:ascii="Times New Roman" w:hAnsi="Times New Roman"/>
            <w:sz w:val="24"/>
            <w:szCs w:val="24"/>
          </w:rPr>
          <w:t>danas.vaitkevicius@urm.lt</w:t>
        </w:r>
      </w:hyperlink>
      <w:r w:rsidRPr="007558DE">
        <w:rPr>
          <w:rFonts w:ascii="Times New Roman" w:hAnsi="Times New Roman"/>
          <w:color w:val="000000"/>
          <w:sz w:val="24"/>
          <w:szCs w:val="24"/>
        </w:rPr>
        <w:t>;</w:t>
      </w:r>
    </w:p>
    <w:p w14:paraId="5A99461B" w14:textId="5ABF9180" w:rsidR="00C66AD5" w:rsidRPr="007558DE" w:rsidRDefault="00C66AD5" w:rsidP="00C66AD5">
      <w:pPr>
        <w:spacing w:after="0" w:line="240" w:lineRule="auto"/>
        <w:rPr>
          <w:rFonts w:ascii="Times New Roman" w:hAnsi="Times New Roman"/>
          <w:color w:val="000000"/>
          <w:sz w:val="24"/>
          <w:szCs w:val="24"/>
        </w:rPr>
      </w:pPr>
      <w:r w:rsidRPr="007558DE">
        <w:rPr>
          <w:rFonts w:ascii="Times New Roman" w:hAnsi="Times New Roman"/>
          <w:color w:val="000000"/>
          <w:sz w:val="24"/>
          <w:szCs w:val="24"/>
        </w:rPr>
        <w:t xml:space="preserve">Vidmantas Verbickas, generalinio konsulato Čikagoje patarėjas, </w:t>
      </w:r>
      <w:hyperlink r:id="rId30" w:history="1">
        <w:r w:rsidRPr="007558DE">
          <w:rPr>
            <w:rStyle w:val="Hyperlink"/>
            <w:rFonts w:ascii="Times New Roman" w:hAnsi="Times New Roman"/>
            <w:sz w:val="24"/>
            <w:szCs w:val="24"/>
          </w:rPr>
          <w:t>vidmantas.verbickas@urm.lt</w:t>
        </w:r>
      </w:hyperlink>
      <w:r w:rsidRPr="007558DE">
        <w:rPr>
          <w:rFonts w:ascii="Times New Roman" w:hAnsi="Times New Roman"/>
          <w:color w:val="000000"/>
          <w:sz w:val="24"/>
          <w:szCs w:val="24"/>
        </w:rPr>
        <w:t>;</w:t>
      </w:r>
    </w:p>
    <w:p w14:paraId="023DCAEC" w14:textId="29309492" w:rsidR="005D205D" w:rsidRPr="007558DE" w:rsidRDefault="005D205D" w:rsidP="00C66AD5">
      <w:pPr>
        <w:spacing w:after="0" w:line="240" w:lineRule="auto"/>
        <w:rPr>
          <w:rFonts w:ascii="Times New Roman" w:hAnsi="Times New Roman"/>
          <w:color w:val="000000"/>
          <w:sz w:val="24"/>
          <w:szCs w:val="24"/>
        </w:rPr>
      </w:pPr>
      <w:r w:rsidRPr="007558DE">
        <w:rPr>
          <w:rFonts w:ascii="Times New Roman" w:hAnsi="Times New Roman"/>
          <w:color w:val="000000"/>
          <w:sz w:val="24"/>
          <w:szCs w:val="24"/>
        </w:rPr>
        <w:t xml:space="preserve">Paulius Cemnolonskas, generalinio konsulato Niujorke trečiasis sekretorius, </w:t>
      </w:r>
      <w:hyperlink r:id="rId31" w:history="1">
        <w:r w:rsidRPr="007558DE">
          <w:rPr>
            <w:rStyle w:val="Hyperlink"/>
            <w:rFonts w:ascii="Times New Roman" w:hAnsi="Times New Roman"/>
            <w:sz w:val="24"/>
            <w:szCs w:val="24"/>
          </w:rPr>
          <w:t>paulius.cemnolonskas</w:t>
        </w:r>
        <w:r w:rsidRPr="007558DE">
          <w:rPr>
            <w:rStyle w:val="Hyperlink"/>
            <w:rFonts w:ascii="Times New Roman" w:hAnsi="Times New Roman"/>
            <w:sz w:val="24"/>
            <w:szCs w:val="24"/>
            <w:lang w:val="en-US"/>
          </w:rPr>
          <w:t>@urm.lt</w:t>
        </w:r>
      </w:hyperlink>
      <w:r w:rsidRPr="007558DE">
        <w:rPr>
          <w:rFonts w:ascii="Times New Roman" w:hAnsi="Times New Roman"/>
          <w:color w:val="000000"/>
          <w:sz w:val="24"/>
          <w:szCs w:val="24"/>
          <w:lang w:val="en-US"/>
        </w:rPr>
        <w:t xml:space="preserve">; </w:t>
      </w:r>
      <w:r w:rsidRPr="007558DE">
        <w:rPr>
          <w:rFonts w:ascii="Times New Roman" w:hAnsi="Times New Roman"/>
          <w:color w:val="000000"/>
          <w:sz w:val="24"/>
          <w:szCs w:val="24"/>
        </w:rPr>
        <w:t xml:space="preserve"> </w:t>
      </w:r>
    </w:p>
    <w:p w14:paraId="45234DBA" w14:textId="32924F69" w:rsidR="00C66AD5" w:rsidRPr="007558DE" w:rsidRDefault="006E3078" w:rsidP="00C66AD5">
      <w:pPr>
        <w:spacing w:after="0" w:line="240" w:lineRule="auto"/>
        <w:rPr>
          <w:rFonts w:ascii="Times New Roman" w:hAnsi="Times New Roman"/>
          <w:color w:val="000000"/>
          <w:sz w:val="24"/>
          <w:szCs w:val="24"/>
          <w:lang w:val="en-US"/>
        </w:rPr>
      </w:pPr>
      <w:r w:rsidRPr="007558DE">
        <w:rPr>
          <w:rFonts w:ascii="Times New Roman" w:hAnsi="Times New Roman"/>
          <w:color w:val="000000"/>
          <w:sz w:val="24"/>
          <w:szCs w:val="24"/>
        </w:rPr>
        <w:t>Mantas Zamžickas</w:t>
      </w:r>
      <w:r w:rsidR="00C66AD5" w:rsidRPr="007558DE">
        <w:rPr>
          <w:rFonts w:ascii="Times New Roman" w:hAnsi="Times New Roman"/>
          <w:color w:val="000000"/>
          <w:sz w:val="24"/>
          <w:szCs w:val="24"/>
        </w:rPr>
        <w:t xml:space="preserve">, </w:t>
      </w:r>
      <w:r w:rsidRPr="007558DE">
        <w:rPr>
          <w:rFonts w:ascii="Times New Roman" w:hAnsi="Times New Roman"/>
          <w:color w:val="000000"/>
          <w:sz w:val="24"/>
          <w:szCs w:val="24"/>
        </w:rPr>
        <w:t xml:space="preserve">komercijos atašė JAV, </w:t>
      </w:r>
      <w:r w:rsidR="00C66AD5" w:rsidRPr="007558DE">
        <w:rPr>
          <w:rFonts w:ascii="Times New Roman" w:hAnsi="Times New Roman"/>
          <w:color w:val="000000"/>
          <w:sz w:val="24"/>
          <w:szCs w:val="24"/>
        </w:rPr>
        <w:t>generalini</w:t>
      </w:r>
      <w:r w:rsidRPr="007558DE">
        <w:rPr>
          <w:rFonts w:ascii="Times New Roman" w:hAnsi="Times New Roman"/>
          <w:color w:val="000000"/>
          <w:sz w:val="24"/>
          <w:szCs w:val="24"/>
        </w:rPr>
        <w:t>s</w:t>
      </w:r>
      <w:r w:rsidR="00C66AD5" w:rsidRPr="007558DE">
        <w:rPr>
          <w:rFonts w:ascii="Times New Roman" w:hAnsi="Times New Roman"/>
          <w:color w:val="000000"/>
          <w:sz w:val="24"/>
          <w:szCs w:val="24"/>
        </w:rPr>
        <w:t xml:space="preserve"> konsulat</w:t>
      </w:r>
      <w:r w:rsidRPr="007558DE">
        <w:rPr>
          <w:rFonts w:ascii="Times New Roman" w:hAnsi="Times New Roman"/>
          <w:color w:val="000000"/>
          <w:sz w:val="24"/>
          <w:szCs w:val="24"/>
        </w:rPr>
        <w:t xml:space="preserve">as Los Andžele, </w:t>
      </w:r>
      <w:hyperlink r:id="rId32" w:history="1">
        <w:r w:rsidRPr="007558DE">
          <w:rPr>
            <w:rStyle w:val="Hyperlink"/>
            <w:rFonts w:ascii="Times New Roman" w:hAnsi="Times New Roman"/>
            <w:sz w:val="24"/>
            <w:szCs w:val="24"/>
          </w:rPr>
          <w:t>mantas.zamzickas</w:t>
        </w:r>
        <w:r w:rsidRPr="007558DE">
          <w:rPr>
            <w:rStyle w:val="Hyperlink"/>
            <w:rFonts w:ascii="Times New Roman" w:hAnsi="Times New Roman"/>
            <w:sz w:val="24"/>
            <w:szCs w:val="24"/>
            <w:lang w:val="en-US"/>
          </w:rPr>
          <w:t>@urm.lt</w:t>
        </w:r>
      </w:hyperlink>
      <w:r w:rsidRPr="007558DE">
        <w:rPr>
          <w:rFonts w:ascii="Times New Roman" w:hAnsi="Times New Roman"/>
          <w:color w:val="000000"/>
          <w:sz w:val="24"/>
          <w:szCs w:val="24"/>
          <w:lang w:val="en-US"/>
        </w:rPr>
        <w:t xml:space="preserve"> </w:t>
      </w:r>
    </w:p>
    <w:p w14:paraId="14642315" w14:textId="72D9D311" w:rsidR="00461DC7" w:rsidRPr="007558DE" w:rsidRDefault="00461DC7" w:rsidP="00C66AD5">
      <w:pPr>
        <w:spacing w:after="0" w:line="240" w:lineRule="auto"/>
        <w:rPr>
          <w:rFonts w:ascii="Times New Roman" w:hAnsi="Times New Roman"/>
          <w:color w:val="000000"/>
          <w:sz w:val="24"/>
          <w:szCs w:val="24"/>
          <w:lang w:val="en-US"/>
        </w:rPr>
      </w:pPr>
      <w:r w:rsidRPr="007558DE">
        <w:rPr>
          <w:rFonts w:ascii="Times New Roman" w:hAnsi="Times New Roman"/>
          <w:color w:val="000000"/>
          <w:sz w:val="24"/>
          <w:szCs w:val="24"/>
        </w:rPr>
        <w:t>Kar</w:t>
      </w:r>
      <w:r w:rsidR="00A64050" w:rsidRPr="007558DE">
        <w:rPr>
          <w:rFonts w:ascii="Times New Roman" w:hAnsi="Times New Roman"/>
          <w:color w:val="000000"/>
          <w:sz w:val="24"/>
          <w:szCs w:val="24"/>
        </w:rPr>
        <w:t>oli</w:t>
      </w:r>
      <w:r w:rsidRPr="007558DE">
        <w:rPr>
          <w:rFonts w:ascii="Times New Roman" w:hAnsi="Times New Roman"/>
          <w:color w:val="000000"/>
          <w:sz w:val="24"/>
          <w:szCs w:val="24"/>
        </w:rPr>
        <w:t>s Anužis, Žemės ūkio ir komercijos atašė, LR ambasada JAV</w:t>
      </w:r>
      <w:r w:rsidR="00A64050" w:rsidRPr="007558DE">
        <w:rPr>
          <w:rFonts w:ascii="Times New Roman" w:hAnsi="Times New Roman"/>
          <w:color w:val="000000"/>
          <w:sz w:val="24"/>
          <w:szCs w:val="24"/>
        </w:rPr>
        <w:t xml:space="preserve">, </w:t>
      </w:r>
      <w:hyperlink r:id="rId33" w:history="1">
        <w:r w:rsidR="00A64050" w:rsidRPr="007558DE">
          <w:rPr>
            <w:rStyle w:val="Hyperlink"/>
            <w:rFonts w:ascii="Times New Roman" w:hAnsi="Times New Roman"/>
            <w:sz w:val="24"/>
            <w:szCs w:val="24"/>
          </w:rPr>
          <w:t>karolis.anuzis</w:t>
        </w:r>
        <w:r w:rsidR="00A64050" w:rsidRPr="007558DE">
          <w:rPr>
            <w:rStyle w:val="Hyperlink"/>
            <w:rFonts w:ascii="Times New Roman" w:hAnsi="Times New Roman"/>
            <w:sz w:val="24"/>
            <w:szCs w:val="24"/>
            <w:lang w:val="en-US"/>
          </w:rPr>
          <w:t>@urm.lt</w:t>
        </w:r>
      </w:hyperlink>
      <w:r w:rsidR="00A64050" w:rsidRPr="007558DE">
        <w:rPr>
          <w:rFonts w:ascii="Times New Roman" w:hAnsi="Times New Roman"/>
          <w:color w:val="000000"/>
          <w:sz w:val="24"/>
          <w:szCs w:val="24"/>
          <w:lang w:val="en-US"/>
        </w:rPr>
        <w:t xml:space="preserve"> </w:t>
      </w:r>
    </w:p>
    <w:p w14:paraId="7368D8BF" w14:textId="0649EFFE" w:rsidR="004548B7" w:rsidRPr="007558DE" w:rsidRDefault="004548B7" w:rsidP="00C66AD5">
      <w:pPr>
        <w:spacing w:after="0" w:line="240" w:lineRule="auto"/>
        <w:rPr>
          <w:rFonts w:ascii="Times New Roman" w:hAnsi="Times New Roman"/>
          <w:color w:val="000000" w:themeColor="text1"/>
          <w:sz w:val="24"/>
          <w:szCs w:val="24"/>
        </w:rPr>
      </w:pPr>
    </w:p>
    <w:sectPr w:rsidR="004548B7" w:rsidRPr="007558DE" w:rsidSect="00685855">
      <w:footerReference w:type="default" r:id="rId34"/>
      <w:headerReference w:type="first" r:id="rId35"/>
      <w:pgSz w:w="16838" w:h="11906" w:orient="landscape"/>
      <w:pgMar w:top="720" w:right="1080" w:bottom="720" w:left="1080" w:header="562" w:footer="562"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D8479" w14:textId="77777777" w:rsidR="00885F85" w:rsidRDefault="00885F85" w:rsidP="0082621A">
      <w:pPr>
        <w:spacing w:after="0" w:line="240" w:lineRule="auto"/>
      </w:pPr>
      <w:r>
        <w:separator/>
      </w:r>
    </w:p>
  </w:endnote>
  <w:endnote w:type="continuationSeparator" w:id="0">
    <w:p w14:paraId="219AD139" w14:textId="77777777" w:rsidR="00885F85" w:rsidRDefault="00885F85" w:rsidP="00826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421175"/>
      <w:docPartObj>
        <w:docPartGallery w:val="Page Numbers (Bottom of Page)"/>
        <w:docPartUnique/>
      </w:docPartObj>
    </w:sdtPr>
    <w:sdtEndPr>
      <w:rPr>
        <w:noProof/>
      </w:rPr>
    </w:sdtEndPr>
    <w:sdtContent>
      <w:p w14:paraId="3B1A188E" w14:textId="2B045EB0" w:rsidR="00701136" w:rsidRDefault="00DD45EE">
        <w:pPr>
          <w:pStyle w:val="Footer"/>
          <w:jc w:val="right"/>
        </w:pPr>
        <w:r>
          <w:fldChar w:fldCharType="begin"/>
        </w:r>
        <w:r>
          <w:instrText xml:space="preserve"> PAGE   \* MERGEFORMAT </w:instrText>
        </w:r>
        <w:r>
          <w:fldChar w:fldCharType="separate"/>
        </w:r>
        <w:r w:rsidR="00461E64">
          <w:rPr>
            <w:noProof/>
          </w:rPr>
          <w:t>7</w:t>
        </w:r>
        <w:r>
          <w:rPr>
            <w:noProof/>
          </w:rPr>
          <w:fldChar w:fldCharType="end"/>
        </w:r>
      </w:p>
    </w:sdtContent>
  </w:sdt>
  <w:p w14:paraId="732CE0EA" w14:textId="77777777" w:rsidR="00701136" w:rsidRDefault="007011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E4A2B" w14:textId="77777777" w:rsidR="00885F85" w:rsidRDefault="00885F85" w:rsidP="0082621A">
      <w:pPr>
        <w:spacing w:after="0" w:line="240" w:lineRule="auto"/>
      </w:pPr>
      <w:r>
        <w:separator/>
      </w:r>
    </w:p>
  </w:footnote>
  <w:footnote w:type="continuationSeparator" w:id="0">
    <w:p w14:paraId="7AED8BD4" w14:textId="77777777" w:rsidR="00885F85" w:rsidRDefault="00885F85" w:rsidP="00826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519AC" w14:textId="77777777" w:rsidR="00701136" w:rsidRDefault="00701136" w:rsidP="0070113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A6C42"/>
    <w:multiLevelType w:val="multilevel"/>
    <w:tmpl w:val="D3447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EA50AC"/>
    <w:multiLevelType w:val="multilevel"/>
    <w:tmpl w:val="4384A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554111"/>
    <w:multiLevelType w:val="hybridMultilevel"/>
    <w:tmpl w:val="1EA03AFA"/>
    <w:lvl w:ilvl="0" w:tplc="1150816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45B2493"/>
    <w:multiLevelType w:val="hybridMultilevel"/>
    <w:tmpl w:val="E0E2C78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21A"/>
    <w:rsid w:val="00000279"/>
    <w:rsid w:val="00000684"/>
    <w:rsid w:val="00010B83"/>
    <w:rsid w:val="00010EF5"/>
    <w:rsid w:val="000140B3"/>
    <w:rsid w:val="000178BA"/>
    <w:rsid w:val="00021023"/>
    <w:rsid w:val="00023A99"/>
    <w:rsid w:val="00024DFA"/>
    <w:rsid w:val="000324DF"/>
    <w:rsid w:val="000373D8"/>
    <w:rsid w:val="00065AFC"/>
    <w:rsid w:val="00074185"/>
    <w:rsid w:val="00075790"/>
    <w:rsid w:val="00075DF3"/>
    <w:rsid w:val="00081865"/>
    <w:rsid w:val="000869DD"/>
    <w:rsid w:val="000879AC"/>
    <w:rsid w:val="00092CF7"/>
    <w:rsid w:val="0009745B"/>
    <w:rsid w:val="000A0648"/>
    <w:rsid w:val="000A2541"/>
    <w:rsid w:val="000B76E4"/>
    <w:rsid w:val="000C6406"/>
    <w:rsid w:val="000C654F"/>
    <w:rsid w:val="000D14A7"/>
    <w:rsid w:val="000D46F8"/>
    <w:rsid w:val="000D47FA"/>
    <w:rsid w:val="000E7AA5"/>
    <w:rsid w:val="000F08AC"/>
    <w:rsid w:val="000F7B3C"/>
    <w:rsid w:val="0010315B"/>
    <w:rsid w:val="00110F27"/>
    <w:rsid w:val="00117ACF"/>
    <w:rsid w:val="0012543F"/>
    <w:rsid w:val="001320F0"/>
    <w:rsid w:val="001350F7"/>
    <w:rsid w:val="00142DEC"/>
    <w:rsid w:val="0014591F"/>
    <w:rsid w:val="0015094D"/>
    <w:rsid w:val="00150E38"/>
    <w:rsid w:val="00156744"/>
    <w:rsid w:val="00156BFB"/>
    <w:rsid w:val="0017267F"/>
    <w:rsid w:val="00172F4F"/>
    <w:rsid w:val="0017577D"/>
    <w:rsid w:val="00177509"/>
    <w:rsid w:val="0018328A"/>
    <w:rsid w:val="0019402B"/>
    <w:rsid w:val="001947FC"/>
    <w:rsid w:val="001A1B5E"/>
    <w:rsid w:val="001A208D"/>
    <w:rsid w:val="001B06FB"/>
    <w:rsid w:val="001B1CD0"/>
    <w:rsid w:val="001B7EE2"/>
    <w:rsid w:val="001C23FC"/>
    <w:rsid w:val="001C40D1"/>
    <w:rsid w:val="001C7E29"/>
    <w:rsid w:val="001D4781"/>
    <w:rsid w:val="001D4CC8"/>
    <w:rsid w:val="001D62AA"/>
    <w:rsid w:val="001D66FD"/>
    <w:rsid w:val="001D722D"/>
    <w:rsid w:val="001E2E4D"/>
    <w:rsid w:val="001E48C6"/>
    <w:rsid w:val="001F7E3A"/>
    <w:rsid w:val="00206A16"/>
    <w:rsid w:val="00212933"/>
    <w:rsid w:val="00214D7E"/>
    <w:rsid w:val="00217241"/>
    <w:rsid w:val="00221200"/>
    <w:rsid w:val="00223723"/>
    <w:rsid w:val="00226F31"/>
    <w:rsid w:val="002275A8"/>
    <w:rsid w:val="00230494"/>
    <w:rsid w:val="00230588"/>
    <w:rsid w:val="00231AB0"/>
    <w:rsid w:val="00245E7A"/>
    <w:rsid w:val="00247688"/>
    <w:rsid w:val="00254370"/>
    <w:rsid w:val="00257345"/>
    <w:rsid w:val="00257FC2"/>
    <w:rsid w:val="00264F70"/>
    <w:rsid w:val="002650F1"/>
    <w:rsid w:val="00265B5E"/>
    <w:rsid w:val="00266E34"/>
    <w:rsid w:val="00272936"/>
    <w:rsid w:val="0027497F"/>
    <w:rsid w:val="00275268"/>
    <w:rsid w:val="00282636"/>
    <w:rsid w:val="00282967"/>
    <w:rsid w:val="002842D7"/>
    <w:rsid w:val="0029412D"/>
    <w:rsid w:val="00295A37"/>
    <w:rsid w:val="002A00DA"/>
    <w:rsid w:val="002A63EA"/>
    <w:rsid w:val="002B0EF5"/>
    <w:rsid w:val="002D62FE"/>
    <w:rsid w:val="002D6D0D"/>
    <w:rsid w:val="002E1D28"/>
    <w:rsid w:val="002E294A"/>
    <w:rsid w:val="002F0B95"/>
    <w:rsid w:val="002F23AB"/>
    <w:rsid w:val="002F480A"/>
    <w:rsid w:val="00303979"/>
    <w:rsid w:val="00305B11"/>
    <w:rsid w:val="00314DA7"/>
    <w:rsid w:val="00316807"/>
    <w:rsid w:val="003215ED"/>
    <w:rsid w:val="003315F6"/>
    <w:rsid w:val="00334827"/>
    <w:rsid w:val="003352C6"/>
    <w:rsid w:val="00341D1C"/>
    <w:rsid w:val="00360C39"/>
    <w:rsid w:val="0036378C"/>
    <w:rsid w:val="003639FD"/>
    <w:rsid w:val="00365678"/>
    <w:rsid w:val="00385175"/>
    <w:rsid w:val="00393D92"/>
    <w:rsid w:val="0039539F"/>
    <w:rsid w:val="00396171"/>
    <w:rsid w:val="00397F82"/>
    <w:rsid w:val="003A10B3"/>
    <w:rsid w:val="003A44CC"/>
    <w:rsid w:val="003A4F19"/>
    <w:rsid w:val="003B306B"/>
    <w:rsid w:val="003B41E8"/>
    <w:rsid w:val="003B52A3"/>
    <w:rsid w:val="003B7000"/>
    <w:rsid w:val="003C40C3"/>
    <w:rsid w:val="003C6094"/>
    <w:rsid w:val="003D5E32"/>
    <w:rsid w:val="003E1746"/>
    <w:rsid w:val="003E4BA0"/>
    <w:rsid w:val="003E51B2"/>
    <w:rsid w:val="003F45AD"/>
    <w:rsid w:val="003F681E"/>
    <w:rsid w:val="0040417E"/>
    <w:rsid w:val="00405D8F"/>
    <w:rsid w:val="00406B3D"/>
    <w:rsid w:val="00414EC6"/>
    <w:rsid w:val="0041535F"/>
    <w:rsid w:val="00416EBE"/>
    <w:rsid w:val="0042684B"/>
    <w:rsid w:val="0042761C"/>
    <w:rsid w:val="004326FA"/>
    <w:rsid w:val="00432EEE"/>
    <w:rsid w:val="00435459"/>
    <w:rsid w:val="00435995"/>
    <w:rsid w:val="0043734E"/>
    <w:rsid w:val="00442D3F"/>
    <w:rsid w:val="004548B7"/>
    <w:rsid w:val="00454DEA"/>
    <w:rsid w:val="004603A1"/>
    <w:rsid w:val="00460684"/>
    <w:rsid w:val="00461DC7"/>
    <w:rsid w:val="00461E64"/>
    <w:rsid w:val="0047128B"/>
    <w:rsid w:val="00473AC1"/>
    <w:rsid w:val="00474FA7"/>
    <w:rsid w:val="00483F8E"/>
    <w:rsid w:val="00484479"/>
    <w:rsid w:val="004871F8"/>
    <w:rsid w:val="004A15F2"/>
    <w:rsid w:val="004A1BD6"/>
    <w:rsid w:val="004A44A3"/>
    <w:rsid w:val="004A5B8D"/>
    <w:rsid w:val="004B21FD"/>
    <w:rsid w:val="004C68DE"/>
    <w:rsid w:val="004D22CB"/>
    <w:rsid w:val="004D7B15"/>
    <w:rsid w:val="004E20A3"/>
    <w:rsid w:val="004E6EBB"/>
    <w:rsid w:val="004E71A8"/>
    <w:rsid w:val="004F2FB8"/>
    <w:rsid w:val="0052354C"/>
    <w:rsid w:val="00527213"/>
    <w:rsid w:val="005437CD"/>
    <w:rsid w:val="00557AC7"/>
    <w:rsid w:val="005605AA"/>
    <w:rsid w:val="00560A05"/>
    <w:rsid w:val="00560B34"/>
    <w:rsid w:val="00565666"/>
    <w:rsid w:val="00566340"/>
    <w:rsid w:val="0057307D"/>
    <w:rsid w:val="00574607"/>
    <w:rsid w:val="00575304"/>
    <w:rsid w:val="00585124"/>
    <w:rsid w:val="00587387"/>
    <w:rsid w:val="00593E32"/>
    <w:rsid w:val="005B68BC"/>
    <w:rsid w:val="005C6FBB"/>
    <w:rsid w:val="005D009A"/>
    <w:rsid w:val="005D205D"/>
    <w:rsid w:val="005D676C"/>
    <w:rsid w:val="005F1F29"/>
    <w:rsid w:val="005F6504"/>
    <w:rsid w:val="005F67B0"/>
    <w:rsid w:val="0060373E"/>
    <w:rsid w:val="006043BD"/>
    <w:rsid w:val="00607476"/>
    <w:rsid w:val="00607E77"/>
    <w:rsid w:val="00610F96"/>
    <w:rsid w:val="006111B9"/>
    <w:rsid w:val="0061526C"/>
    <w:rsid w:val="006329B7"/>
    <w:rsid w:val="006476A4"/>
    <w:rsid w:val="00650E4E"/>
    <w:rsid w:val="00651D80"/>
    <w:rsid w:val="00652216"/>
    <w:rsid w:val="006532DE"/>
    <w:rsid w:val="006570F9"/>
    <w:rsid w:val="00657E1B"/>
    <w:rsid w:val="0066053E"/>
    <w:rsid w:val="00665BA1"/>
    <w:rsid w:val="006725F5"/>
    <w:rsid w:val="0067293E"/>
    <w:rsid w:val="006748AF"/>
    <w:rsid w:val="00674DAF"/>
    <w:rsid w:val="00682211"/>
    <w:rsid w:val="006846DB"/>
    <w:rsid w:val="00685855"/>
    <w:rsid w:val="00692B04"/>
    <w:rsid w:val="00695E2B"/>
    <w:rsid w:val="006A057D"/>
    <w:rsid w:val="006A7DF3"/>
    <w:rsid w:val="006B06F7"/>
    <w:rsid w:val="006B2E1B"/>
    <w:rsid w:val="006B4038"/>
    <w:rsid w:val="006B5582"/>
    <w:rsid w:val="006B74BA"/>
    <w:rsid w:val="006C097F"/>
    <w:rsid w:val="006C1527"/>
    <w:rsid w:val="006C1C55"/>
    <w:rsid w:val="006C48E7"/>
    <w:rsid w:val="006C5841"/>
    <w:rsid w:val="006C6E88"/>
    <w:rsid w:val="006D49F1"/>
    <w:rsid w:val="006E3078"/>
    <w:rsid w:val="006E51BE"/>
    <w:rsid w:val="006E7737"/>
    <w:rsid w:val="006E7885"/>
    <w:rsid w:val="006F1A0D"/>
    <w:rsid w:val="00701136"/>
    <w:rsid w:val="0070244B"/>
    <w:rsid w:val="00712663"/>
    <w:rsid w:val="0071338B"/>
    <w:rsid w:val="00713809"/>
    <w:rsid w:val="00714D3F"/>
    <w:rsid w:val="00720640"/>
    <w:rsid w:val="007236B3"/>
    <w:rsid w:val="00725262"/>
    <w:rsid w:val="00730B51"/>
    <w:rsid w:val="00732B34"/>
    <w:rsid w:val="00734FEC"/>
    <w:rsid w:val="00740F19"/>
    <w:rsid w:val="007465B8"/>
    <w:rsid w:val="00750ADF"/>
    <w:rsid w:val="007556A4"/>
    <w:rsid w:val="007558DE"/>
    <w:rsid w:val="00761D20"/>
    <w:rsid w:val="00761E54"/>
    <w:rsid w:val="00761F21"/>
    <w:rsid w:val="007646BA"/>
    <w:rsid w:val="007779C3"/>
    <w:rsid w:val="007811CE"/>
    <w:rsid w:val="00782005"/>
    <w:rsid w:val="00794191"/>
    <w:rsid w:val="00795748"/>
    <w:rsid w:val="007A43FE"/>
    <w:rsid w:val="007A75CA"/>
    <w:rsid w:val="007B5961"/>
    <w:rsid w:val="007B7F57"/>
    <w:rsid w:val="007C14E5"/>
    <w:rsid w:val="007C6697"/>
    <w:rsid w:val="007C6B4F"/>
    <w:rsid w:val="007D33ED"/>
    <w:rsid w:val="007E2F3F"/>
    <w:rsid w:val="007E6FFC"/>
    <w:rsid w:val="007F07ED"/>
    <w:rsid w:val="007F15CE"/>
    <w:rsid w:val="007F3409"/>
    <w:rsid w:val="008028D8"/>
    <w:rsid w:val="00805BF5"/>
    <w:rsid w:val="0080703E"/>
    <w:rsid w:val="008173A6"/>
    <w:rsid w:val="00820492"/>
    <w:rsid w:val="008254A2"/>
    <w:rsid w:val="00825986"/>
    <w:rsid w:val="0082621A"/>
    <w:rsid w:val="00834388"/>
    <w:rsid w:val="0083650B"/>
    <w:rsid w:val="00841DCE"/>
    <w:rsid w:val="00841F7E"/>
    <w:rsid w:val="00856927"/>
    <w:rsid w:val="00856C3C"/>
    <w:rsid w:val="0086136F"/>
    <w:rsid w:val="0086289E"/>
    <w:rsid w:val="008630EB"/>
    <w:rsid w:val="00865D36"/>
    <w:rsid w:val="00866C3A"/>
    <w:rsid w:val="00867B33"/>
    <w:rsid w:val="00871278"/>
    <w:rsid w:val="00882814"/>
    <w:rsid w:val="00885F85"/>
    <w:rsid w:val="00893470"/>
    <w:rsid w:val="00894BFE"/>
    <w:rsid w:val="00897DAE"/>
    <w:rsid w:val="008A07F6"/>
    <w:rsid w:val="008A2EA5"/>
    <w:rsid w:val="008A3D96"/>
    <w:rsid w:val="008A63B7"/>
    <w:rsid w:val="008C0239"/>
    <w:rsid w:val="008D1F10"/>
    <w:rsid w:val="008D554E"/>
    <w:rsid w:val="008D7CDA"/>
    <w:rsid w:val="008F343C"/>
    <w:rsid w:val="0090398C"/>
    <w:rsid w:val="00904C92"/>
    <w:rsid w:val="0091136D"/>
    <w:rsid w:val="009150C8"/>
    <w:rsid w:val="00916369"/>
    <w:rsid w:val="0092194C"/>
    <w:rsid w:val="00923372"/>
    <w:rsid w:val="00944783"/>
    <w:rsid w:val="0095349B"/>
    <w:rsid w:val="009544F5"/>
    <w:rsid w:val="009654FA"/>
    <w:rsid w:val="00982AF9"/>
    <w:rsid w:val="00986B87"/>
    <w:rsid w:val="009918D8"/>
    <w:rsid w:val="00992E52"/>
    <w:rsid w:val="009A23BB"/>
    <w:rsid w:val="009A53DE"/>
    <w:rsid w:val="009A78D8"/>
    <w:rsid w:val="009B714C"/>
    <w:rsid w:val="009C43BD"/>
    <w:rsid w:val="009C5649"/>
    <w:rsid w:val="009D21EA"/>
    <w:rsid w:val="009D4BDE"/>
    <w:rsid w:val="009D6865"/>
    <w:rsid w:val="009D7A94"/>
    <w:rsid w:val="009F2903"/>
    <w:rsid w:val="009F36E0"/>
    <w:rsid w:val="009F6365"/>
    <w:rsid w:val="009F7F17"/>
    <w:rsid w:val="00A00841"/>
    <w:rsid w:val="00A0266B"/>
    <w:rsid w:val="00A03D47"/>
    <w:rsid w:val="00A04F16"/>
    <w:rsid w:val="00A07A3D"/>
    <w:rsid w:val="00A10390"/>
    <w:rsid w:val="00A10B28"/>
    <w:rsid w:val="00A151FA"/>
    <w:rsid w:val="00A23E5E"/>
    <w:rsid w:val="00A254F8"/>
    <w:rsid w:val="00A26567"/>
    <w:rsid w:val="00A27277"/>
    <w:rsid w:val="00A33663"/>
    <w:rsid w:val="00A3637A"/>
    <w:rsid w:val="00A40993"/>
    <w:rsid w:val="00A47B3B"/>
    <w:rsid w:val="00A5214B"/>
    <w:rsid w:val="00A523E5"/>
    <w:rsid w:val="00A53F5C"/>
    <w:rsid w:val="00A61CA2"/>
    <w:rsid w:val="00A64050"/>
    <w:rsid w:val="00A65A78"/>
    <w:rsid w:val="00A85DA6"/>
    <w:rsid w:val="00A93898"/>
    <w:rsid w:val="00AA5171"/>
    <w:rsid w:val="00AB208D"/>
    <w:rsid w:val="00AB2E9A"/>
    <w:rsid w:val="00AB3EDD"/>
    <w:rsid w:val="00AB6F34"/>
    <w:rsid w:val="00AC1DFB"/>
    <w:rsid w:val="00AC22A5"/>
    <w:rsid w:val="00AC3A6B"/>
    <w:rsid w:val="00AD3E96"/>
    <w:rsid w:val="00AD7886"/>
    <w:rsid w:val="00AE2C6D"/>
    <w:rsid w:val="00AE6929"/>
    <w:rsid w:val="00AF09D8"/>
    <w:rsid w:val="00AF3502"/>
    <w:rsid w:val="00AF3A49"/>
    <w:rsid w:val="00AF64E2"/>
    <w:rsid w:val="00AF7090"/>
    <w:rsid w:val="00B007D3"/>
    <w:rsid w:val="00B042B4"/>
    <w:rsid w:val="00B06AF9"/>
    <w:rsid w:val="00B14CA3"/>
    <w:rsid w:val="00B20589"/>
    <w:rsid w:val="00B222FF"/>
    <w:rsid w:val="00B25ECD"/>
    <w:rsid w:val="00B276FE"/>
    <w:rsid w:val="00B319BA"/>
    <w:rsid w:val="00B31D99"/>
    <w:rsid w:val="00B32AB6"/>
    <w:rsid w:val="00B32F1E"/>
    <w:rsid w:val="00B33102"/>
    <w:rsid w:val="00B36D7D"/>
    <w:rsid w:val="00B40770"/>
    <w:rsid w:val="00B42276"/>
    <w:rsid w:val="00B43BEB"/>
    <w:rsid w:val="00B44498"/>
    <w:rsid w:val="00B526D2"/>
    <w:rsid w:val="00B52ADB"/>
    <w:rsid w:val="00B531A0"/>
    <w:rsid w:val="00B53748"/>
    <w:rsid w:val="00B604A8"/>
    <w:rsid w:val="00B73FB1"/>
    <w:rsid w:val="00B75251"/>
    <w:rsid w:val="00B7762E"/>
    <w:rsid w:val="00B77AFA"/>
    <w:rsid w:val="00B85ADF"/>
    <w:rsid w:val="00B91C2F"/>
    <w:rsid w:val="00B9280C"/>
    <w:rsid w:val="00BB366E"/>
    <w:rsid w:val="00BB50B6"/>
    <w:rsid w:val="00BC6E1E"/>
    <w:rsid w:val="00BD268E"/>
    <w:rsid w:val="00BD730C"/>
    <w:rsid w:val="00BE69F5"/>
    <w:rsid w:val="00BE6C52"/>
    <w:rsid w:val="00BF2F6D"/>
    <w:rsid w:val="00C13023"/>
    <w:rsid w:val="00C21939"/>
    <w:rsid w:val="00C230A0"/>
    <w:rsid w:val="00C34EC5"/>
    <w:rsid w:val="00C34FA4"/>
    <w:rsid w:val="00C4602A"/>
    <w:rsid w:val="00C476BF"/>
    <w:rsid w:val="00C53F85"/>
    <w:rsid w:val="00C54316"/>
    <w:rsid w:val="00C60A1C"/>
    <w:rsid w:val="00C621C6"/>
    <w:rsid w:val="00C66AD5"/>
    <w:rsid w:val="00C7254B"/>
    <w:rsid w:val="00C7544D"/>
    <w:rsid w:val="00C80253"/>
    <w:rsid w:val="00C83E13"/>
    <w:rsid w:val="00C85ECC"/>
    <w:rsid w:val="00C90781"/>
    <w:rsid w:val="00C93B6A"/>
    <w:rsid w:val="00C94FC1"/>
    <w:rsid w:val="00C95704"/>
    <w:rsid w:val="00CA18AC"/>
    <w:rsid w:val="00CA4AD7"/>
    <w:rsid w:val="00CA5B5A"/>
    <w:rsid w:val="00CA78E8"/>
    <w:rsid w:val="00CB0DB0"/>
    <w:rsid w:val="00CB3DF2"/>
    <w:rsid w:val="00CB537F"/>
    <w:rsid w:val="00CB66ED"/>
    <w:rsid w:val="00CC6224"/>
    <w:rsid w:val="00CC7461"/>
    <w:rsid w:val="00CD0978"/>
    <w:rsid w:val="00CD1C1E"/>
    <w:rsid w:val="00CD32AA"/>
    <w:rsid w:val="00CD3990"/>
    <w:rsid w:val="00CF32CA"/>
    <w:rsid w:val="00CF34DF"/>
    <w:rsid w:val="00CF47DA"/>
    <w:rsid w:val="00D024D4"/>
    <w:rsid w:val="00D05BA4"/>
    <w:rsid w:val="00D10EA6"/>
    <w:rsid w:val="00D13DF3"/>
    <w:rsid w:val="00D151F3"/>
    <w:rsid w:val="00D2281E"/>
    <w:rsid w:val="00D30A60"/>
    <w:rsid w:val="00D359E9"/>
    <w:rsid w:val="00D371B6"/>
    <w:rsid w:val="00D40803"/>
    <w:rsid w:val="00D46B7C"/>
    <w:rsid w:val="00D4788E"/>
    <w:rsid w:val="00D54B37"/>
    <w:rsid w:val="00D645F0"/>
    <w:rsid w:val="00D64E81"/>
    <w:rsid w:val="00D66591"/>
    <w:rsid w:val="00D712FA"/>
    <w:rsid w:val="00D7434B"/>
    <w:rsid w:val="00D77833"/>
    <w:rsid w:val="00D83528"/>
    <w:rsid w:val="00D87D94"/>
    <w:rsid w:val="00D932A8"/>
    <w:rsid w:val="00DA038A"/>
    <w:rsid w:val="00DA2465"/>
    <w:rsid w:val="00DA3249"/>
    <w:rsid w:val="00DB462B"/>
    <w:rsid w:val="00DC0F3C"/>
    <w:rsid w:val="00DC1302"/>
    <w:rsid w:val="00DC29D5"/>
    <w:rsid w:val="00DD0CA3"/>
    <w:rsid w:val="00DD45EE"/>
    <w:rsid w:val="00DE30E3"/>
    <w:rsid w:val="00DE678C"/>
    <w:rsid w:val="00DF4618"/>
    <w:rsid w:val="00DF639E"/>
    <w:rsid w:val="00E014FB"/>
    <w:rsid w:val="00E03C5F"/>
    <w:rsid w:val="00E10AA2"/>
    <w:rsid w:val="00E111C0"/>
    <w:rsid w:val="00E13506"/>
    <w:rsid w:val="00E154B9"/>
    <w:rsid w:val="00E171B5"/>
    <w:rsid w:val="00E22D1C"/>
    <w:rsid w:val="00E31622"/>
    <w:rsid w:val="00E32FC0"/>
    <w:rsid w:val="00E376C7"/>
    <w:rsid w:val="00E438D3"/>
    <w:rsid w:val="00E46576"/>
    <w:rsid w:val="00E467DE"/>
    <w:rsid w:val="00E47DF9"/>
    <w:rsid w:val="00E5559C"/>
    <w:rsid w:val="00E55F2F"/>
    <w:rsid w:val="00E5729E"/>
    <w:rsid w:val="00E65E35"/>
    <w:rsid w:val="00E6662F"/>
    <w:rsid w:val="00E8139E"/>
    <w:rsid w:val="00E87270"/>
    <w:rsid w:val="00E9006C"/>
    <w:rsid w:val="00E944D6"/>
    <w:rsid w:val="00E9577C"/>
    <w:rsid w:val="00E96D92"/>
    <w:rsid w:val="00E978E7"/>
    <w:rsid w:val="00EA2B3B"/>
    <w:rsid w:val="00EA4A6F"/>
    <w:rsid w:val="00EA78DC"/>
    <w:rsid w:val="00EB6AAA"/>
    <w:rsid w:val="00EC3449"/>
    <w:rsid w:val="00ED144E"/>
    <w:rsid w:val="00ED22F6"/>
    <w:rsid w:val="00ED2A35"/>
    <w:rsid w:val="00ED75B6"/>
    <w:rsid w:val="00EE470C"/>
    <w:rsid w:val="00EE4FE4"/>
    <w:rsid w:val="00EE65E9"/>
    <w:rsid w:val="00EF2EA5"/>
    <w:rsid w:val="00EF71CC"/>
    <w:rsid w:val="00F10267"/>
    <w:rsid w:val="00F137D7"/>
    <w:rsid w:val="00F1673A"/>
    <w:rsid w:val="00F20E59"/>
    <w:rsid w:val="00F20F88"/>
    <w:rsid w:val="00F23CB7"/>
    <w:rsid w:val="00F26E5B"/>
    <w:rsid w:val="00F272C9"/>
    <w:rsid w:val="00F37182"/>
    <w:rsid w:val="00F4146F"/>
    <w:rsid w:val="00F440E4"/>
    <w:rsid w:val="00F4582E"/>
    <w:rsid w:val="00F504A0"/>
    <w:rsid w:val="00F61EE9"/>
    <w:rsid w:val="00F651AC"/>
    <w:rsid w:val="00F655D8"/>
    <w:rsid w:val="00F90313"/>
    <w:rsid w:val="00F969EC"/>
    <w:rsid w:val="00FA5E13"/>
    <w:rsid w:val="00FB050F"/>
    <w:rsid w:val="00FB07A0"/>
    <w:rsid w:val="00FB5D68"/>
    <w:rsid w:val="00FC6DF8"/>
    <w:rsid w:val="00FD209E"/>
    <w:rsid w:val="00FD389B"/>
    <w:rsid w:val="00FD6794"/>
    <w:rsid w:val="00FE4582"/>
    <w:rsid w:val="00FE5DC1"/>
    <w:rsid w:val="00FE6F7B"/>
    <w:rsid w:val="00FF1503"/>
    <w:rsid w:val="00FF3604"/>
    <w:rsid w:val="00FF54E9"/>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A9213"/>
  <w15:docId w15:val="{712BECBD-8355-45E9-A682-7664EFDCC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21A"/>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82621A"/>
    <w:pPr>
      <w:jc w:val="center"/>
      <w:outlineLvl w:val="0"/>
    </w:pPr>
    <w:rPr>
      <w:rFonts w:ascii="Garamond" w:eastAsia="Times New Roman" w:hAnsi="Garamond" w:cs="Arial"/>
      <w:caps/>
      <w:color w:val="4F6228"/>
      <w:sz w:val="16"/>
      <w:szCs w:val="32"/>
      <w:lang w:val="en-US"/>
    </w:rPr>
  </w:style>
  <w:style w:type="paragraph" w:styleId="Heading3">
    <w:name w:val="heading 3"/>
    <w:basedOn w:val="Normal"/>
    <w:next w:val="Normal"/>
    <w:link w:val="Heading3Char"/>
    <w:uiPriority w:val="9"/>
    <w:semiHidden/>
    <w:unhideWhenUsed/>
    <w:qFormat/>
    <w:rsid w:val="008204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3482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621A"/>
    <w:rPr>
      <w:rFonts w:ascii="Garamond" w:eastAsia="Times New Roman" w:hAnsi="Garamond" w:cs="Arial"/>
      <w:caps/>
      <w:color w:val="4F6228"/>
      <w:sz w:val="16"/>
      <w:szCs w:val="32"/>
      <w:lang w:val="en-US"/>
    </w:rPr>
  </w:style>
  <w:style w:type="paragraph" w:styleId="Header">
    <w:name w:val="header"/>
    <w:basedOn w:val="Normal"/>
    <w:link w:val="HeaderChar"/>
    <w:uiPriority w:val="99"/>
    <w:rsid w:val="0082621A"/>
    <w:pPr>
      <w:tabs>
        <w:tab w:val="center" w:pos="4153"/>
        <w:tab w:val="right" w:pos="8306"/>
      </w:tabs>
    </w:pPr>
    <w:rPr>
      <w:rFonts w:eastAsia="Times New Roman"/>
      <w:szCs w:val="20"/>
    </w:rPr>
  </w:style>
  <w:style w:type="character" w:customStyle="1" w:styleId="HeaderChar">
    <w:name w:val="Header Char"/>
    <w:basedOn w:val="DefaultParagraphFont"/>
    <w:link w:val="Header"/>
    <w:uiPriority w:val="99"/>
    <w:rsid w:val="0082621A"/>
    <w:rPr>
      <w:rFonts w:ascii="Calibri" w:eastAsia="Times New Roman" w:hAnsi="Calibri" w:cs="Times New Roman"/>
      <w:szCs w:val="20"/>
    </w:rPr>
  </w:style>
  <w:style w:type="paragraph" w:styleId="FootnoteText">
    <w:name w:val="footnote text"/>
    <w:basedOn w:val="Normal"/>
    <w:link w:val="FootnoteTextChar"/>
    <w:uiPriority w:val="99"/>
    <w:semiHidden/>
    <w:unhideWhenUsed/>
    <w:rsid w:val="008262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621A"/>
    <w:rPr>
      <w:rFonts w:ascii="Calibri" w:eastAsia="Calibri" w:hAnsi="Calibri" w:cs="Times New Roman"/>
      <w:sz w:val="20"/>
      <w:szCs w:val="20"/>
    </w:rPr>
  </w:style>
  <w:style w:type="character" w:styleId="FootnoteReference">
    <w:name w:val="footnote reference"/>
    <w:uiPriority w:val="99"/>
    <w:semiHidden/>
    <w:unhideWhenUsed/>
    <w:rsid w:val="0082621A"/>
    <w:rPr>
      <w:vertAlign w:val="superscript"/>
    </w:rPr>
  </w:style>
  <w:style w:type="character" w:styleId="Hyperlink">
    <w:name w:val="Hyperlink"/>
    <w:basedOn w:val="DefaultParagraphFont"/>
    <w:uiPriority w:val="99"/>
    <w:unhideWhenUsed/>
    <w:rsid w:val="009B714C"/>
    <w:rPr>
      <w:color w:val="0563C1" w:themeColor="hyperlink"/>
      <w:u w:val="single"/>
    </w:rPr>
  </w:style>
  <w:style w:type="paragraph" w:styleId="Footer">
    <w:name w:val="footer"/>
    <w:basedOn w:val="Normal"/>
    <w:link w:val="FooterChar"/>
    <w:uiPriority w:val="99"/>
    <w:unhideWhenUsed/>
    <w:rsid w:val="00EE4FE4"/>
    <w:pPr>
      <w:tabs>
        <w:tab w:val="center" w:pos="4819"/>
        <w:tab w:val="right" w:pos="9638"/>
      </w:tabs>
      <w:spacing w:after="0" w:line="240" w:lineRule="auto"/>
    </w:pPr>
  </w:style>
  <w:style w:type="character" w:customStyle="1" w:styleId="FooterChar">
    <w:name w:val="Footer Char"/>
    <w:basedOn w:val="DefaultParagraphFont"/>
    <w:link w:val="Footer"/>
    <w:uiPriority w:val="99"/>
    <w:rsid w:val="00EE4FE4"/>
    <w:rPr>
      <w:rFonts w:ascii="Calibri" w:eastAsia="Calibri" w:hAnsi="Calibri" w:cs="Times New Roman"/>
    </w:rPr>
  </w:style>
  <w:style w:type="character" w:customStyle="1" w:styleId="Internetosaitas">
    <w:name w:val="Interneto saitas"/>
    <w:basedOn w:val="DefaultParagraphFont"/>
    <w:uiPriority w:val="99"/>
    <w:semiHidden/>
    <w:unhideWhenUsed/>
    <w:rsid w:val="00CD0978"/>
    <w:rPr>
      <w:color w:val="0563C1"/>
      <w:u w:val="single"/>
    </w:rPr>
  </w:style>
  <w:style w:type="character" w:styleId="FollowedHyperlink">
    <w:name w:val="FollowedHyperlink"/>
    <w:basedOn w:val="DefaultParagraphFont"/>
    <w:uiPriority w:val="99"/>
    <w:semiHidden/>
    <w:unhideWhenUsed/>
    <w:rsid w:val="007E2F3F"/>
    <w:rPr>
      <w:color w:val="954F72" w:themeColor="followedHyperlink"/>
      <w:u w:val="single"/>
    </w:rPr>
  </w:style>
  <w:style w:type="character" w:customStyle="1" w:styleId="st">
    <w:name w:val="st"/>
    <w:basedOn w:val="DefaultParagraphFont"/>
    <w:qFormat/>
    <w:rsid w:val="00D83528"/>
  </w:style>
  <w:style w:type="character" w:styleId="Emphasis">
    <w:name w:val="Emphasis"/>
    <w:basedOn w:val="DefaultParagraphFont"/>
    <w:uiPriority w:val="20"/>
    <w:qFormat/>
    <w:rsid w:val="001E48C6"/>
    <w:rPr>
      <w:i/>
      <w:iCs/>
    </w:rPr>
  </w:style>
  <w:style w:type="character" w:styleId="CommentReference">
    <w:name w:val="annotation reference"/>
    <w:basedOn w:val="DefaultParagraphFont"/>
    <w:uiPriority w:val="99"/>
    <w:semiHidden/>
    <w:unhideWhenUsed/>
    <w:rsid w:val="00E22D1C"/>
    <w:rPr>
      <w:sz w:val="16"/>
      <w:szCs w:val="16"/>
    </w:rPr>
  </w:style>
  <w:style w:type="paragraph" w:styleId="CommentText">
    <w:name w:val="annotation text"/>
    <w:basedOn w:val="Normal"/>
    <w:link w:val="CommentTextChar"/>
    <w:uiPriority w:val="99"/>
    <w:semiHidden/>
    <w:unhideWhenUsed/>
    <w:rsid w:val="00E22D1C"/>
    <w:pPr>
      <w:spacing w:line="240" w:lineRule="auto"/>
    </w:pPr>
    <w:rPr>
      <w:sz w:val="20"/>
      <w:szCs w:val="20"/>
    </w:rPr>
  </w:style>
  <w:style w:type="character" w:customStyle="1" w:styleId="CommentTextChar">
    <w:name w:val="Comment Text Char"/>
    <w:basedOn w:val="DefaultParagraphFont"/>
    <w:link w:val="CommentText"/>
    <w:uiPriority w:val="99"/>
    <w:semiHidden/>
    <w:rsid w:val="00E22D1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22D1C"/>
    <w:rPr>
      <w:b/>
      <w:bCs/>
    </w:rPr>
  </w:style>
  <w:style w:type="character" w:customStyle="1" w:styleId="CommentSubjectChar">
    <w:name w:val="Comment Subject Char"/>
    <w:basedOn w:val="CommentTextChar"/>
    <w:link w:val="CommentSubject"/>
    <w:uiPriority w:val="99"/>
    <w:semiHidden/>
    <w:rsid w:val="00E22D1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22D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D1C"/>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F20F88"/>
    <w:rPr>
      <w:color w:val="605E5C"/>
      <w:shd w:val="clear" w:color="auto" w:fill="E1DFDD"/>
    </w:rPr>
  </w:style>
  <w:style w:type="character" w:customStyle="1" w:styleId="UnresolvedMention2">
    <w:name w:val="Unresolved Mention2"/>
    <w:basedOn w:val="DefaultParagraphFont"/>
    <w:uiPriority w:val="99"/>
    <w:semiHidden/>
    <w:unhideWhenUsed/>
    <w:rsid w:val="001D62AA"/>
    <w:rPr>
      <w:color w:val="605E5C"/>
      <w:shd w:val="clear" w:color="auto" w:fill="E1DFDD"/>
    </w:rPr>
  </w:style>
  <w:style w:type="character" w:customStyle="1" w:styleId="UnresolvedMention3">
    <w:name w:val="Unresolved Mention3"/>
    <w:basedOn w:val="DefaultParagraphFont"/>
    <w:uiPriority w:val="99"/>
    <w:semiHidden/>
    <w:unhideWhenUsed/>
    <w:rsid w:val="00BB50B6"/>
    <w:rPr>
      <w:color w:val="605E5C"/>
      <w:shd w:val="clear" w:color="auto" w:fill="E1DFDD"/>
    </w:rPr>
  </w:style>
  <w:style w:type="character" w:customStyle="1" w:styleId="UnresolvedMention4">
    <w:name w:val="Unresolved Mention4"/>
    <w:basedOn w:val="DefaultParagraphFont"/>
    <w:uiPriority w:val="99"/>
    <w:semiHidden/>
    <w:unhideWhenUsed/>
    <w:rsid w:val="00834388"/>
    <w:rPr>
      <w:color w:val="605E5C"/>
      <w:shd w:val="clear" w:color="auto" w:fill="E1DFDD"/>
    </w:rPr>
  </w:style>
  <w:style w:type="character" w:styleId="Strong">
    <w:name w:val="Strong"/>
    <w:basedOn w:val="DefaultParagraphFont"/>
    <w:uiPriority w:val="22"/>
    <w:qFormat/>
    <w:rsid w:val="00834388"/>
    <w:rPr>
      <w:b/>
      <w:bCs/>
    </w:rPr>
  </w:style>
  <w:style w:type="paragraph" w:styleId="NormalWeb">
    <w:name w:val="Normal (Web)"/>
    <w:basedOn w:val="Normal"/>
    <w:uiPriority w:val="99"/>
    <w:unhideWhenUsed/>
    <w:rsid w:val="00C7254B"/>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3Char">
    <w:name w:val="Heading 3 Char"/>
    <w:basedOn w:val="DefaultParagraphFont"/>
    <w:link w:val="Heading3"/>
    <w:uiPriority w:val="9"/>
    <w:semiHidden/>
    <w:rsid w:val="00820492"/>
    <w:rPr>
      <w:rFonts w:asciiTheme="majorHAnsi" w:eastAsiaTheme="majorEastAsia" w:hAnsiTheme="majorHAnsi" w:cstheme="majorBidi"/>
      <w:color w:val="1F4D78" w:themeColor="accent1" w:themeShade="7F"/>
      <w:sz w:val="24"/>
      <w:szCs w:val="24"/>
    </w:rPr>
  </w:style>
  <w:style w:type="paragraph" w:customStyle="1" w:styleId="css-axufdj">
    <w:name w:val="css-axufdj"/>
    <w:basedOn w:val="Normal"/>
    <w:rsid w:val="0043545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4Char">
    <w:name w:val="Heading 4 Char"/>
    <w:basedOn w:val="DefaultParagraphFont"/>
    <w:link w:val="Heading4"/>
    <w:uiPriority w:val="9"/>
    <w:semiHidden/>
    <w:rsid w:val="00334827"/>
    <w:rPr>
      <w:rFonts w:asciiTheme="majorHAnsi" w:eastAsiaTheme="majorEastAsia" w:hAnsiTheme="majorHAnsi" w:cstheme="majorBidi"/>
      <w:i/>
      <w:iCs/>
      <w:color w:val="2E74B5" w:themeColor="accent1" w:themeShade="BF"/>
    </w:rPr>
  </w:style>
  <w:style w:type="character" w:customStyle="1" w:styleId="bold">
    <w:name w:val="bold"/>
    <w:basedOn w:val="DefaultParagraphFont"/>
    <w:rsid w:val="00334827"/>
  </w:style>
  <w:style w:type="character" w:customStyle="1" w:styleId="UnresolvedMention5">
    <w:name w:val="Unresolved Mention5"/>
    <w:basedOn w:val="DefaultParagraphFont"/>
    <w:uiPriority w:val="99"/>
    <w:semiHidden/>
    <w:unhideWhenUsed/>
    <w:rsid w:val="004871F8"/>
    <w:rPr>
      <w:color w:val="605E5C"/>
      <w:shd w:val="clear" w:color="auto" w:fill="E1DFDD"/>
    </w:rPr>
  </w:style>
  <w:style w:type="character" w:customStyle="1" w:styleId="UnresolvedMention6">
    <w:name w:val="Unresolved Mention6"/>
    <w:basedOn w:val="DefaultParagraphFont"/>
    <w:uiPriority w:val="99"/>
    <w:semiHidden/>
    <w:unhideWhenUsed/>
    <w:rsid w:val="00E32FC0"/>
    <w:rPr>
      <w:color w:val="605E5C"/>
      <w:shd w:val="clear" w:color="auto" w:fill="E1DFDD"/>
    </w:rPr>
  </w:style>
  <w:style w:type="character" w:customStyle="1" w:styleId="break-words">
    <w:name w:val="break-words"/>
    <w:basedOn w:val="DefaultParagraphFont"/>
    <w:rsid w:val="00A04F16"/>
  </w:style>
  <w:style w:type="character" w:customStyle="1" w:styleId="y2iqfc">
    <w:name w:val="y2iqfc"/>
    <w:basedOn w:val="DefaultParagraphFont"/>
    <w:rsid w:val="00DB462B"/>
  </w:style>
  <w:style w:type="character" w:customStyle="1" w:styleId="apple-converted-space">
    <w:name w:val="apple-converted-space"/>
    <w:basedOn w:val="DefaultParagraphFont"/>
    <w:rsid w:val="006E7885"/>
  </w:style>
  <w:style w:type="character" w:customStyle="1" w:styleId="UnresolvedMention">
    <w:name w:val="Unresolved Mention"/>
    <w:basedOn w:val="DefaultParagraphFont"/>
    <w:uiPriority w:val="99"/>
    <w:semiHidden/>
    <w:unhideWhenUsed/>
    <w:rsid w:val="006E7885"/>
    <w:rPr>
      <w:color w:val="605E5C"/>
      <w:shd w:val="clear" w:color="auto" w:fill="E1DFDD"/>
    </w:rPr>
  </w:style>
  <w:style w:type="character" w:customStyle="1" w:styleId="gmail-y2iqfc">
    <w:name w:val="gmail-y2iqfc"/>
    <w:basedOn w:val="DefaultParagraphFont"/>
    <w:rsid w:val="00230588"/>
  </w:style>
  <w:style w:type="paragraph" w:styleId="ListParagraph">
    <w:name w:val="List Paragraph"/>
    <w:basedOn w:val="Normal"/>
    <w:uiPriority w:val="34"/>
    <w:qFormat/>
    <w:rsid w:val="00865D36"/>
    <w:pPr>
      <w:spacing w:after="0" w:line="240" w:lineRule="auto"/>
      <w:ind w:left="720"/>
    </w:pPr>
    <w:rPr>
      <w:rFonts w:eastAsiaTheme="minorHAns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1719">
      <w:bodyDiv w:val="1"/>
      <w:marLeft w:val="0"/>
      <w:marRight w:val="0"/>
      <w:marTop w:val="0"/>
      <w:marBottom w:val="0"/>
      <w:divBdr>
        <w:top w:val="none" w:sz="0" w:space="0" w:color="auto"/>
        <w:left w:val="none" w:sz="0" w:space="0" w:color="auto"/>
        <w:bottom w:val="none" w:sz="0" w:space="0" w:color="auto"/>
        <w:right w:val="none" w:sz="0" w:space="0" w:color="auto"/>
      </w:divBdr>
    </w:div>
    <w:div w:id="103426199">
      <w:bodyDiv w:val="1"/>
      <w:marLeft w:val="0"/>
      <w:marRight w:val="0"/>
      <w:marTop w:val="0"/>
      <w:marBottom w:val="0"/>
      <w:divBdr>
        <w:top w:val="none" w:sz="0" w:space="0" w:color="auto"/>
        <w:left w:val="none" w:sz="0" w:space="0" w:color="auto"/>
        <w:bottom w:val="none" w:sz="0" w:space="0" w:color="auto"/>
        <w:right w:val="none" w:sz="0" w:space="0" w:color="auto"/>
      </w:divBdr>
    </w:div>
    <w:div w:id="124201472">
      <w:bodyDiv w:val="1"/>
      <w:marLeft w:val="0"/>
      <w:marRight w:val="0"/>
      <w:marTop w:val="0"/>
      <w:marBottom w:val="0"/>
      <w:divBdr>
        <w:top w:val="none" w:sz="0" w:space="0" w:color="auto"/>
        <w:left w:val="none" w:sz="0" w:space="0" w:color="auto"/>
        <w:bottom w:val="none" w:sz="0" w:space="0" w:color="auto"/>
        <w:right w:val="none" w:sz="0" w:space="0" w:color="auto"/>
      </w:divBdr>
    </w:div>
    <w:div w:id="158739057">
      <w:bodyDiv w:val="1"/>
      <w:marLeft w:val="0"/>
      <w:marRight w:val="0"/>
      <w:marTop w:val="0"/>
      <w:marBottom w:val="0"/>
      <w:divBdr>
        <w:top w:val="none" w:sz="0" w:space="0" w:color="auto"/>
        <w:left w:val="none" w:sz="0" w:space="0" w:color="auto"/>
        <w:bottom w:val="none" w:sz="0" w:space="0" w:color="auto"/>
        <w:right w:val="none" w:sz="0" w:space="0" w:color="auto"/>
      </w:divBdr>
    </w:div>
    <w:div w:id="199902484">
      <w:bodyDiv w:val="1"/>
      <w:marLeft w:val="0"/>
      <w:marRight w:val="0"/>
      <w:marTop w:val="0"/>
      <w:marBottom w:val="0"/>
      <w:divBdr>
        <w:top w:val="none" w:sz="0" w:space="0" w:color="auto"/>
        <w:left w:val="none" w:sz="0" w:space="0" w:color="auto"/>
        <w:bottom w:val="none" w:sz="0" w:space="0" w:color="auto"/>
        <w:right w:val="none" w:sz="0" w:space="0" w:color="auto"/>
      </w:divBdr>
    </w:div>
    <w:div w:id="213010359">
      <w:bodyDiv w:val="1"/>
      <w:marLeft w:val="0"/>
      <w:marRight w:val="0"/>
      <w:marTop w:val="0"/>
      <w:marBottom w:val="0"/>
      <w:divBdr>
        <w:top w:val="none" w:sz="0" w:space="0" w:color="auto"/>
        <w:left w:val="none" w:sz="0" w:space="0" w:color="auto"/>
        <w:bottom w:val="none" w:sz="0" w:space="0" w:color="auto"/>
        <w:right w:val="none" w:sz="0" w:space="0" w:color="auto"/>
      </w:divBdr>
    </w:div>
    <w:div w:id="249507577">
      <w:bodyDiv w:val="1"/>
      <w:marLeft w:val="0"/>
      <w:marRight w:val="0"/>
      <w:marTop w:val="0"/>
      <w:marBottom w:val="0"/>
      <w:divBdr>
        <w:top w:val="none" w:sz="0" w:space="0" w:color="auto"/>
        <w:left w:val="none" w:sz="0" w:space="0" w:color="auto"/>
        <w:bottom w:val="none" w:sz="0" w:space="0" w:color="auto"/>
        <w:right w:val="none" w:sz="0" w:space="0" w:color="auto"/>
      </w:divBdr>
    </w:div>
    <w:div w:id="251545756">
      <w:bodyDiv w:val="1"/>
      <w:marLeft w:val="0"/>
      <w:marRight w:val="0"/>
      <w:marTop w:val="0"/>
      <w:marBottom w:val="0"/>
      <w:divBdr>
        <w:top w:val="none" w:sz="0" w:space="0" w:color="auto"/>
        <w:left w:val="none" w:sz="0" w:space="0" w:color="auto"/>
        <w:bottom w:val="none" w:sz="0" w:space="0" w:color="auto"/>
        <w:right w:val="none" w:sz="0" w:space="0" w:color="auto"/>
      </w:divBdr>
    </w:div>
    <w:div w:id="327901143">
      <w:bodyDiv w:val="1"/>
      <w:marLeft w:val="0"/>
      <w:marRight w:val="0"/>
      <w:marTop w:val="0"/>
      <w:marBottom w:val="0"/>
      <w:divBdr>
        <w:top w:val="none" w:sz="0" w:space="0" w:color="auto"/>
        <w:left w:val="none" w:sz="0" w:space="0" w:color="auto"/>
        <w:bottom w:val="none" w:sz="0" w:space="0" w:color="auto"/>
        <w:right w:val="none" w:sz="0" w:space="0" w:color="auto"/>
      </w:divBdr>
    </w:div>
    <w:div w:id="382145795">
      <w:bodyDiv w:val="1"/>
      <w:marLeft w:val="0"/>
      <w:marRight w:val="0"/>
      <w:marTop w:val="0"/>
      <w:marBottom w:val="0"/>
      <w:divBdr>
        <w:top w:val="none" w:sz="0" w:space="0" w:color="auto"/>
        <w:left w:val="none" w:sz="0" w:space="0" w:color="auto"/>
        <w:bottom w:val="none" w:sz="0" w:space="0" w:color="auto"/>
        <w:right w:val="none" w:sz="0" w:space="0" w:color="auto"/>
      </w:divBdr>
    </w:div>
    <w:div w:id="397217153">
      <w:bodyDiv w:val="1"/>
      <w:marLeft w:val="0"/>
      <w:marRight w:val="0"/>
      <w:marTop w:val="0"/>
      <w:marBottom w:val="0"/>
      <w:divBdr>
        <w:top w:val="none" w:sz="0" w:space="0" w:color="auto"/>
        <w:left w:val="none" w:sz="0" w:space="0" w:color="auto"/>
        <w:bottom w:val="none" w:sz="0" w:space="0" w:color="auto"/>
        <w:right w:val="none" w:sz="0" w:space="0" w:color="auto"/>
      </w:divBdr>
    </w:div>
    <w:div w:id="443156080">
      <w:bodyDiv w:val="1"/>
      <w:marLeft w:val="0"/>
      <w:marRight w:val="0"/>
      <w:marTop w:val="0"/>
      <w:marBottom w:val="0"/>
      <w:divBdr>
        <w:top w:val="none" w:sz="0" w:space="0" w:color="auto"/>
        <w:left w:val="none" w:sz="0" w:space="0" w:color="auto"/>
        <w:bottom w:val="none" w:sz="0" w:space="0" w:color="auto"/>
        <w:right w:val="none" w:sz="0" w:space="0" w:color="auto"/>
      </w:divBdr>
    </w:div>
    <w:div w:id="466439000">
      <w:bodyDiv w:val="1"/>
      <w:marLeft w:val="0"/>
      <w:marRight w:val="0"/>
      <w:marTop w:val="0"/>
      <w:marBottom w:val="0"/>
      <w:divBdr>
        <w:top w:val="none" w:sz="0" w:space="0" w:color="auto"/>
        <w:left w:val="none" w:sz="0" w:space="0" w:color="auto"/>
        <w:bottom w:val="none" w:sz="0" w:space="0" w:color="auto"/>
        <w:right w:val="none" w:sz="0" w:space="0" w:color="auto"/>
      </w:divBdr>
    </w:div>
    <w:div w:id="509419085">
      <w:bodyDiv w:val="1"/>
      <w:marLeft w:val="0"/>
      <w:marRight w:val="0"/>
      <w:marTop w:val="0"/>
      <w:marBottom w:val="0"/>
      <w:divBdr>
        <w:top w:val="none" w:sz="0" w:space="0" w:color="auto"/>
        <w:left w:val="none" w:sz="0" w:space="0" w:color="auto"/>
        <w:bottom w:val="none" w:sz="0" w:space="0" w:color="auto"/>
        <w:right w:val="none" w:sz="0" w:space="0" w:color="auto"/>
      </w:divBdr>
    </w:div>
    <w:div w:id="594435869">
      <w:bodyDiv w:val="1"/>
      <w:marLeft w:val="0"/>
      <w:marRight w:val="0"/>
      <w:marTop w:val="0"/>
      <w:marBottom w:val="0"/>
      <w:divBdr>
        <w:top w:val="none" w:sz="0" w:space="0" w:color="auto"/>
        <w:left w:val="none" w:sz="0" w:space="0" w:color="auto"/>
        <w:bottom w:val="none" w:sz="0" w:space="0" w:color="auto"/>
        <w:right w:val="none" w:sz="0" w:space="0" w:color="auto"/>
      </w:divBdr>
    </w:div>
    <w:div w:id="644942293">
      <w:bodyDiv w:val="1"/>
      <w:marLeft w:val="0"/>
      <w:marRight w:val="0"/>
      <w:marTop w:val="0"/>
      <w:marBottom w:val="0"/>
      <w:divBdr>
        <w:top w:val="none" w:sz="0" w:space="0" w:color="auto"/>
        <w:left w:val="none" w:sz="0" w:space="0" w:color="auto"/>
        <w:bottom w:val="none" w:sz="0" w:space="0" w:color="auto"/>
        <w:right w:val="none" w:sz="0" w:space="0" w:color="auto"/>
      </w:divBdr>
    </w:div>
    <w:div w:id="690650525">
      <w:bodyDiv w:val="1"/>
      <w:marLeft w:val="0"/>
      <w:marRight w:val="0"/>
      <w:marTop w:val="0"/>
      <w:marBottom w:val="0"/>
      <w:divBdr>
        <w:top w:val="none" w:sz="0" w:space="0" w:color="auto"/>
        <w:left w:val="none" w:sz="0" w:space="0" w:color="auto"/>
        <w:bottom w:val="none" w:sz="0" w:space="0" w:color="auto"/>
        <w:right w:val="none" w:sz="0" w:space="0" w:color="auto"/>
      </w:divBdr>
    </w:div>
    <w:div w:id="795295182">
      <w:bodyDiv w:val="1"/>
      <w:marLeft w:val="0"/>
      <w:marRight w:val="0"/>
      <w:marTop w:val="0"/>
      <w:marBottom w:val="0"/>
      <w:divBdr>
        <w:top w:val="none" w:sz="0" w:space="0" w:color="auto"/>
        <w:left w:val="none" w:sz="0" w:space="0" w:color="auto"/>
        <w:bottom w:val="none" w:sz="0" w:space="0" w:color="auto"/>
        <w:right w:val="none" w:sz="0" w:space="0" w:color="auto"/>
      </w:divBdr>
    </w:div>
    <w:div w:id="800072424">
      <w:bodyDiv w:val="1"/>
      <w:marLeft w:val="0"/>
      <w:marRight w:val="0"/>
      <w:marTop w:val="0"/>
      <w:marBottom w:val="0"/>
      <w:divBdr>
        <w:top w:val="none" w:sz="0" w:space="0" w:color="auto"/>
        <w:left w:val="none" w:sz="0" w:space="0" w:color="auto"/>
        <w:bottom w:val="none" w:sz="0" w:space="0" w:color="auto"/>
        <w:right w:val="none" w:sz="0" w:space="0" w:color="auto"/>
      </w:divBdr>
    </w:div>
    <w:div w:id="803155446">
      <w:bodyDiv w:val="1"/>
      <w:marLeft w:val="0"/>
      <w:marRight w:val="0"/>
      <w:marTop w:val="0"/>
      <w:marBottom w:val="0"/>
      <w:divBdr>
        <w:top w:val="none" w:sz="0" w:space="0" w:color="auto"/>
        <w:left w:val="none" w:sz="0" w:space="0" w:color="auto"/>
        <w:bottom w:val="none" w:sz="0" w:space="0" w:color="auto"/>
        <w:right w:val="none" w:sz="0" w:space="0" w:color="auto"/>
      </w:divBdr>
    </w:div>
    <w:div w:id="865559672">
      <w:bodyDiv w:val="1"/>
      <w:marLeft w:val="0"/>
      <w:marRight w:val="0"/>
      <w:marTop w:val="0"/>
      <w:marBottom w:val="0"/>
      <w:divBdr>
        <w:top w:val="none" w:sz="0" w:space="0" w:color="auto"/>
        <w:left w:val="none" w:sz="0" w:space="0" w:color="auto"/>
        <w:bottom w:val="none" w:sz="0" w:space="0" w:color="auto"/>
        <w:right w:val="none" w:sz="0" w:space="0" w:color="auto"/>
      </w:divBdr>
    </w:div>
    <w:div w:id="866025104">
      <w:bodyDiv w:val="1"/>
      <w:marLeft w:val="0"/>
      <w:marRight w:val="0"/>
      <w:marTop w:val="0"/>
      <w:marBottom w:val="0"/>
      <w:divBdr>
        <w:top w:val="none" w:sz="0" w:space="0" w:color="auto"/>
        <w:left w:val="none" w:sz="0" w:space="0" w:color="auto"/>
        <w:bottom w:val="none" w:sz="0" w:space="0" w:color="auto"/>
        <w:right w:val="none" w:sz="0" w:space="0" w:color="auto"/>
      </w:divBdr>
    </w:div>
    <w:div w:id="875047759">
      <w:bodyDiv w:val="1"/>
      <w:marLeft w:val="0"/>
      <w:marRight w:val="0"/>
      <w:marTop w:val="0"/>
      <w:marBottom w:val="0"/>
      <w:divBdr>
        <w:top w:val="none" w:sz="0" w:space="0" w:color="auto"/>
        <w:left w:val="none" w:sz="0" w:space="0" w:color="auto"/>
        <w:bottom w:val="none" w:sz="0" w:space="0" w:color="auto"/>
        <w:right w:val="none" w:sz="0" w:space="0" w:color="auto"/>
      </w:divBdr>
    </w:div>
    <w:div w:id="908806189">
      <w:bodyDiv w:val="1"/>
      <w:marLeft w:val="0"/>
      <w:marRight w:val="0"/>
      <w:marTop w:val="0"/>
      <w:marBottom w:val="0"/>
      <w:divBdr>
        <w:top w:val="none" w:sz="0" w:space="0" w:color="auto"/>
        <w:left w:val="none" w:sz="0" w:space="0" w:color="auto"/>
        <w:bottom w:val="none" w:sz="0" w:space="0" w:color="auto"/>
        <w:right w:val="none" w:sz="0" w:space="0" w:color="auto"/>
      </w:divBdr>
    </w:div>
    <w:div w:id="925260988">
      <w:bodyDiv w:val="1"/>
      <w:marLeft w:val="0"/>
      <w:marRight w:val="0"/>
      <w:marTop w:val="0"/>
      <w:marBottom w:val="0"/>
      <w:divBdr>
        <w:top w:val="none" w:sz="0" w:space="0" w:color="auto"/>
        <w:left w:val="none" w:sz="0" w:space="0" w:color="auto"/>
        <w:bottom w:val="none" w:sz="0" w:space="0" w:color="auto"/>
        <w:right w:val="none" w:sz="0" w:space="0" w:color="auto"/>
      </w:divBdr>
    </w:div>
    <w:div w:id="931476417">
      <w:bodyDiv w:val="1"/>
      <w:marLeft w:val="0"/>
      <w:marRight w:val="0"/>
      <w:marTop w:val="0"/>
      <w:marBottom w:val="0"/>
      <w:divBdr>
        <w:top w:val="none" w:sz="0" w:space="0" w:color="auto"/>
        <w:left w:val="none" w:sz="0" w:space="0" w:color="auto"/>
        <w:bottom w:val="none" w:sz="0" w:space="0" w:color="auto"/>
        <w:right w:val="none" w:sz="0" w:space="0" w:color="auto"/>
      </w:divBdr>
    </w:div>
    <w:div w:id="942106232">
      <w:bodyDiv w:val="1"/>
      <w:marLeft w:val="0"/>
      <w:marRight w:val="0"/>
      <w:marTop w:val="0"/>
      <w:marBottom w:val="0"/>
      <w:divBdr>
        <w:top w:val="none" w:sz="0" w:space="0" w:color="auto"/>
        <w:left w:val="none" w:sz="0" w:space="0" w:color="auto"/>
        <w:bottom w:val="none" w:sz="0" w:space="0" w:color="auto"/>
        <w:right w:val="none" w:sz="0" w:space="0" w:color="auto"/>
      </w:divBdr>
    </w:div>
    <w:div w:id="963120299">
      <w:bodyDiv w:val="1"/>
      <w:marLeft w:val="0"/>
      <w:marRight w:val="0"/>
      <w:marTop w:val="0"/>
      <w:marBottom w:val="0"/>
      <w:divBdr>
        <w:top w:val="none" w:sz="0" w:space="0" w:color="auto"/>
        <w:left w:val="none" w:sz="0" w:space="0" w:color="auto"/>
        <w:bottom w:val="none" w:sz="0" w:space="0" w:color="auto"/>
        <w:right w:val="none" w:sz="0" w:space="0" w:color="auto"/>
      </w:divBdr>
    </w:div>
    <w:div w:id="1023241579">
      <w:bodyDiv w:val="1"/>
      <w:marLeft w:val="0"/>
      <w:marRight w:val="0"/>
      <w:marTop w:val="0"/>
      <w:marBottom w:val="0"/>
      <w:divBdr>
        <w:top w:val="none" w:sz="0" w:space="0" w:color="auto"/>
        <w:left w:val="none" w:sz="0" w:space="0" w:color="auto"/>
        <w:bottom w:val="none" w:sz="0" w:space="0" w:color="auto"/>
        <w:right w:val="none" w:sz="0" w:space="0" w:color="auto"/>
      </w:divBdr>
    </w:div>
    <w:div w:id="1024599007">
      <w:bodyDiv w:val="1"/>
      <w:marLeft w:val="0"/>
      <w:marRight w:val="0"/>
      <w:marTop w:val="0"/>
      <w:marBottom w:val="0"/>
      <w:divBdr>
        <w:top w:val="none" w:sz="0" w:space="0" w:color="auto"/>
        <w:left w:val="none" w:sz="0" w:space="0" w:color="auto"/>
        <w:bottom w:val="none" w:sz="0" w:space="0" w:color="auto"/>
        <w:right w:val="none" w:sz="0" w:space="0" w:color="auto"/>
      </w:divBdr>
    </w:div>
    <w:div w:id="1050762675">
      <w:bodyDiv w:val="1"/>
      <w:marLeft w:val="0"/>
      <w:marRight w:val="0"/>
      <w:marTop w:val="0"/>
      <w:marBottom w:val="0"/>
      <w:divBdr>
        <w:top w:val="none" w:sz="0" w:space="0" w:color="auto"/>
        <w:left w:val="none" w:sz="0" w:space="0" w:color="auto"/>
        <w:bottom w:val="none" w:sz="0" w:space="0" w:color="auto"/>
        <w:right w:val="none" w:sz="0" w:space="0" w:color="auto"/>
      </w:divBdr>
    </w:div>
    <w:div w:id="1065184264">
      <w:bodyDiv w:val="1"/>
      <w:marLeft w:val="0"/>
      <w:marRight w:val="0"/>
      <w:marTop w:val="0"/>
      <w:marBottom w:val="0"/>
      <w:divBdr>
        <w:top w:val="none" w:sz="0" w:space="0" w:color="auto"/>
        <w:left w:val="none" w:sz="0" w:space="0" w:color="auto"/>
        <w:bottom w:val="none" w:sz="0" w:space="0" w:color="auto"/>
        <w:right w:val="none" w:sz="0" w:space="0" w:color="auto"/>
      </w:divBdr>
    </w:div>
    <w:div w:id="1086220362">
      <w:bodyDiv w:val="1"/>
      <w:marLeft w:val="0"/>
      <w:marRight w:val="0"/>
      <w:marTop w:val="0"/>
      <w:marBottom w:val="0"/>
      <w:divBdr>
        <w:top w:val="none" w:sz="0" w:space="0" w:color="auto"/>
        <w:left w:val="none" w:sz="0" w:space="0" w:color="auto"/>
        <w:bottom w:val="none" w:sz="0" w:space="0" w:color="auto"/>
        <w:right w:val="none" w:sz="0" w:space="0" w:color="auto"/>
      </w:divBdr>
    </w:div>
    <w:div w:id="1117139888">
      <w:bodyDiv w:val="1"/>
      <w:marLeft w:val="0"/>
      <w:marRight w:val="0"/>
      <w:marTop w:val="0"/>
      <w:marBottom w:val="0"/>
      <w:divBdr>
        <w:top w:val="none" w:sz="0" w:space="0" w:color="auto"/>
        <w:left w:val="none" w:sz="0" w:space="0" w:color="auto"/>
        <w:bottom w:val="none" w:sz="0" w:space="0" w:color="auto"/>
        <w:right w:val="none" w:sz="0" w:space="0" w:color="auto"/>
      </w:divBdr>
    </w:div>
    <w:div w:id="1147432780">
      <w:bodyDiv w:val="1"/>
      <w:marLeft w:val="0"/>
      <w:marRight w:val="0"/>
      <w:marTop w:val="0"/>
      <w:marBottom w:val="0"/>
      <w:divBdr>
        <w:top w:val="none" w:sz="0" w:space="0" w:color="auto"/>
        <w:left w:val="none" w:sz="0" w:space="0" w:color="auto"/>
        <w:bottom w:val="none" w:sz="0" w:space="0" w:color="auto"/>
        <w:right w:val="none" w:sz="0" w:space="0" w:color="auto"/>
      </w:divBdr>
    </w:div>
    <w:div w:id="1148281984">
      <w:bodyDiv w:val="1"/>
      <w:marLeft w:val="0"/>
      <w:marRight w:val="0"/>
      <w:marTop w:val="0"/>
      <w:marBottom w:val="0"/>
      <w:divBdr>
        <w:top w:val="none" w:sz="0" w:space="0" w:color="auto"/>
        <w:left w:val="none" w:sz="0" w:space="0" w:color="auto"/>
        <w:bottom w:val="none" w:sz="0" w:space="0" w:color="auto"/>
        <w:right w:val="none" w:sz="0" w:space="0" w:color="auto"/>
      </w:divBdr>
      <w:divsChild>
        <w:div w:id="424620277">
          <w:marLeft w:val="0"/>
          <w:marRight w:val="0"/>
          <w:marTop w:val="0"/>
          <w:marBottom w:val="0"/>
          <w:divBdr>
            <w:top w:val="none" w:sz="0" w:space="0" w:color="auto"/>
            <w:left w:val="none" w:sz="0" w:space="0" w:color="auto"/>
            <w:bottom w:val="none" w:sz="0" w:space="0" w:color="auto"/>
            <w:right w:val="none" w:sz="0" w:space="0" w:color="auto"/>
          </w:divBdr>
          <w:divsChild>
            <w:div w:id="770662387">
              <w:marLeft w:val="0"/>
              <w:marRight w:val="0"/>
              <w:marTop w:val="0"/>
              <w:marBottom w:val="0"/>
              <w:divBdr>
                <w:top w:val="none" w:sz="0" w:space="0" w:color="auto"/>
                <w:left w:val="none" w:sz="0" w:space="0" w:color="auto"/>
                <w:bottom w:val="none" w:sz="0" w:space="0" w:color="auto"/>
                <w:right w:val="none" w:sz="0" w:space="0" w:color="auto"/>
              </w:divBdr>
              <w:divsChild>
                <w:div w:id="777331318">
                  <w:marLeft w:val="0"/>
                  <w:marRight w:val="0"/>
                  <w:marTop w:val="0"/>
                  <w:marBottom w:val="0"/>
                  <w:divBdr>
                    <w:top w:val="none" w:sz="0" w:space="0" w:color="auto"/>
                    <w:left w:val="none" w:sz="0" w:space="0" w:color="auto"/>
                    <w:bottom w:val="none" w:sz="0" w:space="0" w:color="auto"/>
                    <w:right w:val="none" w:sz="0" w:space="0" w:color="auto"/>
                  </w:divBdr>
                  <w:divsChild>
                    <w:div w:id="13704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170153">
      <w:bodyDiv w:val="1"/>
      <w:marLeft w:val="0"/>
      <w:marRight w:val="0"/>
      <w:marTop w:val="0"/>
      <w:marBottom w:val="0"/>
      <w:divBdr>
        <w:top w:val="none" w:sz="0" w:space="0" w:color="auto"/>
        <w:left w:val="none" w:sz="0" w:space="0" w:color="auto"/>
        <w:bottom w:val="none" w:sz="0" w:space="0" w:color="auto"/>
        <w:right w:val="none" w:sz="0" w:space="0" w:color="auto"/>
      </w:divBdr>
    </w:div>
    <w:div w:id="1227687320">
      <w:bodyDiv w:val="1"/>
      <w:marLeft w:val="0"/>
      <w:marRight w:val="0"/>
      <w:marTop w:val="0"/>
      <w:marBottom w:val="0"/>
      <w:divBdr>
        <w:top w:val="none" w:sz="0" w:space="0" w:color="auto"/>
        <w:left w:val="none" w:sz="0" w:space="0" w:color="auto"/>
        <w:bottom w:val="none" w:sz="0" w:space="0" w:color="auto"/>
        <w:right w:val="none" w:sz="0" w:space="0" w:color="auto"/>
      </w:divBdr>
    </w:div>
    <w:div w:id="1254706140">
      <w:bodyDiv w:val="1"/>
      <w:marLeft w:val="0"/>
      <w:marRight w:val="0"/>
      <w:marTop w:val="0"/>
      <w:marBottom w:val="0"/>
      <w:divBdr>
        <w:top w:val="none" w:sz="0" w:space="0" w:color="auto"/>
        <w:left w:val="none" w:sz="0" w:space="0" w:color="auto"/>
        <w:bottom w:val="none" w:sz="0" w:space="0" w:color="auto"/>
        <w:right w:val="none" w:sz="0" w:space="0" w:color="auto"/>
      </w:divBdr>
    </w:div>
    <w:div w:id="1327781048">
      <w:bodyDiv w:val="1"/>
      <w:marLeft w:val="0"/>
      <w:marRight w:val="0"/>
      <w:marTop w:val="0"/>
      <w:marBottom w:val="0"/>
      <w:divBdr>
        <w:top w:val="none" w:sz="0" w:space="0" w:color="auto"/>
        <w:left w:val="none" w:sz="0" w:space="0" w:color="auto"/>
        <w:bottom w:val="none" w:sz="0" w:space="0" w:color="auto"/>
        <w:right w:val="none" w:sz="0" w:space="0" w:color="auto"/>
      </w:divBdr>
    </w:div>
    <w:div w:id="1420828138">
      <w:bodyDiv w:val="1"/>
      <w:marLeft w:val="0"/>
      <w:marRight w:val="0"/>
      <w:marTop w:val="0"/>
      <w:marBottom w:val="0"/>
      <w:divBdr>
        <w:top w:val="none" w:sz="0" w:space="0" w:color="auto"/>
        <w:left w:val="none" w:sz="0" w:space="0" w:color="auto"/>
        <w:bottom w:val="none" w:sz="0" w:space="0" w:color="auto"/>
        <w:right w:val="none" w:sz="0" w:space="0" w:color="auto"/>
      </w:divBdr>
    </w:div>
    <w:div w:id="1446343006">
      <w:bodyDiv w:val="1"/>
      <w:marLeft w:val="0"/>
      <w:marRight w:val="0"/>
      <w:marTop w:val="0"/>
      <w:marBottom w:val="0"/>
      <w:divBdr>
        <w:top w:val="none" w:sz="0" w:space="0" w:color="auto"/>
        <w:left w:val="none" w:sz="0" w:space="0" w:color="auto"/>
        <w:bottom w:val="none" w:sz="0" w:space="0" w:color="auto"/>
        <w:right w:val="none" w:sz="0" w:space="0" w:color="auto"/>
      </w:divBdr>
    </w:div>
    <w:div w:id="1508250725">
      <w:bodyDiv w:val="1"/>
      <w:marLeft w:val="0"/>
      <w:marRight w:val="0"/>
      <w:marTop w:val="0"/>
      <w:marBottom w:val="0"/>
      <w:divBdr>
        <w:top w:val="none" w:sz="0" w:space="0" w:color="auto"/>
        <w:left w:val="none" w:sz="0" w:space="0" w:color="auto"/>
        <w:bottom w:val="none" w:sz="0" w:space="0" w:color="auto"/>
        <w:right w:val="none" w:sz="0" w:space="0" w:color="auto"/>
      </w:divBdr>
    </w:div>
    <w:div w:id="1535190888">
      <w:bodyDiv w:val="1"/>
      <w:marLeft w:val="0"/>
      <w:marRight w:val="0"/>
      <w:marTop w:val="0"/>
      <w:marBottom w:val="0"/>
      <w:divBdr>
        <w:top w:val="none" w:sz="0" w:space="0" w:color="auto"/>
        <w:left w:val="none" w:sz="0" w:space="0" w:color="auto"/>
        <w:bottom w:val="none" w:sz="0" w:space="0" w:color="auto"/>
        <w:right w:val="none" w:sz="0" w:space="0" w:color="auto"/>
      </w:divBdr>
    </w:div>
    <w:div w:id="1548881622">
      <w:bodyDiv w:val="1"/>
      <w:marLeft w:val="0"/>
      <w:marRight w:val="0"/>
      <w:marTop w:val="0"/>
      <w:marBottom w:val="0"/>
      <w:divBdr>
        <w:top w:val="none" w:sz="0" w:space="0" w:color="auto"/>
        <w:left w:val="none" w:sz="0" w:space="0" w:color="auto"/>
        <w:bottom w:val="none" w:sz="0" w:space="0" w:color="auto"/>
        <w:right w:val="none" w:sz="0" w:space="0" w:color="auto"/>
      </w:divBdr>
    </w:div>
    <w:div w:id="1549338937">
      <w:bodyDiv w:val="1"/>
      <w:marLeft w:val="0"/>
      <w:marRight w:val="0"/>
      <w:marTop w:val="0"/>
      <w:marBottom w:val="0"/>
      <w:divBdr>
        <w:top w:val="none" w:sz="0" w:space="0" w:color="auto"/>
        <w:left w:val="none" w:sz="0" w:space="0" w:color="auto"/>
        <w:bottom w:val="none" w:sz="0" w:space="0" w:color="auto"/>
        <w:right w:val="none" w:sz="0" w:space="0" w:color="auto"/>
      </w:divBdr>
    </w:div>
    <w:div w:id="1633436382">
      <w:bodyDiv w:val="1"/>
      <w:marLeft w:val="0"/>
      <w:marRight w:val="0"/>
      <w:marTop w:val="0"/>
      <w:marBottom w:val="0"/>
      <w:divBdr>
        <w:top w:val="none" w:sz="0" w:space="0" w:color="auto"/>
        <w:left w:val="none" w:sz="0" w:space="0" w:color="auto"/>
        <w:bottom w:val="none" w:sz="0" w:space="0" w:color="auto"/>
        <w:right w:val="none" w:sz="0" w:space="0" w:color="auto"/>
      </w:divBdr>
    </w:div>
    <w:div w:id="1667249325">
      <w:bodyDiv w:val="1"/>
      <w:marLeft w:val="0"/>
      <w:marRight w:val="0"/>
      <w:marTop w:val="0"/>
      <w:marBottom w:val="0"/>
      <w:divBdr>
        <w:top w:val="none" w:sz="0" w:space="0" w:color="auto"/>
        <w:left w:val="none" w:sz="0" w:space="0" w:color="auto"/>
        <w:bottom w:val="none" w:sz="0" w:space="0" w:color="auto"/>
        <w:right w:val="none" w:sz="0" w:space="0" w:color="auto"/>
      </w:divBdr>
    </w:div>
    <w:div w:id="1790783025">
      <w:bodyDiv w:val="1"/>
      <w:marLeft w:val="0"/>
      <w:marRight w:val="0"/>
      <w:marTop w:val="0"/>
      <w:marBottom w:val="0"/>
      <w:divBdr>
        <w:top w:val="none" w:sz="0" w:space="0" w:color="auto"/>
        <w:left w:val="none" w:sz="0" w:space="0" w:color="auto"/>
        <w:bottom w:val="none" w:sz="0" w:space="0" w:color="auto"/>
        <w:right w:val="none" w:sz="0" w:space="0" w:color="auto"/>
      </w:divBdr>
    </w:div>
    <w:div w:id="1800302025">
      <w:bodyDiv w:val="1"/>
      <w:marLeft w:val="0"/>
      <w:marRight w:val="0"/>
      <w:marTop w:val="0"/>
      <w:marBottom w:val="0"/>
      <w:divBdr>
        <w:top w:val="none" w:sz="0" w:space="0" w:color="auto"/>
        <w:left w:val="none" w:sz="0" w:space="0" w:color="auto"/>
        <w:bottom w:val="none" w:sz="0" w:space="0" w:color="auto"/>
        <w:right w:val="none" w:sz="0" w:space="0" w:color="auto"/>
      </w:divBdr>
    </w:div>
    <w:div w:id="1862744014">
      <w:bodyDiv w:val="1"/>
      <w:marLeft w:val="0"/>
      <w:marRight w:val="0"/>
      <w:marTop w:val="0"/>
      <w:marBottom w:val="0"/>
      <w:divBdr>
        <w:top w:val="none" w:sz="0" w:space="0" w:color="auto"/>
        <w:left w:val="none" w:sz="0" w:space="0" w:color="auto"/>
        <w:bottom w:val="none" w:sz="0" w:space="0" w:color="auto"/>
        <w:right w:val="none" w:sz="0" w:space="0" w:color="auto"/>
      </w:divBdr>
    </w:div>
    <w:div w:id="1915699542">
      <w:bodyDiv w:val="1"/>
      <w:marLeft w:val="0"/>
      <w:marRight w:val="0"/>
      <w:marTop w:val="0"/>
      <w:marBottom w:val="0"/>
      <w:divBdr>
        <w:top w:val="none" w:sz="0" w:space="0" w:color="auto"/>
        <w:left w:val="none" w:sz="0" w:space="0" w:color="auto"/>
        <w:bottom w:val="none" w:sz="0" w:space="0" w:color="auto"/>
        <w:right w:val="none" w:sz="0" w:space="0" w:color="auto"/>
      </w:divBdr>
    </w:div>
    <w:div w:id="1923442860">
      <w:bodyDiv w:val="1"/>
      <w:marLeft w:val="0"/>
      <w:marRight w:val="0"/>
      <w:marTop w:val="0"/>
      <w:marBottom w:val="0"/>
      <w:divBdr>
        <w:top w:val="none" w:sz="0" w:space="0" w:color="auto"/>
        <w:left w:val="none" w:sz="0" w:space="0" w:color="auto"/>
        <w:bottom w:val="none" w:sz="0" w:space="0" w:color="auto"/>
        <w:right w:val="none" w:sz="0" w:space="0" w:color="auto"/>
      </w:divBdr>
    </w:div>
    <w:div w:id="1934895023">
      <w:bodyDiv w:val="1"/>
      <w:marLeft w:val="0"/>
      <w:marRight w:val="0"/>
      <w:marTop w:val="0"/>
      <w:marBottom w:val="0"/>
      <w:divBdr>
        <w:top w:val="none" w:sz="0" w:space="0" w:color="auto"/>
        <w:left w:val="none" w:sz="0" w:space="0" w:color="auto"/>
        <w:bottom w:val="none" w:sz="0" w:space="0" w:color="auto"/>
        <w:right w:val="none" w:sz="0" w:space="0" w:color="auto"/>
      </w:divBdr>
    </w:div>
    <w:div w:id="1945652761">
      <w:bodyDiv w:val="1"/>
      <w:marLeft w:val="0"/>
      <w:marRight w:val="0"/>
      <w:marTop w:val="0"/>
      <w:marBottom w:val="0"/>
      <w:divBdr>
        <w:top w:val="none" w:sz="0" w:space="0" w:color="auto"/>
        <w:left w:val="none" w:sz="0" w:space="0" w:color="auto"/>
        <w:bottom w:val="none" w:sz="0" w:space="0" w:color="auto"/>
        <w:right w:val="none" w:sz="0" w:space="0" w:color="auto"/>
      </w:divBdr>
      <w:divsChild>
        <w:div w:id="532184653">
          <w:marLeft w:val="0"/>
          <w:marRight w:val="0"/>
          <w:marTop w:val="0"/>
          <w:marBottom w:val="0"/>
          <w:divBdr>
            <w:top w:val="none" w:sz="0" w:space="0" w:color="auto"/>
            <w:left w:val="none" w:sz="0" w:space="0" w:color="auto"/>
            <w:bottom w:val="none" w:sz="0" w:space="0" w:color="auto"/>
            <w:right w:val="none" w:sz="0" w:space="0" w:color="auto"/>
          </w:divBdr>
          <w:divsChild>
            <w:div w:id="2141722756">
              <w:marLeft w:val="0"/>
              <w:marRight w:val="0"/>
              <w:marTop w:val="0"/>
              <w:marBottom w:val="0"/>
              <w:divBdr>
                <w:top w:val="none" w:sz="0" w:space="0" w:color="auto"/>
                <w:left w:val="none" w:sz="0" w:space="0" w:color="auto"/>
                <w:bottom w:val="none" w:sz="0" w:space="0" w:color="auto"/>
                <w:right w:val="none" w:sz="0" w:space="0" w:color="auto"/>
              </w:divBdr>
              <w:divsChild>
                <w:div w:id="110318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306605">
      <w:bodyDiv w:val="1"/>
      <w:marLeft w:val="0"/>
      <w:marRight w:val="0"/>
      <w:marTop w:val="0"/>
      <w:marBottom w:val="0"/>
      <w:divBdr>
        <w:top w:val="none" w:sz="0" w:space="0" w:color="auto"/>
        <w:left w:val="none" w:sz="0" w:space="0" w:color="auto"/>
        <w:bottom w:val="none" w:sz="0" w:space="0" w:color="auto"/>
        <w:right w:val="none" w:sz="0" w:space="0" w:color="auto"/>
      </w:divBdr>
    </w:div>
    <w:div w:id="1989897545">
      <w:bodyDiv w:val="1"/>
      <w:marLeft w:val="0"/>
      <w:marRight w:val="0"/>
      <w:marTop w:val="0"/>
      <w:marBottom w:val="0"/>
      <w:divBdr>
        <w:top w:val="none" w:sz="0" w:space="0" w:color="auto"/>
        <w:left w:val="none" w:sz="0" w:space="0" w:color="auto"/>
        <w:bottom w:val="none" w:sz="0" w:space="0" w:color="auto"/>
        <w:right w:val="none" w:sz="0" w:space="0" w:color="auto"/>
      </w:divBdr>
    </w:div>
    <w:div w:id="2012372818">
      <w:bodyDiv w:val="1"/>
      <w:marLeft w:val="0"/>
      <w:marRight w:val="0"/>
      <w:marTop w:val="0"/>
      <w:marBottom w:val="0"/>
      <w:divBdr>
        <w:top w:val="none" w:sz="0" w:space="0" w:color="auto"/>
        <w:left w:val="none" w:sz="0" w:space="0" w:color="auto"/>
        <w:bottom w:val="none" w:sz="0" w:space="0" w:color="auto"/>
        <w:right w:val="none" w:sz="0" w:space="0" w:color="auto"/>
      </w:divBdr>
    </w:div>
    <w:div w:id="2019233332">
      <w:bodyDiv w:val="1"/>
      <w:marLeft w:val="0"/>
      <w:marRight w:val="0"/>
      <w:marTop w:val="0"/>
      <w:marBottom w:val="0"/>
      <w:divBdr>
        <w:top w:val="none" w:sz="0" w:space="0" w:color="auto"/>
        <w:left w:val="none" w:sz="0" w:space="0" w:color="auto"/>
        <w:bottom w:val="none" w:sz="0" w:space="0" w:color="auto"/>
        <w:right w:val="none" w:sz="0" w:space="0" w:color="auto"/>
      </w:divBdr>
    </w:div>
    <w:div w:id="2035957767">
      <w:bodyDiv w:val="1"/>
      <w:marLeft w:val="0"/>
      <w:marRight w:val="0"/>
      <w:marTop w:val="0"/>
      <w:marBottom w:val="0"/>
      <w:divBdr>
        <w:top w:val="none" w:sz="0" w:space="0" w:color="auto"/>
        <w:left w:val="none" w:sz="0" w:space="0" w:color="auto"/>
        <w:bottom w:val="none" w:sz="0" w:space="0" w:color="auto"/>
        <w:right w:val="none" w:sz="0" w:space="0" w:color="auto"/>
      </w:divBdr>
    </w:div>
    <w:div w:id="2061441290">
      <w:bodyDiv w:val="1"/>
      <w:marLeft w:val="0"/>
      <w:marRight w:val="0"/>
      <w:marTop w:val="0"/>
      <w:marBottom w:val="0"/>
      <w:divBdr>
        <w:top w:val="none" w:sz="0" w:space="0" w:color="auto"/>
        <w:left w:val="none" w:sz="0" w:space="0" w:color="auto"/>
        <w:bottom w:val="none" w:sz="0" w:space="0" w:color="auto"/>
        <w:right w:val="none" w:sz="0" w:space="0" w:color="auto"/>
      </w:divBdr>
    </w:div>
    <w:div w:id="2103645479">
      <w:bodyDiv w:val="1"/>
      <w:marLeft w:val="0"/>
      <w:marRight w:val="0"/>
      <w:marTop w:val="0"/>
      <w:marBottom w:val="0"/>
      <w:divBdr>
        <w:top w:val="none" w:sz="0" w:space="0" w:color="auto"/>
        <w:left w:val="none" w:sz="0" w:space="0" w:color="auto"/>
        <w:bottom w:val="none" w:sz="0" w:space="0" w:color="auto"/>
        <w:right w:val="none" w:sz="0" w:space="0" w:color="auto"/>
      </w:divBdr>
    </w:div>
    <w:div w:id="2138185138">
      <w:bodyDiv w:val="1"/>
      <w:marLeft w:val="0"/>
      <w:marRight w:val="0"/>
      <w:marTop w:val="0"/>
      <w:marBottom w:val="0"/>
      <w:divBdr>
        <w:top w:val="none" w:sz="0" w:space="0" w:color="auto"/>
        <w:left w:val="none" w:sz="0" w:space="0" w:color="auto"/>
        <w:bottom w:val="none" w:sz="0" w:space="0" w:color="auto"/>
        <w:right w:val="none" w:sz="0" w:space="0" w:color="auto"/>
      </w:divBdr>
    </w:div>
    <w:div w:id="214049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dvocacy.calchamber.com/2022/03/02/u-s-launches-programs-to-combat-supply-chain-problems-spur-manufacturing/" TargetMode="External"/><Relationship Id="rId18" Type="http://schemas.openxmlformats.org/officeDocument/2006/relationships/hyperlink" Target="https://www.transportation.gov/briefing-room/president-biden-us-dot-announce-29-billion-bipartisan-infrastructure-law-funding" TargetMode="External"/><Relationship Id="rId26" Type="http://schemas.openxmlformats.org/officeDocument/2006/relationships/hyperlink" Target="https://www.prnewswire.com/news-releases/ucla-anderson-forecast-russia-ukraine-war-adds-new-risks-to-us-and-california-economies-301498591.html" TargetMode="External"/><Relationship Id="rId3" Type="http://schemas.openxmlformats.org/officeDocument/2006/relationships/customXml" Target="../customXml/item3.xml"/><Relationship Id="rId21" Type="http://schemas.openxmlformats.org/officeDocument/2006/relationships/hyperlink" Target="https://www.federalreserve.gov/monetarypolicy/fomcprojtable20220316.htm"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wsj.com/articles/biden-to-finalize-buy-american-rule-for-government-procurements-11646388000" TargetMode="External"/><Relationship Id="rId17" Type="http://schemas.openxmlformats.org/officeDocument/2006/relationships/hyperlink" Target="https://www.chicagobusiness.com/health-care/abbvie-buys-neuroscience-startup-1-billion" TargetMode="External"/><Relationship Id="rId25" Type="http://schemas.openxmlformats.org/officeDocument/2006/relationships/hyperlink" Target="https://www.nytimes.com/2022/03/07/nyregion/nyc-rent-surge.html" TargetMode="External"/><Relationship Id="rId33" Type="http://schemas.openxmlformats.org/officeDocument/2006/relationships/hyperlink" Target="mailto:karolis.anuzis@urm.lt" TargetMode="External"/><Relationship Id="rId2" Type="http://schemas.openxmlformats.org/officeDocument/2006/relationships/customXml" Target="../customXml/item2.xml"/><Relationship Id="rId16" Type="http://schemas.openxmlformats.org/officeDocument/2006/relationships/hyperlink" Target="https://home.treasury.gov/news/press-releases/jy0650" TargetMode="External"/><Relationship Id="rId20" Type="http://schemas.openxmlformats.org/officeDocument/2006/relationships/hyperlink" Target="https://www.einnews.com/pr_news/566205464/mendtronix-inc-mti-acquires-a-new-west-coast-facility-after-seeing-a-significant-rise-in-client-base" TargetMode="External"/><Relationship Id="rId29" Type="http://schemas.openxmlformats.org/officeDocument/2006/relationships/hyperlink" Target="mailto:danas.vaitkevicius@urm.l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reightwaves.com/news/just-three-years-after-2019s-trucking-bloodbath-another-one-is-on-the-way?p=411568" TargetMode="External"/><Relationship Id="rId24" Type="http://schemas.openxmlformats.org/officeDocument/2006/relationships/hyperlink" Target="https://www.bls.gov/opub/btn/volume-11/how-did-employment-change-during-the-covid-19-pandemic.htm" TargetMode="External"/><Relationship Id="rId32" Type="http://schemas.openxmlformats.org/officeDocument/2006/relationships/hyperlink" Target="mailto:mantas.zamzickas@urm.lt"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whitehouse.gov/briefing-room/statements-releases/2022/03/24/fact-sheet-the-biden-administration-announces-new-humanitarian-development-and-democracy-assistance-to-ukraine-and-the-surrounding-region/" TargetMode="External"/><Relationship Id="rId23" Type="http://schemas.openxmlformats.org/officeDocument/2006/relationships/hyperlink" Target="https://www.bloomberg.com/news/features/2022-03-21/nyc-jobless-rates-double-u-s-averages-in-struggle-with-post-covid-recovery" TargetMode="External"/><Relationship Id="rId28" Type="http://schemas.openxmlformats.org/officeDocument/2006/relationships/hyperlink" Target="https://www.usda.gov/media/press-releases/2022/03/11/usda-announces-plans-250-million-investment-support-innovative" TargetMode="External"/><Relationship Id="rId36" Type="http://schemas.openxmlformats.org/officeDocument/2006/relationships/fontTable" Target="fontTable.xml"/><Relationship Id="rId10" Type="http://schemas.openxmlformats.org/officeDocument/2006/relationships/hyperlink" Target="https://www2.deloitte.com/us/en/pages/consulting/articles/early-2022-retail-and-consumer-products-industry-trends.html" TargetMode="External"/><Relationship Id="rId19" Type="http://schemas.openxmlformats.org/officeDocument/2006/relationships/hyperlink" Target="https://www.chicagobusiness.com/greg-hinz-politics/pete-buttigieg-says-chicago-eligible-billions-infrastructure-funds" TargetMode="External"/><Relationship Id="rId31" Type="http://schemas.openxmlformats.org/officeDocument/2006/relationships/hyperlink" Target="mailto:paulius.cemnolonskas@urm.l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heloadstar.com/us-west-coast-port-congestion-starts-to-ease-as-imports-divert-to-the-east/" TargetMode="External"/><Relationship Id="rId22" Type="http://schemas.openxmlformats.org/officeDocument/2006/relationships/hyperlink" Target="https://www.wsj.com/articles/powell-says-fed-will-consider-more-aggressive-interest-rate-increases-to-reduce-inflation-11647880218?st=rs6e3ci0h5cz55z&amp;reflink=desktopwebshare_permalink" TargetMode="External"/><Relationship Id="rId27" Type="http://schemas.openxmlformats.org/officeDocument/2006/relationships/hyperlink" Target="https://www.ers.usda.gov/data-products/food-price-outlook/summary-findings/" TargetMode="External"/><Relationship Id="rId30" Type="http://schemas.openxmlformats.org/officeDocument/2006/relationships/hyperlink" Target="mailto:vidmantas.verbickas@urm.lt"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a1b8634-5800-45f4-860f-067065af3e60">
      <UserInfo>
        <DisplayName>Jonas MAŽEIKA</DisplayName>
        <AccountId>353</AccountId>
        <AccountType/>
      </UserInfo>
      <UserInfo>
        <DisplayName>Danas VAITKEVIČIUS</DisplayName>
        <AccountId>9</AccountId>
        <AccountType/>
      </UserInfo>
      <UserInfo>
        <DisplayName>Laimutis ABECIŪNAS</DisplayName>
        <AccountId>97</AccountId>
        <AccountType/>
      </UserInfo>
      <UserInfo>
        <DisplayName>Saulius PUMPUTIS</DisplayName>
        <AccountId>99</AccountId>
        <AccountType/>
      </UserInfo>
      <UserInfo>
        <DisplayName>Gitana SKRIPKAITĖ</DisplayName>
        <AccountId>400</AccountId>
        <AccountType/>
      </UserInfo>
      <UserInfo>
        <DisplayName>Nijolė NAGINYTĖ</DisplayName>
        <AccountId>315</AccountId>
        <AccountType/>
      </UserInfo>
      <UserInfo>
        <DisplayName>Vaidotas AŠMONAS</DisplayName>
        <AccountId>94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83AD01B37463A24AAC106CE82A569DE3" ma:contentTypeVersion="" ma:contentTypeDescription="Kurkite naują dokumentą." ma:contentTypeScope="" ma:versionID="c8ce2218d71a5a6e4527008c2c0403ae">
  <xsd:schema xmlns:xsd="http://www.w3.org/2001/XMLSchema" xmlns:xs="http://www.w3.org/2001/XMLSchema" xmlns:p="http://schemas.microsoft.com/office/2006/metadata/properties" xmlns:ns2="2a1b8634-5800-45f4-860f-067065af3e60" targetNamespace="http://schemas.microsoft.com/office/2006/metadata/properties" ma:root="true" ma:fieldsID="9a90d3cd3f5e288946c377b18400a4fa" ns2:_="">
    <xsd:import namespace="2a1b8634-5800-45f4-860f-067065af3e6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8634-5800-45f4-860f-067065af3e60" elementFormDefault="qualified">
    <xsd:import namespace="http://schemas.microsoft.com/office/2006/documentManagement/types"/>
    <xsd:import namespace="http://schemas.microsoft.com/office/infopath/2007/PartnerControls"/>
    <xsd:element name="SharedWithUsers" ma:index="8" nillable="true" ma:displayName="Bendrinama s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729E86-F317-4F8A-AD76-4C7780EE4C0F}">
  <ds:schemaRefs>
    <ds:schemaRef ds:uri="http://schemas.microsoft.com/office/2006/metadata/properties"/>
    <ds:schemaRef ds:uri="http://schemas.microsoft.com/office/infopath/2007/PartnerControls"/>
    <ds:schemaRef ds:uri="2a1b8634-5800-45f4-860f-067065af3e60"/>
  </ds:schemaRefs>
</ds:datastoreItem>
</file>

<file path=customXml/itemProps2.xml><?xml version="1.0" encoding="utf-8"?>
<ds:datastoreItem xmlns:ds="http://schemas.openxmlformats.org/officeDocument/2006/customXml" ds:itemID="{9B7C978B-FE79-4BB6-BE54-184B0040E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8634-5800-45f4-860f-067065af3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BF38A3-1A8C-46C5-AD1F-FF9ACDB965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2593</Words>
  <Characters>14783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Ernestas MICKUS</dc:creator>
  <cp:lastModifiedBy>Danas VAITKEVIČIUS</cp:lastModifiedBy>
  <cp:revision>4</cp:revision>
  <dcterms:created xsi:type="dcterms:W3CDTF">2022-03-31T20:25:00Z</dcterms:created>
  <dcterms:modified xsi:type="dcterms:W3CDTF">2022-03-31T21:37:00Z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0x01010083AD01B37463A24AAC106CE82A569DE3</vt:lpwstr>
  </property>
</Properties>
</file>