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B6" w:rsidRPr="005D6BB0" w:rsidRDefault="00514940" w:rsidP="00C17553">
      <w:pPr>
        <w:pStyle w:val="Nrdata"/>
        <w:spacing w:before="120"/>
        <w:rPr>
          <w:lang w:val="lt-LT"/>
        </w:rPr>
      </w:pPr>
      <w:r w:rsidRPr="005D6BB0">
        <w:rPr>
          <w:lang w:val="lt-LT"/>
        </w:rPr>
        <w:t>20</w:t>
      </w:r>
      <w:r w:rsidR="00893BD2">
        <w:rPr>
          <w:lang w:val="lt-LT"/>
        </w:rPr>
        <w:t>2</w:t>
      </w:r>
      <w:r w:rsidR="00C17553">
        <w:rPr>
          <w:lang w:val="lt-LT"/>
        </w:rPr>
        <w:t xml:space="preserve">2 </w:t>
      </w:r>
      <w:r w:rsidR="00430807" w:rsidRPr="005D6BB0">
        <w:rPr>
          <w:lang w:val="lt-LT"/>
        </w:rPr>
        <w:t>m.</w:t>
      </w:r>
      <w:r w:rsidRPr="005D6BB0">
        <w:rPr>
          <w:lang w:val="lt-LT"/>
        </w:rPr>
        <w:t xml:space="preserve"> </w:t>
      </w:r>
      <w:r w:rsidR="00E16FED" w:rsidRPr="005D6BB0">
        <w:rPr>
          <w:lang w:val="lt-LT"/>
        </w:rPr>
        <w:t>gegužės</w:t>
      </w:r>
      <w:r w:rsidR="00510750" w:rsidRPr="005D6BB0">
        <w:rPr>
          <w:lang w:val="lt-LT"/>
        </w:rPr>
        <w:t xml:space="preserve"> </w:t>
      </w:r>
      <w:r w:rsidR="00C17553">
        <w:rPr>
          <w:lang w:val="lt-LT"/>
        </w:rPr>
        <w:t>6</w:t>
      </w:r>
      <w:r w:rsidRPr="005D6BB0">
        <w:rPr>
          <w:lang w:val="lt-LT"/>
        </w:rPr>
        <w:t xml:space="preserve"> d., Vilnius</w:t>
      </w:r>
    </w:p>
    <w:p w:rsidR="00217843" w:rsidRDefault="00217843" w:rsidP="0045594E">
      <w:pPr>
        <w:rPr>
          <w:b/>
          <w:sz w:val="24"/>
          <w:szCs w:val="24"/>
          <w:lang w:val="lt-LT"/>
        </w:rPr>
      </w:pPr>
    </w:p>
    <w:p w:rsidR="007B7543" w:rsidRDefault="007B7543" w:rsidP="0045594E">
      <w:pPr>
        <w:rPr>
          <w:b/>
          <w:sz w:val="24"/>
          <w:szCs w:val="24"/>
          <w:lang w:val="lt-LT"/>
        </w:rPr>
      </w:pPr>
    </w:p>
    <w:p w:rsidR="00370BE3" w:rsidRPr="0042435F" w:rsidRDefault="00370BE3" w:rsidP="0045594E">
      <w:pPr>
        <w:rPr>
          <w:b/>
          <w:sz w:val="24"/>
          <w:szCs w:val="24"/>
          <w:lang w:val="lt-LT"/>
        </w:rPr>
      </w:pPr>
      <w:r w:rsidRPr="00B754EF">
        <w:rPr>
          <w:b/>
          <w:sz w:val="24"/>
          <w:szCs w:val="24"/>
          <w:lang w:val="lt-LT"/>
        </w:rPr>
        <w:t>UŽIMTUMAS IR NEDARBAS 20</w:t>
      </w:r>
      <w:r w:rsidR="00893BD2" w:rsidRPr="00B754EF">
        <w:rPr>
          <w:b/>
          <w:sz w:val="24"/>
          <w:szCs w:val="24"/>
          <w:lang w:val="lt-LT"/>
        </w:rPr>
        <w:t>2</w:t>
      </w:r>
      <w:r w:rsidR="00C17553">
        <w:rPr>
          <w:b/>
          <w:sz w:val="24"/>
          <w:szCs w:val="24"/>
          <w:lang w:val="lt-LT"/>
        </w:rPr>
        <w:t>2</w:t>
      </w:r>
      <w:r w:rsidRPr="00B754EF">
        <w:rPr>
          <w:b/>
          <w:sz w:val="24"/>
          <w:szCs w:val="24"/>
          <w:lang w:val="lt-LT"/>
        </w:rPr>
        <w:t> </w:t>
      </w:r>
      <w:r w:rsidR="00C60209" w:rsidRPr="00B754EF">
        <w:rPr>
          <w:b/>
          <w:sz w:val="24"/>
          <w:szCs w:val="24"/>
          <w:lang w:val="lt-LT"/>
        </w:rPr>
        <w:t>M</w:t>
      </w:r>
      <w:r w:rsidRPr="00B754EF">
        <w:rPr>
          <w:b/>
          <w:sz w:val="24"/>
          <w:szCs w:val="24"/>
          <w:lang w:val="lt-LT"/>
        </w:rPr>
        <w:t>. I</w:t>
      </w:r>
      <w:r w:rsidR="009C156F">
        <w:rPr>
          <w:b/>
          <w:sz w:val="24"/>
          <w:szCs w:val="24"/>
          <w:lang w:val="lt-LT"/>
        </w:rPr>
        <w:t xml:space="preserve"> </w:t>
      </w:r>
      <w:r w:rsidRPr="00B754EF">
        <w:rPr>
          <w:b/>
          <w:sz w:val="24"/>
          <w:szCs w:val="24"/>
          <w:lang w:val="lt-LT"/>
        </w:rPr>
        <w:t>KETV.</w:t>
      </w:r>
    </w:p>
    <w:p w:rsidR="00370BE3" w:rsidRPr="0042435F" w:rsidRDefault="00370BE3" w:rsidP="0045594E">
      <w:pPr>
        <w:rPr>
          <w:sz w:val="16"/>
          <w:szCs w:val="16"/>
          <w:lang w:val="lt-LT"/>
        </w:rPr>
      </w:pPr>
    </w:p>
    <w:p w:rsidR="00370BE3" w:rsidRPr="00C17553" w:rsidRDefault="00C632F0" w:rsidP="0045594E">
      <w:pPr>
        <w:rPr>
          <w:b/>
          <w:lang w:val="lt-LT"/>
        </w:rPr>
      </w:pPr>
      <w:r w:rsidRPr="00C17553">
        <w:rPr>
          <w:b/>
          <w:lang w:val="lt-LT"/>
        </w:rPr>
        <w:t>202</w:t>
      </w:r>
      <w:r w:rsidR="00C17553">
        <w:rPr>
          <w:b/>
          <w:lang w:val="lt-LT"/>
        </w:rPr>
        <w:t>2</w:t>
      </w:r>
      <w:r w:rsidR="002F6332">
        <w:rPr>
          <w:b/>
          <w:lang w:val="lt-LT"/>
        </w:rPr>
        <w:t> </w:t>
      </w:r>
      <w:r w:rsidRPr="00C17553">
        <w:rPr>
          <w:b/>
          <w:lang w:val="lt-LT"/>
        </w:rPr>
        <w:t>m. pirmąjį ke</w:t>
      </w:r>
      <w:r w:rsidR="002F6332" w:rsidRPr="00277243">
        <w:rPr>
          <w:b/>
          <w:lang w:val="lt-LT"/>
        </w:rPr>
        <w:t xml:space="preserve">tvirtį nedarbo lygis sudarė </w:t>
      </w:r>
      <w:r w:rsidR="00C17553">
        <w:rPr>
          <w:b/>
          <w:lang w:val="lt-LT"/>
        </w:rPr>
        <w:t>6,3</w:t>
      </w:r>
      <w:r w:rsidR="002F6332" w:rsidRPr="00277243">
        <w:rPr>
          <w:b/>
          <w:lang w:val="lt-LT"/>
        </w:rPr>
        <w:t> </w:t>
      </w:r>
      <w:r w:rsidRPr="00C17553">
        <w:rPr>
          <w:b/>
          <w:lang w:val="lt-LT"/>
        </w:rPr>
        <w:t>proc.</w:t>
      </w:r>
    </w:p>
    <w:p w:rsidR="00C632F0" w:rsidRPr="0042435F" w:rsidRDefault="00C632F0" w:rsidP="0045594E">
      <w:pPr>
        <w:rPr>
          <w:sz w:val="16"/>
          <w:szCs w:val="16"/>
          <w:lang w:val="lt-LT"/>
        </w:rPr>
      </w:pPr>
    </w:p>
    <w:p w:rsidR="00E16FED" w:rsidRPr="0042435F" w:rsidRDefault="006A09D4" w:rsidP="0045594E">
      <w:pPr>
        <w:pStyle w:val="Pagrtekstas"/>
        <w:numPr>
          <w:ilvl w:val="0"/>
          <w:numId w:val="1"/>
        </w:numPr>
        <w:ind w:left="568" w:hanging="284"/>
        <w:rPr>
          <w:lang w:val="lt-LT"/>
        </w:rPr>
      </w:pPr>
      <w:r w:rsidRPr="00C17553">
        <w:rPr>
          <w:color w:val="9BBB59" w:themeColor="accent3"/>
          <w:lang w:val="lt-LT"/>
        </w:rPr>
        <w:t xml:space="preserve">Nedarbo lygis </w:t>
      </w:r>
      <w:r w:rsidR="00362A55" w:rsidRPr="0042435F">
        <w:rPr>
          <w:lang w:val="lt-LT"/>
        </w:rPr>
        <w:t>20</w:t>
      </w:r>
      <w:r w:rsidR="00755EDC" w:rsidRPr="0042435F">
        <w:rPr>
          <w:lang w:val="lt-LT"/>
        </w:rPr>
        <w:t>2</w:t>
      </w:r>
      <w:r w:rsidR="00C17553">
        <w:rPr>
          <w:lang w:val="lt-LT"/>
        </w:rPr>
        <w:t>2</w:t>
      </w:r>
      <w:r w:rsidR="00430807" w:rsidRPr="0042435F">
        <w:rPr>
          <w:lang w:val="lt-LT"/>
        </w:rPr>
        <w:t> m.</w:t>
      </w:r>
      <w:r w:rsidR="00362A55" w:rsidRPr="0042435F">
        <w:rPr>
          <w:lang w:val="lt-LT"/>
        </w:rPr>
        <w:t xml:space="preserve"> pirmąjį ketvirtį sudarė </w:t>
      </w:r>
      <w:r w:rsidR="00C17553">
        <w:rPr>
          <w:lang w:val="lt-LT"/>
        </w:rPr>
        <w:t>6,3</w:t>
      </w:r>
      <w:r w:rsidR="00430807" w:rsidRPr="0042435F">
        <w:rPr>
          <w:lang w:val="lt-LT"/>
        </w:rPr>
        <w:t> proc.</w:t>
      </w:r>
      <w:r w:rsidR="00443C41" w:rsidRPr="0042435F">
        <w:rPr>
          <w:lang w:val="lt-LT"/>
        </w:rPr>
        <w:t xml:space="preserve"> ir</w:t>
      </w:r>
      <w:r w:rsidR="00BB3E8A" w:rsidRPr="0042435F">
        <w:rPr>
          <w:lang w:val="lt-LT"/>
        </w:rPr>
        <w:t xml:space="preserve">, </w:t>
      </w:r>
      <w:r w:rsidR="00B60E43" w:rsidRPr="0042435F">
        <w:rPr>
          <w:lang w:val="lt-LT"/>
        </w:rPr>
        <w:t xml:space="preserve">palyginti su </w:t>
      </w:r>
      <w:r w:rsidR="00250FF2" w:rsidRPr="0042435F">
        <w:rPr>
          <w:lang w:val="lt-LT"/>
        </w:rPr>
        <w:t>20</w:t>
      </w:r>
      <w:r w:rsidR="00F80E54">
        <w:rPr>
          <w:lang w:val="lt-LT"/>
        </w:rPr>
        <w:t>2</w:t>
      </w:r>
      <w:r w:rsidR="00C17553">
        <w:rPr>
          <w:lang w:val="lt-LT"/>
        </w:rPr>
        <w:t>1</w:t>
      </w:r>
      <w:r w:rsidR="0045594E">
        <w:rPr>
          <w:lang w:val="lt-LT"/>
        </w:rPr>
        <w:t> </w:t>
      </w:r>
      <w:r w:rsidR="00250FF2" w:rsidRPr="0042435F">
        <w:rPr>
          <w:lang w:val="lt-LT"/>
        </w:rPr>
        <w:t xml:space="preserve">m. ketvirtuoju ketvirčiu, </w:t>
      </w:r>
      <w:r w:rsidR="00F80E54">
        <w:rPr>
          <w:lang w:val="lt-LT"/>
        </w:rPr>
        <w:t>sumažėjo</w:t>
      </w:r>
      <w:r w:rsidR="00250FF2" w:rsidRPr="0042435F">
        <w:rPr>
          <w:lang w:val="lt-LT"/>
        </w:rPr>
        <w:t xml:space="preserve"> </w:t>
      </w:r>
      <w:r w:rsidR="00C17553">
        <w:rPr>
          <w:lang w:val="lt-LT"/>
        </w:rPr>
        <w:t>0,7</w:t>
      </w:r>
      <w:r w:rsidR="0045594E">
        <w:rPr>
          <w:lang w:val="lt-LT"/>
        </w:rPr>
        <w:t> </w:t>
      </w:r>
      <w:r w:rsidR="00250FF2" w:rsidRPr="0042435F">
        <w:rPr>
          <w:lang w:val="lt-LT"/>
        </w:rPr>
        <w:t xml:space="preserve">procentinio punkto, </w:t>
      </w:r>
      <w:r w:rsidR="005F5252">
        <w:rPr>
          <w:lang w:val="lt-LT"/>
        </w:rPr>
        <w:t>o palyginti su</w:t>
      </w:r>
      <w:r w:rsidR="005F5252" w:rsidRPr="0042435F">
        <w:rPr>
          <w:lang w:val="lt-LT"/>
        </w:rPr>
        <w:t xml:space="preserve"> 20</w:t>
      </w:r>
      <w:r w:rsidR="005F5252">
        <w:rPr>
          <w:lang w:val="lt-LT"/>
        </w:rPr>
        <w:t>2</w:t>
      </w:r>
      <w:r w:rsidR="00C17553">
        <w:rPr>
          <w:lang w:val="lt-LT"/>
        </w:rPr>
        <w:t>1</w:t>
      </w:r>
      <w:r w:rsidR="005F5252">
        <w:rPr>
          <w:lang w:val="lt-LT"/>
        </w:rPr>
        <w:t> </w:t>
      </w:r>
      <w:r w:rsidR="005F5252" w:rsidRPr="0042435F">
        <w:rPr>
          <w:lang w:val="lt-LT"/>
        </w:rPr>
        <w:t xml:space="preserve">m. </w:t>
      </w:r>
      <w:r w:rsidR="005F5252">
        <w:rPr>
          <w:lang w:val="lt-LT"/>
        </w:rPr>
        <w:t>pirmuoju ketvirčiu</w:t>
      </w:r>
      <w:r w:rsidR="0051159C">
        <w:rPr>
          <w:lang w:val="lt-LT"/>
        </w:rPr>
        <w:t>,</w:t>
      </w:r>
      <w:r w:rsidR="005F5252" w:rsidRPr="0042435F" w:rsidDel="00B1187A">
        <w:rPr>
          <w:lang w:val="lt-LT"/>
        </w:rPr>
        <w:t xml:space="preserve"> </w:t>
      </w:r>
      <w:r w:rsidR="00C17553">
        <w:rPr>
          <w:lang w:val="lt-LT"/>
        </w:rPr>
        <w:t>sumažėjo</w:t>
      </w:r>
      <w:r w:rsidR="00F80E54">
        <w:rPr>
          <w:lang w:val="lt-LT"/>
        </w:rPr>
        <w:t xml:space="preserve"> </w:t>
      </w:r>
      <w:r w:rsidR="00C17553" w:rsidRPr="00833EBE">
        <w:rPr>
          <w:lang w:val="lt-LT"/>
        </w:rPr>
        <w:t>1,2</w:t>
      </w:r>
      <w:r w:rsidR="0045594E">
        <w:rPr>
          <w:lang w:val="lt-LT"/>
        </w:rPr>
        <w:t> </w:t>
      </w:r>
      <w:r w:rsidR="00B60E43" w:rsidRPr="0042435F">
        <w:rPr>
          <w:lang w:val="lt-LT"/>
        </w:rPr>
        <w:t>procentinio punkto</w:t>
      </w:r>
      <w:r w:rsidR="00B1187A">
        <w:rPr>
          <w:lang w:val="lt-LT"/>
        </w:rPr>
        <w:t xml:space="preserve">, </w:t>
      </w:r>
      <w:r w:rsidR="00BB3E8A" w:rsidRPr="0042435F">
        <w:rPr>
          <w:lang w:val="lt-LT"/>
        </w:rPr>
        <w:t>remdamasis gyventojų užimtumo statistinio tyrimo</w:t>
      </w:r>
      <w:r w:rsidR="002126D6">
        <w:rPr>
          <w:lang w:val="lt-LT"/>
        </w:rPr>
        <w:t xml:space="preserve"> išankstiniais</w:t>
      </w:r>
      <w:r w:rsidR="00BB3E8A" w:rsidRPr="0042435F">
        <w:rPr>
          <w:lang w:val="lt-LT"/>
        </w:rPr>
        <w:t xml:space="preserve"> </w:t>
      </w:r>
      <w:r w:rsidR="00B60E43" w:rsidRPr="0042435F">
        <w:rPr>
          <w:lang w:val="lt-LT"/>
        </w:rPr>
        <w:t>duomenimis</w:t>
      </w:r>
      <w:r w:rsidR="00BB3E8A" w:rsidRPr="0042435F">
        <w:rPr>
          <w:lang w:val="lt-LT"/>
        </w:rPr>
        <w:t xml:space="preserve">, praneša Lietuvos statistikos departamentas. </w:t>
      </w:r>
      <w:r w:rsidR="00362A55" w:rsidRPr="0042435F">
        <w:rPr>
          <w:lang w:val="lt-LT"/>
        </w:rPr>
        <w:t>Vyrų nedarbo lygis 20</w:t>
      </w:r>
      <w:r w:rsidR="00755EDC" w:rsidRPr="0042435F">
        <w:rPr>
          <w:lang w:val="lt-LT"/>
        </w:rPr>
        <w:t>2</w:t>
      </w:r>
      <w:r w:rsidR="00C17553">
        <w:rPr>
          <w:lang w:val="lt-LT"/>
        </w:rPr>
        <w:t>2</w:t>
      </w:r>
      <w:r w:rsidR="00430807" w:rsidRPr="0042435F">
        <w:rPr>
          <w:lang w:val="lt-LT"/>
        </w:rPr>
        <w:t> m.</w:t>
      </w:r>
      <w:r w:rsidR="00362A55" w:rsidRPr="0042435F">
        <w:rPr>
          <w:lang w:val="lt-LT"/>
        </w:rPr>
        <w:t xml:space="preserve"> </w:t>
      </w:r>
      <w:r w:rsidR="009B1531" w:rsidRPr="0042435F">
        <w:rPr>
          <w:lang w:val="lt-LT"/>
        </w:rPr>
        <w:t xml:space="preserve">pirmąjį </w:t>
      </w:r>
      <w:r w:rsidR="00362A55" w:rsidRPr="0042435F">
        <w:rPr>
          <w:lang w:val="lt-LT"/>
        </w:rPr>
        <w:t xml:space="preserve">ketvirtį buvo </w:t>
      </w:r>
      <w:r w:rsidR="00C17553">
        <w:rPr>
          <w:lang w:val="lt-LT"/>
        </w:rPr>
        <w:t>6,5</w:t>
      </w:r>
      <w:r w:rsidR="00430807" w:rsidRPr="0042435F">
        <w:rPr>
          <w:lang w:val="lt-LT"/>
        </w:rPr>
        <w:t> proc.</w:t>
      </w:r>
      <w:r w:rsidR="00362A55" w:rsidRPr="0042435F">
        <w:rPr>
          <w:lang w:val="lt-LT"/>
        </w:rPr>
        <w:t>, moterų</w:t>
      </w:r>
      <w:r w:rsidR="0045594E">
        <w:rPr>
          <w:lang w:val="lt-LT"/>
        </w:rPr>
        <w:t> </w:t>
      </w:r>
      <w:r w:rsidR="00362A55" w:rsidRPr="0042435F">
        <w:rPr>
          <w:lang w:val="lt-LT"/>
        </w:rPr>
        <w:t xml:space="preserve">– </w:t>
      </w:r>
      <w:r w:rsidR="00C17553">
        <w:rPr>
          <w:lang w:val="lt-LT"/>
        </w:rPr>
        <w:t>6,2</w:t>
      </w:r>
      <w:r w:rsidR="00430807" w:rsidRPr="0042435F">
        <w:rPr>
          <w:lang w:val="lt-LT"/>
        </w:rPr>
        <w:t> proc.</w:t>
      </w:r>
      <w:r w:rsidR="00ED55EF" w:rsidRPr="0042435F">
        <w:rPr>
          <w:lang w:val="lt-LT"/>
        </w:rPr>
        <w:t xml:space="preserve"> </w:t>
      </w:r>
      <w:r w:rsidR="003C2FB3" w:rsidRPr="0042435F">
        <w:rPr>
          <w:lang w:val="lt-LT"/>
        </w:rPr>
        <w:t xml:space="preserve">Jaunimo (15–24 metų amžiaus) nedarbo lygis </w:t>
      </w:r>
      <w:r w:rsidR="00587C2B" w:rsidRPr="0042435F">
        <w:rPr>
          <w:lang w:val="lt-LT"/>
        </w:rPr>
        <w:t>20</w:t>
      </w:r>
      <w:r w:rsidR="00755EDC" w:rsidRPr="0042435F">
        <w:rPr>
          <w:lang w:val="lt-LT"/>
        </w:rPr>
        <w:t>2</w:t>
      </w:r>
      <w:r w:rsidR="00927F0A">
        <w:rPr>
          <w:lang w:val="lt-LT"/>
        </w:rPr>
        <w:t>2</w:t>
      </w:r>
      <w:r w:rsidR="0045594E">
        <w:rPr>
          <w:lang w:val="lt-LT"/>
        </w:rPr>
        <w:t> </w:t>
      </w:r>
      <w:r w:rsidR="00587C2B" w:rsidRPr="0042435F">
        <w:rPr>
          <w:lang w:val="lt-LT"/>
        </w:rPr>
        <w:t xml:space="preserve">m. pirmąjį </w:t>
      </w:r>
      <w:r w:rsidR="00902D7F" w:rsidRPr="0042435F">
        <w:rPr>
          <w:lang w:val="lt-LT"/>
        </w:rPr>
        <w:t xml:space="preserve">ketvirtį </w:t>
      </w:r>
      <w:r w:rsidR="00250FF2" w:rsidRPr="0042435F">
        <w:rPr>
          <w:lang w:val="lt-LT"/>
        </w:rPr>
        <w:t>sudarė</w:t>
      </w:r>
      <w:r w:rsidR="00587C2B" w:rsidRPr="0042435F">
        <w:rPr>
          <w:lang w:val="lt-LT"/>
        </w:rPr>
        <w:t xml:space="preserve"> </w:t>
      </w:r>
      <w:r w:rsidR="00B322AF" w:rsidRPr="0042435F">
        <w:rPr>
          <w:lang w:val="lt-LT"/>
        </w:rPr>
        <w:t>1</w:t>
      </w:r>
      <w:r w:rsidR="00F75D68">
        <w:rPr>
          <w:lang w:val="lt-LT"/>
        </w:rPr>
        <w:t>2,</w:t>
      </w:r>
      <w:r w:rsidR="00927F0A">
        <w:rPr>
          <w:lang w:val="lt-LT"/>
        </w:rPr>
        <w:t>7</w:t>
      </w:r>
      <w:r w:rsidR="0045594E">
        <w:rPr>
          <w:lang w:val="lt-LT"/>
        </w:rPr>
        <w:t> </w:t>
      </w:r>
      <w:r w:rsidR="00587C2B" w:rsidRPr="0042435F">
        <w:rPr>
          <w:lang w:val="lt-LT"/>
        </w:rPr>
        <w:t xml:space="preserve">proc., </w:t>
      </w:r>
      <w:r w:rsidR="00250FF2" w:rsidRPr="0042435F">
        <w:rPr>
          <w:lang w:val="lt-LT"/>
        </w:rPr>
        <w:t>per ketvirtį</w:t>
      </w:r>
      <w:r w:rsidR="00587C2B" w:rsidRPr="0042435F">
        <w:rPr>
          <w:lang w:val="lt-LT"/>
        </w:rPr>
        <w:t xml:space="preserve"> </w:t>
      </w:r>
      <w:r w:rsidR="006F0732" w:rsidRPr="0042435F">
        <w:rPr>
          <w:lang w:val="lt-LT"/>
        </w:rPr>
        <w:t xml:space="preserve">jis </w:t>
      </w:r>
      <w:r w:rsidR="00927F0A">
        <w:rPr>
          <w:lang w:val="lt-LT"/>
        </w:rPr>
        <w:t>padidėjo</w:t>
      </w:r>
      <w:r w:rsidR="00250FF2" w:rsidRPr="0042435F">
        <w:rPr>
          <w:lang w:val="lt-LT"/>
        </w:rPr>
        <w:t xml:space="preserve"> </w:t>
      </w:r>
      <w:r w:rsidR="00927F0A">
        <w:rPr>
          <w:lang w:val="en-US"/>
        </w:rPr>
        <w:t>1</w:t>
      </w:r>
      <w:r w:rsidR="00250FF2" w:rsidRPr="0042435F">
        <w:rPr>
          <w:lang w:val="lt-LT"/>
        </w:rPr>
        <w:t>,</w:t>
      </w:r>
      <w:r w:rsidR="00927F0A">
        <w:rPr>
          <w:lang w:val="lt-LT"/>
        </w:rPr>
        <w:t>5</w:t>
      </w:r>
      <w:r w:rsidR="0045594E">
        <w:rPr>
          <w:lang w:val="lt-LT"/>
        </w:rPr>
        <w:t> </w:t>
      </w:r>
      <w:r w:rsidR="00250FF2" w:rsidRPr="0042435F">
        <w:rPr>
          <w:lang w:val="lt-LT"/>
        </w:rPr>
        <w:t>procentinio punkto, per metus</w:t>
      </w:r>
      <w:r w:rsidR="0045594E">
        <w:rPr>
          <w:lang w:val="lt-LT"/>
        </w:rPr>
        <w:t> </w:t>
      </w:r>
      <w:r w:rsidR="00250FF2" w:rsidRPr="0042435F">
        <w:rPr>
          <w:lang w:val="lt-LT"/>
        </w:rPr>
        <w:t>–</w:t>
      </w:r>
      <w:r w:rsidR="00755EDC" w:rsidRPr="0042435F">
        <w:rPr>
          <w:lang w:val="lt-LT"/>
        </w:rPr>
        <w:t xml:space="preserve"> </w:t>
      </w:r>
      <w:r w:rsidR="00927F0A">
        <w:rPr>
          <w:lang w:val="lt-LT"/>
        </w:rPr>
        <w:t>0,2</w:t>
      </w:r>
      <w:r w:rsidR="00587C2B" w:rsidRPr="0042435F">
        <w:rPr>
          <w:lang w:val="lt-LT"/>
        </w:rPr>
        <w:t xml:space="preserve"> procentinio punkto</w:t>
      </w:r>
      <w:r w:rsidR="00FC67BD" w:rsidRPr="0042435F">
        <w:rPr>
          <w:lang w:val="lt-LT"/>
        </w:rPr>
        <w:t xml:space="preserve">. </w:t>
      </w:r>
      <w:r w:rsidR="00E16FED" w:rsidRPr="00C17553">
        <w:rPr>
          <w:color w:val="9BBB59" w:themeColor="accent3"/>
          <w:spacing w:val="-2"/>
          <w:lang w:val="lt-LT"/>
        </w:rPr>
        <w:t xml:space="preserve">Ilgalaikio nedarbo lygis </w:t>
      </w:r>
      <w:r w:rsidR="00722009" w:rsidRPr="0042435F">
        <w:rPr>
          <w:spacing w:val="-2"/>
          <w:lang w:val="lt-LT"/>
        </w:rPr>
        <w:t xml:space="preserve">per </w:t>
      </w:r>
      <w:r w:rsidR="00E16FED" w:rsidRPr="0042435F">
        <w:rPr>
          <w:spacing w:val="-2"/>
          <w:lang w:val="lt-LT"/>
        </w:rPr>
        <w:t xml:space="preserve">ketvirtį </w:t>
      </w:r>
      <w:r w:rsidR="00927F0A">
        <w:rPr>
          <w:spacing w:val="-2"/>
          <w:lang w:val="lt-LT"/>
        </w:rPr>
        <w:t>sumažėjo</w:t>
      </w:r>
      <w:r w:rsidR="00755EDC" w:rsidRPr="0042435F">
        <w:rPr>
          <w:spacing w:val="-2"/>
          <w:lang w:val="lt-LT"/>
        </w:rPr>
        <w:t xml:space="preserve"> </w:t>
      </w:r>
      <w:r w:rsidR="00722009" w:rsidRPr="0042435F">
        <w:rPr>
          <w:spacing w:val="-2"/>
          <w:lang w:val="lt-LT"/>
        </w:rPr>
        <w:t>ir 20</w:t>
      </w:r>
      <w:r w:rsidR="00755EDC" w:rsidRPr="0042435F">
        <w:rPr>
          <w:spacing w:val="-2"/>
          <w:lang w:val="lt-LT"/>
        </w:rPr>
        <w:t>2</w:t>
      </w:r>
      <w:r w:rsidR="00927F0A" w:rsidRPr="00833EBE">
        <w:rPr>
          <w:spacing w:val="-2"/>
          <w:lang w:val="lt-LT"/>
        </w:rPr>
        <w:t>2</w:t>
      </w:r>
      <w:r w:rsidR="0045594E">
        <w:rPr>
          <w:spacing w:val="-2"/>
          <w:lang w:val="lt-LT"/>
        </w:rPr>
        <w:t> </w:t>
      </w:r>
      <w:r w:rsidR="00722009" w:rsidRPr="0042435F">
        <w:rPr>
          <w:spacing w:val="-2"/>
          <w:lang w:val="lt-LT"/>
        </w:rPr>
        <w:t xml:space="preserve">m. pirmąjį ketvirtį </w:t>
      </w:r>
      <w:r w:rsidR="00587C2B" w:rsidRPr="0042435F">
        <w:rPr>
          <w:spacing w:val="-2"/>
          <w:lang w:val="lt-LT"/>
        </w:rPr>
        <w:t>sudarė</w:t>
      </w:r>
      <w:r w:rsidR="00E16FED" w:rsidRPr="0042435F">
        <w:rPr>
          <w:spacing w:val="-2"/>
          <w:lang w:val="lt-LT"/>
        </w:rPr>
        <w:t xml:space="preserve"> </w:t>
      </w:r>
      <w:r w:rsidR="00755EDC" w:rsidRPr="0042435F">
        <w:rPr>
          <w:spacing w:val="-2"/>
          <w:lang w:val="lt-LT"/>
        </w:rPr>
        <w:t>2</w:t>
      </w:r>
      <w:r w:rsidR="00722009" w:rsidRPr="0042435F">
        <w:rPr>
          <w:spacing w:val="-2"/>
          <w:lang w:val="lt-LT"/>
        </w:rPr>
        <w:t>,</w:t>
      </w:r>
      <w:r w:rsidR="00F75D68">
        <w:rPr>
          <w:spacing w:val="-2"/>
          <w:lang w:val="lt-LT"/>
        </w:rPr>
        <w:t>6</w:t>
      </w:r>
      <w:r w:rsidR="00430807" w:rsidRPr="0042435F">
        <w:rPr>
          <w:spacing w:val="-2"/>
          <w:lang w:val="lt-LT"/>
        </w:rPr>
        <w:t> proc.</w:t>
      </w:r>
      <w:r w:rsidR="00E16FED" w:rsidRPr="0042435F">
        <w:rPr>
          <w:spacing w:val="-2"/>
          <w:lang w:val="lt-LT"/>
        </w:rPr>
        <w:t xml:space="preserve">, </w:t>
      </w:r>
      <w:r w:rsidR="00587C2B" w:rsidRPr="0042435F">
        <w:rPr>
          <w:lang w:val="lt-LT"/>
        </w:rPr>
        <w:t>palyginti su atitinkamu 20</w:t>
      </w:r>
      <w:r w:rsidR="00F75D68">
        <w:rPr>
          <w:lang w:val="lt-LT"/>
        </w:rPr>
        <w:t>2</w:t>
      </w:r>
      <w:r w:rsidR="00927F0A">
        <w:rPr>
          <w:lang w:val="lt-LT"/>
        </w:rPr>
        <w:t>1</w:t>
      </w:r>
      <w:r w:rsidR="0045594E">
        <w:rPr>
          <w:lang w:val="lt-LT"/>
        </w:rPr>
        <w:t> </w:t>
      </w:r>
      <w:r w:rsidR="00587C2B" w:rsidRPr="0042435F">
        <w:rPr>
          <w:lang w:val="lt-LT"/>
        </w:rPr>
        <w:t xml:space="preserve">m. laikotarpiu, </w:t>
      </w:r>
      <w:r w:rsidR="00B40C6C" w:rsidRPr="0042435F">
        <w:rPr>
          <w:lang w:val="lt-LT"/>
        </w:rPr>
        <w:t xml:space="preserve">jis </w:t>
      </w:r>
      <w:r w:rsidR="00927F0A">
        <w:rPr>
          <w:lang w:val="lt-LT"/>
        </w:rPr>
        <w:t>nesikeitė.</w:t>
      </w:r>
    </w:p>
    <w:p w:rsidR="00E16FED" w:rsidRPr="0042435F" w:rsidRDefault="00E16FED" w:rsidP="0045594E">
      <w:pPr>
        <w:pStyle w:val="Pagrtekstas"/>
        <w:ind w:firstLine="0"/>
        <w:rPr>
          <w:lang w:val="lt-LT"/>
        </w:rPr>
      </w:pPr>
    </w:p>
    <w:p w:rsidR="00BA0852" w:rsidRPr="0042435F" w:rsidRDefault="001530DB" w:rsidP="0045594E">
      <w:pPr>
        <w:pStyle w:val="Pagrtekstas"/>
        <w:ind w:firstLine="0"/>
        <w:rPr>
          <w:b/>
          <w:lang w:val="lt-LT"/>
        </w:rPr>
      </w:pPr>
      <w:r w:rsidRPr="0042435F">
        <w:rPr>
          <w:b/>
          <w:lang w:val="lt-LT"/>
        </w:rPr>
        <w:t xml:space="preserve">1 pav. </w:t>
      </w:r>
      <w:r w:rsidR="00BA0852" w:rsidRPr="0042435F">
        <w:rPr>
          <w:b/>
          <w:lang w:val="lt-LT"/>
        </w:rPr>
        <w:t>Nedarbo lygis 20</w:t>
      </w:r>
      <w:r w:rsidR="00F75D68">
        <w:rPr>
          <w:b/>
          <w:lang w:val="lt-LT"/>
        </w:rPr>
        <w:t>2</w:t>
      </w:r>
      <w:r w:rsidR="00927F0A">
        <w:rPr>
          <w:b/>
          <w:lang w:val="en-US"/>
        </w:rPr>
        <w:t>1</w:t>
      </w:r>
      <w:r w:rsidR="00BA0852" w:rsidRPr="0042435F">
        <w:rPr>
          <w:b/>
          <w:lang w:val="lt-LT"/>
        </w:rPr>
        <w:t>–20</w:t>
      </w:r>
      <w:r w:rsidR="00B4705A" w:rsidRPr="0042435F">
        <w:rPr>
          <w:b/>
          <w:lang w:val="lt-LT"/>
        </w:rPr>
        <w:t>2</w:t>
      </w:r>
      <w:r w:rsidR="00927F0A">
        <w:rPr>
          <w:b/>
          <w:lang w:val="lt-LT"/>
        </w:rPr>
        <w:t>2</w:t>
      </w:r>
      <w:r w:rsidR="00BA0852" w:rsidRPr="0042435F">
        <w:rPr>
          <w:b/>
          <w:lang w:val="lt-LT"/>
        </w:rPr>
        <w:t xml:space="preserve"> m. </w:t>
      </w:r>
      <w:r w:rsidR="00C66830" w:rsidRPr="0042435F">
        <w:rPr>
          <w:b/>
          <w:lang w:val="lt-LT"/>
        </w:rPr>
        <w:t>ketvirčiais</w:t>
      </w:r>
    </w:p>
    <w:p w:rsidR="007E47D9" w:rsidRPr="0042435F" w:rsidRDefault="00D311DC" w:rsidP="0045594E">
      <w:pPr>
        <w:pStyle w:val="Pagrtekstas"/>
        <w:ind w:firstLine="0"/>
        <w:rPr>
          <w:lang w:val="lt-LT"/>
        </w:rPr>
      </w:pPr>
      <w:r w:rsidRPr="0042435F">
        <w:rPr>
          <w:lang w:val="lt-LT"/>
        </w:rPr>
        <w:t>Procentai</w:t>
      </w:r>
    </w:p>
    <w:p w:rsidR="008316D5" w:rsidRPr="00C17553" w:rsidRDefault="006E3E90" w:rsidP="0045594E">
      <w:pPr>
        <w:pStyle w:val="Pagrtekstas"/>
        <w:ind w:firstLine="0"/>
        <w:rPr>
          <w:lang w:val="lt-LT"/>
        </w:rPr>
      </w:pPr>
      <w:hyperlink r:id="rId8" w:anchor="/" w:history="1">
        <w:r w:rsidR="00B11B10" w:rsidRPr="00C17553">
          <w:rPr>
            <w:rStyle w:val="Hyperlink"/>
            <w:lang w:val="lt-LT"/>
          </w:rPr>
          <w:t>https://osp.stat.gov.lt/statistiniu-rodikliu-analize?hash=51db13f7-dcff-4bf4-b775-c032763567fa#/</w:t>
        </w:r>
      </w:hyperlink>
      <w:r w:rsidR="00B11B10" w:rsidRPr="00C17553">
        <w:rPr>
          <w:lang w:val="lt-LT"/>
        </w:rPr>
        <w:t xml:space="preserve"> </w:t>
      </w:r>
    </w:p>
    <w:p w:rsidR="007B7543" w:rsidRDefault="008D29EF" w:rsidP="007B7543">
      <w:pPr>
        <w:pStyle w:val="Pagrtekstas"/>
        <w:ind w:firstLine="0"/>
        <w:rPr>
          <w:lang w:val="lt-LT"/>
        </w:rPr>
      </w:pPr>
      <w:r>
        <w:rPr>
          <w:noProof/>
          <w:lang w:val="lt-LT" w:eastAsia="lt-LT"/>
        </w:rPr>
        <w:drawing>
          <wp:inline distT="0" distB="0" distL="0" distR="0" wp14:anchorId="71EC0E08" wp14:editId="2B3ED09C">
            <wp:extent cx="6441440" cy="224536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0BCA" w:rsidRDefault="00E16FED" w:rsidP="0045594E">
      <w:pPr>
        <w:pStyle w:val="Pagrtekstas"/>
        <w:numPr>
          <w:ilvl w:val="0"/>
          <w:numId w:val="1"/>
        </w:numPr>
        <w:ind w:left="568" w:hanging="284"/>
        <w:rPr>
          <w:lang w:val="lt-LT"/>
        </w:rPr>
      </w:pPr>
      <w:r w:rsidRPr="0042435F">
        <w:rPr>
          <w:lang w:val="lt-LT"/>
        </w:rPr>
        <w:t>20</w:t>
      </w:r>
      <w:r w:rsidR="00755EDC" w:rsidRPr="0042435F">
        <w:rPr>
          <w:lang w:val="lt-LT"/>
        </w:rPr>
        <w:t>2</w:t>
      </w:r>
      <w:r w:rsidR="00927F0A">
        <w:rPr>
          <w:lang w:val="lt-LT"/>
        </w:rPr>
        <w:t>2</w:t>
      </w:r>
      <w:r w:rsidR="00430807" w:rsidRPr="0042435F">
        <w:rPr>
          <w:lang w:val="lt-LT"/>
        </w:rPr>
        <w:t> m.</w:t>
      </w:r>
      <w:r w:rsidRPr="0042435F">
        <w:rPr>
          <w:lang w:val="lt-LT"/>
        </w:rPr>
        <w:t xml:space="preserve"> </w:t>
      </w:r>
      <w:r w:rsidR="009450FA" w:rsidRPr="0042435F">
        <w:rPr>
          <w:lang w:val="lt-LT"/>
        </w:rPr>
        <w:t>pirmąjį</w:t>
      </w:r>
      <w:r w:rsidRPr="0042435F">
        <w:rPr>
          <w:lang w:val="lt-LT"/>
        </w:rPr>
        <w:t xml:space="preserve"> ketvirtį buvo </w:t>
      </w:r>
      <w:r w:rsidR="00927F0A">
        <w:rPr>
          <w:lang w:val="lt-LT"/>
        </w:rPr>
        <w:t>93,5</w:t>
      </w:r>
      <w:r w:rsidR="0045594E">
        <w:rPr>
          <w:lang w:val="lt-LT"/>
        </w:rPr>
        <w:t> </w:t>
      </w:r>
      <w:r w:rsidRPr="0042435F">
        <w:rPr>
          <w:lang w:val="lt-LT"/>
        </w:rPr>
        <w:t xml:space="preserve">tūkst. </w:t>
      </w:r>
      <w:r w:rsidR="00EB4048" w:rsidRPr="0042435F">
        <w:rPr>
          <w:lang w:val="lt-LT"/>
        </w:rPr>
        <w:t xml:space="preserve">15–74 metų amžiaus </w:t>
      </w:r>
      <w:r w:rsidRPr="00C17553">
        <w:rPr>
          <w:color w:val="9BBB59" w:themeColor="accent3"/>
          <w:lang w:val="lt-LT"/>
        </w:rPr>
        <w:t>bedarbių</w:t>
      </w:r>
      <w:r w:rsidR="002D69F5" w:rsidRPr="0042435F">
        <w:rPr>
          <w:lang w:val="lt-LT"/>
        </w:rPr>
        <w:t>, iš jų 15–24 metų amžiaus</w:t>
      </w:r>
      <w:r w:rsidR="0045594E">
        <w:rPr>
          <w:lang w:val="lt-LT"/>
        </w:rPr>
        <w:t> </w:t>
      </w:r>
      <w:r w:rsidR="002D69F5" w:rsidRPr="0042435F">
        <w:rPr>
          <w:lang w:val="lt-LT"/>
        </w:rPr>
        <w:t xml:space="preserve">– </w:t>
      </w:r>
      <w:r w:rsidR="00927F0A">
        <w:rPr>
          <w:lang w:val="lt-LT"/>
        </w:rPr>
        <w:t>12,5</w:t>
      </w:r>
      <w:r w:rsidR="0045594E">
        <w:rPr>
          <w:lang w:val="lt-LT"/>
        </w:rPr>
        <w:t> </w:t>
      </w:r>
      <w:r w:rsidR="002D69F5" w:rsidRPr="0042435F">
        <w:rPr>
          <w:lang w:val="lt-LT"/>
        </w:rPr>
        <w:t>tūkst</w:t>
      </w:r>
      <w:r w:rsidRPr="0042435F">
        <w:rPr>
          <w:lang w:val="lt-LT"/>
        </w:rPr>
        <w:t xml:space="preserve">. </w:t>
      </w:r>
      <w:r w:rsidR="00EB4048" w:rsidRPr="0042435F">
        <w:rPr>
          <w:lang w:val="lt-LT"/>
        </w:rPr>
        <w:t>Per ketvirtį</w:t>
      </w:r>
      <w:r w:rsidR="004F259D" w:rsidRPr="0042435F">
        <w:rPr>
          <w:lang w:val="lt-LT"/>
        </w:rPr>
        <w:t xml:space="preserve"> </w:t>
      </w:r>
      <w:r w:rsidRPr="0042435F">
        <w:rPr>
          <w:lang w:val="lt-LT"/>
        </w:rPr>
        <w:t xml:space="preserve">bedarbių skaičius </w:t>
      </w:r>
      <w:r w:rsidR="00F466F8">
        <w:rPr>
          <w:lang w:val="lt-LT"/>
        </w:rPr>
        <w:t>sumaž</w:t>
      </w:r>
      <w:r w:rsidR="00EB4048" w:rsidRPr="0042435F">
        <w:rPr>
          <w:lang w:val="lt-LT"/>
        </w:rPr>
        <w:t>ėjo</w:t>
      </w:r>
      <w:r w:rsidR="008C52B7" w:rsidRPr="0042435F">
        <w:rPr>
          <w:lang w:val="lt-LT"/>
        </w:rPr>
        <w:t xml:space="preserve"> </w:t>
      </w:r>
      <w:r w:rsidR="00927F0A">
        <w:rPr>
          <w:lang w:val="lt-LT"/>
        </w:rPr>
        <w:t>9,3</w:t>
      </w:r>
      <w:r w:rsidR="0045594E">
        <w:rPr>
          <w:lang w:val="lt-LT"/>
        </w:rPr>
        <w:t> </w:t>
      </w:r>
      <w:r w:rsidR="008C52B7" w:rsidRPr="0042435F">
        <w:rPr>
          <w:lang w:val="lt-LT"/>
        </w:rPr>
        <w:t>tūkst</w:t>
      </w:r>
      <w:r w:rsidR="00EB4048" w:rsidRPr="0042435F">
        <w:rPr>
          <w:lang w:val="lt-LT"/>
        </w:rPr>
        <w:t>.</w:t>
      </w:r>
      <w:r w:rsidR="00FC67BD" w:rsidRPr="0042435F">
        <w:rPr>
          <w:lang w:val="lt-LT"/>
        </w:rPr>
        <w:t xml:space="preserve"> </w:t>
      </w:r>
      <w:r w:rsidR="00090BCA" w:rsidRPr="00C17553">
        <w:rPr>
          <w:color w:val="9BBB59" w:themeColor="accent3"/>
          <w:lang w:val="lt-LT"/>
        </w:rPr>
        <w:t>Ilgalaikių bedarbių</w:t>
      </w:r>
      <w:r w:rsidR="00090BCA" w:rsidRPr="0042435F">
        <w:rPr>
          <w:lang w:val="lt-LT"/>
        </w:rPr>
        <w:t xml:space="preserve"> 20</w:t>
      </w:r>
      <w:r w:rsidR="00755EDC" w:rsidRPr="0042435F">
        <w:rPr>
          <w:lang w:val="lt-LT"/>
        </w:rPr>
        <w:t>2</w:t>
      </w:r>
      <w:r w:rsidR="00927F0A">
        <w:rPr>
          <w:lang w:val="lt-LT"/>
        </w:rPr>
        <w:t>2</w:t>
      </w:r>
      <w:r w:rsidR="0045594E">
        <w:rPr>
          <w:lang w:val="lt-LT"/>
        </w:rPr>
        <w:t> </w:t>
      </w:r>
      <w:r w:rsidR="00090BCA" w:rsidRPr="0042435F">
        <w:rPr>
          <w:lang w:val="lt-LT"/>
        </w:rPr>
        <w:t xml:space="preserve">m. pirmąjį ketvirtį buvo </w:t>
      </w:r>
      <w:r w:rsidR="00B4705A" w:rsidRPr="0042435F">
        <w:rPr>
          <w:lang w:val="lt-LT"/>
        </w:rPr>
        <w:t>3</w:t>
      </w:r>
      <w:r w:rsidR="00F466F8">
        <w:rPr>
          <w:lang w:val="lt-LT"/>
        </w:rPr>
        <w:t>8,</w:t>
      </w:r>
      <w:r w:rsidR="00927F0A">
        <w:rPr>
          <w:lang w:val="lt-LT"/>
        </w:rPr>
        <w:t>5</w:t>
      </w:r>
      <w:r w:rsidR="00090BCA" w:rsidRPr="0042435F">
        <w:rPr>
          <w:lang w:val="lt-LT"/>
        </w:rPr>
        <w:t xml:space="preserve"> tūkst., arba </w:t>
      </w:r>
      <w:r w:rsidR="00927F0A">
        <w:rPr>
          <w:lang w:val="lt-LT"/>
        </w:rPr>
        <w:t>41,2</w:t>
      </w:r>
      <w:r w:rsidR="00090BCA" w:rsidRPr="0042435F">
        <w:rPr>
          <w:lang w:val="lt-LT"/>
        </w:rPr>
        <w:t xml:space="preserve"> proc. visų bedarbių. Per ketvirtį ilgalaikių bedarbių skaičius </w:t>
      </w:r>
      <w:r w:rsidR="00927F0A">
        <w:rPr>
          <w:lang w:val="lt-LT"/>
        </w:rPr>
        <w:t>sumažėjo</w:t>
      </w:r>
      <w:r w:rsidR="00090BCA" w:rsidRPr="0042435F">
        <w:rPr>
          <w:lang w:val="lt-LT"/>
        </w:rPr>
        <w:t xml:space="preserve"> </w:t>
      </w:r>
      <w:r w:rsidR="00927F0A" w:rsidRPr="00833EBE">
        <w:rPr>
          <w:lang w:val="lt-LT"/>
        </w:rPr>
        <w:t>5</w:t>
      </w:r>
      <w:r w:rsidR="00C55413" w:rsidRPr="0042435F">
        <w:rPr>
          <w:lang w:val="lt-LT"/>
        </w:rPr>
        <w:t>,</w:t>
      </w:r>
      <w:r w:rsidR="00F466F8">
        <w:rPr>
          <w:lang w:val="lt-LT"/>
        </w:rPr>
        <w:t>3</w:t>
      </w:r>
      <w:r w:rsidR="0045594E">
        <w:rPr>
          <w:lang w:val="lt-LT"/>
        </w:rPr>
        <w:t> </w:t>
      </w:r>
      <w:r w:rsidR="00090BCA" w:rsidRPr="0042435F">
        <w:rPr>
          <w:lang w:val="lt-LT"/>
        </w:rPr>
        <w:t>tūkst., per metus</w:t>
      </w:r>
      <w:r w:rsidR="0045594E">
        <w:rPr>
          <w:lang w:val="lt-LT"/>
        </w:rPr>
        <w:t> </w:t>
      </w:r>
      <w:r w:rsidR="00090BCA" w:rsidRPr="0042435F">
        <w:rPr>
          <w:lang w:val="lt-LT"/>
        </w:rPr>
        <w:t>–</w:t>
      </w:r>
      <w:r w:rsidR="00B4705A" w:rsidRPr="0042435F">
        <w:rPr>
          <w:lang w:val="lt-LT"/>
        </w:rPr>
        <w:t xml:space="preserve"> </w:t>
      </w:r>
      <w:r w:rsidR="00927F0A">
        <w:rPr>
          <w:lang w:val="lt-LT"/>
        </w:rPr>
        <w:t>padidėjo 0,4</w:t>
      </w:r>
      <w:r w:rsidR="0045594E">
        <w:rPr>
          <w:lang w:val="lt-LT"/>
        </w:rPr>
        <w:t> </w:t>
      </w:r>
      <w:r w:rsidR="00090BCA" w:rsidRPr="0042435F">
        <w:rPr>
          <w:lang w:val="lt-LT"/>
        </w:rPr>
        <w:t>tūkst.</w:t>
      </w:r>
    </w:p>
    <w:p w:rsidR="007B298B" w:rsidRPr="0042435F" w:rsidRDefault="007B298B" w:rsidP="00C17553">
      <w:pPr>
        <w:pStyle w:val="Pagrtekstas"/>
        <w:ind w:left="568" w:firstLine="0"/>
        <w:rPr>
          <w:lang w:val="lt-LT"/>
        </w:rPr>
      </w:pPr>
    </w:p>
    <w:p w:rsidR="003C2FB3" w:rsidRPr="00C17553" w:rsidRDefault="007B298B" w:rsidP="0045594E">
      <w:pPr>
        <w:pStyle w:val="Pagrtekstas"/>
        <w:ind w:firstLine="0"/>
        <w:rPr>
          <w:b/>
          <w:lang w:val="lt-LT"/>
        </w:rPr>
      </w:pPr>
      <w:r w:rsidRPr="00C17553">
        <w:rPr>
          <w:b/>
          <w:lang w:val="lt-LT"/>
        </w:rPr>
        <w:t>1 lentelė. Bedarbiai</w:t>
      </w:r>
    </w:p>
    <w:p w:rsidR="001C36F0" w:rsidRPr="0042435F" w:rsidRDefault="001C36F0" w:rsidP="0045594E">
      <w:pPr>
        <w:pStyle w:val="Pagrtekstas"/>
        <w:spacing w:after="60"/>
        <w:ind w:firstLine="0"/>
        <w:jc w:val="left"/>
        <w:rPr>
          <w:lang w:val="lt-LT"/>
        </w:rPr>
      </w:pPr>
      <w:r w:rsidRPr="0042435F">
        <w:rPr>
          <w:lang w:val="lt-LT"/>
        </w:rPr>
        <w:t>Tūkstančiais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1040"/>
        <w:gridCol w:w="1185"/>
        <w:gridCol w:w="1193"/>
        <w:gridCol w:w="883"/>
        <w:gridCol w:w="889"/>
        <w:gridCol w:w="889"/>
        <w:gridCol w:w="887"/>
      </w:tblGrid>
      <w:tr w:rsidR="00EA1E94" w:rsidRPr="0042435F" w:rsidTr="006948CF">
        <w:trPr>
          <w:tblHeader/>
        </w:trPr>
        <w:tc>
          <w:tcPr>
            <w:tcW w:w="1584" w:type="pct"/>
            <w:vMerge w:val="restart"/>
            <w:shd w:val="clear" w:color="auto" w:fill="FCE0E6"/>
          </w:tcPr>
          <w:p w:rsidR="00EA1E94" w:rsidRPr="0042435F" w:rsidRDefault="00EA1E94" w:rsidP="0045594E">
            <w:pPr>
              <w:spacing w:before="40" w:after="40"/>
              <w:rPr>
                <w:rFonts w:cs="Arial"/>
                <w:color w:val="333333"/>
                <w:sz w:val="19"/>
                <w:szCs w:val="19"/>
                <w:lang w:val="lt-LT"/>
              </w:rPr>
            </w:pPr>
          </w:p>
        </w:tc>
        <w:tc>
          <w:tcPr>
            <w:tcW w:w="510" w:type="pct"/>
            <w:vMerge w:val="restart"/>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202</w:t>
            </w:r>
            <w:r w:rsidR="00927F0A">
              <w:rPr>
                <w:rFonts w:cs="Arial"/>
                <w:color w:val="333333"/>
                <w:sz w:val="19"/>
                <w:szCs w:val="19"/>
                <w:lang w:val="lt-LT"/>
              </w:rPr>
              <w:t>2</w:t>
            </w:r>
            <w:r w:rsidRPr="0042435F">
              <w:rPr>
                <w:rFonts w:cs="Arial"/>
                <w:color w:val="333333"/>
                <w:sz w:val="19"/>
                <w:szCs w:val="19"/>
                <w:lang w:val="lt-LT"/>
              </w:rPr>
              <w:t> m.</w:t>
            </w:r>
            <w:r w:rsidR="0045594E">
              <w:rPr>
                <w:rFonts w:cs="Arial"/>
                <w:color w:val="333333"/>
                <w:sz w:val="19"/>
                <w:szCs w:val="19"/>
                <w:lang w:val="lt-LT"/>
              </w:rPr>
              <w:t xml:space="preserve"> </w:t>
            </w: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w:t>
            </w:r>
          </w:p>
        </w:tc>
        <w:tc>
          <w:tcPr>
            <w:tcW w:w="1166" w:type="pct"/>
            <w:gridSpan w:val="2"/>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20</w:t>
            </w:r>
            <w:r>
              <w:rPr>
                <w:rFonts w:cs="Arial"/>
                <w:color w:val="333333"/>
                <w:sz w:val="19"/>
                <w:szCs w:val="19"/>
                <w:lang w:val="lt-LT"/>
              </w:rPr>
              <w:t>2</w:t>
            </w:r>
            <w:r w:rsidR="00927F0A">
              <w:rPr>
                <w:rFonts w:cs="Arial"/>
                <w:color w:val="333333"/>
                <w:sz w:val="19"/>
                <w:szCs w:val="19"/>
                <w:lang w:val="lt-LT"/>
              </w:rPr>
              <w:t>1</w:t>
            </w:r>
            <w:r w:rsidRPr="0042435F">
              <w:rPr>
                <w:rFonts w:cs="Arial"/>
                <w:color w:val="333333"/>
                <w:sz w:val="19"/>
                <w:szCs w:val="19"/>
                <w:lang w:val="lt-LT"/>
              </w:rPr>
              <w:t> m.</w:t>
            </w:r>
          </w:p>
        </w:tc>
        <w:tc>
          <w:tcPr>
            <w:tcW w:w="1741" w:type="pct"/>
            <w:gridSpan w:val="4"/>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Padidėjimas, sumažėjimas (–)</w:t>
            </w:r>
            <w:r w:rsidR="0045594E">
              <w:rPr>
                <w:rFonts w:cs="Arial"/>
                <w:color w:val="333333"/>
                <w:sz w:val="19"/>
                <w:szCs w:val="19"/>
                <w:lang w:val="lt-LT"/>
              </w:rPr>
              <w:t xml:space="preserve"> </w:t>
            </w:r>
            <w:r w:rsidRPr="0042435F">
              <w:rPr>
                <w:rFonts w:cs="Arial"/>
                <w:color w:val="333333"/>
                <w:sz w:val="19"/>
                <w:szCs w:val="19"/>
                <w:lang w:val="lt-LT"/>
              </w:rPr>
              <w:t>202</w:t>
            </w:r>
            <w:r>
              <w:rPr>
                <w:rFonts w:cs="Arial"/>
                <w:color w:val="333333"/>
                <w:sz w:val="19"/>
                <w:szCs w:val="19"/>
                <w:lang w:val="lt-LT"/>
              </w:rPr>
              <w:t>1</w:t>
            </w:r>
            <w:r w:rsidRPr="0042435F">
              <w:rPr>
                <w:rFonts w:cs="Arial"/>
                <w:color w:val="333333"/>
                <w:sz w:val="19"/>
                <w:szCs w:val="19"/>
                <w:lang w:val="lt-LT"/>
              </w:rPr>
              <w:t> m.</w:t>
            </w:r>
            <w:r w:rsidR="0045594E">
              <w:rPr>
                <w:rFonts w:cs="Arial"/>
                <w:color w:val="333333"/>
                <w:sz w:val="19"/>
                <w:szCs w:val="19"/>
                <w:lang w:val="lt-LT"/>
              </w:rPr>
              <w:t> </w:t>
            </w: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 palyginti su</w:t>
            </w:r>
          </w:p>
        </w:tc>
      </w:tr>
      <w:tr w:rsidR="00EA1E94" w:rsidRPr="0042435F" w:rsidTr="006948CF">
        <w:trPr>
          <w:tblHeader/>
        </w:trPr>
        <w:tc>
          <w:tcPr>
            <w:tcW w:w="1584" w:type="pct"/>
            <w:vMerge/>
            <w:shd w:val="clear" w:color="auto" w:fill="FCE0E6"/>
          </w:tcPr>
          <w:p w:rsidR="00EA1E94" w:rsidRPr="0042435F" w:rsidRDefault="00EA1E94" w:rsidP="0045594E">
            <w:pPr>
              <w:spacing w:before="40" w:after="40"/>
              <w:rPr>
                <w:rFonts w:cs="Arial"/>
                <w:color w:val="333333"/>
                <w:sz w:val="19"/>
                <w:szCs w:val="19"/>
                <w:lang w:val="lt-LT"/>
              </w:rPr>
            </w:pPr>
          </w:p>
        </w:tc>
        <w:tc>
          <w:tcPr>
            <w:tcW w:w="510" w:type="pct"/>
            <w:vMerge/>
            <w:shd w:val="clear" w:color="auto" w:fill="FCE0E6"/>
          </w:tcPr>
          <w:p w:rsidR="00EA1E94" w:rsidRPr="0042435F" w:rsidRDefault="00EA1E94" w:rsidP="0045594E">
            <w:pPr>
              <w:spacing w:before="40" w:after="40"/>
              <w:rPr>
                <w:rFonts w:cs="Arial"/>
                <w:color w:val="333333"/>
                <w:sz w:val="19"/>
                <w:szCs w:val="19"/>
                <w:lang w:val="lt-LT"/>
              </w:rPr>
            </w:pPr>
          </w:p>
        </w:tc>
        <w:tc>
          <w:tcPr>
            <w:tcW w:w="581" w:type="pct"/>
            <w:vMerge w:val="restart"/>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w:t>
            </w:r>
          </w:p>
        </w:tc>
        <w:tc>
          <w:tcPr>
            <w:tcW w:w="585" w:type="pct"/>
            <w:vMerge w:val="restart"/>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IV</w:t>
            </w:r>
            <w:r w:rsidR="0045594E">
              <w:rPr>
                <w:rFonts w:cs="Arial"/>
                <w:color w:val="333333"/>
                <w:sz w:val="19"/>
                <w:szCs w:val="19"/>
                <w:lang w:val="lt-LT"/>
              </w:rPr>
              <w:t> </w:t>
            </w:r>
            <w:r w:rsidRPr="0042435F">
              <w:rPr>
                <w:rFonts w:cs="Arial"/>
                <w:color w:val="333333"/>
                <w:sz w:val="19"/>
                <w:szCs w:val="19"/>
                <w:lang w:val="lt-LT"/>
              </w:rPr>
              <w:t>ketv.</w:t>
            </w:r>
          </w:p>
        </w:tc>
        <w:tc>
          <w:tcPr>
            <w:tcW w:w="869" w:type="pct"/>
            <w:gridSpan w:val="2"/>
            <w:shd w:val="clear" w:color="auto" w:fill="FCE0E6"/>
          </w:tcPr>
          <w:p w:rsidR="00EA1E94" w:rsidRPr="0042435F" w:rsidRDefault="00927F0A" w:rsidP="0045594E">
            <w:pPr>
              <w:spacing w:before="40" w:after="40"/>
              <w:rPr>
                <w:rFonts w:cs="Arial"/>
                <w:color w:val="333333"/>
                <w:sz w:val="19"/>
                <w:szCs w:val="19"/>
                <w:lang w:val="lt-LT"/>
              </w:rPr>
            </w:pPr>
            <w:r>
              <w:rPr>
                <w:rFonts w:cs="Arial"/>
                <w:color w:val="333333"/>
                <w:sz w:val="19"/>
                <w:szCs w:val="19"/>
                <w:lang w:val="lt-LT"/>
              </w:rPr>
              <w:t xml:space="preserve">2021 </w:t>
            </w:r>
            <w:r w:rsidR="00EA1E94" w:rsidRPr="0042435F">
              <w:rPr>
                <w:rFonts w:cs="Arial"/>
                <w:color w:val="333333"/>
                <w:sz w:val="19"/>
                <w:szCs w:val="19"/>
                <w:lang w:val="lt-LT"/>
              </w:rPr>
              <w:t>I ketv.</w:t>
            </w:r>
          </w:p>
        </w:tc>
        <w:tc>
          <w:tcPr>
            <w:tcW w:w="873" w:type="pct"/>
            <w:gridSpan w:val="2"/>
            <w:shd w:val="clear" w:color="auto" w:fill="FCE0E6"/>
          </w:tcPr>
          <w:p w:rsidR="00EA1E94" w:rsidRPr="0042435F" w:rsidRDefault="00927F0A" w:rsidP="0045594E">
            <w:pPr>
              <w:spacing w:before="40" w:after="40"/>
              <w:rPr>
                <w:rFonts w:cs="Arial"/>
                <w:color w:val="333333"/>
                <w:sz w:val="19"/>
                <w:szCs w:val="19"/>
                <w:lang w:val="lt-LT"/>
              </w:rPr>
            </w:pPr>
            <w:r>
              <w:rPr>
                <w:rFonts w:cs="Arial"/>
                <w:color w:val="333333"/>
                <w:sz w:val="19"/>
                <w:szCs w:val="19"/>
                <w:lang w:val="lt-LT"/>
              </w:rPr>
              <w:t xml:space="preserve">2021 </w:t>
            </w:r>
            <w:r w:rsidR="00EA1E94" w:rsidRPr="0042435F">
              <w:rPr>
                <w:rFonts w:cs="Arial"/>
                <w:color w:val="333333"/>
                <w:sz w:val="19"/>
                <w:szCs w:val="19"/>
                <w:lang w:val="lt-LT"/>
              </w:rPr>
              <w:t>IV ketv.</w:t>
            </w:r>
          </w:p>
        </w:tc>
      </w:tr>
      <w:tr w:rsidR="00EA1E94" w:rsidRPr="0042435F" w:rsidTr="006948CF">
        <w:trPr>
          <w:tblHeader/>
        </w:trPr>
        <w:tc>
          <w:tcPr>
            <w:tcW w:w="1584" w:type="pct"/>
            <w:vMerge/>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lt-LT"/>
              </w:rPr>
            </w:pPr>
          </w:p>
        </w:tc>
        <w:tc>
          <w:tcPr>
            <w:tcW w:w="510" w:type="pct"/>
            <w:vMerge/>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lt-LT"/>
              </w:rPr>
            </w:pPr>
          </w:p>
        </w:tc>
        <w:tc>
          <w:tcPr>
            <w:tcW w:w="581" w:type="pct"/>
            <w:vMerge/>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lt-LT"/>
              </w:rPr>
            </w:pPr>
          </w:p>
        </w:tc>
        <w:tc>
          <w:tcPr>
            <w:tcW w:w="585" w:type="pct"/>
            <w:vMerge/>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lt-LT"/>
              </w:rPr>
            </w:pPr>
          </w:p>
        </w:tc>
        <w:tc>
          <w:tcPr>
            <w:tcW w:w="433" w:type="pct"/>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tūkst.</w:t>
            </w:r>
          </w:p>
        </w:tc>
        <w:tc>
          <w:tcPr>
            <w:tcW w:w="436" w:type="pct"/>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en-US"/>
              </w:rPr>
            </w:pPr>
            <w:r w:rsidRPr="0042435F">
              <w:rPr>
                <w:rFonts w:cs="Arial"/>
                <w:color w:val="333333"/>
                <w:sz w:val="19"/>
                <w:szCs w:val="19"/>
                <w:lang w:val="en-US"/>
              </w:rPr>
              <w:t>%</w:t>
            </w:r>
          </w:p>
        </w:tc>
        <w:tc>
          <w:tcPr>
            <w:tcW w:w="436" w:type="pct"/>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tūkst.</w:t>
            </w:r>
          </w:p>
        </w:tc>
        <w:tc>
          <w:tcPr>
            <w:tcW w:w="437" w:type="pct"/>
            <w:tcBorders>
              <w:bottom w:val="single" w:sz="4" w:space="0" w:color="000000"/>
            </w:tcBorders>
            <w:shd w:val="clear" w:color="auto" w:fill="FCE0E6"/>
          </w:tcPr>
          <w:p w:rsidR="00EA1E94" w:rsidRPr="0042435F" w:rsidRDefault="00EA1E94" w:rsidP="0045594E">
            <w:pPr>
              <w:spacing w:before="40" w:after="40"/>
              <w:rPr>
                <w:rFonts w:cs="Arial"/>
                <w:color w:val="333333"/>
                <w:sz w:val="19"/>
                <w:szCs w:val="19"/>
                <w:lang w:val="en-US"/>
              </w:rPr>
            </w:pPr>
            <w:r w:rsidRPr="0042435F">
              <w:rPr>
                <w:rFonts w:cs="Arial"/>
                <w:color w:val="333333"/>
                <w:sz w:val="19"/>
                <w:szCs w:val="19"/>
                <w:lang w:val="en-US"/>
              </w:rPr>
              <w:t>%</w:t>
            </w:r>
          </w:p>
        </w:tc>
      </w:tr>
      <w:tr w:rsidR="00EA1E94" w:rsidRPr="0042435F" w:rsidTr="006948CF">
        <w:tc>
          <w:tcPr>
            <w:tcW w:w="1584" w:type="pct"/>
            <w:tcBorders>
              <w:bottom w:val="nil"/>
            </w:tcBorders>
            <w:shd w:val="clear" w:color="auto" w:fill="F7AFBE"/>
            <w:vAlign w:val="bottom"/>
          </w:tcPr>
          <w:p w:rsidR="00EA1E94" w:rsidRPr="0042435F" w:rsidRDefault="00EA1E94" w:rsidP="0045594E">
            <w:pPr>
              <w:spacing w:before="40" w:after="40"/>
              <w:rPr>
                <w:rFonts w:cs="Arial"/>
                <w:color w:val="333333"/>
                <w:sz w:val="19"/>
                <w:szCs w:val="19"/>
                <w:lang w:val="lt-LT"/>
              </w:rPr>
            </w:pPr>
            <w:r w:rsidRPr="0042435F">
              <w:rPr>
                <w:rFonts w:cs="Arial"/>
                <w:b/>
                <w:bCs/>
                <w:color w:val="333333"/>
                <w:sz w:val="19"/>
                <w:szCs w:val="19"/>
                <w:lang w:val="lt-LT"/>
              </w:rPr>
              <w:t>Iš viso</w:t>
            </w:r>
          </w:p>
        </w:tc>
        <w:tc>
          <w:tcPr>
            <w:tcW w:w="510" w:type="pct"/>
            <w:tcBorders>
              <w:bottom w:val="nil"/>
            </w:tcBorders>
            <w:shd w:val="clear" w:color="auto" w:fill="F7AFBE"/>
            <w:vAlign w:val="bottom"/>
          </w:tcPr>
          <w:p w:rsidR="00EA1E94" w:rsidRPr="0042435F" w:rsidRDefault="00927F0A" w:rsidP="0045594E">
            <w:pPr>
              <w:spacing w:before="40" w:after="40"/>
              <w:jc w:val="right"/>
              <w:rPr>
                <w:rFonts w:cs="Arial"/>
                <w:b/>
                <w:color w:val="333333"/>
                <w:sz w:val="19"/>
                <w:szCs w:val="19"/>
                <w:lang w:val="lt-LT"/>
              </w:rPr>
            </w:pPr>
            <w:r>
              <w:rPr>
                <w:rFonts w:cs="Arial"/>
                <w:b/>
                <w:color w:val="333333"/>
                <w:sz w:val="19"/>
                <w:szCs w:val="19"/>
                <w:lang w:val="lt-LT"/>
              </w:rPr>
              <w:t>93,5</w:t>
            </w:r>
          </w:p>
        </w:tc>
        <w:tc>
          <w:tcPr>
            <w:tcW w:w="581" w:type="pct"/>
            <w:tcBorders>
              <w:bottom w:val="nil"/>
            </w:tcBorders>
            <w:shd w:val="clear" w:color="auto" w:fill="F7AFBE"/>
            <w:vAlign w:val="bottom"/>
          </w:tcPr>
          <w:p w:rsidR="00EA1E94" w:rsidRPr="0042435F" w:rsidRDefault="00927F0A" w:rsidP="0045594E">
            <w:pPr>
              <w:spacing w:before="40" w:after="40"/>
              <w:jc w:val="right"/>
              <w:rPr>
                <w:rFonts w:cs="Arial"/>
                <w:b/>
                <w:color w:val="333333"/>
                <w:sz w:val="19"/>
                <w:szCs w:val="19"/>
                <w:lang w:val="lt-LT"/>
              </w:rPr>
            </w:pPr>
            <w:r>
              <w:rPr>
                <w:rFonts w:cs="Arial"/>
                <w:b/>
                <w:color w:val="333333"/>
                <w:sz w:val="19"/>
                <w:szCs w:val="19"/>
                <w:lang w:val="lt-LT"/>
              </w:rPr>
              <w:t>108,8</w:t>
            </w:r>
          </w:p>
        </w:tc>
        <w:tc>
          <w:tcPr>
            <w:tcW w:w="585" w:type="pct"/>
            <w:tcBorders>
              <w:bottom w:val="nil"/>
            </w:tcBorders>
            <w:shd w:val="clear" w:color="auto" w:fill="F7AFBE"/>
          </w:tcPr>
          <w:p w:rsidR="00EA1E94" w:rsidRPr="0042435F" w:rsidRDefault="00927F0A" w:rsidP="0045594E">
            <w:pPr>
              <w:spacing w:before="40" w:after="40"/>
              <w:jc w:val="right"/>
              <w:rPr>
                <w:rFonts w:cs="Arial"/>
                <w:b/>
                <w:color w:val="333333"/>
                <w:sz w:val="19"/>
                <w:szCs w:val="19"/>
                <w:lang w:val="lt-LT"/>
              </w:rPr>
            </w:pPr>
            <w:r>
              <w:rPr>
                <w:rFonts w:cs="Arial"/>
                <w:b/>
                <w:color w:val="333333"/>
                <w:sz w:val="19"/>
                <w:szCs w:val="19"/>
                <w:lang w:val="lt-LT"/>
              </w:rPr>
              <w:t>102,8</w:t>
            </w:r>
          </w:p>
        </w:tc>
        <w:tc>
          <w:tcPr>
            <w:tcW w:w="433" w:type="pct"/>
            <w:tcBorders>
              <w:bottom w:val="nil"/>
            </w:tcBorders>
            <w:shd w:val="clear" w:color="auto" w:fill="F7AFBE"/>
            <w:vAlign w:val="bottom"/>
          </w:tcPr>
          <w:p w:rsidR="00EA1E94" w:rsidRPr="00927F0A" w:rsidRDefault="00927F0A" w:rsidP="0045594E">
            <w:pPr>
              <w:spacing w:before="40" w:after="40"/>
              <w:jc w:val="right"/>
              <w:rPr>
                <w:rFonts w:cs="Arial"/>
                <w:b/>
                <w:color w:val="333333"/>
                <w:sz w:val="19"/>
                <w:szCs w:val="19"/>
                <w:lang w:val="lt-LT"/>
              </w:rPr>
            </w:pPr>
            <w:r w:rsidRPr="00927F0A">
              <w:rPr>
                <w:rFonts w:cs="Arial"/>
                <w:b/>
                <w:color w:val="333333"/>
                <w:sz w:val="19"/>
                <w:szCs w:val="19"/>
                <w:lang w:val="lt-LT"/>
              </w:rPr>
              <w:t>–15,3</w:t>
            </w:r>
          </w:p>
        </w:tc>
        <w:tc>
          <w:tcPr>
            <w:tcW w:w="436" w:type="pct"/>
            <w:tcBorders>
              <w:bottom w:val="nil"/>
            </w:tcBorders>
            <w:shd w:val="clear" w:color="auto" w:fill="F7AFBE"/>
            <w:vAlign w:val="bottom"/>
          </w:tcPr>
          <w:p w:rsidR="00EA1E94" w:rsidRPr="00927F0A" w:rsidRDefault="00927F0A" w:rsidP="0045594E">
            <w:pPr>
              <w:spacing w:before="40" w:after="40"/>
              <w:jc w:val="right"/>
              <w:rPr>
                <w:rFonts w:cs="Arial"/>
                <w:b/>
                <w:color w:val="333333"/>
                <w:sz w:val="19"/>
                <w:szCs w:val="19"/>
                <w:lang w:val="lt-LT"/>
              </w:rPr>
            </w:pPr>
            <w:r w:rsidRPr="00927F0A">
              <w:rPr>
                <w:rFonts w:cs="Arial"/>
                <w:b/>
                <w:color w:val="333333"/>
                <w:sz w:val="19"/>
                <w:szCs w:val="19"/>
                <w:lang w:val="lt-LT"/>
              </w:rPr>
              <w:t>–14,1</w:t>
            </w:r>
          </w:p>
        </w:tc>
        <w:tc>
          <w:tcPr>
            <w:tcW w:w="436" w:type="pct"/>
            <w:tcBorders>
              <w:bottom w:val="nil"/>
            </w:tcBorders>
            <w:shd w:val="clear" w:color="auto" w:fill="F7AFBE"/>
            <w:vAlign w:val="bottom"/>
          </w:tcPr>
          <w:p w:rsidR="00EA1E94" w:rsidRPr="0042435F" w:rsidRDefault="00AB3C9D" w:rsidP="0045594E">
            <w:pPr>
              <w:spacing w:before="40" w:after="40"/>
              <w:jc w:val="right"/>
              <w:rPr>
                <w:rFonts w:cs="Arial"/>
                <w:b/>
                <w:color w:val="333333"/>
                <w:sz w:val="19"/>
                <w:szCs w:val="19"/>
                <w:lang w:val="lt-LT"/>
              </w:rPr>
            </w:pPr>
            <w:r>
              <w:rPr>
                <w:rFonts w:cs="Arial"/>
                <w:b/>
                <w:color w:val="333333"/>
                <w:sz w:val="19"/>
                <w:szCs w:val="19"/>
                <w:lang w:val="lt-LT"/>
              </w:rPr>
              <w:t>–</w:t>
            </w:r>
            <w:r w:rsidR="00927F0A">
              <w:rPr>
                <w:rFonts w:cs="Arial"/>
                <w:b/>
                <w:color w:val="333333"/>
                <w:sz w:val="19"/>
                <w:szCs w:val="19"/>
                <w:lang w:val="lt-LT"/>
              </w:rPr>
              <w:t>9,4</w:t>
            </w:r>
          </w:p>
        </w:tc>
        <w:tc>
          <w:tcPr>
            <w:tcW w:w="437" w:type="pct"/>
            <w:tcBorders>
              <w:bottom w:val="nil"/>
            </w:tcBorders>
            <w:shd w:val="clear" w:color="auto" w:fill="F7AFBE"/>
            <w:vAlign w:val="bottom"/>
          </w:tcPr>
          <w:p w:rsidR="00EA1E94" w:rsidRPr="0042435F" w:rsidRDefault="000C6812" w:rsidP="0045594E">
            <w:pPr>
              <w:spacing w:before="40" w:after="40"/>
              <w:jc w:val="right"/>
              <w:rPr>
                <w:rFonts w:cs="Arial"/>
                <w:b/>
                <w:color w:val="333333"/>
                <w:sz w:val="19"/>
                <w:szCs w:val="19"/>
                <w:lang w:val="lt-LT"/>
              </w:rPr>
            </w:pPr>
            <w:r>
              <w:rPr>
                <w:rFonts w:cs="Arial"/>
                <w:b/>
                <w:color w:val="333333"/>
                <w:sz w:val="19"/>
                <w:szCs w:val="19"/>
                <w:lang w:val="lt-LT"/>
              </w:rPr>
              <w:t>–9,1</w:t>
            </w:r>
          </w:p>
        </w:tc>
      </w:tr>
      <w:tr w:rsidR="00EA1E94" w:rsidRPr="0042435F" w:rsidTr="0045594E">
        <w:tc>
          <w:tcPr>
            <w:tcW w:w="1584" w:type="pct"/>
            <w:tcBorders>
              <w:top w:val="nil"/>
              <w:bottom w:val="nil"/>
            </w:tcBorders>
            <w:vAlign w:val="bottom"/>
          </w:tcPr>
          <w:p w:rsidR="00EA1E94" w:rsidRPr="0042435F" w:rsidRDefault="00EA1E94" w:rsidP="0045594E">
            <w:pPr>
              <w:spacing w:before="40" w:after="40"/>
              <w:ind w:left="113"/>
              <w:rPr>
                <w:rFonts w:cs="Arial"/>
                <w:color w:val="333333"/>
                <w:sz w:val="19"/>
                <w:szCs w:val="19"/>
                <w:lang w:val="lt-LT"/>
              </w:rPr>
            </w:pPr>
            <w:r w:rsidRPr="0042435F">
              <w:rPr>
                <w:rFonts w:cs="Arial"/>
                <w:color w:val="333333"/>
                <w:sz w:val="19"/>
                <w:szCs w:val="19"/>
                <w:lang w:val="lt-LT"/>
              </w:rPr>
              <w:t>vyrai</w:t>
            </w:r>
          </w:p>
        </w:tc>
        <w:tc>
          <w:tcPr>
            <w:tcW w:w="510"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47,6</w:t>
            </w:r>
          </w:p>
        </w:tc>
        <w:tc>
          <w:tcPr>
            <w:tcW w:w="581"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55,1</w:t>
            </w:r>
          </w:p>
        </w:tc>
        <w:tc>
          <w:tcPr>
            <w:tcW w:w="585"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59,4</w:t>
            </w:r>
          </w:p>
        </w:tc>
        <w:tc>
          <w:tcPr>
            <w:tcW w:w="433" w:type="pct"/>
            <w:tcBorders>
              <w:top w:val="nil"/>
              <w:bottom w:val="nil"/>
            </w:tcBorders>
            <w:vAlign w:val="bottom"/>
          </w:tcPr>
          <w:p w:rsidR="00EA1E94" w:rsidRPr="0042435F" w:rsidRDefault="00AB3C9D" w:rsidP="0045594E">
            <w:pPr>
              <w:spacing w:before="40" w:after="40"/>
              <w:jc w:val="right"/>
              <w:rPr>
                <w:rFonts w:cs="Arial"/>
                <w:color w:val="333333"/>
                <w:sz w:val="19"/>
                <w:szCs w:val="19"/>
                <w:lang w:val="lt-LT"/>
              </w:rPr>
            </w:pPr>
            <w:r>
              <w:rPr>
                <w:rFonts w:cs="Arial"/>
                <w:color w:val="333333"/>
                <w:sz w:val="19"/>
                <w:szCs w:val="19"/>
                <w:lang w:val="lt-LT"/>
              </w:rPr>
              <w:t>–</w:t>
            </w:r>
            <w:r w:rsidR="00927F0A">
              <w:rPr>
                <w:rFonts w:cs="Arial"/>
                <w:color w:val="333333"/>
                <w:sz w:val="19"/>
                <w:szCs w:val="19"/>
                <w:lang w:val="lt-LT"/>
              </w:rPr>
              <w:t>7,5</w:t>
            </w:r>
          </w:p>
        </w:tc>
        <w:tc>
          <w:tcPr>
            <w:tcW w:w="436" w:type="pct"/>
            <w:tcBorders>
              <w:top w:val="nil"/>
              <w:bottom w:val="nil"/>
            </w:tcBorders>
            <w:vAlign w:val="bottom"/>
          </w:tcPr>
          <w:p w:rsidR="00EA1E94" w:rsidRPr="0042435F" w:rsidRDefault="000C6812" w:rsidP="0045594E">
            <w:pPr>
              <w:spacing w:before="40" w:after="40"/>
              <w:jc w:val="right"/>
              <w:rPr>
                <w:rFonts w:cs="Arial"/>
                <w:color w:val="333333"/>
                <w:sz w:val="19"/>
                <w:szCs w:val="19"/>
                <w:lang w:val="lt-LT"/>
              </w:rPr>
            </w:pPr>
            <w:r>
              <w:rPr>
                <w:rFonts w:cs="Arial"/>
                <w:color w:val="333333"/>
                <w:sz w:val="19"/>
                <w:szCs w:val="19"/>
                <w:lang w:val="lt-LT"/>
              </w:rPr>
              <w:t>–</w:t>
            </w:r>
            <w:r w:rsidR="00927F0A">
              <w:rPr>
                <w:rFonts w:cs="Arial"/>
                <w:color w:val="333333"/>
                <w:sz w:val="19"/>
                <w:szCs w:val="19"/>
                <w:lang w:val="lt-LT"/>
              </w:rPr>
              <w:t>13,6</w:t>
            </w:r>
          </w:p>
        </w:tc>
        <w:tc>
          <w:tcPr>
            <w:tcW w:w="436" w:type="pct"/>
            <w:tcBorders>
              <w:top w:val="nil"/>
              <w:bottom w:val="nil"/>
            </w:tcBorders>
            <w:vAlign w:val="bottom"/>
          </w:tcPr>
          <w:p w:rsidR="00EA1E94" w:rsidRPr="0042435F" w:rsidRDefault="00AB3C9D" w:rsidP="0045594E">
            <w:pPr>
              <w:spacing w:before="40" w:after="40"/>
              <w:jc w:val="right"/>
              <w:rPr>
                <w:rFonts w:cs="Arial"/>
                <w:color w:val="333333"/>
                <w:sz w:val="19"/>
                <w:szCs w:val="19"/>
                <w:lang w:val="lt-LT"/>
              </w:rPr>
            </w:pPr>
            <w:r>
              <w:rPr>
                <w:rFonts w:cs="Arial"/>
                <w:color w:val="333333"/>
                <w:sz w:val="19"/>
                <w:szCs w:val="19"/>
                <w:lang w:val="lt-LT"/>
              </w:rPr>
              <w:t>–1</w:t>
            </w:r>
            <w:r w:rsidR="00927F0A">
              <w:rPr>
                <w:rFonts w:cs="Arial"/>
                <w:color w:val="333333"/>
                <w:sz w:val="19"/>
                <w:szCs w:val="19"/>
                <w:lang w:val="lt-LT"/>
              </w:rPr>
              <w:t>1,8</w:t>
            </w:r>
          </w:p>
        </w:tc>
        <w:tc>
          <w:tcPr>
            <w:tcW w:w="437" w:type="pct"/>
            <w:tcBorders>
              <w:top w:val="nil"/>
              <w:bottom w:val="nil"/>
            </w:tcBorders>
            <w:vAlign w:val="bottom"/>
          </w:tcPr>
          <w:p w:rsidR="00EA1E94" w:rsidRPr="0042435F" w:rsidRDefault="000C6812" w:rsidP="0045594E">
            <w:pPr>
              <w:spacing w:before="40" w:after="40"/>
              <w:jc w:val="right"/>
              <w:rPr>
                <w:rFonts w:cs="Arial"/>
                <w:color w:val="333333"/>
                <w:sz w:val="19"/>
                <w:szCs w:val="19"/>
                <w:lang w:val="lt-LT"/>
              </w:rPr>
            </w:pPr>
            <w:r>
              <w:rPr>
                <w:rFonts w:cs="Arial"/>
                <w:color w:val="333333"/>
                <w:sz w:val="19"/>
                <w:szCs w:val="19"/>
                <w:lang w:val="lt-LT"/>
              </w:rPr>
              <w:t>–</w:t>
            </w:r>
            <w:r w:rsidR="00927F0A">
              <w:rPr>
                <w:rFonts w:cs="Arial"/>
                <w:color w:val="333333"/>
                <w:sz w:val="19"/>
                <w:szCs w:val="19"/>
                <w:lang w:val="lt-LT"/>
              </w:rPr>
              <w:t>19,9</w:t>
            </w:r>
          </w:p>
        </w:tc>
      </w:tr>
      <w:tr w:rsidR="00EA1E94" w:rsidRPr="0042435F" w:rsidTr="0045594E">
        <w:tc>
          <w:tcPr>
            <w:tcW w:w="1584" w:type="pct"/>
            <w:tcBorders>
              <w:top w:val="nil"/>
              <w:bottom w:val="nil"/>
            </w:tcBorders>
            <w:vAlign w:val="bottom"/>
          </w:tcPr>
          <w:p w:rsidR="00EA1E94" w:rsidRPr="0042435F" w:rsidRDefault="00EA1E94" w:rsidP="0045594E">
            <w:pPr>
              <w:spacing w:before="40" w:after="40"/>
              <w:ind w:left="113"/>
              <w:rPr>
                <w:rFonts w:cs="Arial"/>
                <w:color w:val="333333"/>
                <w:sz w:val="19"/>
                <w:szCs w:val="19"/>
                <w:lang w:val="lt-LT"/>
              </w:rPr>
            </w:pPr>
            <w:r w:rsidRPr="0042435F">
              <w:rPr>
                <w:rFonts w:cs="Arial"/>
                <w:color w:val="333333"/>
                <w:sz w:val="19"/>
                <w:szCs w:val="19"/>
                <w:lang w:val="lt-LT"/>
              </w:rPr>
              <w:t>moterys</w:t>
            </w:r>
          </w:p>
        </w:tc>
        <w:tc>
          <w:tcPr>
            <w:tcW w:w="510"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45,9</w:t>
            </w:r>
          </w:p>
        </w:tc>
        <w:tc>
          <w:tcPr>
            <w:tcW w:w="581"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53,7</w:t>
            </w:r>
          </w:p>
        </w:tc>
        <w:tc>
          <w:tcPr>
            <w:tcW w:w="585"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43,4</w:t>
            </w:r>
          </w:p>
        </w:tc>
        <w:tc>
          <w:tcPr>
            <w:tcW w:w="433" w:type="pct"/>
            <w:tcBorders>
              <w:top w:val="nil"/>
              <w:bottom w:val="nil"/>
            </w:tcBorders>
            <w:vAlign w:val="bottom"/>
          </w:tcPr>
          <w:p w:rsidR="00EA1E94" w:rsidRPr="0042435F" w:rsidRDefault="00801D36" w:rsidP="0045594E">
            <w:pPr>
              <w:spacing w:before="40" w:after="40"/>
              <w:jc w:val="right"/>
              <w:rPr>
                <w:rFonts w:cs="Arial"/>
                <w:color w:val="333333"/>
                <w:sz w:val="19"/>
                <w:szCs w:val="19"/>
                <w:lang w:val="lt-LT"/>
              </w:rPr>
            </w:pPr>
            <w:r>
              <w:rPr>
                <w:rFonts w:cs="Arial"/>
                <w:color w:val="333333"/>
                <w:sz w:val="19"/>
                <w:szCs w:val="19"/>
                <w:lang w:val="lt-LT"/>
              </w:rPr>
              <w:t>–</w:t>
            </w:r>
            <w:r w:rsidR="00AB3C9D">
              <w:rPr>
                <w:rFonts w:cs="Arial"/>
                <w:color w:val="333333"/>
                <w:sz w:val="19"/>
                <w:szCs w:val="19"/>
                <w:lang w:val="lt-LT"/>
              </w:rPr>
              <w:t>7,</w:t>
            </w:r>
            <w:r w:rsidR="00927F0A">
              <w:rPr>
                <w:rFonts w:cs="Arial"/>
                <w:color w:val="333333"/>
                <w:sz w:val="19"/>
                <w:szCs w:val="19"/>
                <w:lang w:val="lt-LT"/>
              </w:rPr>
              <w:t>8</w:t>
            </w:r>
          </w:p>
        </w:tc>
        <w:tc>
          <w:tcPr>
            <w:tcW w:w="436"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–14,6</w:t>
            </w:r>
          </w:p>
        </w:tc>
        <w:tc>
          <w:tcPr>
            <w:tcW w:w="436"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2,4</w:t>
            </w:r>
          </w:p>
        </w:tc>
        <w:tc>
          <w:tcPr>
            <w:tcW w:w="437" w:type="pct"/>
            <w:tcBorders>
              <w:top w:val="nil"/>
              <w:bottom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5,6</w:t>
            </w:r>
          </w:p>
        </w:tc>
      </w:tr>
      <w:tr w:rsidR="00EA1E94" w:rsidRPr="0042435F" w:rsidTr="0045594E">
        <w:tc>
          <w:tcPr>
            <w:tcW w:w="1584" w:type="pct"/>
            <w:tcBorders>
              <w:top w:val="nil"/>
            </w:tcBorders>
            <w:vAlign w:val="bottom"/>
          </w:tcPr>
          <w:p w:rsidR="00EA1E94" w:rsidRPr="0042435F" w:rsidRDefault="00EA1E94" w:rsidP="0045594E">
            <w:pPr>
              <w:spacing w:before="40" w:after="40"/>
              <w:rPr>
                <w:rFonts w:cs="Arial"/>
                <w:color w:val="333333"/>
                <w:sz w:val="19"/>
                <w:szCs w:val="19"/>
                <w:lang w:val="lt-LT"/>
              </w:rPr>
            </w:pPr>
            <w:r w:rsidRPr="0042435F">
              <w:rPr>
                <w:rFonts w:cs="Arial"/>
                <w:color w:val="333333"/>
                <w:sz w:val="19"/>
                <w:szCs w:val="19"/>
                <w:lang w:val="lt-LT"/>
              </w:rPr>
              <w:t>Jaunimas (15–24 metų amžiaus)</w:t>
            </w:r>
          </w:p>
        </w:tc>
        <w:tc>
          <w:tcPr>
            <w:tcW w:w="510"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12,5</w:t>
            </w:r>
          </w:p>
        </w:tc>
        <w:tc>
          <w:tcPr>
            <w:tcW w:w="581"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11,8</w:t>
            </w:r>
          </w:p>
        </w:tc>
        <w:tc>
          <w:tcPr>
            <w:tcW w:w="585"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12,1</w:t>
            </w:r>
          </w:p>
        </w:tc>
        <w:tc>
          <w:tcPr>
            <w:tcW w:w="433"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0,8</w:t>
            </w:r>
          </w:p>
        </w:tc>
        <w:tc>
          <w:tcPr>
            <w:tcW w:w="436"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6,5</w:t>
            </w:r>
          </w:p>
        </w:tc>
        <w:tc>
          <w:tcPr>
            <w:tcW w:w="436"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0,4</w:t>
            </w:r>
          </w:p>
        </w:tc>
        <w:tc>
          <w:tcPr>
            <w:tcW w:w="437" w:type="pct"/>
            <w:tcBorders>
              <w:top w:val="nil"/>
            </w:tcBorders>
            <w:vAlign w:val="bottom"/>
          </w:tcPr>
          <w:p w:rsidR="00EA1E94"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3,2</w:t>
            </w:r>
          </w:p>
        </w:tc>
      </w:tr>
    </w:tbl>
    <w:p w:rsidR="00C01C46" w:rsidRPr="0042435F" w:rsidRDefault="00C01C46" w:rsidP="0045594E">
      <w:pPr>
        <w:pStyle w:val="Pagrtekstas"/>
        <w:ind w:firstLine="0"/>
        <w:rPr>
          <w:lang w:val="lt-LT"/>
        </w:rPr>
      </w:pPr>
    </w:p>
    <w:p w:rsidR="0031342C" w:rsidRDefault="0031342C">
      <w:pPr>
        <w:rPr>
          <w:b/>
          <w:lang w:val="lt-LT"/>
        </w:rPr>
      </w:pPr>
      <w:r>
        <w:rPr>
          <w:b/>
          <w:lang w:val="lt-LT"/>
        </w:rPr>
        <w:br w:type="page"/>
      </w:r>
    </w:p>
    <w:p w:rsidR="003C4F04" w:rsidRPr="0042435F" w:rsidRDefault="007E47D9" w:rsidP="0045594E">
      <w:pPr>
        <w:pStyle w:val="Pagrtekstas"/>
        <w:ind w:firstLine="0"/>
        <w:rPr>
          <w:b/>
          <w:lang w:val="lt-LT"/>
        </w:rPr>
      </w:pPr>
      <w:r w:rsidRPr="0042435F">
        <w:rPr>
          <w:b/>
          <w:lang w:val="lt-LT"/>
        </w:rPr>
        <w:t>2</w:t>
      </w:r>
      <w:r w:rsidR="003C4F04" w:rsidRPr="0042435F">
        <w:rPr>
          <w:b/>
          <w:lang w:val="lt-LT"/>
        </w:rPr>
        <w:t xml:space="preserve"> lentelė. Bedarbiai pagal nedarbo trukmę</w:t>
      </w:r>
    </w:p>
    <w:p w:rsidR="003C4F04" w:rsidRPr="0042435F" w:rsidRDefault="003C4F04" w:rsidP="0045594E">
      <w:pPr>
        <w:pStyle w:val="Pagrtekstas"/>
        <w:spacing w:after="60"/>
        <w:ind w:firstLine="0"/>
        <w:jc w:val="left"/>
        <w:rPr>
          <w:lang w:val="lt-LT"/>
        </w:rPr>
      </w:pPr>
      <w:r w:rsidRPr="0042435F">
        <w:rPr>
          <w:lang w:val="lt-LT"/>
        </w:rPr>
        <w:t>Tūkstančiais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1040"/>
        <w:gridCol w:w="1185"/>
        <w:gridCol w:w="1193"/>
        <w:gridCol w:w="883"/>
        <w:gridCol w:w="889"/>
        <w:gridCol w:w="889"/>
        <w:gridCol w:w="887"/>
      </w:tblGrid>
      <w:tr w:rsidR="003C4F04" w:rsidRPr="0042435F" w:rsidTr="006948CF">
        <w:trPr>
          <w:tblHeader/>
        </w:trPr>
        <w:tc>
          <w:tcPr>
            <w:tcW w:w="1584" w:type="pct"/>
            <w:vMerge w:val="restart"/>
            <w:shd w:val="clear" w:color="auto" w:fill="FCE0E6"/>
          </w:tcPr>
          <w:p w:rsidR="003C4F04" w:rsidRPr="0042435F" w:rsidRDefault="003C4F04" w:rsidP="0045594E">
            <w:pPr>
              <w:spacing w:before="40" w:after="40"/>
              <w:rPr>
                <w:rFonts w:cs="Arial"/>
                <w:color w:val="333333"/>
                <w:sz w:val="19"/>
                <w:szCs w:val="19"/>
                <w:lang w:val="lt-LT"/>
              </w:rPr>
            </w:pPr>
          </w:p>
        </w:tc>
        <w:tc>
          <w:tcPr>
            <w:tcW w:w="510" w:type="pct"/>
            <w:vMerge w:val="restart"/>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20</w:t>
            </w:r>
            <w:r w:rsidR="00893BD2" w:rsidRPr="0042435F">
              <w:rPr>
                <w:rFonts w:cs="Arial"/>
                <w:color w:val="333333"/>
                <w:sz w:val="19"/>
                <w:szCs w:val="19"/>
                <w:lang w:val="lt-LT"/>
              </w:rPr>
              <w:t>2</w:t>
            </w:r>
            <w:r w:rsidR="00927F0A">
              <w:rPr>
                <w:rFonts w:cs="Arial"/>
                <w:color w:val="333333"/>
                <w:sz w:val="19"/>
                <w:szCs w:val="19"/>
                <w:lang w:val="lt-LT"/>
              </w:rPr>
              <w:t>2</w:t>
            </w:r>
            <w:r w:rsidRPr="0042435F">
              <w:rPr>
                <w:rFonts w:cs="Arial"/>
                <w:color w:val="333333"/>
                <w:sz w:val="19"/>
                <w:szCs w:val="19"/>
                <w:lang w:val="lt-LT"/>
              </w:rPr>
              <w:t> m.</w:t>
            </w:r>
            <w:r w:rsidR="0045594E">
              <w:rPr>
                <w:rFonts w:cs="Arial"/>
                <w:color w:val="333333"/>
                <w:sz w:val="19"/>
                <w:szCs w:val="19"/>
                <w:lang w:val="lt-LT"/>
              </w:rPr>
              <w:t xml:space="preserve"> </w:t>
            </w: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w:t>
            </w:r>
          </w:p>
        </w:tc>
        <w:tc>
          <w:tcPr>
            <w:tcW w:w="1166" w:type="pct"/>
            <w:gridSpan w:val="2"/>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20</w:t>
            </w:r>
            <w:r w:rsidR="007F5E8C">
              <w:rPr>
                <w:rFonts w:cs="Arial"/>
                <w:color w:val="333333"/>
                <w:sz w:val="19"/>
                <w:szCs w:val="19"/>
                <w:lang w:val="lt-LT"/>
              </w:rPr>
              <w:t>2</w:t>
            </w:r>
            <w:r w:rsidR="00927F0A">
              <w:rPr>
                <w:rFonts w:cs="Arial"/>
                <w:color w:val="333333"/>
                <w:sz w:val="19"/>
                <w:szCs w:val="19"/>
                <w:lang w:val="lt-LT"/>
              </w:rPr>
              <w:t>1</w:t>
            </w:r>
            <w:r w:rsidRPr="0042435F">
              <w:rPr>
                <w:rFonts w:cs="Arial"/>
                <w:color w:val="333333"/>
                <w:sz w:val="19"/>
                <w:szCs w:val="19"/>
                <w:lang w:val="lt-LT"/>
              </w:rPr>
              <w:t> m.</w:t>
            </w:r>
          </w:p>
        </w:tc>
        <w:tc>
          <w:tcPr>
            <w:tcW w:w="1741" w:type="pct"/>
            <w:gridSpan w:val="4"/>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Padidėjimas, sumažėjimas (–)</w:t>
            </w:r>
            <w:r w:rsidR="0045594E">
              <w:rPr>
                <w:rFonts w:cs="Arial"/>
                <w:color w:val="333333"/>
                <w:sz w:val="19"/>
                <w:szCs w:val="19"/>
                <w:lang w:val="lt-LT"/>
              </w:rPr>
              <w:t xml:space="preserve"> </w:t>
            </w:r>
            <w:r w:rsidRPr="0042435F">
              <w:rPr>
                <w:rFonts w:cs="Arial"/>
                <w:color w:val="333333"/>
                <w:sz w:val="19"/>
                <w:szCs w:val="19"/>
                <w:lang w:val="lt-LT"/>
              </w:rPr>
              <w:t>20</w:t>
            </w:r>
            <w:r w:rsidR="00927F0A">
              <w:rPr>
                <w:rFonts w:cs="Arial"/>
                <w:color w:val="333333"/>
                <w:sz w:val="19"/>
                <w:szCs w:val="19"/>
                <w:lang w:val="lt-LT"/>
              </w:rPr>
              <w:t>22</w:t>
            </w:r>
            <w:r w:rsidRPr="0042435F">
              <w:rPr>
                <w:rFonts w:cs="Arial"/>
                <w:color w:val="333333"/>
                <w:sz w:val="19"/>
                <w:szCs w:val="19"/>
                <w:lang w:val="lt-LT"/>
              </w:rPr>
              <w:t> m.</w:t>
            </w:r>
            <w:r w:rsidR="0045594E">
              <w:rPr>
                <w:rFonts w:cs="Arial"/>
                <w:color w:val="333333"/>
                <w:sz w:val="19"/>
                <w:szCs w:val="19"/>
                <w:lang w:val="lt-LT"/>
              </w:rPr>
              <w:t> </w:t>
            </w: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 palyginti su</w:t>
            </w:r>
          </w:p>
        </w:tc>
      </w:tr>
      <w:tr w:rsidR="003C4F04" w:rsidRPr="0042435F" w:rsidTr="006948CF">
        <w:trPr>
          <w:tblHeader/>
        </w:trPr>
        <w:tc>
          <w:tcPr>
            <w:tcW w:w="1584" w:type="pct"/>
            <w:vMerge/>
            <w:shd w:val="clear" w:color="auto" w:fill="FCE0E6"/>
          </w:tcPr>
          <w:p w:rsidR="003C4F04" w:rsidRPr="0042435F" w:rsidRDefault="003C4F04" w:rsidP="0045594E">
            <w:pPr>
              <w:spacing w:before="40" w:after="40"/>
              <w:rPr>
                <w:rFonts w:cs="Arial"/>
                <w:color w:val="333333"/>
                <w:sz w:val="19"/>
                <w:szCs w:val="19"/>
                <w:lang w:val="lt-LT"/>
              </w:rPr>
            </w:pPr>
          </w:p>
        </w:tc>
        <w:tc>
          <w:tcPr>
            <w:tcW w:w="510" w:type="pct"/>
            <w:vMerge/>
            <w:shd w:val="clear" w:color="auto" w:fill="FCE0E6"/>
          </w:tcPr>
          <w:p w:rsidR="003C4F04" w:rsidRPr="0042435F" w:rsidRDefault="003C4F04" w:rsidP="0045594E">
            <w:pPr>
              <w:spacing w:before="40" w:after="40"/>
              <w:rPr>
                <w:rFonts w:cs="Arial"/>
                <w:color w:val="333333"/>
                <w:sz w:val="19"/>
                <w:szCs w:val="19"/>
                <w:lang w:val="lt-LT"/>
              </w:rPr>
            </w:pPr>
          </w:p>
        </w:tc>
        <w:tc>
          <w:tcPr>
            <w:tcW w:w="581" w:type="pct"/>
            <w:vMerge w:val="restart"/>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I ketv.</w:t>
            </w:r>
          </w:p>
        </w:tc>
        <w:tc>
          <w:tcPr>
            <w:tcW w:w="585" w:type="pct"/>
            <w:vMerge w:val="restart"/>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IV ketv.</w:t>
            </w:r>
          </w:p>
        </w:tc>
        <w:tc>
          <w:tcPr>
            <w:tcW w:w="869" w:type="pct"/>
            <w:gridSpan w:val="2"/>
            <w:shd w:val="clear" w:color="auto" w:fill="FCE0E6"/>
          </w:tcPr>
          <w:p w:rsidR="003C4F04" w:rsidRPr="0042435F" w:rsidRDefault="00927F0A" w:rsidP="0045594E">
            <w:pPr>
              <w:spacing w:before="40" w:after="40"/>
              <w:rPr>
                <w:rFonts w:cs="Arial"/>
                <w:color w:val="333333"/>
                <w:sz w:val="19"/>
                <w:szCs w:val="19"/>
                <w:lang w:val="lt-LT"/>
              </w:rPr>
            </w:pPr>
            <w:r>
              <w:rPr>
                <w:rFonts w:cs="Arial"/>
                <w:color w:val="333333"/>
                <w:sz w:val="19"/>
                <w:szCs w:val="19"/>
                <w:lang w:val="lt-LT"/>
              </w:rPr>
              <w:t xml:space="preserve">2021 </w:t>
            </w:r>
            <w:r w:rsidR="003C4F04" w:rsidRPr="0042435F">
              <w:rPr>
                <w:rFonts w:cs="Arial"/>
                <w:color w:val="333333"/>
                <w:sz w:val="19"/>
                <w:szCs w:val="19"/>
                <w:lang w:val="lt-LT"/>
              </w:rPr>
              <w:t>I ketv.</w:t>
            </w:r>
          </w:p>
        </w:tc>
        <w:tc>
          <w:tcPr>
            <w:tcW w:w="873" w:type="pct"/>
            <w:gridSpan w:val="2"/>
            <w:shd w:val="clear" w:color="auto" w:fill="FCE0E6"/>
          </w:tcPr>
          <w:p w:rsidR="003C4F04" w:rsidRPr="0042435F" w:rsidRDefault="00927F0A" w:rsidP="0045594E">
            <w:pPr>
              <w:spacing w:before="40" w:after="40"/>
              <w:rPr>
                <w:rFonts w:cs="Arial"/>
                <w:color w:val="333333"/>
                <w:sz w:val="19"/>
                <w:szCs w:val="19"/>
                <w:lang w:val="lt-LT"/>
              </w:rPr>
            </w:pPr>
            <w:r>
              <w:rPr>
                <w:rFonts w:cs="Arial"/>
                <w:color w:val="333333"/>
                <w:sz w:val="19"/>
                <w:szCs w:val="19"/>
                <w:lang w:val="lt-LT"/>
              </w:rPr>
              <w:t xml:space="preserve">2021 </w:t>
            </w:r>
            <w:r w:rsidR="003C4F04" w:rsidRPr="0042435F">
              <w:rPr>
                <w:rFonts w:cs="Arial"/>
                <w:color w:val="333333"/>
                <w:sz w:val="19"/>
                <w:szCs w:val="19"/>
                <w:lang w:val="lt-LT"/>
              </w:rPr>
              <w:t>IV ketv.</w:t>
            </w:r>
          </w:p>
        </w:tc>
      </w:tr>
      <w:tr w:rsidR="003C4F04" w:rsidRPr="0042435F" w:rsidTr="006948CF">
        <w:trPr>
          <w:tblHeader/>
        </w:trPr>
        <w:tc>
          <w:tcPr>
            <w:tcW w:w="1584" w:type="pct"/>
            <w:vMerge/>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lt-LT"/>
              </w:rPr>
            </w:pPr>
          </w:p>
        </w:tc>
        <w:tc>
          <w:tcPr>
            <w:tcW w:w="510" w:type="pct"/>
            <w:vMerge/>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lt-LT"/>
              </w:rPr>
            </w:pPr>
          </w:p>
        </w:tc>
        <w:tc>
          <w:tcPr>
            <w:tcW w:w="581" w:type="pct"/>
            <w:vMerge/>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lt-LT"/>
              </w:rPr>
            </w:pPr>
          </w:p>
        </w:tc>
        <w:tc>
          <w:tcPr>
            <w:tcW w:w="585" w:type="pct"/>
            <w:vMerge/>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lt-LT"/>
              </w:rPr>
            </w:pPr>
          </w:p>
        </w:tc>
        <w:tc>
          <w:tcPr>
            <w:tcW w:w="433" w:type="pct"/>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tūkst.</w:t>
            </w:r>
          </w:p>
        </w:tc>
        <w:tc>
          <w:tcPr>
            <w:tcW w:w="436" w:type="pct"/>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en-US"/>
              </w:rPr>
            </w:pPr>
            <w:r w:rsidRPr="0042435F">
              <w:rPr>
                <w:rFonts w:cs="Arial"/>
                <w:color w:val="333333"/>
                <w:sz w:val="19"/>
                <w:szCs w:val="19"/>
                <w:lang w:val="en-US"/>
              </w:rPr>
              <w:t>%</w:t>
            </w:r>
          </w:p>
        </w:tc>
        <w:tc>
          <w:tcPr>
            <w:tcW w:w="436" w:type="pct"/>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lt-LT"/>
              </w:rPr>
            </w:pPr>
            <w:r w:rsidRPr="0042435F">
              <w:rPr>
                <w:rFonts w:cs="Arial"/>
                <w:color w:val="333333"/>
                <w:sz w:val="19"/>
                <w:szCs w:val="19"/>
                <w:lang w:val="lt-LT"/>
              </w:rPr>
              <w:t>tūkst.</w:t>
            </w:r>
          </w:p>
        </w:tc>
        <w:tc>
          <w:tcPr>
            <w:tcW w:w="437" w:type="pct"/>
            <w:tcBorders>
              <w:bottom w:val="single" w:sz="4" w:space="0" w:color="000000"/>
            </w:tcBorders>
            <w:shd w:val="clear" w:color="auto" w:fill="FCE0E6"/>
          </w:tcPr>
          <w:p w:rsidR="003C4F04" w:rsidRPr="0042435F" w:rsidRDefault="003C4F04" w:rsidP="0045594E">
            <w:pPr>
              <w:spacing w:before="40" w:after="40"/>
              <w:rPr>
                <w:rFonts w:cs="Arial"/>
                <w:color w:val="333333"/>
                <w:sz w:val="19"/>
                <w:szCs w:val="19"/>
                <w:lang w:val="en-US"/>
              </w:rPr>
            </w:pPr>
            <w:r w:rsidRPr="0042435F">
              <w:rPr>
                <w:rFonts w:cs="Arial"/>
                <w:color w:val="333333"/>
                <w:sz w:val="19"/>
                <w:szCs w:val="19"/>
                <w:lang w:val="en-US"/>
              </w:rPr>
              <w:t>%</w:t>
            </w:r>
          </w:p>
        </w:tc>
      </w:tr>
      <w:tr w:rsidR="007F5E8C" w:rsidRPr="0042435F" w:rsidTr="006948CF">
        <w:tc>
          <w:tcPr>
            <w:tcW w:w="1584" w:type="pct"/>
            <w:tcBorders>
              <w:bottom w:val="nil"/>
            </w:tcBorders>
            <w:shd w:val="clear" w:color="auto" w:fill="F7AFBE"/>
            <w:vAlign w:val="bottom"/>
          </w:tcPr>
          <w:p w:rsidR="007F5E8C" w:rsidRPr="0042435F" w:rsidRDefault="007F5E8C" w:rsidP="0045594E">
            <w:pPr>
              <w:spacing w:before="40" w:after="40"/>
              <w:rPr>
                <w:rFonts w:cs="Arial"/>
                <w:color w:val="333333"/>
                <w:sz w:val="19"/>
                <w:szCs w:val="19"/>
                <w:lang w:val="lt-LT"/>
              </w:rPr>
            </w:pPr>
            <w:r w:rsidRPr="0042435F">
              <w:rPr>
                <w:rFonts w:cs="Arial"/>
                <w:b/>
                <w:bCs/>
                <w:color w:val="333333"/>
                <w:sz w:val="19"/>
                <w:szCs w:val="19"/>
                <w:lang w:val="lt-LT"/>
              </w:rPr>
              <w:t>Iš viso</w:t>
            </w:r>
          </w:p>
        </w:tc>
        <w:tc>
          <w:tcPr>
            <w:tcW w:w="510" w:type="pct"/>
            <w:tcBorders>
              <w:bottom w:val="nil"/>
            </w:tcBorders>
            <w:shd w:val="clear" w:color="auto" w:fill="F7AFBE"/>
            <w:vAlign w:val="bottom"/>
          </w:tcPr>
          <w:p w:rsidR="007F5E8C" w:rsidRPr="0042435F" w:rsidRDefault="00927F0A" w:rsidP="0045594E">
            <w:pPr>
              <w:spacing w:before="40" w:after="40"/>
              <w:jc w:val="right"/>
              <w:rPr>
                <w:rFonts w:cs="Arial"/>
                <w:b/>
                <w:color w:val="333333"/>
                <w:sz w:val="19"/>
                <w:szCs w:val="19"/>
                <w:lang w:val="lt-LT"/>
              </w:rPr>
            </w:pPr>
            <w:r>
              <w:rPr>
                <w:rFonts w:cs="Arial"/>
                <w:b/>
                <w:color w:val="333333"/>
                <w:sz w:val="19"/>
                <w:szCs w:val="19"/>
                <w:lang w:val="lt-LT"/>
              </w:rPr>
              <w:t>93,5</w:t>
            </w:r>
          </w:p>
        </w:tc>
        <w:tc>
          <w:tcPr>
            <w:tcW w:w="581" w:type="pct"/>
            <w:tcBorders>
              <w:bottom w:val="nil"/>
            </w:tcBorders>
            <w:shd w:val="clear" w:color="auto" w:fill="F7AFBE"/>
            <w:vAlign w:val="bottom"/>
          </w:tcPr>
          <w:p w:rsidR="007F5E8C" w:rsidRPr="0042435F" w:rsidRDefault="007F5E8C" w:rsidP="0045594E">
            <w:pPr>
              <w:spacing w:before="40" w:after="40"/>
              <w:jc w:val="right"/>
              <w:rPr>
                <w:rFonts w:cs="Arial"/>
                <w:b/>
                <w:color w:val="333333"/>
                <w:sz w:val="19"/>
                <w:szCs w:val="19"/>
                <w:lang w:val="lt-LT"/>
              </w:rPr>
            </w:pPr>
            <w:r w:rsidRPr="0042435F">
              <w:rPr>
                <w:rFonts w:cs="Arial"/>
                <w:b/>
                <w:color w:val="333333"/>
                <w:sz w:val="19"/>
                <w:szCs w:val="19"/>
                <w:lang w:val="lt-LT"/>
              </w:rPr>
              <w:t>10</w:t>
            </w:r>
            <w:r w:rsidR="00927F0A">
              <w:rPr>
                <w:rFonts w:cs="Arial"/>
                <w:b/>
                <w:color w:val="333333"/>
                <w:sz w:val="19"/>
                <w:szCs w:val="19"/>
                <w:lang w:val="lt-LT"/>
              </w:rPr>
              <w:t>8</w:t>
            </w:r>
            <w:r w:rsidRPr="0042435F">
              <w:rPr>
                <w:rFonts w:cs="Arial"/>
                <w:b/>
                <w:color w:val="333333"/>
                <w:sz w:val="19"/>
                <w:szCs w:val="19"/>
                <w:lang w:val="lt-LT"/>
              </w:rPr>
              <w:t>,</w:t>
            </w:r>
            <w:r w:rsidR="00927F0A">
              <w:rPr>
                <w:rFonts w:cs="Arial"/>
                <w:b/>
                <w:color w:val="333333"/>
                <w:sz w:val="19"/>
                <w:szCs w:val="19"/>
                <w:lang w:val="lt-LT"/>
              </w:rPr>
              <w:t>8</w:t>
            </w:r>
          </w:p>
        </w:tc>
        <w:tc>
          <w:tcPr>
            <w:tcW w:w="585" w:type="pct"/>
            <w:tcBorders>
              <w:bottom w:val="nil"/>
            </w:tcBorders>
            <w:shd w:val="clear" w:color="auto" w:fill="F7AFBE"/>
          </w:tcPr>
          <w:p w:rsidR="007F5E8C" w:rsidRPr="0042435F" w:rsidRDefault="007F5E8C" w:rsidP="0045594E">
            <w:pPr>
              <w:spacing w:before="40" w:after="40"/>
              <w:jc w:val="right"/>
              <w:rPr>
                <w:rFonts w:cs="Arial"/>
                <w:b/>
                <w:color w:val="333333"/>
                <w:sz w:val="19"/>
                <w:szCs w:val="19"/>
                <w:lang w:val="lt-LT"/>
              </w:rPr>
            </w:pPr>
            <w:r>
              <w:rPr>
                <w:rFonts w:cs="Arial"/>
                <w:b/>
                <w:color w:val="333333"/>
                <w:sz w:val="19"/>
                <w:szCs w:val="19"/>
                <w:lang w:val="lt-LT"/>
              </w:rPr>
              <w:t>1</w:t>
            </w:r>
            <w:r w:rsidR="00927F0A">
              <w:rPr>
                <w:rFonts w:cs="Arial"/>
                <w:b/>
                <w:color w:val="333333"/>
                <w:sz w:val="19"/>
                <w:szCs w:val="19"/>
                <w:lang w:val="lt-LT"/>
              </w:rPr>
              <w:t>02,8</w:t>
            </w:r>
          </w:p>
        </w:tc>
        <w:tc>
          <w:tcPr>
            <w:tcW w:w="433" w:type="pct"/>
            <w:tcBorders>
              <w:bottom w:val="nil"/>
            </w:tcBorders>
            <w:shd w:val="clear" w:color="auto" w:fill="F7AFBE"/>
            <w:vAlign w:val="bottom"/>
          </w:tcPr>
          <w:p w:rsidR="007F5E8C" w:rsidRPr="000D0F51" w:rsidRDefault="00927F0A" w:rsidP="0045594E">
            <w:pPr>
              <w:spacing w:before="40" w:after="40"/>
              <w:jc w:val="right"/>
              <w:rPr>
                <w:rFonts w:cs="Arial"/>
                <w:b/>
                <w:color w:val="333333"/>
                <w:sz w:val="19"/>
                <w:szCs w:val="19"/>
                <w:lang w:val="lt-LT"/>
              </w:rPr>
            </w:pPr>
            <w:r w:rsidRPr="000D0F51">
              <w:rPr>
                <w:rFonts w:cs="Arial"/>
                <w:b/>
                <w:color w:val="333333"/>
                <w:sz w:val="19"/>
                <w:szCs w:val="19"/>
                <w:lang w:val="lt-LT"/>
              </w:rPr>
              <w:t>–15,3</w:t>
            </w:r>
          </w:p>
        </w:tc>
        <w:tc>
          <w:tcPr>
            <w:tcW w:w="436" w:type="pct"/>
            <w:tcBorders>
              <w:bottom w:val="nil"/>
            </w:tcBorders>
            <w:shd w:val="clear" w:color="auto" w:fill="F7AFBE"/>
            <w:vAlign w:val="bottom"/>
          </w:tcPr>
          <w:p w:rsidR="007F5E8C" w:rsidRPr="000D0F51" w:rsidRDefault="000D0F51" w:rsidP="0045594E">
            <w:pPr>
              <w:spacing w:before="40" w:after="40"/>
              <w:jc w:val="right"/>
              <w:rPr>
                <w:rFonts w:cs="Arial"/>
                <w:b/>
                <w:color w:val="333333"/>
                <w:sz w:val="19"/>
                <w:szCs w:val="19"/>
                <w:lang w:val="lt-LT"/>
              </w:rPr>
            </w:pPr>
            <w:r w:rsidRPr="000D0F51">
              <w:rPr>
                <w:rFonts w:cs="Arial"/>
                <w:b/>
                <w:color w:val="333333"/>
                <w:sz w:val="19"/>
                <w:szCs w:val="19"/>
                <w:lang w:val="lt-LT"/>
              </w:rPr>
              <w:t>–14,1</w:t>
            </w:r>
          </w:p>
        </w:tc>
        <w:tc>
          <w:tcPr>
            <w:tcW w:w="436" w:type="pct"/>
            <w:tcBorders>
              <w:bottom w:val="nil"/>
            </w:tcBorders>
            <w:shd w:val="clear" w:color="auto" w:fill="F7AFBE"/>
            <w:vAlign w:val="bottom"/>
          </w:tcPr>
          <w:p w:rsidR="007F5E8C" w:rsidRPr="0042435F" w:rsidRDefault="00D87061" w:rsidP="0045594E">
            <w:pPr>
              <w:spacing w:before="40" w:after="40"/>
              <w:jc w:val="right"/>
              <w:rPr>
                <w:rFonts w:cs="Arial"/>
                <w:b/>
                <w:color w:val="333333"/>
                <w:sz w:val="19"/>
                <w:szCs w:val="19"/>
                <w:lang w:val="lt-LT"/>
              </w:rPr>
            </w:pPr>
            <w:r>
              <w:rPr>
                <w:rFonts w:cs="Arial"/>
                <w:b/>
                <w:color w:val="333333"/>
                <w:sz w:val="19"/>
                <w:szCs w:val="19"/>
                <w:lang w:val="lt-LT"/>
              </w:rPr>
              <w:t>–</w:t>
            </w:r>
            <w:r w:rsidR="000D0F51">
              <w:rPr>
                <w:rFonts w:cs="Arial"/>
                <w:b/>
                <w:color w:val="333333"/>
                <w:sz w:val="19"/>
                <w:szCs w:val="19"/>
                <w:lang w:val="lt-LT"/>
              </w:rPr>
              <w:t>9,4</w:t>
            </w:r>
          </w:p>
        </w:tc>
        <w:tc>
          <w:tcPr>
            <w:tcW w:w="437" w:type="pct"/>
            <w:tcBorders>
              <w:bottom w:val="nil"/>
            </w:tcBorders>
            <w:shd w:val="clear" w:color="auto" w:fill="F7AFBE"/>
            <w:vAlign w:val="bottom"/>
          </w:tcPr>
          <w:p w:rsidR="007F5E8C" w:rsidRPr="0042435F" w:rsidRDefault="00D87061" w:rsidP="0045594E">
            <w:pPr>
              <w:spacing w:before="40" w:after="40"/>
              <w:jc w:val="right"/>
              <w:rPr>
                <w:rFonts w:cs="Arial"/>
                <w:b/>
                <w:color w:val="333333"/>
                <w:sz w:val="19"/>
                <w:szCs w:val="19"/>
                <w:lang w:val="lt-LT"/>
              </w:rPr>
            </w:pPr>
            <w:r>
              <w:rPr>
                <w:rFonts w:cs="Arial"/>
                <w:b/>
                <w:color w:val="333333"/>
                <w:sz w:val="19"/>
                <w:szCs w:val="19"/>
                <w:lang w:val="lt-LT"/>
              </w:rPr>
              <w:t>–9,1</w:t>
            </w:r>
          </w:p>
        </w:tc>
      </w:tr>
      <w:tr w:rsidR="007F5E8C" w:rsidRPr="0042435F" w:rsidTr="0045594E">
        <w:tc>
          <w:tcPr>
            <w:tcW w:w="1584" w:type="pct"/>
            <w:tcBorders>
              <w:top w:val="nil"/>
              <w:bottom w:val="nil"/>
            </w:tcBorders>
            <w:vAlign w:val="bottom"/>
          </w:tcPr>
          <w:p w:rsidR="007F5E8C" w:rsidRPr="0042435F" w:rsidRDefault="007F5E8C" w:rsidP="0045594E">
            <w:pPr>
              <w:spacing w:before="40" w:after="40"/>
              <w:rPr>
                <w:rFonts w:cs="Arial"/>
                <w:color w:val="333333"/>
                <w:sz w:val="19"/>
                <w:szCs w:val="19"/>
                <w:lang w:val="lt-LT"/>
              </w:rPr>
            </w:pPr>
            <w:r w:rsidRPr="0042435F">
              <w:rPr>
                <w:rFonts w:cs="Arial"/>
                <w:color w:val="333333"/>
                <w:sz w:val="19"/>
                <w:szCs w:val="19"/>
                <w:lang w:val="lt-LT"/>
              </w:rPr>
              <w:t>iki 1 mėnesio</w:t>
            </w:r>
          </w:p>
        </w:tc>
        <w:tc>
          <w:tcPr>
            <w:tcW w:w="510"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5,6</w:t>
            </w:r>
          </w:p>
        </w:tc>
        <w:tc>
          <w:tcPr>
            <w:tcW w:w="581"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4,6</w:t>
            </w:r>
          </w:p>
        </w:tc>
        <w:tc>
          <w:tcPr>
            <w:tcW w:w="585"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9,0</w:t>
            </w:r>
          </w:p>
        </w:tc>
        <w:tc>
          <w:tcPr>
            <w:tcW w:w="433"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1,0</w:t>
            </w:r>
          </w:p>
        </w:tc>
        <w:tc>
          <w:tcPr>
            <w:tcW w:w="436" w:type="pct"/>
            <w:tcBorders>
              <w:top w:val="nil"/>
              <w:bottom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20,8</w:t>
            </w:r>
          </w:p>
        </w:tc>
        <w:tc>
          <w:tcPr>
            <w:tcW w:w="436" w:type="pct"/>
            <w:tcBorders>
              <w:top w:val="nil"/>
              <w:bottom w:val="nil"/>
            </w:tcBorders>
            <w:vAlign w:val="bottom"/>
          </w:tcPr>
          <w:p w:rsidR="007F5E8C" w:rsidRPr="0042435F" w:rsidRDefault="00D87061" w:rsidP="0045594E">
            <w:pPr>
              <w:spacing w:before="40" w:after="40"/>
              <w:jc w:val="right"/>
              <w:rPr>
                <w:rFonts w:cs="Arial"/>
                <w:color w:val="333333"/>
                <w:sz w:val="19"/>
                <w:szCs w:val="19"/>
                <w:lang w:val="lt-LT"/>
              </w:rPr>
            </w:pPr>
            <w:r>
              <w:rPr>
                <w:rFonts w:cs="Arial"/>
                <w:color w:val="333333"/>
                <w:sz w:val="19"/>
                <w:szCs w:val="19"/>
                <w:lang w:val="lt-LT"/>
              </w:rPr>
              <w:t>–</w:t>
            </w:r>
            <w:r w:rsidR="000D0F51">
              <w:rPr>
                <w:rFonts w:cs="Arial"/>
                <w:color w:val="333333"/>
                <w:sz w:val="19"/>
                <w:szCs w:val="19"/>
                <w:lang w:val="lt-LT"/>
              </w:rPr>
              <w:t>3,4</w:t>
            </w:r>
          </w:p>
        </w:tc>
        <w:tc>
          <w:tcPr>
            <w:tcW w:w="437" w:type="pct"/>
            <w:tcBorders>
              <w:top w:val="nil"/>
              <w:bottom w:val="nil"/>
            </w:tcBorders>
            <w:vAlign w:val="bottom"/>
          </w:tcPr>
          <w:p w:rsidR="007F5E8C" w:rsidRPr="0042435F" w:rsidRDefault="00D87061" w:rsidP="0045594E">
            <w:pPr>
              <w:spacing w:before="40" w:after="40"/>
              <w:jc w:val="right"/>
              <w:rPr>
                <w:rFonts w:cs="Arial"/>
                <w:color w:val="333333"/>
                <w:sz w:val="19"/>
                <w:szCs w:val="19"/>
                <w:lang w:val="lt-LT"/>
              </w:rPr>
            </w:pPr>
            <w:r>
              <w:rPr>
                <w:rFonts w:cs="Arial"/>
                <w:color w:val="333333"/>
                <w:sz w:val="19"/>
                <w:szCs w:val="19"/>
                <w:lang w:val="lt-LT"/>
              </w:rPr>
              <w:t>–</w:t>
            </w:r>
            <w:r w:rsidR="000D0F51">
              <w:rPr>
                <w:rFonts w:cs="Arial"/>
                <w:color w:val="333333"/>
                <w:sz w:val="19"/>
                <w:szCs w:val="19"/>
                <w:lang w:val="lt-LT"/>
              </w:rPr>
              <w:t>37,8</w:t>
            </w:r>
          </w:p>
        </w:tc>
      </w:tr>
      <w:tr w:rsidR="007F5E8C" w:rsidRPr="0042435F" w:rsidTr="0045594E">
        <w:tc>
          <w:tcPr>
            <w:tcW w:w="1584" w:type="pct"/>
            <w:tcBorders>
              <w:top w:val="nil"/>
              <w:bottom w:val="nil"/>
            </w:tcBorders>
            <w:vAlign w:val="bottom"/>
          </w:tcPr>
          <w:p w:rsidR="007F5E8C" w:rsidRPr="0042435F" w:rsidRDefault="007F5E8C" w:rsidP="0045594E">
            <w:pPr>
              <w:spacing w:before="40" w:after="40"/>
              <w:rPr>
                <w:rFonts w:cs="Arial"/>
                <w:color w:val="333333"/>
                <w:sz w:val="19"/>
                <w:szCs w:val="19"/>
                <w:lang w:val="lt-LT"/>
              </w:rPr>
            </w:pPr>
            <w:r w:rsidRPr="0042435F">
              <w:rPr>
                <w:rFonts w:cs="Arial"/>
                <w:color w:val="333333"/>
                <w:sz w:val="19"/>
                <w:szCs w:val="19"/>
                <w:lang w:val="lt-LT"/>
              </w:rPr>
              <w:t>1–5 mėnesiai</w:t>
            </w:r>
          </w:p>
        </w:tc>
        <w:tc>
          <w:tcPr>
            <w:tcW w:w="510"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33,2</w:t>
            </w:r>
          </w:p>
        </w:tc>
        <w:tc>
          <w:tcPr>
            <w:tcW w:w="581" w:type="pct"/>
            <w:tcBorders>
              <w:top w:val="nil"/>
              <w:bottom w:val="nil"/>
            </w:tcBorders>
            <w:vAlign w:val="bottom"/>
          </w:tcPr>
          <w:p w:rsidR="007F5E8C" w:rsidRPr="0042435F" w:rsidRDefault="007F5E8C" w:rsidP="0045594E">
            <w:pPr>
              <w:spacing w:before="40" w:after="40"/>
              <w:jc w:val="right"/>
              <w:rPr>
                <w:rFonts w:cs="Arial"/>
                <w:color w:val="333333"/>
                <w:sz w:val="19"/>
                <w:szCs w:val="19"/>
                <w:lang w:val="lt-LT"/>
              </w:rPr>
            </w:pPr>
            <w:r w:rsidRPr="0042435F">
              <w:rPr>
                <w:rFonts w:cs="Arial"/>
                <w:color w:val="333333"/>
                <w:sz w:val="19"/>
                <w:szCs w:val="19"/>
                <w:lang w:val="lt-LT"/>
              </w:rPr>
              <w:t>4</w:t>
            </w:r>
            <w:r w:rsidR="00927F0A">
              <w:rPr>
                <w:rFonts w:cs="Arial"/>
                <w:color w:val="333333"/>
                <w:sz w:val="19"/>
                <w:szCs w:val="19"/>
                <w:lang w:val="lt-LT"/>
              </w:rPr>
              <w:t>1,2</w:t>
            </w:r>
          </w:p>
        </w:tc>
        <w:tc>
          <w:tcPr>
            <w:tcW w:w="585"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37,6</w:t>
            </w:r>
          </w:p>
        </w:tc>
        <w:tc>
          <w:tcPr>
            <w:tcW w:w="433" w:type="pct"/>
            <w:tcBorders>
              <w:top w:val="nil"/>
              <w:bottom w:val="nil"/>
            </w:tcBorders>
            <w:vAlign w:val="bottom"/>
          </w:tcPr>
          <w:p w:rsidR="007F5E8C" w:rsidRPr="0042435F" w:rsidRDefault="00D87061" w:rsidP="0045594E">
            <w:pPr>
              <w:spacing w:before="40" w:after="40"/>
              <w:jc w:val="right"/>
              <w:rPr>
                <w:rFonts w:cs="Arial"/>
                <w:color w:val="333333"/>
                <w:sz w:val="19"/>
                <w:szCs w:val="19"/>
                <w:lang w:val="lt-LT"/>
              </w:rPr>
            </w:pPr>
            <w:r>
              <w:rPr>
                <w:rFonts w:cs="Arial"/>
                <w:color w:val="333333"/>
                <w:sz w:val="19"/>
                <w:szCs w:val="19"/>
                <w:lang w:val="lt-LT"/>
              </w:rPr>
              <w:t>–</w:t>
            </w:r>
            <w:r w:rsidR="00927F0A">
              <w:rPr>
                <w:rFonts w:cs="Arial"/>
                <w:color w:val="333333"/>
                <w:sz w:val="19"/>
                <w:szCs w:val="19"/>
                <w:lang w:val="lt-LT"/>
              </w:rPr>
              <w:t>8,0</w:t>
            </w:r>
          </w:p>
        </w:tc>
        <w:tc>
          <w:tcPr>
            <w:tcW w:w="436" w:type="pct"/>
            <w:tcBorders>
              <w:top w:val="nil"/>
              <w:bottom w:val="nil"/>
            </w:tcBorders>
            <w:vAlign w:val="bottom"/>
          </w:tcPr>
          <w:p w:rsidR="007F5E8C" w:rsidRPr="0042435F" w:rsidRDefault="00D87061" w:rsidP="0045594E">
            <w:pPr>
              <w:spacing w:before="40" w:after="40"/>
              <w:jc w:val="right"/>
              <w:rPr>
                <w:rFonts w:cs="Arial"/>
                <w:color w:val="333333"/>
                <w:sz w:val="19"/>
                <w:szCs w:val="19"/>
                <w:lang w:val="lt-LT"/>
              </w:rPr>
            </w:pPr>
            <w:r>
              <w:rPr>
                <w:rFonts w:cs="Arial"/>
                <w:color w:val="333333"/>
                <w:sz w:val="19"/>
                <w:szCs w:val="19"/>
                <w:lang w:val="lt-LT"/>
              </w:rPr>
              <w:t>–1</w:t>
            </w:r>
            <w:r w:rsidR="000D0F51">
              <w:rPr>
                <w:rFonts w:cs="Arial"/>
                <w:color w:val="333333"/>
                <w:sz w:val="19"/>
                <w:szCs w:val="19"/>
                <w:lang w:val="lt-LT"/>
              </w:rPr>
              <w:t>9,5</w:t>
            </w:r>
          </w:p>
        </w:tc>
        <w:tc>
          <w:tcPr>
            <w:tcW w:w="436" w:type="pct"/>
            <w:tcBorders>
              <w:top w:val="nil"/>
              <w:bottom w:val="nil"/>
            </w:tcBorders>
            <w:vAlign w:val="bottom"/>
          </w:tcPr>
          <w:p w:rsidR="007F5E8C" w:rsidRPr="0042435F" w:rsidRDefault="00D87061" w:rsidP="0045594E">
            <w:pPr>
              <w:spacing w:before="40" w:after="40"/>
              <w:jc w:val="right"/>
              <w:rPr>
                <w:rFonts w:cs="Arial"/>
                <w:color w:val="333333"/>
                <w:sz w:val="19"/>
                <w:szCs w:val="19"/>
                <w:lang w:val="lt-LT"/>
              </w:rPr>
            </w:pPr>
            <w:r>
              <w:rPr>
                <w:rFonts w:cs="Arial"/>
                <w:color w:val="333333"/>
                <w:sz w:val="19"/>
                <w:szCs w:val="19"/>
                <w:lang w:val="lt-LT"/>
              </w:rPr>
              <w:t>–</w:t>
            </w:r>
            <w:r w:rsidR="000D0F51">
              <w:rPr>
                <w:rFonts w:cs="Arial"/>
                <w:color w:val="333333"/>
                <w:sz w:val="19"/>
                <w:szCs w:val="19"/>
                <w:lang w:val="lt-LT"/>
              </w:rPr>
              <w:t>4,4</w:t>
            </w:r>
          </w:p>
        </w:tc>
        <w:tc>
          <w:tcPr>
            <w:tcW w:w="437" w:type="pct"/>
            <w:tcBorders>
              <w:top w:val="nil"/>
              <w:bottom w:val="nil"/>
            </w:tcBorders>
            <w:vAlign w:val="bottom"/>
          </w:tcPr>
          <w:p w:rsidR="007F5E8C" w:rsidRPr="0042435F" w:rsidRDefault="00D87061" w:rsidP="0045594E">
            <w:pPr>
              <w:spacing w:before="40" w:after="40"/>
              <w:jc w:val="right"/>
              <w:rPr>
                <w:rFonts w:cs="Arial"/>
                <w:color w:val="333333"/>
                <w:sz w:val="19"/>
                <w:szCs w:val="19"/>
                <w:lang w:val="lt-LT"/>
              </w:rPr>
            </w:pPr>
            <w:r>
              <w:rPr>
                <w:rFonts w:cs="Arial"/>
                <w:color w:val="333333"/>
                <w:sz w:val="19"/>
                <w:szCs w:val="19"/>
                <w:lang w:val="lt-LT"/>
              </w:rPr>
              <w:t>–</w:t>
            </w:r>
            <w:r w:rsidR="000D0F51">
              <w:rPr>
                <w:rFonts w:cs="Arial"/>
                <w:color w:val="333333"/>
                <w:sz w:val="19"/>
                <w:szCs w:val="19"/>
                <w:lang w:val="lt-LT"/>
              </w:rPr>
              <w:t>11,7</w:t>
            </w:r>
          </w:p>
        </w:tc>
      </w:tr>
      <w:tr w:rsidR="007F5E8C" w:rsidRPr="0042435F" w:rsidTr="0045594E">
        <w:tc>
          <w:tcPr>
            <w:tcW w:w="1584" w:type="pct"/>
            <w:tcBorders>
              <w:top w:val="nil"/>
              <w:bottom w:val="nil"/>
            </w:tcBorders>
            <w:vAlign w:val="bottom"/>
          </w:tcPr>
          <w:p w:rsidR="007F5E8C" w:rsidRPr="0042435F" w:rsidRDefault="007F5E8C" w:rsidP="0045594E">
            <w:pPr>
              <w:spacing w:before="40" w:after="40"/>
              <w:rPr>
                <w:rFonts w:cs="Arial"/>
                <w:color w:val="333333"/>
                <w:sz w:val="19"/>
                <w:szCs w:val="19"/>
                <w:lang w:val="lt-LT"/>
              </w:rPr>
            </w:pPr>
            <w:r w:rsidRPr="0042435F">
              <w:rPr>
                <w:rFonts w:cs="Arial"/>
                <w:color w:val="333333"/>
                <w:sz w:val="19"/>
                <w:szCs w:val="19"/>
                <w:lang w:val="lt-LT"/>
              </w:rPr>
              <w:t>6–11 mėnesių</w:t>
            </w:r>
          </w:p>
        </w:tc>
        <w:tc>
          <w:tcPr>
            <w:tcW w:w="510"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16,3</w:t>
            </w:r>
          </w:p>
        </w:tc>
        <w:tc>
          <w:tcPr>
            <w:tcW w:w="581"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24,9</w:t>
            </w:r>
          </w:p>
        </w:tc>
        <w:tc>
          <w:tcPr>
            <w:tcW w:w="585"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12,5</w:t>
            </w:r>
          </w:p>
        </w:tc>
        <w:tc>
          <w:tcPr>
            <w:tcW w:w="433" w:type="pct"/>
            <w:tcBorders>
              <w:top w:val="nil"/>
              <w:bottom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–8,6</w:t>
            </w:r>
          </w:p>
        </w:tc>
        <w:tc>
          <w:tcPr>
            <w:tcW w:w="436" w:type="pct"/>
            <w:tcBorders>
              <w:top w:val="nil"/>
              <w:bottom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–34,7</w:t>
            </w:r>
          </w:p>
        </w:tc>
        <w:tc>
          <w:tcPr>
            <w:tcW w:w="436" w:type="pct"/>
            <w:tcBorders>
              <w:top w:val="nil"/>
              <w:bottom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3,7</w:t>
            </w:r>
          </w:p>
        </w:tc>
        <w:tc>
          <w:tcPr>
            <w:tcW w:w="437" w:type="pct"/>
            <w:tcBorders>
              <w:top w:val="nil"/>
              <w:bottom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29,9</w:t>
            </w:r>
          </w:p>
        </w:tc>
      </w:tr>
      <w:tr w:rsidR="007F5E8C" w:rsidRPr="0042435F" w:rsidTr="0045594E">
        <w:tc>
          <w:tcPr>
            <w:tcW w:w="1584" w:type="pct"/>
            <w:tcBorders>
              <w:top w:val="nil"/>
            </w:tcBorders>
            <w:vAlign w:val="bottom"/>
          </w:tcPr>
          <w:p w:rsidR="007F5E8C" w:rsidRPr="0042435F" w:rsidRDefault="007F5E8C" w:rsidP="0045594E">
            <w:pPr>
              <w:spacing w:before="40" w:after="40"/>
              <w:rPr>
                <w:rFonts w:cs="Arial"/>
                <w:color w:val="333333"/>
                <w:sz w:val="19"/>
                <w:szCs w:val="19"/>
                <w:lang w:val="lt-LT"/>
              </w:rPr>
            </w:pPr>
            <w:r w:rsidRPr="0042435F">
              <w:rPr>
                <w:rFonts w:cs="Arial"/>
                <w:color w:val="333333"/>
                <w:sz w:val="19"/>
                <w:szCs w:val="19"/>
                <w:lang w:val="lt-LT"/>
              </w:rPr>
              <w:t>1 metai ar ilgiau (ilgalaikiai bedarbiai)</w:t>
            </w:r>
          </w:p>
        </w:tc>
        <w:tc>
          <w:tcPr>
            <w:tcW w:w="510" w:type="pct"/>
            <w:tcBorders>
              <w:top w:val="nil"/>
            </w:tcBorders>
            <w:vAlign w:val="bottom"/>
          </w:tcPr>
          <w:p w:rsidR="007F5E8C" w:rsidRPr="0042435F" w:rsidRDefault="00F466F8" w:rsidP="0045594E">
            <w:pPr>
              <w:spacing w:before="40" w:after="40"/>
              <w:jc w:val="right"/>
              <w:rPr>
                <w:rFonts w:cs="Arial"/>
                <w:color w:val="333333"/>
                <w:sz w:val="19"/>
                <w:szCs w:val="19"/>
                <w:lang w:val="lt-LT"/>
              </w:rPr>
            </w:pPr>
            <w:r>
              <w:rPr>
                <w:rFonts w:cs="Arial"/>
                <w:color w:val="333333"/>
                <w:sz w:val="19"/>
                <w:szCs w:val="19"/>
                <w:lang w:val="lt-LT"/>
              </w:rPr>
              <w:t>3</w:t>
            </w:r>
            <w:r w:rsidR="00927F0A">
              <w:rPr>
                <w:rFonts w:cs="Arial"/>
                <w:color w:val="333333"/>
                <w:sz w:val="19"/>
                <w:szCs w:val="19"/>
                <w:lang w:val="lt-LT"/>
              </w:rPr>
              <w:t>8,5</w:t>
            </w:r>
          </w:p>
        </w:tc>
        <w:tc>
          <w:tcPr>
            <w:tcW w:w="581" w:type="pct"/>
            <w:tcBorders>
              <w:top w:val="nil"/>
            </w:tcBorders>
            <w:vAlign w:val="bottom"/>
          </w:tcPr>
          <w:p w:rsidR="007F5E8C" w:rsidRPr="0042435F" w:rsidRDefault="007F5E8C" w:rsidP="0045594E">
            <w:pPr>
              <w:spacing w:before="40" w:after="40"/>
              <w:jc w:val="right"/>
              <w:rPr>
                <w:rFonts w:cs="Arial"/>
                <w:color w:val="333333"/>
                <w:sz w:val="19"/>
                <w:szCs w:val="19"/>
                <w:lang w:val="lt-LT"/>
              </w:rPr>
            </w:pPr>
            <w:r w:rsidRPr="0042435F">
              <w:rPr>
                <w:rFonts w:cs="Arial"/>
                <w:color w:val="333333"/>
                <w:sz w:val="19"/>
                <w:szCs w:val="19"/>
                <w:lang w:val="lt-LT"/>
              </w:rPr>
              <w:t>3</w:t>
            </w:r>
            <w:r w:rsidR="00927F0A">
              <w:rPr>
                <w:rFonts w:cs="Arial"/>
                <w:color w:val="333333"/>
                <w:sz w:val="19"/>
                <w:szCs w:val="19"/>
                <w:lang w:val="lt-LT"/>
              </w:rPr>
              <w:t>8,1</w:t>
            </w:r>
          </w:p>
        </w:tc>
        <w:tc>
          <w:tcPr>
            <w:tcW w:w="585" w:type="pct"/>
            <w:tcBorders>
              <w:top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43,8</w:t>
            </w:r>
          </w:p>
        </w:tc>
        <w:tc>
          <w:tcPr>
            <w:tcW w:w="433" w:type="pct"/>
            <w:tcBorders>
              <w:top w:val="nil"/>
            </w:tcBorders>
            <w:vAlign w:val="bottom"/>
          </w:tcPr>
          <w:p w:rsidR="007F5E8C" w:rsidRPr="0042435F" w:rsidRDefault="00927F0A" w:rsidP="0045594E">
            <w:pPr>
              <w:spacing w:before="40" w:after="40"/>
              <w:jc w:val="right"/>
              <w:rPr>
                <w:rFonts w:cs="Arial"/>
                <w:color w:val="333333"/>
                <w:sz w:val="19"/>
                <w:szCs w:val="19"/>
                <w:lang w:val="lt-LT"/>
              </w:rPr>
            </w:pPr>
            <w:r>
              <w:rPr>
                <w:rFonts w:cs="Arial"/>
                <w:color w:val="333333"/>
                <w:sz w:val="19"/>
                <w:szCs w:val="19"/>
                <w:lang w:val="lt-LT"/>
              </w:rPr>
              <w:t>0,4</w:t>
            </w:r>
          </w:p>
        </w:tc>
        <w:tc>
          <w:tcPr>
            <w:tcW w:w="436" w:type="pct"/>
            <w:tcBorders>
              <w:top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1,0</w:t>
            </w:r>
          </w:p>
        </w:tc>
        <w:tc>
          <w:tcPr>
            <w:tcW w:w="436" w:type="pct"/>
            <w:tcBorders>
              <w:top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–5,3</w:t>
            </w:r>
          </w:p>
        </w:tc>
        <w:tc>
          <w:tcPr>
            <w:tcW w:w="437" w:type="pct"/>
            <w:tcBorders>
              <w:top w:val="nil"/>
            </w:tcBorders>
            <w:vAlign w:val="bottom"/>
          </w:tcPr>
          <w:p w:rsidR="007F5E8C" w:rsidRPr="0042435F" w:rsidRDefault="000D0F51" w:rsidP="0045594E">
            <w:pPr>
              <w:spacing w:before="40" w:after="40"/>
              <w:jc w:val="right"/>
              <w:rPr>
                <w:rFonts w:cs="Arial"/>
                <w:color w:val="333333"/>
                <w:sz w:val="19"/>
                <w:szCs w:val="19"/>
                <w:lang w:val="lt-LT"/>
              </w:rPr>
            </w:pPr>
            <w:r>
              <w:rPr>
                <w:rFonts w:cs="Arial"/>
                <w:color w:val="333333"/>
                <w:sz w:val="19"/>
                <w:szCs w:val="19"/>
                <w:lang w:val="lt-LT"/>
              </w:rPr>
              <w:t>–12,1</w:t>
            </w:r>
          </w:p>
        </w:tc>
      </w:tr>
    </w:tbl>
    <w:p w:rsidR="00495C7E" w:rsidRDefault="00495C7E" w:rsidP="0045594E">
      <w:pPr>
        <w:pStyle w:val="Pagrtekstas"/>
        <w:ind w:firstLine="0"/>
        <w:rPr>
          <w:sz w:val="18"/>
          <w:szCs w:val="18"/>
          <w:lang w:val="lt-LT"/>
        </w:rPr>
      </w:pPr>
    </w:p>
    <w:p w:rsidR="000233EC" w:rsidRPr="0042435F" w:rsidRDefault="000233EC" w:rsidP="0045594E">
      <w:pPr>
        <w:pStyle w:val="Pagrtekstas"/>
        <w:ind w:firstLine="0"/>
        <w:rPr>
          <w:sz w:val="18"/>
          <w:szCs w:val="18"/>
          <w:lang w:val="lt-LT"/>
        </w:rPr>
      </w:pPr>
    </w:p>
    <w:p w:rsidR="00E16FED" w:rsidRDefault="0025419B" w:rsidP="0045594E">
      <w:pPr>
        <w:rPr>
          <w:b/>
          <w:lang w:val="lt-LT"/>
        </w:rPr>
      </w:pPr>
      <w:r w:rsidRPr="00C17553">
        <w:rPr>
          <w:b/>
          <w:lang w:val="lt-LT"/>
        </w:rPr>
        <w:t>15–64 metų amžiau</w:t>
      </w:r>
      <w:r w:rsidR="002F092E" w:rsidRPr="00277243">
        <w:rPr>
          <w:b/>
          <w:lang w:val="lt-LT"/>
        </w:rPr>
        <w:t xml:space="preserve">s gyventojų </w:t>
      </w:r>
      <w:r w:rsidR="002F092E" w:rsidRPr="00801D36">
        <w:rPr>
          <w:b/>
          <w:lang w:val="lt-LT"/>
        </w:rPr>
        <w:t xml:space="preserve">užimtumo lygis </w:t>
      </w:r>
      <w:r w:rsidR="002F092E" w:rsidRPr="00277243">
        <w:rPr>
          <w:b/>
          <w:lang w:val="lt-LT"/>
        </w:rPr>
        <w:t>202</w:t>
      </w:r>
      <w:r w:rsidR="000D0F51">
        <w:rPr>
          <w:b/>
          <w:lang w:val="lt-LT"/>
        </w:rPr>
        <w:t>2</w:t>
      </w:r>
      <w:r w:rsidR="002F092E" w:rsidRPr="00277243">
        <w:rPr>
          <w:b/>
          <w:lang w:val="lt-LT"/>
        </w:rPr>
        <w:t> </w:t>
      </w:r>
      <w:r w:rsidRPr="00C17553">
        <w:rPr>
          <w:b/>
          <w:lang w:val="lt-LT"/>
        </w:rPr>
        <w:t>m. pirmąjį ketvirtį buvo 7</w:t>
      </w:r>
      <w:r w:rsidR="000D0F51">
        <w:rPr>
          <w:b/>
          <w:lang w:val="lt-LT"/>
        </w:rPr>
        <w:t>2</w:t>
      </w:r>
      <w:r w:rsidRPr="00C17553">
        <w:rPr>
          <w:b/>
          <w:lang w:val="lt-LT"/>
        </w:rPr>
        <w:t>,6 proc.</w:t>
      </w:r>
    </w:p>
    <w:p w:rsidR="0025419B" w:rsidRPr="00C17553" w:rsidRDefault="0025419B" w:rsidP="0045594E">
      <w:pPr>
        <w:rPr>
          <w:b/>
          <w:lang w:val="lt-LT"/>
        </w:rPr>
      </w:pPr>
    </w:p>
    <w:p w:rsidR="00D74803" w:rsidRPr="0042435F" w:rsidRDefault="00D74803" w:rsidP="0045594E">
      <w:pPr>
        <w:pStyle w:val="Pagrtekstas"/>
        <w:numPr>
          <w:ilvl w:val="0"/>
          <w:numId w:val="1"/>
        </w:numPr>
        <w:ind w:left="568" w:hanging="284"/>
        <w:rPr>
          <w:lang w:val="lt-LT"/>
        </w:rPr>
      </w:pPr>
      <w:r w:rsidRPr="0042435F">
        <w:rPr>
          <w:lang w:val="lt-LT"/>
        </w:rPr>
        <w:t xml:space="preserve">15–64 metų amžiaus gyventojų </w:t>
      </w:r>
      <w:r w:rsidRPr="00801D36">
        <w:rPr>
          <w:color w:val="9BBB59" w:themeColor="accent3"/>
          <w:lang w:val="lt-LT"/>
        </w:rPr>
        <w:t xml:space="preserve">užimtumo lygis </w:t>
      </w:r>
      <w:r w:rsidRPr="0042435F">
        <w:rPr>
          <w:lang w:val="lt-LT"/>
        </w:rPr>
        <w:t>20</w:t>
      </w:r>
      <w:r w:rsidR="002022CC" w:rsidRPr="0042435F">
        <w:rPr>
          <w:lang w:val="lt-LT"/>
        </w:rPr>
        <w:t>2</w:t>
      </w:r>
      <w:r w:rsidR="000D0F51">
        <w:rPr>
          <w:lang w:val="lt-LT"/>
        </w:rPr>
        <w:t>2</w:t>
      </w:r>
      <w:r w:rsidRPr="0042435F">
        <w:rPr>
          <w:lang w:val="lt-LT"/>
        </w:rPr>
        <w:t xml:space="preserve"> m. pirmąjį ketvirtį sudarė </w:t>
      </w:r>
      <w:r w:rsidR="00024449" w:rsidRPr="0042435F">
        <w:rPr>
          <w:lang w:val="lt-LT"/>
        </w:rPr>
        <w:t>7</w:t>
      </w:r>
      <w:r w:rsidR="000D0F51">
        <w:rPr>
          <w:lang w:val="lt-LT"/>
        </w:rPr>
        <w:t>2</w:t>
      </w:r>
      <w:r w:rsidR="00E1563E">
        <w:rPr>
          <w:lang w:val="lt-LT"/>
        </w:rPr>
        <w:t>,6</w:t>
      </w:r>
      <w:r w:rsidRPr="0042435F">
        <w:rPr>
          <w:lang w:val="lt-LT"/>
        </w:rPr>
        <w:t xml:space="preserve"> proc., </w:t>
      </w:r>
      <w:r w:rsidR="003F3230" w:rsidRPr="0042435F">
        <w:rPr>
          <w:lang w:val="lt-LT"/>
        </w:rPr>
        <w:t xml:space="preserve">per </w:t>
      </w:r>
      <w:r w:rsidR="00561293" w:rsidRPr="0042435F">
        <w:rPr>
          <w:lang w:val="lt-LT"/>
        </w:rPr>
        <w:t>ketvirtį</w:t>
      </w:r>
      <w:r w:rsidR="003F3230" w:rsidRPr="0042435F">
        <w:rPr>
          <w:lang w:val="lt-LT"/>
        </w:rPr>
        <w:t xml:space="preserve"> jis </w:t>
      </w:r>
      <w:r w:rsidR="000D0F51">
        <w:rPr>
          <w:lang w:val="lt-LT"/>
        </w:rPr>
        <w:t>sumažėjo</w:t>
      </w:r>
      <w:r w:rsidR="003F3230" w:rsidRPr="0042435F">
        <w:rPr>
          <w:lang w:val="lt-LT"/>
        </w:rPr>
        <w:t xml:space="preserve"> 0,</w:t>
      </w:r>
      <w:r w:rsidR="000D0F51">
        <w:rPr>
          <w:lang w:val="lt-LT"/>
        </w:rPr>
        <w:t>6</w:t>
      </w:r>
      <w:r w:rsidR="003F3230" w:rsidRPr="0042435F">
        <w:rPr>
          <w:lang w:val="lt-LT"/>
        </w:rPr>
        <w:t xml:space="preserve"> procentinio punkto, </w:t>
      </w:r>
      <w:r w:rsidRPr="0042435F">
        <w:rPr>
          <w:lang w:val="lt-LT"/>
        </w:rPr>
        <w:t xml:space="preserve">per </w:t>
      </w:r>
      <w:r w:rsidR="00130CE1" w:rsidRPr="0042435F">
        <w:rPr>
          <w:lang w:val="lt-LT"/>
        </w:rPr>
        <w:t>metus</w:t>
      </w:r>
      <w:r w:rsidR="0045594E">
        <w:rPr>
          <w:lang w:val="lt-LT"/>
        </w:rPr>
        <w:t> </w:t>
      </w:r>
      <w:r w:rsidR="00B06F2B" w:rsidRPr="0042435F">
        <w:rPr>
          <w:lang w:val="lt-LT"/>
        </w:rPr>
        <w:t xml:space="preserve">– </w:t>
      </w:r>
      <w:r w:rsidR="000D0F51">
        <w:rPr>
          <w:lang w:val="lt-LT"/>
        </w:rPr>
        <w:t>padidėjo</w:t>
      </w:r>
      <w:r w:rsidRPr="0042435F">
        <w:rPr>
          <w:lang w:val="lt-LT"/>
        </w:rPr>
        <w:t xml:space="preserve"> </w:t>
      </w:r>
      <w:r w:rsidR="00E1563E">
        <w:rPr>
          <w:lang w:val="lt-LT"/>
        </w:rPr>
        <w:t>1</w:t>
      </w:r>
      <w:r w:rsidRPr="0042435F">
        <w:rPr>
          <w:lang w:val="lt-LT"/>
        </w:rPr>
        <w:t xml:space="preserve"> procentini</w:t>
      </w:r>
      <w:r w:rsidR="004660EA">
        <w:rPr>
          <w:lang w:val="lt-LT"/>
        </w:rPr>
        <w:t>u</w:t>
      </w:r>
      <w:r w:rsidRPr="0042435F">
        <w:rPr>
          <w:lang w:val="lt-LT"/>
        </w:rPr>
        <w:t xml:space="preserve"> punkt</w:t>
      </w:r>
      <w:r w:rsidR="004660EA">
        <w:rPr>
          <w:lang w:val="lt-LT"/>
        </w:rPr>
        <w:t>u</w:t>
      </w:r>
      <w:r w:rsidRPr="0042435F">
        <w:rPr>
          <w:lang w:val="lt-LT"/>
        </w:rPr>
        <w:t xml:space="preserve">. </w:t>
      </w:r>
      <w:r w:rsidR="00130CE1" w:rsidRPr="0042435F">
        <w:rPr>
          <w:lang w:val="lt-LT"/>
        </w:rPr>
        <w:t xml:space="preserve">Šios amžiaus grupės vyrų užimtumo lygis buvo </w:t>
      </w:r>
      <w:r w:rsidR="000D0F51">
        <w:rPr>
          <w:lang w:val="lt-LT"/>
        </w:rPr>
        <w:t>1,5</w:t>
      </w:r>
      <w:r w:rsidR="0045594E">
        <w:rPr>
          <w:lang w:val="lt-LT"/>
        </w:rPr>
        <w:t> </w:t>
      </w:r>
      <w:r w:rsidR="00130CE1" w:rsidRPr="0042435F">
        <w:rPr>
          <w:lang w:val="lt-LT"/>
        </w:rPr>
        <w:t>procentinio punkto aukštesnis už moterų užimtumo lygį (atitinkamai 7</w:t>
      </w:r>
      <w:r w:rsidR="00E1563E">
        <w:rPr>
          <w:lang w:val="lt-LT"/>
        </w:rPr>
        <w:t>3</w:t>
      </w:r>
      <w:r w:rsidR="00130CE1" w:rsidRPr="0042435F">
        <w:rPr>
          <w:lang w:val="lt-LT"/>
        </w:rPr>
        <w:t>,</w:t>
      </w:r>
      <w:r w:rsidR="000D0F51">
        <w:rPr>
          <w:lang w:val="lt-LT"/>
        </w:rPr>
        <w:t>3</w:t>
      </w:r>
      <w:r w:rsidR="00130CE1" w:rsidRPr="0042435F">
        <w:rPr>
          <w:lang w:val="lt-LT"/>
        </w:rPr>
        <w:t xml:space="preserve"> ir 7</w:t>
      </w:r>
      <w:r w:rsidR="000D0F51">
        <w:rPr>
          <w:lang w:val="lt-LT"/>
        </w:rPr>
        <w:t>1,8</w:t>
      </w:r>
      <w:r w:rsidR="003E5959" w:rsidRPr="0042435F">
        <w:rPr>
          <w:lang w:val="lt-LT"/>
        </w:rPr>
        <w:t> </w:t>
      </w:r>
      <w:r w:rsidR="00130CE1" w:rsidRPr="0042435F">
        <w:rPr>
          <w:lang w:val="lt-LT"/>
        </w:rPr>
        <w:t>proc.)</w:t>
      </w:r>
      <w:r w:rsidRPr="0042435F">
        <w:rPr>
          <w:lang w:val="lt-LT"/>
        </w:rPr>
        <w:t>.</w:t>
      </w:r>
      <w:r w:rsidR="00FC67BD" w:rsidRPr="0042435F">
        <w:rPr>
          <w:lang w:val="lt-LT"/>
        </w:rPr>
        <w:t xml:space="preserve"> </w:t>
      </w:r>
      <w:r w:rsidRPr="0042435F">
        <w:rPr>
          <w:lang w:val="lt-LT"/>
        </w:rPr>
        <w:t xml:space="preserve">Jaunimo </w:t>
      </w:r>
      <w:r w:rsidR="009B1531" w:rsidRPr="0042435F">
        <w:rPr>
          <w:lang w:val="lt-LT"/>
        </w:rPr>
        <w:t xml:space="preserve">(15–24 metų amžiaus) </w:t>
      </w:r>
      <w:r w:rsidRPr="0042435F">
        <w:rPr>
          <w:lang w:val="lt-LT"/>
        </w:rPr>
        <w:t>užimtumo lygis</w:t>
      </w:r>
      <w:r w:rsidR="00514B8E" w:rsidRPr="0042435F">
        <w:rPr>
          <w:lang w:val="lt-LT"/>
        </w:rPr>
        <w:t xml:space="preserve"> 20</w:t>
      </w:r>
      <w:r w:rsidR="00C710D5" w:rsidRPr="0042435F">
        <w:rPr>
          <w:lang w:val="lt-LT"/>
        </w:rPr>
        <w:t>2</w:t>
      </w:r>
      <w:r w:rsidR="000D0F51">
        <w:rPr>
          <w:lang w:val="lt-LT"/>
        </w:rPr>
        <w:t>2</w:t>
      </w:r>
      <w:r w:rsidR="0045594E">
        <w:rPr>
          <w:lang w:val="lt-LT"/>
        </w:rPr>
        <w:t> </w:t>
      </w:r>
      <w:r w:rsidR="00514B8E" w:rsidRPr="0042435F">
        <w:rPr>
          <w:lang w:val="lt-LT"/>
        </w:rPr>
        <w:t>m. pirmąjį ketvirtį</w:t>
      </w:r>
      <w:r w:rsidRPr="0042435F">
        <w:rPr>
          <w:lang w:val="lt-LT"/>
        </w:rPr>
        <w:t xml:space="preserve"> sudarė </w:t>
      </w:r>
      <w:r w:rsidR="000D0F51">
        <w:rPr>
          <w:lang w:val="lt-LT"/>
        </w:rPr>
        <w:t>32,3</w:t>
      </w:r>
      <w:r w:rsidRPr="0042435F">
        <w:rPr>
          <w:lang w:val="lt-LT"/>
        </w:rPr>
        <w:t> proc</w:t>
      </w:r>
      <w:r w:rsidR="002E2B84" w:rsidRPr="0042435F">
        <w:rPr>
          <w:lang w:val="lt-LT"/>
        </w:rPr>
        <w:t>.</w:t>
      </w:r>
      <w:r w:rsidR="002D39DC" w:rsidRPr="0042435F">
        <w:rPr>
          <w:lang w:val="lt-LT"/>
        </w:rPr>
        <w:t xml:space="preserve">, </w:t>
      </w:r>
      <w:r w:rsidR="0046324D" w:rsidRPr="0042435F">
        <w:rPr>
          <w:lang w:val="lt-LT"/>
        </w:rPr>
        <w:t xml:space="preserve">per ketvirtį sumažėjo </w:t>
      </w:r>
      <w:r w:rsidR="000D0F51">
        <w:rPr>
          <w:lang w:val="lt-LT"/>
        </w:rPr>
        <w:t>3,1</w:t>
      </w:r>
      <w:r w:rsidR="0046324D" w:rsidRPr="0042435F">
        <w:rPr>
          <w:lang w:val="lt-LT"/>
        </w:rPr>
        <w:t xml:space="preserve"> procentini</w:t>
      </w:r>
      <w:r w:rsidR="00E1563E">
        <w:rPr>
          <w:lang w:val="lt-LT"/>
        </w:rPr>
        <w:t>o</w:t>
      </w:r>
      <w:r w:rsidR="0046324D" w:rsidRPr="0042435F">
        <w:rPr>
          <w:lang w:val="lt-LT"/>
        </w:rPr>
        <w:t xml:space="preserve"> punkt</w:t>
      </w:r>
      <w:r w:rsidR="00E1563E">
        <w:rPr>
          <w:lang w:val="lt-LT"/>
        </w:rPr>
        <w:t>o</w:t>
      </w:r>
      <w:r w:rsidR="0046324D" w:rsidRPr="0042435F">
        <w:rPr>
          <w:lang w:val="lt-LT"/>
        </w:rPr>
        <w:t>, per</w:t>
      </w:r>
      <w:r w:rsidR="002D39DC" w:rsidRPr="0042435F">
        <w:rPr>
          <w:lang w:val="lt-LT"/>
        </w:rPr>
        <w:t xml:space="preserve"> metus</w:t>
      </w:r>
      <w:r w:rsidR="0045594E">
        <w:rPr>
          <w:lang w:val="lt-LT"/>
        </w:rPr>
        <w:t> </w:t>
      </w:r>
      <w:r w:rsidR="002D39DC" w:rsidRPr="0042435F">
        <w:rPr>
          <w:lang w:val="lt-LT"/>
        </w:rPr>
        <w:t xml:space="preserve">– </w:t>
      </w:r>
      <w:r w:rsidR="000D0F51">
        <w:rPr>
          <w:lang w:val="lt-LT"/>
        </w:rPr>
        <w:t>padidėjo 2,5</w:t>
      </w:r>
      <w:r w:rsidR="002D39DC" w:rsidRPr="0042435F">
        <w:rPr>
          <w:lang w:val="lt-LT"/>
        </w:rPr>
        <w:t xml:space="preserve"> procentini</w:t>
      </w:r>
      <w:r w:rsidR="00C710D5" w:rsidRPr="0042435F">
        <w:rPr>
          <w:lang w:val="lt-LT"/>
        </w:rPr>
        <w:t>o</w:t>
      </w:r>
      <w:r w:rsidR="002D39DC" w:rsidRPr="0042435F">
        <w:rPr>
          <w:lang w:val="lt-LT"/>
        </w:rPr>
        <w:t xml:space="preserve"> punkt</w:t>
      </w:r>
      <w:r w:rsidR="00C710D5" w:rsidRPr="0042435F">
        <w:rPr>
          <w:lang w:val="lt-LT"/>
        </w:rPr>
        <w:t>o</w:t>
      </w:r>
      <w:r w:rsidR="002D39DC" w:rsidRPr="0042435F">
        <w:rPr>
          <w:lang w:val="lt-LT"/>
        </w:rPr>
        <w:t>.</w:t>
      </w:r>
      <w:r w:rsidR="00E82FC7" w:rsidRPr="0042435F">
        <w:rPr>
          <w:lang w:val="lt-LT"/>
        </w:rPr>
        <w:t xml:space="preserve"> </w:t>
      </w:r>
      <w:r w:rsidRPr="0042435F">
        <w:rPr>
          <w:lang w:val="lt-LT"/>
        </w:rPr>
        <w:t>55–64 metų amžiaus gyventojų užimtumo lygis</w:t>
      </w:r>
      <w:r w:rsidR="009E027C" w:rsidRPr="0042435F">
        <w:rPr>
          <w:lang w:val="lt-LT"/>
        </w:rPr>
        <w:t xml:space="preserve"> </w:t>
      </w:r>
      <w:r w:rsidR="003F3230" w:rsidRPr="0042435F">
        <w:rPr>
          <w:lang w:val="lt-LT"/>
        </w:rPr>
        <w:t xml:space="preserve">per </w:t>
      </w:r>
      <w:r w:rsidR="002E2B84" w:rsidRPr="0042435F">
        <w:rPr>
          <w:lang w:val="lt-LT"/>
        </w:rPr>
        <w:t>ketvirtį</w:t>
      </w:r>
      <w:r w:rsidR="003F3230" w:rsidRPr="0042435F">
        <w:rPr>
          <w:lang w:val="lt-LT"/>
        </w:rPr>
        <w:t xml:space="preserve"> </w:t>
      </w:r>
      <w:r w:rsidR="003B467A" w:rsidRPr="0042435F">
        <w:rPr>
          <w:lang w:val="lt-LT"/>
        </w:rPr>
        <w:t>sumaž</w:t>
      </w:r>
      <w:r w:rsidR="003F3230" w:rsidRPr="0042435F">
        <w:rPr>
          <w:lang w:val="lt-LT"/>
        </w:rPr>
        <w:t xml:space="preserve">ėjo </w:t>
      </w:r>
      <w:r w:rsidR="000D0F51">
        <w:rPr>
          <w:lang w:val="lt-LT"/>
        </w:rPr>
        <w:t>0,5</w:t>
      </w:r>
      <w:r w:rsidR="0045594E">
        <w:rPr>
          <w:lang w:val="lt-LT"/>
        </w:rPr>
        <w:t> </w:t>
      </w:r>
      <w:r w:rsidR="003F3230" w:rsidRPr="0042435F">
        <w:rPr>
          <w:lang w:val="lt-LT"/>
        </w:rPr>
        <w:t>procentinio punkto</w:t>
      </w:r>
      <w:r w:rsidR="005E0077" w:rsidRPr="0042435F">
        <w:rPr>
          <w:lang w:val="lt-LT"/>
        </w:rPr>
        <w:t xml:space="preserve"> ir </w:t>
      </w:r>
      <w:r w:rsidR="00031615" w:rsidRPr="0042435F">
        <w:rPr>
          <w:lang w:val="lt-LT"/>
        </w:rPr>
        <w:t>20</w:t>
      </w:r>
      <w:r w:rsidR="00C710D5" w:rsidRPr="0042435F">
        <w:rPr>
          <w:lang w:val="lt-LT"/>
        </w:rPr>
        <w:t>2</w:t>
      </w:r>
      <w:r w:rsidR="000D0F51">
        <w:rPr>
          <w:lang w:val="lt-LT"/>
        </w:rPr>
        <w:t>2</w:t>
      </w:r>
      <w:r w:rsidR="00031615" w:rsidRPr="0042435F">
        <w:rPr>
          <w:lang w:val="lt-LT"/>
        </w:rPr>
        <w:t xml:space="preserve"> m. pirmąjį ketvirtį </w:t>
      </w:r>
      <w:r w:rsidR="009E027C" w:rsidRPr="0042435F">
        <w:rPr>
          <w:lang w:val="lt-LT"/>
        </w:rPr>
        <w:t xml:space="preserve">sudarė </w:t>
      </w:r>
      <w:r w:rsidR="007E43A8" w:rsidRPr="0042435F">
        <w:rPr>
          <w:lang w:val="lt-LT"/>
        </w:rPr>
        <w:t>6</w:t>
      </w:r>
      <w:r w:rsidR="00E1563E">
        <w:rPr>
          <w:lang w:val="lt-LT"/>
        </w:rPr>
        <w:t>6</w:t>
      </w:r>
      <w:r w:rsidR="009E027C" w:rsidRPr="0042435F">
        <w:rPr>
          <w:lang w:val="lt-LT"/>
        </w:rPr>
        <w:t>,</w:t>
      </w:r>
      <w:r w:rsidR="000D0F51">
        <w:rPr>
          <w:lang w:val="lt-LT"/>
        </w:rPr>
        <w:t>8</w:t>
      </w:r>
      <w:r w:rsidR="009E027C" w:rsidRPr="0042435F">
        <w:rPr>
          <w:lang w:val="lt-LT"/>
        </w:rPr>
        <w:t> proc</w:t>
      </w:r>
      <w:r w:rsidR="005E0077" w:rsidRPr="0042435F">
        <w:rPr>
          <w:lang w:val="lt-LT"/>
        </w:rPr>
        <w:t>.</w:t>
      </w:r>
      <w:r w:rsidR="00020FED" w:rsidRPr="0042435F">
        <w:rPr>
          <w:lang w:val="lt-LT"/>
        </w:rPr>
        <w:t xml:space="preserve"> </w:t>
      </w:r>
    </w:p>
    <w:p w:rsidR="00D74803" w:rsidRPr="0042435F" w:rsidRDefault="00D74803" w:rsidP="0045594E">
      <w:pPr>
        <w:pStyle w:val="Pagrtekstas"/>
        <w:ind w:firstLine="0"/>
        <w:rPr>
          <w:lang w:val="lt-LT"/>
        </w:rPr>
      </w:pPr>
    </w:p>
    <w:p w:rsidR="0070005B" w:rsidRDefault="0070005B" w:rsidP="0045594E">
      <w:pPr>
        <w:pStyle w:val="Lentelespav"/>
        <w:jc w:val="left"/>
        <w:rPr>
          <w:rStyle w:val="Strong"/>
          <w:b/>
          <w:bCs w:val="0"/>
          <w:lang w:val="lt-LT"/>
        </w:rPr>
      </w:pPr>
      <w:r w:rsidRPr="0042435F">
        <w:rPr>
          <w:rStyle w:val="Strong"/>
          <w:b/>
          <w:bCs w:val="0"/>
          <w:lang w:val="lt-LT"/>
        </w:rPr>
        <w:t xml:space="preserve">2 </w:t>
      </w:r>
      <w:r w:rsidR="007E47D9" w:rsidRPr="0042435F">
        <w:rPr>
          <w:rStyle w:val="Strong"/>
          <w:b/>
          <w:bCs w:val="0"/>
          <w:lang w:val="lt-LT"/>
        </w:rPr>
        <w:t>pav</w:t>
      </w:r>
      <w:r w:rsidRPr="0042435F">
        <w:rPr>
          <w:rStyle w:val="Strong"/>
          <w:b/>
          <w:bCs w:val="0"/>
          <w:lang w:val="lt-LT"/>
        </w:rPr>
        <w:t>. Užimtumo lygis</w:t>
      </w:r>
      <w:r w:rsidR="007E47D9" w:rsidRPr="0042435F">
        <w:rPr>
          <w:rStyle w:val="Strong"/>
          <w:b/>
          <w:bCs w:val="0"/>
          <w:lang w:val="lt-LT"/>
        </w:rPr>
        <w:t xml:space="preserve"> 20</w:t>
      </w:r>
      <w:r w:rsidR="002422DE">
        <w:rPr>
          <w:rStyle w:val="Strong"/>
          <w:b/>
          <w:bCs w:val="0"/>
          <w:lang w:val="lt-LT"/>
        </w:rPr>
        <w:t>2</w:t>
      </w:r>
      <w:r w:rsidR="000D0F51">
        <w:rPr>
          <w:rStyle w:val="Strong"/>
          <w:b/>
          <w:bCs w:val="0"/>
          <w:lang w:val="lt-LT"/>
        </w:rPr>
        <w:t>1</w:t>
      </w:r>
      <w:r w:rsidR="007E47D9" w:rsidRPr="0042435F">
        <w:rPr>
          <w:rStyle w:val="Strong"/>
          <w:b/>
          <w:bCs w:val="0"/>
          <w:lang w:val="lt-LT"/>
        </w:rPr>
        <w:t>–20</w:t>
      </w:r>
      <w:r w:rsidR="00C710D5" w:rsidRPr="0042435F">
        <w:rPr>
          <w:rStyle w:val="Strong"/>
          <w:b/>
          <w:bCs w:val="0"/>
          <w:lang w:val="lt-LT"/>
        </w:rPr>
        <w:t>2</w:t>
      </w:r>
      <w:r w:rsidR="000D0F51">
        <w:rPr>
          <w:rStyle w:val="Strong"/>
          <w:b/>
          <w:bCs w:val="0"/>
          <w:lang w:val="lt-LT"/>
        </w:rPr>
        <w:t>2</w:t>
      </w:r>
      <w:r w:rsidR="007E47D9" w:rsidRPr="0042435F">
        <w:rPr>
          <w:rStyle w:val="Strong"/>
          <w:b/>
          <w:bCs w:val="0"/>
          <w:lang w:val="lt-LT"/>
        </w:rPr>
        <w:t xml:space="preserve"> m. ketvirčiais</w:t>
      </w:r>
    </w:p>
    <w:p w:rsidR="000C0722" w:rsidRPr="00C17553" w:rsidRDefault="000C0722" w:rsidP="0045594E">
      <w:pPr>
        <w:pStyle w:val="Lentelespav"/>
        <w:jc w:val="left"/>
        <w:rPr>
          <w:rStyle w:val="Strong"/>
          <w:bCs w:val="0"/>
          <w:lang w:val="lt-LT"/>
        </w:rPr>
      </w:pPr>
      <w:r w:rsidRPr="00C17553">
        <w:rPr>
          <w:rStyle w:val="Strong"/>
          <w:bCs w:val="0"/>
          <w:lang w:val="lt-LT"/>
        </w:rPr>
        <w:t>Procentai</w:t>
      </w:r>
    </w:p>
    <w:p w:rsidR="00B11B10" w:rsidRDefault="006E3E90" w:rsidP="0045594E">
      <w:pPr>
        <w:pStyle w:val="Pagrtekstas"/>
        <w:ind w:firstLine="0"/>
        <w:rPr>
          <w:rStyle w:val="Strong"/>
          <w:rFonts w:cs="Arial"/>
          <w:b w:val="0"/>
          <w:color w:val="333333"/>
          <w:lang w:val="lt-LT"/>
        </w:rPr>
      </w:pPr>
      <w:hyperlink r:id="rId10" w:anchor="/" w:history="1">
        <w:r w:rsidR="00B11B10" w:rsidRPr="00713ECB">
          <w:rPr>
            <w:rStyle w:val="Hyperlink"/>
            <w:rFonts w:cs="Arial"/>
            <w:lang w:val="lt-LT"/>
          </w:rPr>
          <w:t>https://osp.stat.gov.lt/statistiniu-rodikliu-analize?hash=45bd559a-4bce-49ef-8923-a2d617743163#/</w:t>
        </w:r>
      </w:hyperlink>
    </w:p>
    <w:p w:rsidR="00D86C57" w:rsidRDefault="00D86C57" w:rsidP="0045594E">
      <w:pPr>
        <w:pStyle w:val="Pagrtekstas"/>
        <w:ind w:firstLine="0"/>
        <w:rPr>
          <w:rStyle w:val="Strong"/>
          <w:rFonts w:cs="Arial"/>
          <w:b w:val="0"/>
          <w:color w:val="333333"/>
          <w:lang w:val="lt-LT"/>
        </w:rPr>
      </w:pPr>
    </w:p>
    <w:p w:rsidR="00D86C57" w:rsidRDefault="008D29EF" w:rsidP="00D86C57">
      <w:pPr>
        <w:pStyle w:val="Pagrtekstas"/>
        <w:ind w:firstLine="0"/>
        <w:rPr>
          <w:lang w:val="lt-LT"/>
        </w:rPr>
      </w:pPr>
      <w:r>
        <w:rPr>
          <w:noProof/>
          <w:lang w:val="lt-LT" w:eastAsia="lt-LT"/>
        </w:rPr>
        <w:drawing>
          <wp:inline distT="0" distB="0" distL="0" distR="0" wp14:anchorId="326D8BE4" wp14:editId="0E2570B4">
            <wp:extent cx="6435090" cy="22383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7543" w:rsidRPr="0042435F" w:rsidRDefault="007B7543" w:rsidP="0045594E">
      <w:pPr>
        <w:pStyle w:val="Pagrtekstas"/>
        <w:ind w:firstLine="0"/>
        <w:rPr>
          <w:lang w:val="lt-LT"/>
        </w:rPr>
      </w:pPr>
    </w:p>
    <w:p w:rsidR="00D3771D" w:rsidRPr="0042435F" w:rsidRDefault="000678CD" w:rsidP="0045594E">
      <w:pPr>
        <w:pStyle w:val="Pagrtekstas"/>
        <w:numPr>
          <w:ilvl w:val="0"/>
          <w:numId w:val="1"/>
        </w:numPr>
        <w:ind w:left="568" w:hanging="284"/>
        <w:rPr>
          <w:lang w:val="lt-LT"/>
        </w:rPr>
      </w:pPr>
      <w:r w:rsidRPr="0042435F">
        <w:rPr>
          <w:lang w:val="lt-LT"/>
        </w:rPr>
        <w:t>2</w:t>
      </w:r>
      <w:r w:rsidR="00E16FED" w:rsidRPr="0042435F">
        <w:rPr>
          <w:lang w:val="lt-LT"/>
        </w:rPr>
        <w:t>0</w:t>
      </w:r>
      <w:r w:rsidR="00C710D5" w:rsidRPr="0042435F">
        <w:rPr>
          <w:lang w:val="lt-LT"/>
        </w:rPr>
        <w:t>2</w:t>
      </w:r>
      <w:r w:rsidR="000D0F51">
        <w:rPr>
          <w:lang w:val="lt-LT"/>
        </w:rPr>
        <w:t>2</w:t>
      </w:r>
      <w:r w:rsidR="00430807" w:rsidRPr="0042435F">
        <w:rPr>
          <w:lang w:val="lt-LT"/>
        </w:rPr>
        <w:t> m.</w:t>
      </w:r>
      <w:r w:rsidR="00E16FED" w:rsidRPr="0042435F">
        <w:rPr>
          <w:lang w:val="lt-LT"/>
        </w:rPr>
        <w:t xml:space="preserve"> </w:t>
      </w:r>
      <w:r w:rsidR="009450FA" w:rsidRPr="0042435F">
        <w:rPr>
          <w:lang w:val="lt-LT"/>
        </w:rPr>
        <w:t>pirmąjį</w:t>
      </w:r>
      <w:r w:rsidR="00E16FED" w:rsidRPr="0042435F">
        <w:rPr>
          <w:lang w:val="lt-LT"/>
        </w:rPr>
        <w:t xml:space="preserve"> ketvirtį </w:t>
      </w:r>
      <w:r w:rsidR="00E441E8" w:rsidRPr="00C17553">
        <w:rPr>
          <w:color w:val="9BBB59" w:themeColor="accent3"/>
          <w:lang w:val="lt-LT"/>
        </w:rPr>
        <w:t xml:space="preserve">darbo jėgai </w:t>
      </w:r>
      <w:r w:rsidR="00E441E8" w:rsidRPr="0042435F">
        <w:rPr>
          <w:lang w:val="lt-LT"/>
        </w:rPr>
        <w:t>priskiriamų asmenų buvo 1</w:t>
      </w:r>
      <w:r w:rsidR="0045594E">
        <w:rPr>
          <w:lang w:val="lt-LT"/>
        </w:rPr>
        <w:t> </w:t>
      </w:r>
      <w:r w:rsidR="00E441E8" w:rsidRPr="0042435F">
        <w:rPr>
          <w:lang w:val="lt-LT"/>
        </w:rPr>
        <w:t xml:space="preserve">mln. </w:t>
      </w:r>
      <w:r w:rsidR="006F4ADD" w:rsidRPr="0042435F">
        <w:rPr>
          <w:lang w:val="lt-LT"/>
        </w:rPr>
        <w:t>4</w:t>
      </w:r>
      <w:r w:rsidR="000D0F51">
        <w:rPr>
          <w:lang w:val="lt-LT"/>
        </w:rPr>
        <w:t>74</w:t>
      </w:r>
      <w:r w:rsidR="008A65B0">
        <w:rPr>
          <w:lang w:val="lt-LT"/>
        </w:rPr>
        <w:t>,</w:t>
      </w:r>
      <w:r w:rsidR="000D0F51">
        <w:rPr>
          <w:lang w:val="lt-LT"/>
        </w:rPr>
        <w:t>1</w:t>
      </w:r>
      <w:r w:rsidR="0045594E">
        <w:rPr>
          <w:lang w:val="lt-LT"/>
        </w:rPr>
        <w:t> </w:t>
      </w:r>
      <w:r w:rsidR="00E441E8" w:rsidRPr="0042435F">
        <w:rPr>
          <w:lang w:val="lt-LT"/>
        </w:rPr>
        <w:t xml:space="preserve">tūkst., </w:t>
      </w:r>
      <w:r w:rsidR="003F3230" w:rsidRPr="0042435F">
        <w:rPr>
          <w:lang w:val="lt-LT"/>
        </w:rPr>
        <w:t>palyginti su</w:t>
      </w:r>
      <w:r w:rsidR="00B06F2B" w:rsidRPr="0042435F">
        <w:rPr>
          <w:lang w:val="lt-LT"/>
        </w:rPr>
        <w:t xml:space="preserve"> 20</w:t>
      </w:r>
      <w:r w:rsidR="008A65B0">
        <w:rPr>
          <w:lang w:val="lt-LT"/>
        </w:rPr>
        <w:t>2</w:t>
      </w:r>
      <w:r w:rsidR="000D0F51">
        <w:rPr>
          <w:lang w:val="lt-LT"/>
        </w:rPr>
        <w:t>1</w:t>
      </w:r>
      <w:r w:rsidR="0045594E">
        <w:rPr>
          <w:lang w:val="lt-LT"/>
        </w:rPr>
        <w:t> </w:t>
      </w:r>
      <w:r w:rsidR="00B06F2B" w:rsidRPr="0042435F">
        <w:rPr>
          <w:lang w:val="lt-LT"/>
        </w:rPr>
        <w:t>m. ketvirtuoju ketvirčiu</w:t>
      </w:r>
      <w:r w:rsidR="003F3230" w:rsidRPr="0042435F">
        <w:rPr>
          <w:lang w:val="lt-LT"/>
        </w:rPr>
        <w:t xml:space="preserve">, </w:t>
      </w:r>
      <w:r w:rsidR="00E441E8" w:rsidRPr="0042435F">
        <w:rPr>
          <w:lang w:val="lt-LT"/>
        </w:rPr>
        <w:t xml:space="preserve">tokių asmenų skaičius </w:t>
      </w:r>
      <w:r w:rsidR="008A65B0">
        <w:rPr>
          <w:lang w:val="lt-LT"/>
        </w:rPr>
        <w:t>sumažėjo</w:t>
      </w:r>
      <w:r w:rsidR="00E441E8" w:rsidRPr="0042435F">
        <w:rPr>
          <w:lang w:val="lt-LT"/>
        </w:rPr>
        <w:t xml:space="preserve"> </w:t>
      </w:r>
      <w:r w:rsidR="000D0F51">
        <w:rPr>
          <w:lang w:val="lt-LT"/>
        </w:rPr>
        <w:t>4,6</w:t>
      </w:r>
      <w:r w:rsidR="0045594E">
        <w:rPr>
          <w:lang w:val="lt-LT"/>
        </w:rPr>
        <w:t> </w:t>
      </w:r>
      <w:r w:rsidR="000F0CD8" w:rsidRPr="0042435F">
        <w:rPr>
          <w:lang w:val="lt-LT"/>
        </w:rPr>
        <w:t>tūkst</w:t>
      </w:r>
      <w:r w:rsidR="00B06F2B" w:rsidRPr="0042435F">
        <w:rPr>
          <w:lang w:val="lt-LT"/>
        </w:rPr>
        <w:t>.</w:t>
      </w:r>
    </w:p>
    <w:p w:rsidR="003C2FB3" w:rsidRPr="0042435F" w:rsidRDefault="00E441E8" w:rsidP="0045594E">
      <w:pPr>
        <w:pStyle w:val="Pagrtekstas"/>
        <w:numPr>
          <w:ilvl w:val="0"/>
          <w:numId w:val="1"/>
        </w:numPr>
        <w:spacing w:before="120"/>
        <w:ind w:left="568" w:hanging="284"/>
        <w:rPr>
          <w:lang w:val="lt-LT"/>
        </w:rPr>
      </w:pPr>
      <w:r w:rsidRPr="0042435F">
        <w:rPr>
          <w:lang w:val="lt-LT"/>
        </w:rPr>
        <w:t>20</w:t>
      </w:r>
      <w:r w:rsidR="00C710D5" w:rsidRPr="0042435F">
        <w:rPr>
          <w:lang w:val="lt-LT"/>
        </w:rPr>
        <w:t>2</w:t>
      </w:r>
      <w:r w:rsidR="000D0F51">
        <w:rPr>
          <w:lang w:val="lt-LT"/>
        </w:rPr>
        <w:t>2</w:t>
      </w:r>
      <w:r w:rsidRPr="0042435F">
        <w:rPr>
          <w:lang w:val="lt-LT"/>
        </w:rPr>
        <w:t xml:space="preserve"> m. pirmąjį ketvirtį </w:t>
      </w:r>
      <w:r w:rsidR="00E16FED" w:rsidRPr="0042435F">
        <w:rPr>
          <w:lang w:val="lt-LT"/>
        </w:rPr>
        <w:t xml:space="preserve">dirbo </w:t>
      </w:r>
      <w:r w:rsidR="00771903">
        <w:rPr>
          <w:lang w:val="lt-LT"/>
        </w:rPr>
        <w:t xml:space="preserve">ar turėjo darbą </w:t>
      </w:r>
      <w:r w:rsidR="00E16FED" w:rsidRPr="0042435F">
        <w:rPr>
          <w:lang w:val="lt-LT"/>
        </w:rPr>
        <w:t>1</w:t>
      </w:r>
      <w:r w:rsidR="0045594E">
        <w:rPr>
          <w:lang w:val="lt-LT"/>
        </w:rPr>
        <w:t> </w:t>
      </w:r>
      <w:r w:rsidR="00E16FED" w:rsidRPr="0042435F">
        <w:rPr>
          <w:lang w:val="lt-LT"/>
        </w:rPr>
        <w:t>mln. 3</w:t>
      </w:r>
      <w:r w:rsidR="000D0F51">
        <w:rPr>
          <w:lang w:val="lt-LT"/>
        </w:rPr>
        <w:t>80</w:t>
      </w:r>
      <w:r w:rsidR="008A65B0">
        <w:rPr>
          <w:lang w:val="lt-LT"/>
        </w:rPr>
        <w:t>,</w:t>
      </w:r>
      <w:r w:rsidR="000D0F51">
        <w:rPr>
          <w:lang w:val="lt-LT"/>
        </w:rPr>
        <w:t>6</w:t>
      </w:r>
      <w:r w:rsidR="0045594E">
        <w:rPr>
          <w:lang w:val="lt-LT"/>
        </w:rPr>
        <w:t> </w:t>
      </w:r>
      <w:r w:rsidR="00E16FED" w:rsidRPr="0042435F">
        <w:rPr>
          <w:lang w:val="lt-LT"/>
        </w:rPr>
        <w:t xml:space="preserve">tūkst. gyventojų. </w:t>
      </w:r>
      <w:r w:rsidR="00B06F2B" w:rsidRPr="0042435F">
        <w:rPr>
          <w:lang w:val="lt-LT"/>
        </w:rPr>
        <w:t xml:space="preserve">Per ketvirtį </w:t>
      </w:r>
      <w:r w:rsidR="00B06F2B" w:rsidRPr="000D0F51">
        <w:rPr>
          <w:color w:val="9BBB59" w:themeColor="accent3"/>
          <w:lang w:val="lt-LT"/>
        </w:rPr>
        <w:t xml:space="preserve">užimtų gyventojų </w:t>
      </w:r>
      <w:r w:rsidR="00B06F2B" w:rsidRPr="0042435F">
        <w:rPr>
          <w:lang w:val="lt-LT"/>
        </w:rPr>
        <w:t xml:space="preserve">skaičius </w:t>
      </w:r>
      <w:r w:rsidR="000D0F51">
        <w:rPr>
          <w:lang w:val="lt-LT"/>
        </w:rPr>
        <w:t>padidėjo</w:t>
      </w:r>
      <w:r w:rsidR="00B06F2B" w:rsidRPr="0042435F">
        <w:rPr>
          <w:lang w:val="lt-LT"/>
        </w:rPr>
        <w:t xml:space="preserve"> </w:t>
      </w:r>
      <w:r w:rsidR="000D0F51">
        <w:rPr>
          <w:lang w:val="lt-LT"/>
        </w:rPr>
        <w:t>4,8</w:t>
      </w:r>
      <w:r w:rsidR="00B1440E" w:rsidRPr="0042435F">
        <w:rPr>
          <w:lang w:val="lt-LT"/>
        </w:rPr>
        <w:t> </w:t>
      </w:r>
      <w:r w:rsidR="00B06F2B" w:rsidRPr="0042435F">
        <w:rPr>
          <w:lang w:val="lt-LT"/>
        </w:rPr>
        <w:t>tūkst., per metus</w:t>
      </w:r>
      <w:r w:rsidR="0045594E">
        <w:rPr>
          <w:lang w:val="lt-LT"/>
        </w:rPr>
        <w:t> </w:t>
      </w:r>
      <w:r w:rsidR="00B06F2B" w:rsidRPr="0042435F">
        <w:rPr>
          <w:lang w:val="lt-LT"/>
        </w:rPr>
        <w:t xml:space="preserve">– </w:t>
      </w:r>
      <w:r w:rsidR="000D0F51">
        <w:rPr>
          <w:lang w:val="lt-LT"/>
        </w:rPr>
        <w:t>28,8</w:t>
      </w:r>
      <w:r w:rsidR="0045594E">
        <w:rPr>
          <w:lang w:val="lt-LT"/>
        </w:rPr>
        <w:t> </w:t>
      </w:r>
      <w:r w:rsidR="00B06F2B" w:rsidRPr="0042435F">
        <w:rPr>
          <w:lang w:val="lt-LT"/>
        </w:rPr>
        <w:t>tūkst.</w:t>
      </w:r>
    </w:p>
    <w:p w:rsidR="00402D1E" w:rsidRPr="003B5E6B" w:rsidRDefault="00FC67BD" w:rsidP="0045594E">
      <w:pPr>
        <w:pStyle w:val="Pagrtekstas"/>
        <w:numPr>
          <w:ilvl w:val="0"/>
          <w:numId w:val="1"/>
        </w:numPr>
        <w:spacing w:before="120"/>
        <w:ind w:left="568" w:hanging="284"/>
        <w:rPr>
          <w:lang w:val="lt-LT"/>
        </w:rPr>
      </w:pPr>
      <w:r w:rsidRPr="003B5E6B">
        <w:rPr>
          <w:lang w:val="lt-LT"/>
        </w:rPr>
        <w:t>20</w:t>
      </w:r>
      <w:r w:rsidR="00822A51" w:rsidRPr="003B5E6B">
        <w:rPr>
          <w:lang w:val="lt-LT"/>
        </w:rPr>
        <w:t>2</w:t>
      </w:r>
      <w:r w:rsidR="000D0F51">
        <w:rPr>
          <w:lang w:val="lt-LT"/>
        </w:rPr>
        <w:t>2</w:t>
      </w:r>
      <w:r w:rsidRPr="003B5E6B">
        <w:rPr>
          <w:lang w:val="lt-LT"/>
        </w:rPr>
        <w:t xml:space="preserve"> m. pirmąjį ketvirtį buvo </w:t>
      </w:r>
      <w:r w:rsidR="008A65B0" w:rsidRPr="003B5E6B">
        <w:rPr>
          <w:lang w:val="lt-LT"/>
        </w:rPr>
        <w:t>90</w:t>
      </w:r>
      <w:r w:rsidR="000D0F51">
        <w:rPr>
          <w:lang w:val="lt-LT"/>
        </w:rPr>
        <w:t>0</w:t>
      </w:r>
      <w:r w:rsidR="008A65B0" w:rsidRPr="003B5E6B">
        <w:rPr>
          <w:lang w:val="lt-LT"/>
        </w:rPr>
        <w:t>,</w:t>
      </w:r>
      <w:r w:rsidR="000D0F51">
        <w:rPr>
          <w:lang w:val="lt-LT"/>
        </w:rPr>
        <w:t>4</w:t>
      </w:r>
      <w:r w:rsidR="0045594E">
        <w:rPr>
          <w:lang w:val="lt-LT"/>
        </w:rPr>
        <w:t> </w:t>
      </w:r>
      <w:r w:rsidRPr="003B5E6B">
        <w:rPr>
          <w:lang w:val="lt-LT"/>
        </w:rPr>
        <w:t xml:space="preserve">tūkst. </w:t>
      </w:r>
      <w:r w:rsidRPr="00C17553">
        <w:rPr>
          <w:color w:val="9BBB59" w:themeColor="accent3"/>
          <w:lang w:val="lt-LT"/>
        </w:rPr>
        <w:t xml:space="preserve">ekonomiškai neaktyvių </w:t>
      </w:r>
      <w:r w:rsidRPr="003B5E6B">
        <w:rPr>
          <w:lang w:val="lt-LT"/>
        </w:rPr>
        <w:t>15 metų ir vyresnių gyventojų, iš jų daugiau nei pusė (59,</w:t>
      </w:r>
      <w:r w:rsidR="000D0F51">
        <w:rPr>
          <w:lang w:val="lt-LT"/>
        </w:rPr>
        <w:t>1</w:t>
      </w:r>
      <w:r w:rsidR="0045594E">
        <w:rPr>
          <w:lang w:val="lt-LT"/>
        </w:rPr>
        <w:t> </w:t>
      </w:r>
      <w:r w:rsidRPr="003B5E6B">
        <w:rPr>
          <w:lang w:val="lt-LT"/>
        </w:rPr>
        <w:t>proc.)</w:t>
      </w:r>
      <w:r w:rsidR="0045594E">
        <w:rPr>
          <w:lang w:val="lt-LT"/>
        </w:rPr>
        <w:t> </w:t>
      </w:r>
      <w:r w:rsidRPr="003B5E6B">
        <w:rPr>
          <w:lang w:val="lt-LT"/>
        </w:rPr>
        <w:t>– senatvės pensininkai ar išankstinės senatvės pensijos gavėjai</w:t>
      </w:r>
      <w:r w:rsidR="00402D1E" w:rsidRPr="003B5E6B">
        <w:rPr>
          <w:lang w:val="lt-LT"/>
        </w:rPr>
        <w:t>, 1</w:t>
      </w:r>
      <w:r w:rsidR="000D0F51">
        <w:rPr>
          <w:lang w:val="lt-LT"/>
        </w:rPr>
        <w:t>6</w:t>
      </w:r>
      <w:r w:rsidR="00402D1E" w:rsidRPr="003B5E6B">
        <w:rPr>
          <w:lang w:val="lt-LT"/>
        </w:rPr>
        <w:t>,</w:t>
      </w:r>
      <w:r w:rsidR="000D0F51">
        <w:rPr>
          <w:lang w:val="lt-LT"/>
        </w:rPr>
        <w:t>6</w:t>
      </w:r>
      <w:r w:rsidR="0045594E">
        <w:rPr>
          <w:lang w:val="lt-LT"/>
        </w:rPr>
        <w:t> </w:t>
      </w:r>
      <w:r w:rsidR="00402D1E" w:rsidRPr="003B5E6B">
        <w:rPr>
          <w:lang w:val="lt-LT"/>
        </w:rPr>
        <w:t>proc.</w:t>
      </w:r>
      <w:r w:rsidR="0045594E">
        <w:rPr>
          <w:lang w:val="lt-LT"/>
        </w:rPr>
        <w:t> </w:t>
      </w:r>
      <w:r w:rsidR="00402D1E" w:rsidRPr="003B5E6B">
        <w:rPr>
          <w:lang w:val="lt-LT"/>
        </w:rPr>
        <w:t>– besimokantis</w:t>
      </w:r>
      <w:r w:rsidRPr="003B5E6B">
        <w:rPr>
          <w:lang w:val="lt-LT"/>
        </w:rPr>
        <w:t>15</w:t>
      </w:r>
      <w:r w:rsidR="000C477B" w:rsidRPr="003B5E6B">
        <w:rPr>
          <w:lang w:val="lt-LT"/>
        </w:rPr>
        <w:t>–</w:t>
      </w:r>
      <w:r w:rsidRPr="003B5E6B">
        <w:rPr>
          <w:lang w:val="lt-LT"/>
        </w:rPr>
        <w:t>24 metų amžiaus</w:t>
      </w:r>
      <w:r w:rsidR="00402D1E" w:rsidRPr="003B5E6B">
        <w:rPr>
          <w:lang w:val="lt-LT"/>
        </w:rPr>
        <w:t xml:space="preserve"> jaunimas.</w:t>
      </w:r>
    </w:p>
    <w:p w:rsidR="00D86C57" w:rsidRDefault="00D86C57">
      <w:pPr>
        <w:rPr>
          <w:b/>
          <w:lang w:val="lt-LT"/>
        </w:rPr>
      </w:pPr>
      <w:r>
        <w:rPr>
          <w:b/>
          <w:lang w:val="lt-LT"/>
        </w:rPr>
        <w:br w:type="page"/>
      </w:r>
    </w:p>
    <w:p w:rsidR="001C36F0" w:rsidRPr="0042435F" w:rsidRDefault="0070005B" w:rsidP="0045594E">
      <w:pPr>
        <w:pStyle w:val="Pagrtekstas"/>
        <w:ind w:firstLine="0"/>
        <w:rPr>
          <w:b/>
          <w:bCs/>
          <w:lang w:val="lt-LT"/>
        </w:rPr>
      </w:pPr>
      <w:r w:rsidRPr="0042435F">
        <w:rPr>
          <w:b/>
          <w:lang w:val="lt-LT"/>
        </w:rPr>
        <w:t>3</w:t>
      </w:r>
      <w:r w:rsidR="001C36F0" w:rsidRPr="0042435F">
        <w:rPr>
          <w:b/>
          <w:bCs/>
          <w:lang w:val="lt-LT"/>
        </w:rPr>
        <w:t xml:space="preserve"> lentelė. 15 metų ir vyresnių gyventojų ekonominis aktyvumas</w:t>
      </w:r>
    </w:p>
    <w:p w:rsidR="001C36F0" w:rsidRPr="0042435F" w:rsidRDefault="001C36F0" w:rsidP="0045594E">
      <w:pPr>
        <w:spacing w:after="60"/>
        <w:rPr>
          <w:lang w:val="lt-LT"/>
        </w:rPr>
      </w:pPr>
      <w:r w:rsidRPr="0042435F">
        <w:rPr>
          <w:lang w:val="lt-LT"/>
        </w:rPr>
        <w:t>Tūkstančiais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119"/>
        <w:gridCol w:w="1197"/>
        <w:gridCol w:w="1199"/>
        <w:gridCol w:w="879"/>
        <w:gridCol w:w="881"/>
        <w:gridCol w:w="881"/>
        <w:gridCol w:w="881"/>
      </w:tblGrid>
      <w:tr w:rsidR="001C36F0" w:rsidRPr="0042435F" w:rsidTr="006948CF">
        <w:trPr>
          <w:tblHeader/>
        </w:trPr>
        <w:tc>
          <w:tcPr>
            <w:tcW w:w="1548" w:type="pct"/>
            <w:vMerge w:val="restart"/>
            <w:shd w:val="clear" w:color="auto" w:fill="FCE0E6"/>
          </w:tcPr>
          <w:p w:rsidR="001C36F0" w:rsidRPr="0042435F" w:rsidRDefault="001C36F0" w:rsidP="006948CF">
            <w:pPr>
              <w:spacing w:before="40" w:after="40"/>
              <w:rPr>
                <w:rFonts w:cs="Arial"/>
                <w:color w:val="333333"/>
                <w:sz w:val="19"/>
                <w:szCs w:val="19"/>
                <w:lang w:val="lt-LT"/>
              </w:rPr>
            </w:pPr>
          </w:p>
        </w:tc>
        <w:tc>
          <w:tcPr>
            <w:tcW w:w="549" w:type="pct"/>
            <w:vMerge w:val="restart"/>
            <w:shd w:val="clear" w:color="auto" w:fill="FCE0E6"/>
          </w:tcPr>
          <w:p w:rsidR="001C36F0" w:rsidRPr="0042435F" w:rsidRDefault="001C36F0" w:rsidP="006948CF">
            <w:pPr>
              <w:spacing w:before="40" w:after="40"/>
              <w:rPr>
                <w:rFonts w:cs="Arial"/>
                <w:color w:val="333333"/>
                <w:sz w:val="19"/>
                <w:szCs w:val="19"/>
                <w:lang w:val="lt-LT"/>
              </w:rPr>
            </w:pPr>
            <w:r w:rsidRPr="0042435F">
              <w:rPr>
                <w:rFonts w:cs="Arial"/>
                <w:color w:val="333333"/>
                <w:sz w:val="19"/>
                <w:szCs w:val="19"/>
                <w:lang w:val="lt-LT"/>
              </w:rPr>
              <w:t>20</w:t>
            </w:r>
            <w:r w:rsidR="00893BD2" w:rsidRPr="0042435F">
              <w:rPr>
                <w:rFonts w:cs="Arial"/>
                <w:color w:val="333333"/>
                <w:sz w:val="19"/>
                <w:szCs w:val="19"/>
                <w:lang w:val="lt-LT"/>
              </w:rPr>
              <w:t>2</w:t>
            </w:r>
            <w:r w:rsidR="000D0F51">
              <w:rPr>
                <w:rFonts w:cs="Arial"/>
                <w:color w:val="333333"/>
                <w:sz w:val="19"/>
                <w:szCs w:val="19"/>
                <w:lang w:val="lt-LT"/>
              </w:rPr>
              <w:t>2</w:t>
            </w:r>
            <w:r w:rsidRPr="0042435F">
              <w:rPr>
                <w:rFonts w:cs="Arial"/>
                <w:color w:val="333333"/>
                <w:sz w:val="19"/>
                <w:szCs w:val="19"/>
                <w:lang w:val="lt-LT"/>
              </w:rPr>
              <w:t> m.</w:t>
            </w:r>
            <w:r w:rsidR="0045594E">
              <w:rPr>
                <w:rFonts w:cs="Arial"/>
                <w:color w:val="333333"/>
                <w:sz w:val="19"/>
                <w:szCs w:val="19"/>
                <w:lang w:val="lt-LT"/>
              </w:rPr>
              <w:t xml:space="preserve"> </w:t>
            </w: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w:t>
            </w:r>
          </w:p>
        </w:tc>
        <w:tc>
          <w:tcPr>
            <w:tcW w:w="1175" w:type="pct"/>
            <w:gridSpan w:val="2"/>
            <w:shd w:val="clear" w:color="auto" w:fill="FCE0E6"/>
          </w:tcPr>
          <w:p w:rsidR="001C36F0" w:rsidRPr="0042435F" w:rsidRDefault="0026258E" w:rsidP="006948CF">
            <w:pPr>
              <w:spacing w:before="40" w:after="40"/>
              <w:rPr>
                <w:rFonts w:cs="Arial"/>
                <w:color w:val="333333"/>
                <w:sz w:val="19"/>
                <w:szCs w:val="19"/>
                <w:lang w:val="lt-LT"/>
              </w:rPr>
            </w:pPr>
            <w:r w:rsidRPr="0042435F">
              <w:rPr>
                <w:rFonts w:cs="Arial"/>
                <w:color w:val="333333"/>
                <w:sz w:val="19"/>
                <w:szCs w:val="19"/>
                <w:lang w:val="lt-LT"/>
              </w:rPr>
              <w:t>20</w:t>
            </w:r>
            <w:r w:rsidR="007F5E8C">
              <w:rPr>
                <w:rFonts w:cs="Arial"/>
                <w:color w:val="333333"/>
                <w:sz w:val="19"/>
                <w:szCs w:val="19"/>
                <w:lang w:val="lt-LT"/>
              </w:rPr>
              <w:t>2</w:t>
            </w:r>
            <w:r w:rsidR="000D0F51">
              <w:rPr>
                <w:rFonts w:cs="Arial"/>
                <w:color w:val="333333"/>
                <w:sz w:val="19"/>
                <w:szCs w:val="19"/>
                <w:lang w:val="lt-LT"/>
              </w:rPr>
              <w:t>1</w:t>
            </w:r>
            <w:r w:rsidR="001C36F0" w:rsidRPr="0042435F">
              <w:rPr>
                <w:rFonts w:cs="Arial"/>
                <w:color w:val="333333"/>
                <w:sz w:val="19"/>
                <w:szCs w:val="19"/>
                <w:lang w:val="lt-LT"/>
              </w:rPr>
              <w:t> m.</w:t>
            </w:r>
          </w:p>
        </w:tc>
        <w:tc>
          <w:tcPr>
            <w:tcW w:w="1727" w:type="pct"/>
            <w:gridSpan w:val="4"/>
            <w:shd w:val="clear" w:color="auto" w:fill="FCE0E6"/>
          </w:tcPr>
          <w:p w:rsidR="001C36F0" w:rsidRPr="0042435F" w:rsidRDefault="001C36F0" w:rsidP="006948CF">
            <w:pPr>
              <w:spacing w:before="40" w:after="40"/>
              <w:rPr>
                <w:rFonts w:cs="Arial"/>
                <w:color w:val="333333"/>
                <w:sz w:val="19"/>
                <w:szCs w:val="19"/>
                <w:lang w:val="lt-LT"/>
              </w:rPr>
            </w:pPr>
            <w:r w:rsidRPr="0042435F">
              <w:rPr>
                <w:rFonts w:cs="Arial"/>
                <w:color w:val="333333"/>
                <w:sz w:val="19"/>
                <w:szCs w:val="19"/>
                <w:lang w:val="lt-LT"/>
              </w:rPr>
              <w:t>Padidėjimas, sumažėjimas (–) 20</w:t>
            </w:r>
            <w:r w:rsidR="00893BD2" w:rsidRPr="0042435F">
              <w:rPr>
                <w:rFonts w:cs="Arial"/>
                <w:color w:val="333333"/>
                <w:sz w:val="19"/>
                <w:szCs w:val="19"/>
                <w:lang w:val="lt-LT"/>
              </w:rPr>
              <w:t>2</w:t>
            </w:r>
            <w:r w:rsidR="000D0F51">
              <w:rPr>
                <w:rFonts w:cs="Arial"/>
                <w:color w:val="333333"/>
                <w:sz w:val="19"/>
                <w:szCs w:val="19"/>
                <w:lang w:val="lt-LT"/>
              </w:rPr>
              <w:t>2</w:t>
            </w:r>
            <w:r w:rsidRPr="0042435F">
              <w:rPr>
                <w:rFonts w:cs="Arial"/>
                <w:color w:val="333333"/>
                <w:sz w:val="19"/>
                <w:szCs w:val="19"/>
                <w:lang w:val="lt-LT"/>
              </w:rPr>
              <w:t> m.</w:t>
            </w:r>
            <w:r w:rsidR="0045594E">
              <w:rPr>
                <w:rFonts w:cs="Arial"/>
                <w:color w:val="333333"/>
                <w:sz w:val="19"/>
                <w:szCs w:val="19"/>
                <w:lang w:val="lt-LT"/>
              </w:rPr>
              <w:t> </w:t>
            </w:r>
            <w:r w:rsidRPr="0042435F">
              <w:rPr>
                <w:rFonts w:cs="Arial"/>
                <w:color w:val="333333"/>
                <w:sz w:val="19"/>
                <w:szCs w:val="19"/>
                <w:lang w:val="lt-LT"/>
              </w:rPr>
              <w:t>I</w:t>
            </w:r>
            <w:r w:rsidR="0045594E">
              <w:rPr>
                <w:rFonts w:cs="Arial"/>
                <w:color w:val="333333"/>
                <w:sz w:val="19"/>
                <w:szCs w:val="19"/>
                <w:lang w:val="lt-LT"/>
              </w:rPr>
              <w:t> </w:t>
            </w:r>
            <w:r w:rsidRPr="0042435F">
              <w:rPr>
                <w:rFonts w:cs="Arial"/>
                <w:color w:val="333333"/>
                <w:sz w:val="19"/>
                <w:szCs w:val="19"/>
                <w:lang w:val="lt-LT"/>
              </w:rPr>
              <w:t>ketv., palyginti su</w:t>
            </w:r>
          </w:p>
        </w:tc>
      </w:tr>
      <w:tr w:rsidR="001C36F0" w:rsidRPr="0042435F" w:rsidTr="006948CF">
        <w:trPr>
          <w:tblHeader/>
        </w:trPr>
        <w:tc>
          <w:tcPr>
            <w:tcW w:w="1548" w:type="pct"/>
            <w:vMerge/>
            <w:shd w:val="clear" w:color="auto" w:fill="FCE0E6"/>
          </w:tcPr>
          <w:p w:rsidR="001C36F0" w:rsidRPr="0042435F" w:rsidRDefault="001C36F0" w:rsidP="006948CF">
            <w:pPr>
              <w:spacing w:before="40" w:after="40"/>
              <w:rPr>
                <w:rFonts w:cs="Arial"/>
                <w:color w:val="333333"/>
                <w:sz w:val="19"/>
                <w:szCs w:val="19"/>
                <w:lang w:val="lt-LT"/>
              </w:rPr>
            </w:pPr>
          </w:p>
        </w:tc>
        <w:tc>
          <w:tcPr>
            <w:tcW w:w="549" w:type="pct"/>
            <w:vMerge/>
            <w:shd w:val="clear" w:color="auto" w:fill="FCE0E6"/>
          </w:tcPr>
          <w:p w:rsidR="001C36F0" w:rsidRPr="0042435F" w:rsidRDefault="001C36F0" w:rsidP="006948CF">
            <w:pPr>
              <w:spacing w:before="40" w:after="40"/>
              <w:rPr>
                <w:rFonts w:cs="Arial"/>
                <w:color w:val="333333"/>
                <w:sz w:val="19"/>
                <w:szCs w:val="19"/>
                <w:lang w:val="lt-LT"/>
              </w:rPr>
            </w:pPr>
          </w:p>
        </w:tc>
        <w:tc>
          <w:tcPr>
            <w:tcW w:w="587" w:type="pct"/>
            <w:vMerge w:val="restart"/>
            <w:shd w:val="clear" w:color="auto" w:fill="FCE0E6"/>
          </w:tcPr>
          <w:p w:rsidR="001C36F0" w:rsidRPr="0042435F" w:rsidRDefault="00771903" w:rsidP="006948CF">
            <w:pPr>
              <w:spacing w:before="40" w:after="40"/>
              <w:rPr>
                <w:rFonts w:cs="Arial"/>
                <w:color w:val="333333"/>
                <w:sz w:val="19"/>
                <w:szCs w:val="19"/>
                <w:lang w:val="lt-LT"/>
              </w:rPr>
            </w:pPr>
            <w:r w:rsidRPr="00771903">
              <w:rPr>
                <w:rFonts w:cs="Arial"/>
                <w:color w:val="333333"/>
                <w:sz w:val="19"/>
                <w:szCs w:val="19"/>
                <w:lang w:val="lt-LT"/>
              </w:rPr>
              <w:t>I ketv.</w:t>
            </w:r>
          </w:p>
        </w:tc>
        <w:tc>
          <w:tcPr>
            <w:tcW w:w="588" w:type="pct"/>
            <w:vMerge w:val="restart"/>
            <w:shd w:val="clear" w:color="auto" w:fill="FCE0E6"/>
          </w:tcPr>
          <w:p w:rsidR="001C36F0" w:rsidRPr="0042435F" w:rsidRDefault="001C36F0" w:rsidP="006948CF">
            <w:pPr>
              <w:spacing w:before="40" w:after="40"/>
              <w:rPr>
                <w:rFonts w:cs="Arial"/>
                <w:color w:val="333333"/>
                <w:sz w:val="19"/>
                <w:szCs w:val="19"/>
                <w:lang w:val="lt-LT"/>
              </w:rPr>
            </w:pPr>
            <w:r w:rsidRPr="0042435F">
              <w:rPr>
                <w:rFonts w:cs="Arial"/>
                <w:color w:val="333333"/>
                <w:sz w:val="19"/>
                <w:szCs w:val="19"/>
                <w:lang w:val="lt-LT"/>
              </w:rPr>
              <w:t>IV ketv.</w:t>
            </w:r>
          </w:p>
        </w:tc>
        <w:tc>
          <w:tcPr>
            <w:tcW w:w="863" w:type="pct"/>
            <w:gridSpan w:val="2"/>
            <w:shd w:val="clear" w:color="auto" w:fill="FCE0E6"/>
          </w:tcPr>
          <w:p w:rsidR="001C36F0" w:rsidRPr="0042435F" w:rsidRDefault="000D0F51" w:rsidP="006948CF">
            <w:pPr>
              <w:spacing w:before="40" w:after="40"/>
              <w:rPr>
                <w:rFonts w:cs="Arial"/>
                <w:color w:val="333333"/>
                <w:sz w:val="19"/>
                <w:szCs w:val="19"/>
                <w:lang w:val="lt-LT"/>
              </w:rPr>
            </w:pPr>
            <w:r>
              <w:rPr>
                <w:rFonts w:cs="Arial"/>
                <w:color w:val="333333"/>
                <w:sz w:val="19"/>
                <w:szCs w:val="19"/>
                <w:lang w:val="lt-LT"/>
              </w:rPr>
              <w:t xml:space="preserve">2021 m. </w:t>
            </w:r>
            <w:r w:rsidR="001C36F0" w:rsidRPr="0042435F">
              <w:rPr>
                <w:rFonts w:cs="Arial"/>
                <w:color w:val="333333"/>
                <w:sz w:val="19"/>
                <w:szCs w:val="19"/>
                <w:lang w:val="lt-LT"/>
              </w:rPr>
              <w:t>I ketv.</w:t>
            </w:r>
          </w:p>
        </w:tc>
        <w:tc>
          <w:tcPr>
            <w:tcW w:w="864" w:type="pct"/>
            <w:gridSpan w:val="2"/>
            <w:shd w:val="clear" w:color="auto" w:fill="FCE0E6"/>
          </w:tcPr>
          <w:p w:rsidR="001C36F0" w:rsidRPr="0042435F" w:rsidRDefault="000D0F51" w:rsidP="006948CF">
            <w:pPr>
              <w:spacing w:before="40" w:after="40"/>
              <w:rPr>
                <w:rFonts w:cs="Arial"/>
                <w:color w:val="333333"/>
                <w:sz w:val="19"/>
                <w:szCs w:val="19"/>
                <w:lang w:val="lt-LT"/>
              </w:rPr>
            </w:pPr>
            <w:r>
              <w:rPr>
                <w:rFonts w:cs="Arial"/>
                <w:color w:val="333333"/>
                <w:sz w:val="19"/>
                <w:szCs w:val="19"/>
                <w:lang w:val="lt-LT"/>
              </w:rPr>
              <w:t xml:space="preserve">2021 m. </w:t>
            </w:r>
            <w:r w:rsidR="001C36F0" w:rsidRPr="0042435F">
              <w:rPr>
                <w:rFonts w:cs="Arial"/>
                <w:color w:val="333333"/>
                <w:sz w:val="19"/>
                <w:szCs w:val="19"/>
                <w:lang w:val="lt-LT"/>
              </w:rPr>
              <w:t>IV ketv.</w:t>
            </w:r>
          </w:p>
        </w:tc>
      </w:tr>
      <w:tr w:rsidR="00C60209" w:rsidRPr="0042435F" w:rsidTr="006948CF">
        <w:trPr>
          <w:tblHeader/>
        </w:trPr>
        <w:tc>
          <w:tcPr>
            <w:tcW w:w="1548" w:type="pct"/>
            <w:vMerge/>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lt-LT"/>
              </w:rPr>
            </w:pPr>
          </w:p>
        </w:tc>
        <w:tc>
          <w:tcPr>
            <w:tcW w:w="549" w:type="pct"/>
            <w:vMerge/>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lt-LT"/>
              </w:rPr>
            </w:pPr>
          </w:p>
        </w:tc>
        <w:tc>
          <w:tcPr>
            <w:tcW w:w="587" w:type="pct"/>
            <w:vMerge/>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lt-LT"/>
              </w:rPr>
            </w:pPr>
          </w:p>
        </w:tc>
        <w:tc>
          <w:tcPr>
            <w:tcW w:w="588" w:type="pct"/>
            <w:vMerge/>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lt-LT"/>
              </w:rPr>
            </w:pPr>
          </w:p>
        </w:tc>
        <w:tc>
          <w:tcPr>
            <w:tcW w:w="431" w:type="pct"/>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lt-LT"/>
              </w:rPr>
            </w:pPr>
            <w:r w:rsidRPr="0042435F">
              <w:rPr>
                <w:rFonts w:cs="Arial"/>
                <w:color w:val="333333"/>
                <w:sz w:val="19"/>
                <w:szCs w:val="19"/>
                <w:lang w:val="lt-LT"/>
              </w:rPr>
              <w:t>tūkst.</w:t>
            </w:r>
          </w:p>
        </w:tc>
        <w:tc>
          <w:tcPr>
            <w:tcW w:w="432" w:type="pct"/>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en-US"/>
              </w:rPr>
            </w:pPr>
            <w:r w:rsidRPr="0042435F">
              <w:rPr>
                <w:rFonts w:cs="Arial"/>
                <w:color w:val="333333"/>
                <w:sz w:val="19"/>
                <w:szCs w:val="19"/>
                <w:lang w:val="en-US"/>
              </w:rPr>
              <w:t>%</w:t>
            </w:r>
          </w:p>
        </w:tc>
        <w:tc>
          <w:tcPr>
            <w:tcW w:w="432" w:type="pct"/>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lt-LT"/>
              </w:rPr>
            </w:pPr>
            <w:r w:rsidRPr="0042435F">
              <w:rPr>
                <w:rFonts w:cs="Arial"/>
                <w:color w:val="333333"/>
                <w:sz w:val="19"/>
                <w:szCs w:val="19"/>
                <w:lang w:val="lt-LT"/>
              </w:rPr>
              <w:t>tūkst.</w:t>
            </w:r>
          </w:p>
        </w:tc>
        <w:tc>
          <w:tcPr>
            <w:tcW w:w="432" w:type="pct"/>
            <w:tcBorders>
              <w:bottom w:val="single" w:sz="4" w:space="0" w:color="000000"/>
            </w:tcBorders>
            <w:shd w:val="clear" w:color="auto" w:fill="FCE0E6"/>
          </w:tcPr>
          <w:p w:rsidR="00C60209" w:rsidRPr="0042435F" w:rsidRDefault="00C60209" w:rsidP="006948CF">
            <w:pPr>
              <w:spacing w:before="40" w:after="40"/>
              <w:rPr>
                <w:rFonts w:cs="Arial"/>
                <w:color w:val="333333"/>
                <w:sz w:val="19"/>
                <w:szCs w:val="19"/>
                <w:lang w:val="en-US"/>
              </w:rPr>
            </w:pPr>
            <w:r w:rsidRPr="0042435F">
              <w:rPr>
                <w:rFonts w:cs="Arial"/>
                <w:color w:val="333333"/>
                <w:sz w:val="19"/>
                <w:szCs w:val="19"/>
                <w:lang w:val="en-US"/>
              </w:rPr>
              <w:t>%</w:t>
            </w:r>
          </w:p>
        </w:tc>
      </w:tr>
      <w:tr w:rsidR="007F5E8C" w:rsidRPr="0042435F" w:rsidTr="0045594E">
        <w:tc>
          <w:tcPr>
            <w:tcW w:w="1548" w:type="pct"/>
            <w:tcBorders>
              <w:bottom w:val="nil"/>
            </w:tcBorders>
            <w:vAlign w:val="bottom"/>
          </w:tcPr>
          <w:p w:rsidR="007F5E8C" w:rsidRPr="0042435F" w:rsidRDefault="007F5E8C" w:rsidP="006948CF">
            <w:pPr>
              <w:spacing w:before="40" w:after="40"/>
              <w:rPr>
                <w:rFonts w:cs="Arial"/>
                <w:color w:val="333333"/>
                <w:sz w:val="19"/>
                <w:szCs w:val="19"/>
                <w:lang w:val="lt-LT"/>
              </w:rPr>
            </w:pPr>
            <w:r w:rsidRPr="0042435F">
              <w:rPr>
                <w:rFonts w:cs="Arial"/>
                <w:color w:val="333333"/>
                <w:sz w:val="19"/>
                <w:szCs w:val="19"/>
                <w:lang w:val="lt-LT"/>
              </w:rPr>
              <w:t>Darbo jėga</w:t>
            </w:r>
          </w:p>
        </w:tc>
        <w:tc>
          <w:tcPr>
            <w:tcW w:w="549" w:type="pct"/>
            <w:tcBorders>
              <w:bottom w:val="nil"/>
            </w:tcBorders>
            <w:vAlign w:val="bottom"/>
          </w:tcPr>
          <w:p w:rsidR="007F5E8C" w:rsidRPr="0042435F" w:rsidRDefault="00C22EA0" w:rsidP="006948CF">
            <w:pPr>
              <w:spacing w:before="40" w:after="40"/>
              <w:jc w:val="right"/>
              <w:rPr>
                <w:rFonts w:cs="Arial"/>
                <w:color w:val="333333"/>
                <w:sz w:val="19"/>
                <w:szCs w:val="19"/>
                <w:lang w:val="lt-LT"/>
              </w:rPr>
            </w:pPr>
            <w:r>
              <w:rPr>
                <w:rFonts w:cs="Arial"/>
                <w:color w:val="333333"/>
                <w:sz w:val="19"/>
                <w:szCs w:val="19"/>
                <w:lang w:val="lt-LT"/>
              </w:rPr>
              <w:t>1</w:t>
            </w:r>
            <w:r w:rsidR="0045594E">
              <w:rPr>
                <w:rFonts w:cs="Arial"/>
                <w:color w:val="333333"/>
                <w:sz w:val="19"/>
                <w:szCs w:val="19"/>
                <w:lang w:val="lt-LT"/>
              </w:rPr>
              <w:t> </w:t>
            </w:r>
            <w:r>
              <w:rPr>
                <w:rFonts w:cs="Arial"/>
                <w:color w:val="333333"/>
                <w:sz w:val="19"/>
                <w:szCs w:val="19"/>
                <w:lang w:val="lt-LT"/>
              </w:rPr>
              <w:t>4</w:t>
            </w:r>
            <w:r w:rsidR="000D0F51">
              <w:rPr>
                <w:rFonts w:cs="Arial"/>
                <w:color w:val="333333"/>
                <w:sz w:val="19"/>
                <w:szCs w:val="19"/>
                <w:lang w:val="lt-LT"/>
              </w:rPr>
              <w:t>74</w:t>
            </w:r>
            <w:r>
              <w:rPr>
                <w:rFonts w:cs="Arial"/>
                <w:color w:val="333333"/>
                <w:sz w:val="19"/>
                <w:szCs w:val="19"/>
                <w:lang w:val="lt-LT"/>
              </w:rPr>
              <w:t>,</w:t>
            </w:r>
            <w:r w:rsidR="000D0F51">
              <w:rPr>
                <w:rFonts w:cs="Arial"/>
                <w:color w:val="333333"/>
                <w:sz w:val="19"/>
                <w:szCs w:val="19"/>
                <w:lang w:val="lt-LT"/>
              </w:rPr>
              <w:t>1</w:t>
            </w:r>
          </w:p>
        </w:tc>
        <w:tc>
          <w:tcPr>
            <w:tcW w:w="587" w:type="pct"/>
            <w:tcBorders>
              <w:bottom w:val="nil"/>
            </w:tcBorders>
            <w:vAlign w:val="bottom"/>
          </w:tcPr>
          <w:p w:rsidR="007F5E8C" w:rsidRPr="0042435F" w:rsidRDefault="007F5E8C" w:rsidP="006948CF">
            <w:pPr>
              <w:spacing w:before="40" w:after="40"/>
              <w:jc w:val="right"/>
              <w:rPr>
                <w:rFonts w:cs="Arial"/>
                <w:color w:val="333333"/>
                <w:sz w:val="19"/>
                <w:szCs w:val="19"/>
                <w:lang w:val="lt-LT"/>
              </w:rPr>
            </w:pPr>
            <w:r w:rsidRPr="0042435F">
              <w:rPr>
                <w:rFonts w:cs="Arial"/>
                <w:color w:val="333333"/>
                <w:sz w:val="19"/>
                <w:szCs w:val="19"/>
                <w:lang w:val="lt-LT"/>
              </w:rPr>
              <w:t>1</w:t>
            </w:r>
            <w:r w:rsidR="0045594E">
              <w:rPr>
                <w:rFonts w:cs="Arial"/>
                <w:color w:val="333333"/>
                <w:sz w:val="19"/>
                <w:szCs w:val="19"/>
                <w:lang w:val="lt-LT"/>
              </w:rPr>
              <w:t> </w:t>
            </w:r>
            <w:r w:rsidRPr="0042435F">
              <w:rPr>
                <w:rFonts w:cs="Arial"/>
                <w:color w:val="333333"/>
                <w:sz w:val="19"/>
                <w:szCs w:val="19"/>
                <w:lang w:val="lt-LT"/>
              </w:rPr>
              <w:t>4</w:t>
            </w:r>
            <w:r w:rsidR="000D0F51">
              <w:rPr>
                <w:rFonts w:cs="Arial"/>
                <w:color w:val="333333"/>
                <w:sz w:val="19"/>
                <w:szCs w:val="19"/>
                <w:lang w:val="lt-LT"/>
              </w:rPr>
              <w:t>60</w:t>
            </w:r>
            <w:r w:rsidRPr="0042435F">
              <w:rPr>
                <w:rFonts w:cs="Arial"/>
                <w:color w:val="333333"/>
                <w:sz w:val="19"/>
                <w:szCs w:val="19"/>
                <w:lang w:val="lt-LT"/>
              </w:rPr>
              <w:t>,</w:t>
            </w:r>
            <w:r w:rsidR="000D0F51">
              <w:rPr>
                <w:rFonts w:cs="Arial"/>
                <w:color w:val="333333"/>
                <w:sz w:val="19"/>
                <w:szCs w:val="19"/>
                <w:lang w:val="lt-LT"/>
              </w:rPr>
              <w:t>6</w:t>
            </w:r>
          </w:p>
        </w:tc>
        <w:tc>
          <w:tcPr>
            <w:tcW w:w="588" w:type="pct"/>
            <w:tcBorders>
              <w:bottom w:val="nil"/>
            </w:tcBorders>
            <w:vAlign w:val="bottom"/>
          </w:tcPr>
          <w:p w:rsidR="007F5E8C" w:rsidRPr="0042435F" w:rsidRDefault="007C4BBD" w:rsidP="006948CF">
            <w:pPr>
              <w:spacing w:before="40" w:after="40"/>
              <w:jc w:val="right"/>
              <w:rPr>
                <w:rFonts w:cs="Arial"/>
                <w:color w:val="333333"/>
                <w:sz w:val="19"/>
                <w:szCs w:val="19"/>
                <w:lang w:val="lt-LT"/>
              </w:rPr>
            </w:pPr>
            <w:r>
              <w:rPr>
                <w:rFonts w:cs="Arial"/>
                <w:color w:val="333333"/>
                <w:sz w:val="19"/>
                <w:szCs w:val="19"/>
                <w:lang w:val="lt-LT"/>
              </w:rPr>
              <w:t>1</w:t>
            </w:r>
            <w:r w:rsidR="00DF3EFB">
              <w:rPr>
                <w:rFonts w:cs="Arial"/>
                <w:color w:val="333333"/>
                <w:sz w:val="19"/>
                <w:szCs w:val="19"/>
                <w:lang w:val="lt-LT"/>
              </w:rPr>
              <w:t> </w:t>
            </w:r>
            <w:r>
              <w:rPr>
                <w:rFonts w:cs="Arial"/>
                <w:color w:val="333333"/>
                <w:sz w:val="19"/>
                <w:szCs w:val="19"/>
                <w:lang w:val="lt-LT"/>
              </w:rPr>
              <w:t>4</w:t>
            </w:r>
            <w:r w:rsidR="00DF3EFB">
              <w:rPr>
                <w:rFonts w:cs="Arial"/>
                <w:color w:val="333333"/>
                <w:sz w:val="19"/>
                <w:szCs w:val="19"/>
                <w:lang w:val="lt-LT"/>
              </w:rPr>
              <w:t>78,7</w:t>
            </w:r>
          </w:p>
        </w:tc>
        <w:tc>
          <w:tcPr>
            <w:tcW w:w="431" w:type="pct"/>
            <w:tcBorders>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13,5</w:t>
            </w:r>
          </w:p>
        </w:tc>
        <w:tc>
          <w:tcPr>
            <w:tcW w:w="432" w:type="pct"/>
            <w:tcBorders>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0,9</w:t>
            </w:r>
          </w:p>
        </w:tc>
        <w:tc>
          <w:tcPr>
            <w:tcW w:w="432" w:type="pct"/>
            <w:tcBorders>
              <w:bottom w:val="nil"/>
            </w:tcBorders>
            <w:vAlign w:val="bottom"/>
          </w:tcPr>
          <w:p w:rsidR="007F5E8C" w:rsidRPr="0042435F" w:rsidRDefault="00B754EF" w:rsidP="006948CF">
            <w:pPr>
              <w:spacing w:before="40" w:after="40"/>
              <w:jc w:val="right"/>
              <w:rPr>
                <w:rFonts w:cs="Arial"/>
                <w:color w:val="333333"/>
                <w:sz w:val="19"/>
                <w:szCs w:val="19"/>
                <w:lang w:val="lt-LT"/>
              </w:rPr>
            </w:pPr>
            <w:r>
              <w:rPr>
                <w:rFonts w:cs="Arial"/>
                <w:color w:val="333333"/>
                <w:sz w:val="19"/>
                <w:szCs w:val="19"/>
                <w:lang w:val="lt-LT"/>
              </w:rPr>
              <w:t>–</w:t>
            </w:r>
            <w:r w:rsidR="00DF3EFB">
              <w:rPr>
                <w:rFonts w:cs="Arial"/>
                <w:color w:val="333333"/>
                <w:sz w:val="19"/>
                <w:szCs w:val="19"/>
                <w:lang w:val="lt-LT"/>
              </w:rPr>
              <w:t>4,6</w:t>
            </w:r>
          </w:p>
        </w:tc>
        <w:tc>
          <w:tcPr>
            <w:tcW w:w="432" w:type="pct"/>
            <w:tcBorders>
              <w:bottom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w:t>
            </w:r>
            <w:r w:rsidR="00DF3EFB">
              <w:rPr>
                <w:rFonts w:cs="Arial"/>
                <w:color w:val="333333"/>
                <w:sz w:val="19"/>
                <w:szCs w:val="19"/>
                <w:lang w:val="lt-LT"/>
              </w:rPr>
              <w:t>0,3</w:t>
            </w:r>
          </w:p>
        </w:tc>
      </w:tr>
      <w:tr w:rsidR="007F5E8C" w:rsidRPr="0042435F" w:rsidTr="0045594E">
        <w:tc>
          <w:tcPr>
            <w:tcW w:w="1548" w:type="pct"/>
            <w:tcBorders>
              <w:top w:val="nil"/>
              <w:bottom w:val="nil"/>
            </w:tcBorders>
            <w:vAlign w:val="bottom"/>
          </w:tcPr>
          <w:p w:rsidR="007F5E8C" w:rsidRPr="0042435F" w:rsidRDefault="007F5E8C" w:rsidP="006948CF">
            <w:pPr>
              <w:spacing w:before="40" w:after="40"/>
              <w:rPr>
                <w:rFonts w:cs="Arial"/>
                <w:color w:val="333333"/>
                <w:sz w:val="19"/>
                <w:szCs w:val="19"/>
                <w:lang w:val="lt-LT"/>
              </w:rPr>
            </w:pPr>
            <w:r w:rsidRPr="0053794B">
              <w:rPr>
                <w:rFonts w:cs="Arial"/>
                <w:sz w:val="19"/>
                <w:szCs w:val="19"/>
                <w:lang w:val="lt-LT"/>
              </w:rPr>
              <w:t>Užimti gyventojai</w:t>
            </w:r>
          </w:p>
        </w:tc>
        <w:tc>
          <w:tcPr>
            <w:tcW w:w="549" w:type="pct"/>
            <w:tcBorders>
              <w:top w:val="nil"/>
              <w:bottom w:val="nil"/>
            </w:tcBorders>
            <w:vAlign w:val="bottom"/>
          </w:tcPr>
          <w:p w:rsidR="007F5E8C" w:rsidRPr="0042435F" w:rsidRDefault="00C22EA0" w:rsidP="006948CF">
            <w:pPr>
              <w:spacing w:before="40" w:after="40"/>
              <w:jc w:val="right"/>
              <w:rPr>
                <w:rFonts w:cs="Arial"/>
                <w:color w:val="333333"/>
                <w:sz w:val="19"/>
                <w:szCs w:val="19"/>
                <w:lang w:val="lt-LT"/>
              </w:rPr>
            </w:pPr>
            <w:r>
              <w:rPr>
                <w:rFonts w:cs="Arial"/>
                <w:color w:val="333333"/>
                <w:sz w:val="19"/>
                <w:szCs w:val="19"/>
                <w:lang w:val="lt-LT"/>
              </w:rPr>
              <w:t>1</w:t>
            </w:r>
            <w:r w:rsidR="0045594E">
              <w:rPr>
                <w:rFonts w:cs="Arial"/>
                <w:color w:val="333333"/>
                <w:sz w:val="19"/>
                <w:szCs w:val="19"/>
                <w:lang w:val="lt-LT"/>
              </w:rPr>
              <w:t> </w:t>
            </w:r>
            <w:r>
              <w:rPr>
                <w:rFonts w:cs="Arial"/>
                <w:color w:val="333333"/>
                <w:sz w:val="19"/>
                <w:szCs w:val="19"/>
                <w:lang w:val="lt-LT"/>
              </w:rPr>
              <w:t>3</w:t>
            </w:r>
            <w:r w:rsidR="000D0F51">
              <w:rPr>
                <w:rFonts w:cs="Arial"/>
                <w:color w:val="333333"/>
                <w:sz w:val="19"/>
                <w:szCs w:val="19"/>
                <w:lang w:val="lt-LT"/>
              </w:rPr>
              <w:t>80</w:t>
            </w:r>
            <w:r>
              <w:rPr>
                <w:rFonts w:cs="Arial"/>
                <w:color w:val="333333"/>
                <w:sz w:val="19"/>
                <w:szCs w:val="19"/>
                <w:lang w:val="lt-LT"/>
              </w:rPr>
              <w:t>,</w:t>
            </w:r>
            <w:r w:rsidR="000D0F51">
              <w:rPr>
                <w:rFonts w:cs="Arial"/>
                <w:color w:val="333333"/>
                <w:sz w:val="19"/>
                <w:szCs w:val="19"/>
                <w:lang w:val="lt-LT"/>
              </w:rPr>
              <w:t>6</w:t>
            </w:r>
          </w:p>
        </w:tc>
        <w:tc>
          <w:tcPr>
            <w:tcW w:w="587" w:type="pct"/>
            <w:tcBorders>
              <w:top w:val="nil"/>
              <w:bottom w:val="nil"/>
            </w:tcBorders>
            <w:vAlign w:val="bottom"/>
          </w:tcPr>
          <w:p w:rsidR="007F5E8C" w:rsidRPr="0042435F" w:rsidRDefault="007F5E8C" w:rsidP="006948CF">
            <w:pPr>
              <w:spacing w:before="40" w:after="40"/>
              <w:jc w:val="right"/>
              <w:rPr>
                <w:rFonts w:cs="Arial"/>
                <w:color w:val="333333"/>
                <w:sz w:val="19"/>
                <w:szCs w:val="19"/>
                <w:lang w:val="lt-LT"/>
              </w:rPr>
            </w:pPr>
            <w:r w:rsidRPr="0042435F">
              <w:rPr>
                <w:rFonts w:cs="Arial"/>
                <w:color w:val="333333"/>
                <w:sz w:val="19"/>
                <w:szCs w:val="19"/>
                <w:lang w:val="lt-LT"/>
              </w:rPr>
              <w:t>1</w:t>
            </w:r>
            <w:r w:rsidR="0045594E">
              <w:rPr>
                <w:rFonts w:cs="Arial"/>
                <w:color w:val="333333"/>
                <w:sz w:val="19"/>
                <w:szCs w:val="19"/>
                <w:lang w:val="lt-LT"/>
              </w:rPr>
              <w:t> </w:t>
            </w:r>
            <w:r w:rsidRPr="0042435F">
              <w:rPr>
                <w:rFonts w:cs="Arial"/>
                <w:color w:val="333333"/>
                <w:sz w:val="19"/>
                <w:szCs w:val="19"/>
                <w:lang w:val="lt-LT"/>
              </w:rPr>
              <w:t>3</w:t>
            </w:r>
            <w:r w:rsidR="000D0F51">
              <w:rPr>
                <w:rFonts w:cs="Arial"/>
                <w:color w:val="333333"/>
                <w:sz w:val="19"/>
                <w:szCs w:val="19"/>
                <w:lang w:val="lt-LT"/>
              </w:rPr>
              <w:t>51</w:t>
            </w:r>
            <w:r w:rsidRPr="0042435F">
              <w:rPr>
                <w:rFonts w:cs="Arial"/>
                <w:color w:val="333333"/>
                <w:sz w:val="19"/>
                <w:szCs w:val="19"/>
                <w:lang w:val="lt-LT"/>
              </w:rPr>
              <w:t>,</w:t>
            </w:r>
            <w:r w:rsidR="000D0F51">
              <w:rPr>
                <w:rFonts w:cs="Arial"/>
                <w:color w:val="333333"/>
                <w:sz w:val="19"/>
                <w:szCs w:val="19"/>
                <w:lang w:val="lt-LT"/>
              </w:rPr>
              <w:t>8</w:t>
            </w:r>
          </w:p>
        </w:tc>
        <w:tc>
          <w:tcPr>
            <w:tcW w:w="588" w:type="pct"/>
            <w:tcBorders>
              <w:top w:val="nil"/>
              <w:bottom w:val="nil"/>
            </w:tcBorders>
            <w:vAlign w:val="bottom"/>
          </w:tcPr>
          <w:p w:rsidR="007F5E8C" w:rsidRPr="0042435F" w:rsidRDefault="007C4BBD" w:rsidP="006948CF">
            <w:pPr>
              <w:spacing w:before="40" w:after="40"/>
              <w:jc w:val="right"/>
              <w:rPr>
                <w:rFonts w:cs="Arial"/>
                <w:color w:val="333333"/>
                <w:sz w:val="19"/>
                <w:szCs w:val="19"/>
                <w:lang w:val="lt-LT"/>
              </w:rPr>
            </w:pPr>
            <w:r>
              <w:rPr>
                <w:rFonts w:cs="Arial"/>
                <w:color w:val="333333"/>
                <w:sz w:val="19"/>
                <w:szCs w:val="19"/>
                <w:lang w:val="lt-LT"/>
              </w:rPr>
              <w:t>1</w:t>
            </w:r>
            <w:r w:rsidR="00DF3EFB">
              <w:rPr>
                <w:rFonts w:cs="Arial"/>
                <w:color w:val="333333"/>
                <w:sz w:val="19"/>
                <w:szCs w:val="19"/>
                <w:lang w:val="lt-LT"/>
              </w:rPr>
              <w:t> </w:t>
            </w:r>
            <w:r>
              <w:rPr>
                <w:rFonts w:cs="Arial"/>
                <w:color w:val="333333"/>
                <w:sz w:val="19"/>
                <w:szCs w:val="19"/>
                <w:lang w:val="lt-LT"/>
              </w:rPr>
              <w:t>3</w:t>
            </w:r>
            <w:r w:rsidR="00DF3EFB">
              <w:rPr>
                <w:rFonts w:cs="Arial"/>
                <w:color w:val="333333"/>
                <w:sz w:val="19"/>
                <w:szCs w:val="19"/>
                <w:lang w:val="lt-LT"/>
              </w:rPr>
              <w:t>75,8</w:t>
            </w:r>
          </w:p>
        </w:tc>
        <w:tc>
          <w:tcPr>
            <w:tcW w:w="431"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28,8</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2,1</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4,8</w:t>
            </w:r>
          </w:p>
        </w:tc>
        <w:tc>
          <w:tcPr>
            <w:tcW w:w="432" w:type="pct"/>
            <w:tcBorders>
              <w:top w:val="nil"/>
              <w:bottom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0,</w:t>
            </w:r>
            <w:r w:rsidR="00DF3EFB">
              <w:rPr>
                <w:rFonts w:cs="Arial"/>
                <w:color w:val="333333"/>
                <w:sz w:val="19"/>
                <w:szCs w:val="19"/>
                <w:lang w:val="lt-LT"/>
              </w:rPr>
              <w:t>3</w:t>
            </w:r>
          </w:p>
        </w:tc>
      </w:tr>
      <w:tr w:rsidR="007F5E8C" w:rsidRPr="0042435F" w:rsidTr="0045594E">
        <w:tc>
          <w:tcPr>
            <w:tcW w:w="1548" w:type="pct"/>
            <w:tcBorders>
              <w:top w:val="nil"/>
              <w:bottom w:val="nil"/>
            </w:tcBorders>
            <w:vAlign w:val="bottom"/>
          </w:tcPr>
          <w:p w:rsidR="007F5E8C" w:rsidRPr="0042435F" w:rsidRDefault="007F5E8C" w:rsidP="006948CF">
            <w:pPr>
              <w:spacing w:before="40" w:after="40"/>
              <w:ind w:left="113"/>
              <w:rPr>
                <w:rFonts w:cs="Arial"/>
                <w:color w:val="333333"/>
                <w:sz w:val="19"/>
                <w:szCs w:val="19"/>
                <w:lang w:val="lt-LT"/>
              </w:rPr>
            </w:pPr>
            <w:r w:rsidRPr="0042435F">
              <w:rPr>
                <w:rFonts w:cs="Arial"/>
                <w:color w:val="333333"/>
                <w:sz w:val="19"/>
                <w:szCs w:val="19"/>
                <w:lang w:val="lt-LT"/>
              </w:rPr>
              <w:t>vyrai</w:t>
            </w:r>
          </w:p>
        </w:tc>
        <w:tc>
          <w:tcPr>
            <w:tcW w:w="549" w:type="pct"/>
            <w:tcBorders>
              <w:top w:val="nil"/>
              <w:bottom w:val="nil"/>
            </w:tcBorders>
            <w:vAlign w:val="bottom"/>
          </w:tcPr>
          <w:p w:rsidR="007F5E8C" w:rsidRPr="0042435F" w:rsidRDefault="00C22EA0" w:rsidP="006948CF">
            <w:pPr>
              <w:spacing w:before="40" w:after="40"/>
              <w:jc w:val="right"/>
              <w:rPr>
                <w:rFonts w:cs="Arial"/>
                <w:color w:val="333333"/>
                <w:sz w:val="19"/>
                <w:szCs w:val="19"/>
                <w:lang w:val="lt-LT"/>
              </w:rPr>
            </w:pPr>
            <w:r>
              <w:rPr>
                <w:rFonts w:cs="Arial"/>
                <w:color w:val="333333"/>
                <w:sz w:val="19"/>
                <w:szCs w:val="19"/>
                <w:lang w:val="lt-LT"/>
              </w:rPr>
              <w:t>68</w:t>
            </w:r>
            <w:r w:rsidR="000D0F51">
              <w:rPr>
                <w:rFonts w:cs="Arial"/>
                <w:color w:val="333333"/>
                <w:sz w:val="19"/>
                <w:szCs w:val="19"/>
                <w:lang w:val="lt-LT"/>
              </w:rPr>
              <w:t>4</w:t>
            </w:r>
            <w:r>
              <w:rPr>
                <w:rFonts w:cs="Arial"/>
                <w:color w:val="333333"/>
                <w:sz w:val="19"/>
                <w:szCs w:val="19"/>
                <w:lang w:val="lt-LT"/>
              </w:rPr>
              <w:t>,</w:t>
            </w:r>
            <w:r w:rsidR="000D0F51">
              <w:rPr>
                <w:rFonts w:cs="Arial"/>
                <w:color w:val="333333"/>
                <w:sz w:val="19"/>
                <w:szCs w:val="19"/>
                <w:lang w:val="lt-LT"/>
              </w:rPr>
              <w:t>1</w:t>
            </w:r>
          </w:p>
        </w:tc>
        <w:tc>
          <w:tcPr>
            <w:tcW w:w="587" w:type="pct"/>
            <w:tcBorders>
              <w:top w:val="nil"/>
              <w:bottom w:val="nil"/>
            </w:tcBorders>
            <w:vAlign w:val="bottom"/>
          </w:tcPr>
          <w:p w:rsidR="007F5E8C" w:rsidRPr="0042435F" w:rsidRDefault="007F5E8C" w:rsidP="006948CF">
            <w:pPr>
              <w:spacing w:before="40" w:after="40"/>
              <w:jc w:val="right"/>
              <w:rPr>
                <w:rFonts w:cs="Arial"/>
                <w:color w:val="333333"/>
                <w:sz w:val="19"/>
                <w:szCs w:val="19"/>
                <w:lang w:val="lt-LT"/>
              </w:rPr>
            </w:pPr>
            <w:r w:rsidRPr="0042435F">
              <w:rPr>
                <w:rFonts w:cs="Arial"/>
                <w:color w:val="333333"/>
                <w:sz w:val="19"/>
                <w:szCs w:val="19"/>
                <w:lang w:val="lt-LT"/>
              </w:rPr>
              <w:t>6</w:t>
            </w:r>
            <w:r w:rsidR="000D0F51">
              <w:rPr>
                <w:rFonts w:cs="Arial"/>
                <w:color w:val="333333"/>
                <w:sz w:val="19"/>
                <w:szCs w:val="19"/>
                <w:lang w:val="lt-LT"/>
              </w:rPr>
              <w:t>85</w:t>
            </w:r>
            <w:r w:rsidRPr="0042435F">
              <w:rPr>
                <w:rFonts w:cs="Arial"/>
                <w:color w:val="333333"/>
                <w:sz w:val="19"/>
                <w:szCs w:val="19"/>
                <w:lang w:val="lt-LT"/>
              </w:rPr>
              <w:t>,</w:t>
            </w:r>
            <w:r w:rsidR="000D0F51">
              <w:rPr>
                <w:rFonts w:cs="Arial"/>
                <w:color w:val="333333"/>
                <w:sz w:val="19"/>
                <w:szCs w:val="19"/>
                <w:lang w:val="lt-LT"/>
              </w:rPr>
              <w:t>7</w:t>
            </w:r>
          </w:p>
        </w:tc>
        <w:tc>
          <w:tcPr>
            <w:tcW w:w="588" w:type="pct"/>
            <w:tcBorders>
              <w:top w:val="nil"/>
              <w:bottom w:val="nil"/>
            </w:tcBorders>
            <w:vAlign w:val="bottom"/>
          </w:tcPr>
          <w:p w:rsidR="007F5E8C" w:rsidRPr="0042435F" w:rsidRDefault="007C4BBD" w:rsidP="006948CF">
            <w:pPr>
              <w:spacing w:before="40" w:after="40"/>
              <w:jc w:val="right"/>
              <w:rPr>
                <w:rFonts w:cs="Arial"/>
                <w:color w:val="333333"/>
                <w:sz w:val="19"/>
                <w:szCs w:val="19"/>
                <w:lang w:val="lt-LT"/>
              </w:rPr>
            </w:pPr>
            <w:r>
              <w:rPr>
                <w:rFonts w:cs="Arial"/>
                <w:color w:val="333333"/>
                <w:sz w:val="19"/>
                <w:szCs w:val="19"/>
                <w:lang w:val="lt-LT"/>
              </w:rPr>
              <w:t>6</w:t>
            </w:r>
            <w:r w:rsidR="00DF3EFB">
              <w:rPr>
                <w:rFonts w:cs="Arial"/>
                <w:color w:val="333333"/>
                <w:sz w:val="19"/>
                <w:szCs w:val="19"/>
                <w:lang w:val="lt-LT"/>
              </w:rPr>
              <w:t>86,9</w:t>
            </w:r>
          </w:p>
        </w:tc>
        <w:tc>
          <w:tcPr>
            <w:tcW w:w="431" w:type="pct"/>
            <w:tcBorders>
              <w:top w:val="nil"/>
              <w:bottom w:val="nil"/>
            </w:tcBorders>
            <w:vAlign w:val="bottom"/>
          </w:tcPr>
          <w:p w:rsidR="007F5E8C" w:rsidRPr="0042435F" w:rsidRDefault="00B754EF" w:rsidP="006948CF">
            <w:pPr>
              <w:spacing w:before="40" w:after="40"/>
              <w:jc w:val="right"/>
              <w:rPr>
                <w:rFonts w:cs="Arial"/>
                <w:color w:val="333333"/>
                <w:sz w:val="19"/>
                <w:szCs w:val="19"/>
                <w:lang w:val="lt-LT"/>
              </w:rPr>
            </w:pPr>
            <w:r>
              <w:rPr>
                <w:rFonts w:cs="Arial"/>
                <w:color w:val="333333"/>
                <w:sz w:val="19"/>
                <w:szCs w:val="19"/>
                <w:lang w:val="lt-LT"/>
              </w:rPr>
              <w:t>–</w:t>
            </w:r>
            <w:r w:rsidR="00DF3EFB">
              <w:rPr>
                <w:rFonts w:cs="Arial"/>
                <w:color w:val="333333"/>
                <w:sz w:val="19"/>
                <w:szCs w:val="19"/>
                <w:lang w:val="lt-LT"/>
              </w:rPr>
              <w:t>1,5</w:t>
            </w:r>
          </w:p>
        </w:tc>
        <w:tc>
          <w:tcPr>
            <w:tcW w:w="432" w:type="pct"/>
            <w:tcBorders>
              <w:top w:val="nil"/>
              <w:bottom w:val="nil"/>
            </w:tcBorders>
            <w:vAlign w:val="bottom"/>
          </w:tcPr>
          <w:p w:rsidR="007F5E8C" w:rsidRPr="0042435F" w:rsidRDefault="00B754EF" w:rsidP="006948CF">
            <w:pPr>
              <w:spacing w:before="40" w:after="40"/>
              <w:jc w:val="right"/>
              <w:rPr>
                <w:rFonts w:cs="Arial"/>
                <w:color w:val="333333"/>
                <w:sz w:val="19"/>
                <w:szCs w:val="19"/>
                <w:lang w:val="lt-LT"/>
              </w:rPr>
            </w:pPr>
            <w:r>
              <w:rPr>
                <w:rFonts w:cs="Arial"/>
                <w:color w:val="333333"/>
                <w:sz w:val="19"/>
                <w:szCs w:val="19"/>
                <w:lang w:val="lt-LT"/>
              </w:rPr>
              <w:t>–</w:t>
            </w:r>
            <w:r w:rsidR="00DF3EFB">
              <w:rPr>
                <w:rFonts w:cs="Arial"/>
                <w:color w:val="333333"/>
                <w:sz w:val="19"/>
                <w:szCs w:val="19"/>
                <w:lang w:val="lt-LT"/>
              </w:rPr>
              <w:t>0,2</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–2,8</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w:t>
            </w:r>
            <w:r w:rsidR="00C84B13">
              <w:rPr>
                <w:rFonts w:cs="Arial"/>
                <w:color w:val="333333"/>
                <w:sz w:val="19"/>
                <w:szCs w:val="19"/>
                <w:lang w:val="lt-LT"/>
              </w:rPr>
              <w:t>0</w:t>
            </w:r>
            <w:r>
              <w:rPr>
                <w:rFonts w:cs="Arial"/>
                <w:color w:val="333333"/>
                <w:sz w:val="19"/>
                <w:szCs w:val="19"/>
                <w:lang w:val="lt-LT"/>
              </w:rPr>
              <w:t>,4</w:t>
            </w:r>
          </w:p>
        </w:tc>
      </w:tr>
      <w:tr w:rsidR="007F5E8C" w:rsidRPr="0042435F" w:rsidTr="0045594E">
        <w:tc>
          <w:tcPr>
            <w:tcW w:w="1548" w:type="pct"/>
            <w:tcBorders>
              <w:top w:val="nil"/>
              <w:bottom w:val="nil"/>
            </w:tcBorders>
            <w:vAlign w:val="bottom"/>
          </w:tcPr>
          <w:p w:rsidR="007F5E8C" w:rsidRPr="0042435F" w:rsidRDefault="007F5E8C" w:rsidP="006948CF">
            <w:pPr>
              <w:spacing w:before="40" w:after="40"/>
              <w:ind w:left="113"/>
              <w:rPr>
                <w:rFonts w:cs="Arial"/>
                <w:color w:val="333333"/>
                <w:sz w:val="19"/>
                <w:szCs w:val="19"/>
                <w:lang w:val="lt-LT"/>
              </w:rPr>
            </w:pPr>
            <w:r w:rsidRPr="0042435F">
              <w:rPr>
                <w:rFonts w:cs="Arial"/>
                <w:color w:val="333333"/>
                <w:sz w:val="19"/>
                <w:szCs w:val="19"/>
                <w:lang w:val="lt-LT"/>
              </w:rPr>
              <w:t>moterys</w:t>
            </w:r>
          </w:p>
        </w:tc>
        <w:tc>
          <w:tcPr>
            <w:tcW w:w="549" w:type="pct"/>
            <w:tcBorders>
              <w:top w:val="nil"/>
              <w:bottom w:val="nil"/>
            </w:tcBorders>
            <w:vAlign w:val="bottom"/>
          </w:tcPr>
          <w:p w:rsidR="007F5E8C" w:rsidRPr="0042435F" w:rsidRDefault="00C22EA0" w:rsidP="006948CF">
            <w:pPr>
              <w:spacing w:before="40" w:after="40"/>
              <w:jc w:val="right"/>
              <w:rPr>
                <w:rFonts w:cs="Arial"/>
                <w:color w:val="333333"/>
                <w:sz w:val="19"/>
                <w:szCs w:val="19"/>
                <w:lang w:val="lt-LT"/>
              </w:rPr>
            </w:pPr>
            <w:r>
              <w:rPr>
                <w:rFonts w:cs="Arial"/>
                <w:color w:val="333333"/>
                <w:sz w:val="19"/>
                <w:szCs w:val="19"/>
                <w:lang w:val="lt-LT"/>
              </w:rPr>
              <w:t>6</w:t>
            </w:r>
            <w:r w:rsidR="000D0F51">
              <w:rPr>
                <w:rFonts w:cs="Arial"/>
                <w:color w:val="333333"/>
                <w:sz w:val="19"/>
                <w:szCs w:val="19"/>
                <w:lang w:val="lt-LT"/>
              </w:rPr>
              <w:t>9</w:t>
            </w:r>
            <w:r>
              <w:rPr>
                <w:rFonts w:cs="Arial"/>
                <w:color w:val="333333"/>
                <w:sz w:val="19"/>
                <w:szCs w:val="19"/>
                <w:lang w:val="lt-LT"/>
              </w:rPr>
              <w:t>6,</w:t>
            </w:r>
            <w:r w:rsidR="000D0F51">
              <w:rPr>
                <w:rFonts w:cs="Arial"/>
                <w:color w:val="333333"/>
                <w:sz w:val="19"/>
                <w:szCs w:val="19"/>
                <w:lang w:val="lt-LT"/>
              </w:rPr>
              <w:t>5</w:t>
            </w:r>
          </w:p>
        </w:tc>
        <w:tc>
          <w:tcPr>
            <w:tcW w:w="587" w:type="pct"/>
            <w:tcBorders>
              <w:top w:val="nil"/>
              <w:bottom w:val="nil"/>
            </w:tcBorders>
            <w:vAlign w:val="bottom"/>
          </w:tcPr>
          <w:p w:rsidR="007F5E8C" w:rsidRPr="0042435F" w:rsidRDefault="007F5E8C" w:rsidP="006948CF">
            <w:pPr>
              <w:spacing w:before="40" w:after="40"/>
              <w:jc w:val="right"/>
              <w:rPr>
                <w:rFonts w:cs="Arial"/>
                <w:color w:val="333333"/>
                <w:sz w:val="19"/>
                <w:szCs w:val="19"/>
                <w:lang w:val="lt-LT"/>
              </w:rPr>
            </w:pPr>
            <w:r w:rsidRPr="0042435F">
              <w:rPr>
                <w:rFonts w:cs="Arial"/>
                <w:color w:val="333333"/>
                <w:sz w:val="19"/>
                <w:szCs w:val="19"/>
                <w:lang w:val="lt-LT"/>
              </w:rPr>
              <w:t>6</w:t>
            </w:r>
            <w:r w:rsidR="000D0F51">
              <w:rPr>
                <w:rFonts w:cs="Arial"/>
                <w:color w:val="333333"/>
                <w:sz w:val="19"/>
                <w:szCs w:val="19"/>
                <w:lang w:val="lt-LT"/>
              </w:rPr>
              <w:t>66</w:t>
            </w:r>
            <w:r w:rsidRPr="0042435F">
              <w:rPr>
                <w:rFonts w:cs="Arial"/>
                <w:color w:val="333333"/>
                <w:sz w:val="19"/>
                <w:szCs w:val="19"/>
                <w:lang w:val="lt-LT"/>
              </w:rPr>
              <w:t>,1</w:t>
            </w:r>
          </w:p>
        </w:tc>
        <w:tc>
          <w:tcPr>
            <w:tcW w:w="588" w:type="pct"/>
            <w:tcBorders>
              <w:top w:val="nil"/>
              <w:bottom w:val="nil"/>
            </w:tcBorders>
            <w:vAlign w:val="bottom"/>
          </w:tcPr>
          <w:p w:rsidR="007F5E8C" w:rsidRPr="0042435F" w:rsidRDefault="007C4BBD" w:rsidP="006948CF">
            <w:pPr>
              <w:spacing w:before="40" w:after="40"/>
              <w:jc w:val="right"/>
              <w:rPr>
                <w:rFonts w:cs="Arial"/>
                <w:color w:val="333333"/>
                <w:sz w:val="19"/>
                <w:szCs w:val="19"/>
                <w:lang w:val="lt-LT"/>
              </w:rPr>
            </w:pPr>
            <w:r>
              <w:rPr>
                <w:rFonts w:cs="Arial"/>
                <w:color w:val="333333"/>
                <w:sz w:val="19"/>
                <w:szCs w:val="19"/>
                <w:lang w:val="lt-LT"/>
              </w:rPr>
              <w:t>6</w:t>
            </w:r>
            <w:r w:rsidR="00DF3EFB">
              <w:rPr>
                <w:rFonts w:cs="Arial"/>
                <w:color w:val="333333"/>
                <w:sz w:val="19"/>
                <w:szCs w:val="19"/>
                <w:lang w:val="lt-LT"/>
              </w:rPr>
              <w:t>88,9</w:t>
            </w:r>
          </w:p>
        </w:tc>
        <w:tc>
          <w:tcPr>
            <w:tcW w:w="431"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30,4</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4,6</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7,6</w:t>
            </w:r>
          </w:p>
        </w:tc>
        <w:tc>
          <w:tcPr>
            <w:tcW w:w="432" w:type="pct"/>
            <w:tcBorders>
              <w:top w:val="nil"/>
              <w:bottom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1,1</w:t>
            </w:r>
          </w:p>
        </w:tc>
      </w:tr>
      <w:tr w:rsidR="007F5E8C" w:rsidRPr="0042435F" w:rsidTr="0045594E">
        <w:tc>
          <w:tcPr>
            <w:tcW w:w="1548" w:type="pct"/>
            <w:tcBorders>
              <w:top w:val="nil"/>
              <w:bottom w:val="nil"/>
            </w:tcBorders>
            <w:vAlign w:val="bottom"/>
          </w:tcPr>
          <w:p w:rsidR="007F5E8C" w:rsidRPr="0042435F" w:rsidRDefault="007F5E8C" w:rsidP="006948CF">
            <w:pPr>
              <w:spacing w:before="40" w:after="40"/>
              <w:rPr>
                <w:rFonts w:cs="Arial"/>
                <w:color w:val="333333"/>
                <w:sz w:val="19"/>
                <w:szCs w:val="19"/>
                <w:lang w:val="lt-LT"/>
              </w:rPr>
            </w:pPr>
            <w:r w:rsidRPr="0042435F">
              <w:rPr>
                <w:rFonts w:cs="Arial"/>
                <w:color w:val="333333"/>
                <w:sz w:val="19"/>
                <w:szCs w:val="19"/>
                <w:lang w:val="lt-LT"/>
              </w:rPr>
              <w:t>Bedarbiai</w:t>
            </w:r>
          </w:p>
        </w:tc>
        <w:tc>
          <w:tcPr>
            <w:tcW w:w="549" w:type="pct"/>
            <w:tcBorders>
              <w:top w:val="nil"/>
              <w:bottom w:val="nil"/>
            </w:tcBorders>
            <w:vAlign w:val="bottom"/>
          </w:tcPr>
          <w:p w:rsidR="007F5E8C" w:rsidRPr="0042435F" w:rsidRDefault="000D0F51" w:rsidP="006948CF">
            <w:pPr>
              <w:spacing w:before="40" w:after="40"/>
              <w:jc w:val="right"/>
              <w:rPr>
                <w:rFonts w:cs="Arial"/>
                <w:color w:val="333333"/>
                <w:sz w:val="19"/>
                <w:szCs w:val="19"/>
                <w:lang w:val="lt-LT"/>
              </w:rPr>
            </w:pPr>
            <w:r>
              <w:rPr>
                <w:rFonts w:cs="Arial"/>
                <w:color w:val="333333"/>
                <w:sz w:val="19"/>
                <w:szCs w:val="19"/>
                <w:lang w:val="lt-LT"/>
              </w:rPr>
              <w:t>93,5</w:t>
            </w:r>
          </w:p>
        </w:tc>
        <w:tc>
          <w:tcPr>
            <w:tcW w:w="587" w:type="pct"/>
            <w:tcBorders>
              <w:top w:val="nil"/>
              <w:bottom w:val="nil"/>
            </w:tcBorders>
            <w:vAlign w:val="bottom"/>
          </w:tcPr>
          <w:p w:rsidR="007F5E8C" w:rsidRPr="0042435F" w:rsidRDefault="007F5E8C" w:rsidP="006948CF">
            <w:pPr>
              <w:spacing w:before="40" w:after="40"/>
              <w:jc w:val="right"/>
              <w:rPr>
                <w:rFonts w:cs="Arial"/>
                <w:color w:val="333333"/>
                <w:sz w:val="19"/>
                <w:szCs w:val="19"/>
                <w:lang w:val="lt-LT"/>
              </w:rPr>
            </w:pPr>
            <w:r w:rsidRPr="0042435F">
              <w:rPr>
                <w:rFonts w:cs="Arial"/>
                <w:color w:val="333333"/>
                <w:sz w:val="19"/>
                <w:szCs w:val="19"/>
                <w:lang w:val="lt-LT"/>
              </w:rPr>
              <w:t>10</w:t>
            </w:r>
            <w:r w:rsidR="000D0F51">
              <w:rPr>
                <w:rFonts w:cs="Arial"/>
                <w:color w:val="333333"/>
                <w:sz w:val="19"/>
                <w:szCs w:val="19"/>
                <w:lang w:val="lt-LT"/>
              </w:rPr>
              <w:t>8</w:t>
            </w:r>
            <w:r w:rsidRPr="0042435F">
              <w:rPr>
                <w:rFonts w:cs="Arial"/>
                <w:color w:val="333333"/>
                <w:sz w:val="19"/>
                <w:szCs w:val="19"/>
                <w:lang w:val="lt-LT"/>
              </w:rPr>
              <w:t>,</w:t>
            </w:r>
            <w:r w:rsidR="000D0F51">
              <w:rPr>
                <w:rFonts w:cs="Arial"/>
                <w:color w:val="333333"/>
                <w:sz w:val="19"/>
                <w:szCs w:val="19"/>
                <w:lang w:val="lt-LT"/>
              </w:rPr>
              <w:t>8</w:t>
            </w:r>
          </w:p>
        </w:tc>
        <w:tc>
          <w:tcPr>
            <w:tcW w:w="588" w:type="pct"/>
            <w:tcBorders>
              <w:top w:val="nil"/>
              <w:bottom w:val="nil"/>
            </w:tcBorders>
            <w:vAlign w:val="bottom"/>
          </w:tcPr>
          <w:p w:rsidR="007F5E8C" w:rsidRPr="0042435F" w:rsidRDefault="007C4BBD" w:rsidP="006948CF">
            <w:pPr>
              <w:spacing w:before="40" w:after="40"/>
              <w:jc w:val="right"/>
              <w:rPr>
                <w:rFonts w:cs="Arial"/>
                <w:color w:val="333333"/>
                <w:sz w:val="19"/>
                <w:szCs w:val="19"/>
                <w:lang w:val="lt-LT"/>
              </w:rPr>
            </w:pPr>
            <w:r>
              <w:rPr>
                <w:rFonts w:cs="Arial"/>
                <w:color w:val="333333"/>
                <w:sz w:val="19"/>
                <w:szCs w:val="19"/>
                <w:lang w:val="lt-LT"/>
              </w:rPr>
              <w:t>1</w:t>
            </w:r>
            <w:r w:rsidR="00DF3EFB">
              <w:rPr>
                <w:rFonts w:cs="Arial"/>
                <w:color w:val="333333"/>
                <w:sz w:val="19"/>
                <w:szCs w:val="19"/>
                <w:lang w:val="lt-LT"/>
              </w:rPr>
              <w:t>02,8</w:t>
            </w:r>
          </w:p>
        </w:tc>
        <w:tc>
          <w:tcPr>
            <w:tcW w:w="431"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–15,3</w:t>
            </w:r>
          </w:p>
        </w:tc>
        <w:tc>
          <w:tcPr>
            <w:tcW w:w="432" w:type="pct"/>
            <w:tcBorders>
              <w:top w:val="nil"/>
              <w:bottom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–14,1</w:t>
            </w:r>
          </w:p>
        </w:tc>
        <w:tc>
          <w:tcPr>
            <w:tcW w:w="432" w:type="pct"/>
            <w:tcBorders>
              <w:top w:val="nil"/>
              <w:bottom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w:t>
            </w:r>
            <w:r w:rsidR="00DF3EFB">
              <w:rPr>
                <w:rFonts w:cs="Arial"/>
                <w:color w:val="333333"/>
                <w:sz w:val="19"/>
                <w:szCs w:val="19"/>
                <w:lang w:val="lt-LT"/>
              </w:rPr>
              <w:t>9,4</w:t>
            </w:r>
          </w:p>
        </w:tc>
        <w:tc>
          <w:tcPr>
            <w:tcW w:w="432" w:type="pct"/>
            <w:tcBorders>
              <w:top w:val="nil"/>
              <w:bottom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–9,1</w:t>
            </w:r>
          </w:p>
        </w:tc>
      </w:tr>
      <w:tr w:rsidR="007F5E8C" w:rsidRPr="0042435F" w:rsidTr="0045594E">
        <w:tc>
          <w:tcPr>
            <w:tcW w:w="1548" w:type="pct"/>
            <w:tcBorders>
              <w:top w:val="nil"/>
            </w:tcBorders>
            <w:vAlign w:val="bottom"/>
          </w:tcPr>
          <w:p w:rsidR="007F5E8C" w:rsidRPr="0042435F" w:rsidRDefault="007F5E8C" w:rsidP="006948CF">
            <w:pPr>
              <w:spacing w:before="40" w:after="40"/>
              <w:rPr>
                <w:rFonts w:cs="Arial"/>
                <w:color w:val="333333"/>
                <w:sz w:val="19"/>
                <w:szCs w:val="19"/>
                <w:lang w:val="lt-LT"/>
              </w:rPr>
            </w:pPr>
            <w:r w:rsidRPr="0042435F">
              <w:rPr>
                <w:rFonts w:cs="Arial"/>
                <w:color w:val="333333"/>
                <w:sz w:val="19"/>
                <w:szCs w:val="19"/>
                <w:lang w:val="lt-LT"/>
              </w:rPr>
              <w:t>Ekonomiškai neaktyvūs gyventojai</w:t>
            </w:r>
          </w:p>
        </w:tc>
        <w:tc>
          <w:tcPr>
            <w:tcW w:w="549" w:type="pct"/>
            <w:tcBorders>
              <w:top w:val="nil"/>
            </w:tcBorders>
            <w:vAlign w:val="bottom"/>
          </w:tcPr>
          <w:p w:rsidR="007F5E8C" w:rsidRPr="0042435F" w:rsidRDefault="00C22EA0" w:rsidP="006948CF">
            <w:pPr>
              <w:spacing w:before="40" w:after="40"/>
              <w:jc w:val="right"/>
              <w:rPr>
                <w:rFonts w:cs="Arial"/>
                <w:color w:val="333333"/>
                <w:sz w:val="19"/>
                <w:szCs w:val="19"/>
                <w:lang w:val="lt-LT"/>
              </w:rPr>
            </w:pPr>
            <w:r>
              <w:rPr>
                <w:rFonts w:cs="Arial"/>
                <w:color w:val="333333"/>
                <w:sz w:val="19"/>
                <w:szCs w:val="19"/>
                <w:lang w:val="lt-LT"/>
              </w:rPr>
              <w:t>90</w:t>
            </w:r>
            <w:r w:rsidR="000D0F51">
              <w:rPr>
                <w:rFonts w:cs="Arial"/>
                <w:color w:val="333333"/>
                <w:sz w:val="19"/>
                <w:szCs w:val="19"/>
                <w:lang w:val="lt-LT"/>
              </w:rPr>
              <w:t>0</w:t>
            </w:r>
            <w:r>
              <w:rPr>
                <w:rFonts w:cs="Arial"/>
                <w:color w:val="333333"/>
                <w:sz w:val="19"/>
                <w:szCs w:val="19"/>
                <w:lang w:val="lt-LT"/>
              </w:rPr>
              <w:t>,</w:t>
            </w:r>
            <w:r w:rsidR="000D0F51">
              <w:rPr>
                <w:rFonts w:cs="Arial"/>
                <w:color w:val="333333"/>
                <w:sz w:val="19"/>
                <w:szCs w:val="19"/>
                <w:lang w:val="lt-LT"/>
              </w:rPr>
              <w:t>4</w:t>
            </w:r>
          </w:p>
        </w:tc>
        <w:tc>
          <w:tcPr>
            <w:tcW w:w="587" w:type="pct"/>
            <w:tcBorders>
              <w:top w:val="nil"/>
            </w:tcBorders>
            <w:vAlign w:val="bottom"/>
          </w:tcPr>
          <w:p w:rsidR="007F5E8C" w:rsidRPr="0042435F" w:rsidRDefault="000D0F51" w:rsidP="006948CF">
            <w:pPr>
              <w:spacing w:before="40" w:after="40"/>
              <w:jc w:val="right"/>
              <w:rPr>
                <w:rFonts w:cs="Arial"/>
                <w:color w:val="333333"/>
                <w:sz w:val="19"/>
                <w:szCs w:val="19"/>
                <w:lang w:val="lt-LT"/>
              </w:rPr>
            </w:pPr>
            <w:r>
              <w:rPr>
                <w:rFonts w:cs="Arial"/>
                <w:color w:val="333333"/>
                <w:sz w:val="19"/>
                <w:szCs w:val="19"/>
                <w:lang w:val="lt-LT"/>
              </w:rPr>
              <w:t>907</w:t>
            </w:r>
            <w:r w:rsidR="007F5E8C" w:rsidRPr="0042435F">
              <w:rPr>
                <w:rFonts w:cs="Arial"/>
                <w:color w:val="333333"/>
                <w:sz w:val="19"/>
                <w:szCs w:val="19"/>
                <w:lang w:val="lt-LT"/>
              </w:rPr>
              <w:t>,</w:t>
            </w:r>
            <w:r>
              <w:rPr>
                <w:rFonts w:cs="Arial"/>
                <w:color w:val="333333"/>
                <w:sz w:val="19"/>
                <w:szCs w:val="19"/>
                <w:lang w:val="lt-LT"/>
              </w:rPr>
              <w:t>6</w:t>
            </w:r>
          </w:p>
        </w:tc>
        <w:tc>
          <w:tcPr>
            <w:tcW w:w="588" w:type="pct"/>
            <w:tcBorders>
              <w:top w:val="nil"/>
            </w:tcBorders>
            <w:vAlign w:val="bottom"/>
          </w:tcPr>
          <w:p w:rsidR="007F5E8C" w:rsidRPr="0042435F" w:rsidRDefault="007C4BBD" w:rsidP="006948CF">
            <w:pPr>
              <w:spacing w:before="40" w:after="40"/>
              <w:jc w:val="right"/>
              <w:rPr>
                <w:rFonts w:cs="Arial"/>
                <w:color w:val="333333"/>
                <w:sz w:val="19"/>
                <w:szCs w:val="19"/>
                <w:lang w:val="lt-LT"/>
              </w:rPr>
            </w:pPr>
            <w:r>
              <w:rPr>
                <w:rFonts w:cs="Arial"/>
                <w:color w:val="333333"/>
                <w:sz w:val="19"/>
                <w:szCs w:val="19"/>
                <w:lang w:val="lt-LT"/>
              </w:rPr>
              <w:t>88</w:t>
            </w:r>
            <w:r w:rsidR="00DF3EFB">
              <w:rPr>
                <w:rFonts w:cs="Arial"/>
                <w:color w:val="333333"/>
                <w:sz w:val="19"/>
                <w:szCs w:val="19"/>
                <w:lang w:val="lt-LT"/>
              </w:rPr>
              <w:t>0,2</w:t>
            </w:r>
          </w:p>
        </w:tc>
        <w:tc>
          <w:tcPr>
            <w:tcW w:w="431" w:type="pct"/>
            <w:tcBorders>
              <w:top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–7,2</w:t>
            </w:r>
          </w:p>
        </w:tc>
        <w:tc>
          <w:tcPr>
            <w:tcW w:w="432" w:type="pct"/>
            <w:tcBorders>
              <w:top w:val="nil"/>
            </w:tcBorders>
            <w:vAlign w:val="bottom"/>
          </w:tcPr>
          <w:p w:rsidR="007F5E8C" w:rsidRPr="0042435F" w:rsidRDefault="00DF3EFB" w:rsidP="006948CF">
            <w:pPr>
              <w:spacing w:before="40" w:after="40"/>
              <w:jc w:val="right"/>
              <w:rPr>
                <w:rFonts w:cs="Arial"/>
                <w:color w:val="333333"/>
                <w:sz w:val="19"/>
                <w:szCs w:val="19"/>
                <w:lang w:val="lt-LT"/>
              </w:rPr>
            </w:pPr>
            <w:r>
              <w:rPr>
                <w:rFonts w:cs="Arial"/>
                <w:color w:val="333333"/>
                <w:sz w:val="19"/>
                <w:szCs w:val="19"/>
                <w:lang w:val="lt-LT"/>
              </w:rPr>
              <w:t>–0,8</w:t>
            </w:r>
          </w:p>
        </w:tc>
        <w:tc>
          <w:tcPr>
            <w:tcW w:w="432" w:type="pct"/>
            <w:tcBorders>
              <w:top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2</w:t>
            </w:r>
            <w:r w:rsidR="00DF3EFB">
              <w:rPr>
                <w:rFonts w:cs="Arial"/>
                <w:color w:val="333333"/>
                <w:sz w:val="19"/>
                <w:szCs w:val="19"/>
                <w:lang w:val="lt-LT"/>
              </w:rPr>
              <w:t>0,2</w:t>
            </w:r>
          </w:p>
        </w:tc>
        <w:tc>
          <w:tcPr>
            <w:tcW w:w="432" w:type="pct"/>
            <w:tcBorders>
              <w:top w:val="nil"/>
            </w:tcBorders>
            <w:vAlign w:val="bottom"/>
          </w:tcPr>
          <w:p w:rsidR="007F5E8C" w:rsidRPr="0042435F" w:rsidRDefault="00C84B13" w:rsidP="006948CF">
            <w:pPr>
              <w:spacing w:before="40" w:after="40"/>
              <w:jc w:val="right"/>
              <w:rPr>
                <w:rFonts w:cs="Arial"/>
                <w:color w:val="333333"/>
                <w:sz w:val="19"/>
                <w:szCs w:val="19"/>
                <w:lang w:val="lt-LT"/>
              </w:rPr>
            </w:pPr>
            <w:r>
              <w:rPr>
                <w:rFonts w:cs="Arial"/>
                <w:color w:val="333333"/>
                <w:sz w:val="19"/>
                <w:szCs w:val="19"/>
                <w:lang w:val="lt-LT"/>
              </w:rPr>
              <w:t>2,</w:t>
            </w:r>
            <w:r w:rsidR="00DF3EFB">
              <w:rPr>
                <w:rFonts w:cs="Arial"/>
                <w:color w:val="333333"/>
                <w:sz w:val="19"/>
                <w:szCs w:val="19"/>
                <w:lang w:val="lt-LT"/>
              </w:rPr>
              <w:t>3</w:t>
            </w:r>
          </w:p>
        </w:tc>
      </w:tr>
    </w:tbl>
    <w:p w:rsidR="008B6A45" w:rsidRDefault="008B6A45" w:rsidP="008B6A45">
      <w:pPr>
        <w:pStyle w:val="Pagrtekstas"/>
        <w:ind w:firstLine="709"/>
        <w:rPr>
          <w:lang w:val="lt-LT"/>
        </w:rPr>
      </w:pPr>
    </w:p>
    <w:p w:rsidR="008B6A45" w:rsidRPr="0042435F" w:rsidRDefault="008B6A45" w:rsidP="008B6A45">
      <w:pPr>
        <w:pStyle w:val="Pagrtekstas"/>
        <w:ind w:firstLine="709"/>
        <w:rPr>
          <w:lang w:val="lt-LT"/>
        </w:rPr>
      </w:pPr>
      <w:r w:rsidRPr="0042435F">
        <w:rPr>
          <w:lang w:val="lt-LT"/>
        </w:rPr>
        <w:t>Statistinė informacija parengta remiantis gyventojų užimtumo statistinio tyrimo duomenimis. Tyrimas atliekamas visose Europos Sąjungos šalyse pagal bendrą metodiką, taikant Tarptautinės darbo organizacijos naudojamas užimtų gyventojų ir bedarbio sąvokas, todėl jo rezultatai yra palyginami tarp šalių</w:t>
      </w:r>
      <w:r>
        <w:rPr>
          <w:lang w:val="lt-LT"/>
        </w:rPr>
        <w:t>.</w:t>
      </w:r>
    </w:p>
    <w:p w:rsidR="008B6A45" w:rsidRPr="006948CF" w:rsidRDefault="008B6A45" w:rsidP="008B6A45">
      <w:pPr>
        <w:pStyle w:val="Pagrtekstas"/>
        <w:ind w:firstLine="709"/>
        <w:rPr>
          <w:lang w:val="lt-LT"/>
        </w:rPr>
      </w:pPr>
    </w:p>
    <w:p w:rsidR="008B6A45" w:rsidRPr="0042435F" w:rsidRDefault="008B6A45" w:rsidP="008B6A45">
      <w:pPr>
        <w:pStyle w:val="Pagrtekstas"/>
        <w:ind w:firstLine="709"/>
        <w:rPr>
          <w:lang w:val="lt-LT"/>
        </w:rPr>
      </w:pPr>
      <w:r w:rsidRPr="0042435F">
        <w:rPr>
          <w:lang w:val="lt-LT"/>
        </w:rPr>
        <w:t>Tyrimas atliktas, taikant imčių metodą. 202</w:t>
      </w:r>
      <w:r w:rsidR="00DF3EFB">
        <w:rPr>
          <w:lang w:val="lt-LT"/>
        </w:rPr>
        <w:t>2</w:t>
      </w:r>
      <w:r w:rsidRPr="0042435F">
        <w:rPr>
          <w:lang w:val="lt-LT"/>
        </w:rPr>
        <w:t xml:space="preserve"> m. pirmąjį ketvirtį apklausta </w:t>
      </w:r>
      <w:r w:rsidR="00DF3EFB">
        <w:rPr>
          <w:lang w:val="lt-LT"/>
        </w:rPr>
        <w:t>10,7</w:t>
      </w:r>
      <w:r>
        <w:rPr>
          <w:lang w:val="lt-LT"/>
        </w:rPr>
        <w:t> </w:t>
      </w:r>
      <w:r w:rsidRPr="0042435F">
        <w:rPr>
          <w:lang w:val="lt-LT"/>
        </w:rPr>
        <w:t>tūkst., arba 0,</w:t>
      </w:r>
      <w:r w:rsidR="00DF3EFB">
        <w:rPr>
          <w:lang w:val="lt-LT"/>
        </w:rPr>
        <w:t>5</w:t>
      </w:r>
      <w:r w:rsidRPr="0042435F">
        <w:rPr>
          <w:lang w:val="lt-LT"/>
        </w:rPr>
        <w:t> proc., 15 metų ir vyresnių šalies gyventojų, tyrimo rezultatai perskaičiuoti visiems gyventojams</w:t>
      </w:r>
      <w:r>
        <w:rPr>
          <w:lang w:val="lt-LT"/>
        </w:rPr>
        <w:t>.</w:t>
      </w:r>
    </w:p>
    <w:p w:rsidR="008B6A45" w:rsidRPr="006948CF" w:rsidRDefault="008B6A45" w:rsidP="008B6A45">
      <w:pPr>
        <w:pStyle w:val="Pagrtekstas"/>
        <w:ind w:firstLine="0"/>
        <w:rPr>
          <w:lang w:val="lt-LT"/>
        </w:rPr>
      </w:pPr>
    </w:p>
    <w:p w:rsidR="008B6A45" w:rsidRPr="0042435F" w:rsidRDefault="008B6A45" w:rsidP="008B6A45">
      <w:pPr>
        <w:pStyle w:val="Pagrtekstas"/>
        <w:ind w:firstLine="709"/>
        <w:rPr>
          <w:lang w:val="lt-LT"/>
        </w:rPr>
      </w:pPr>
      <w:r w:rsidRPr="0042435F">
        <w:rPr>
          <w:lang w:val="lt-LT"/>
        </w:rPr>
        <w:t>202</w:t>
      </w:r>
      <w:r w:rsidR="00DF3EFB">
        <w:rPr>
          <w:lang w:val="lt-LT"/>
        </w:rPr>
        <w:t>2</w:t>
      </w:r>
      <w:r w:rsidRPr="0042435F">
        <w:rPr>
          <w:lang w:val="lt-LT"/>
        </w:rPr>
        <w:t> m. antrojo ketvirčio užimtumo ir nedarbo rodiklius skelbsime 202</w:t>
      </w:r>
      <w:r w:rsidR="00DF3EFB">
        <w:rPr>
          <w:lang w:val="lt-LT"/>
        </w:rPr>
        <w:t>2</w:t>
      </w:r>
      <w:r w:rsidRPr="0042435F">
        <w:rPr>
          <w:lang w:val="lt-LT"/>
        </w:rPr>
        <w:t xml:space="preserve"> m. rugpjūčio </w:t>
      </w:r>
      <w:r w:rsidR="00DF3EFB">
        <w:rPr>
          <w:lang w:val="lt-LT"/>
        </w:rPr>
        <w:t>5</w:t>
      </w:r>
      <w:r w:rsidRPr="0042435F">
        <w:rPr>
          <w:lang w:val="lt-LT"/>
        </w:rPr>
        <w:t> d.</w:t>
      </w:r>
    </w:p>
    <w:p w:rsidR="008B6A45" w:rsidRPr="006948CF" w:rsidRDefault="008B6A45" w:rsidP="008B6A45">
      <w:pPr>
        <w:pStyle w:val="Parasas"/>
      </w:pPr>
    </w:p>
    <w:p w:rsidR="008B6A45" w:rsidRDefault="008B6A45" w:rsidP="008B6A45">
      <w:pPr>
        <w:pStyle w:val="Pasiteirauti"/>
        <w:rPr>
          <w:sz w:val="20"/>
        </w:rPr>
      </w:pPr>
      <w:r w:rsidRPr="0042435F">
        <w:rPr>
          <w:color w:val="000000"/>
          <w:sz w:val="20"/>
        </w:rPr>
        <w:t xml:space="preserve">Daugiau informacijos šia tema rasite </w:t>
      </w:r>
      <w:hyperlink r:id="rId12" w:anchor="/" w:history="1">
        <w:r w:rsidRPr="0042435F">
          <w:rPr>
            <w:rStyle w:val="Hyperlink"/>
            <w:sz w:val="20"/>
          </w:rPr>
          <w:t>Rodiklių duomenų bazėje</w:t>
        </w:r>
      </w:hyperlink>
      <w:r w:rsidRPr="0042435F">
        <w:rPr>
          <w:sz w:val="20"/>
        </w:rPr>
        <w:t>.</w:t>
      </w:r>
    </w:p>
    <w:p w:rsidR="008B6A45" w:rsidRPr="002F6332" w:rsidRDefault="008B6A45" w:rsidP="008B6A45">
      <w:pPr>
        <w:pStyle w:val="Pasiteirauti"/>
        <w:rPr>
          <w:sz w:val="20"/>
        </w:rPr>
      </w:pPr>
    </w:p>
    <w:p w:rsidR="008B6A45" w:rsidRPr="002F6332" w:rsidRDefault="008B6A45" w:rsidP="008B6A45">
      <w:pPr>
        <w:rPr>
          <w:lang w:val="lt-LT"/>
        </w:rPr>
      </w:pPr>
      <w:r w:rsidRPr="002F6332">
        <w:rPr>
          <w:lang w:val="lt-LT"/>
        </w:rPr>
        <w:t xml:space="preserve">Statistinė informacija </w:t>
      </w:r>
      <w:r w:rsidRPr="00277243">
        <w:rPr>
          <w:lang w:val="lt-LT"/>
        </w:rPr>
        <w:t xml:space="preserve">rengiama ir skleidžiama vadovaujantis </w:t>
      </w:r>
      <w:hyperlink r:id="rId13" w:history="1">
        <w:r w:rsidRPr="00801D36">
          <w:rPr>
            <w:rStyle w:val="Hyperlink"/>
            <w:lang w:val="lt-LT"/>
          </w:rPr>
          <w:t>Europos statistikos praktikos kodeksu</w:t>
        </w:r>
      </w:hyperlink>
      <w:r w:rsidR="00DF3EFB">
        <w:rPr>
          <w:lang w:val="lt-LT"/>
        </w:rPr>
        <w:t>.</w:t>
      </w:r>
    </w:p>
    <w:p w:rsidR="008B6A45" w:rsidRPr="00277243" w:rsidRDefault="008B6A45" w:rsidP="008B6A45">
      <w:pPr>
        <w:ind w:firstLine="709"/>
        <w:rPr>
          <w:color w:val="1F497D"/>
          <w:lang w:val="lt-LT"/>
        </w:rPr>
      </w:pPr>
    </w:p>
    <w:p w:rsidR="008B6A45" w:rsidRPr="00C44685" w:rsidRDefault="008B6A45" w:rsidP="008B6A45">
      <w:pPr>
        <w:jc w:val="both"/>
        <w:rPr>
          <w:lang w:val="lt-LT"/>
        </w:rPr>
      </w:pPr>
      <w:r w:rsidRPr="00C44685">
        <w:rPr>
          <w:lang w:val="lt-LT"/>
        </w:rPr>
        <w:t xml:space="preserve">Daugiau susijusių terminų ir paaiškinimų ieškokite </w:t>
      </w:r>
      <w:hyperlink r:id="rId14" w:history="1">
        <w:r w:rsidRPr="00C44685">
          <w:rPr>
            <w:rStyle w:val="Hyperlink"/>
            <w:lang w:val="lt-LT"/>
          </w:rPr>
          <w:t>Statistikos terminų žodyne</w:t>
        </w:r>
      </w:hyperlink>
      <w:r w:rsidRPr="00C44685">
        <w:rPr>
          <w:lang w:val="lt-LT"/>
        </w:rPr>
        <w:t xml:space="preserve">. </w:t>
      </w:r>
    </w:p>
    <w:p w:rsidR="000678CD" w:rsidRPr="0042435F" w:rsidRDefault="000678CD" w:rsidP="0045594E">
      <w:pPr>
        <w:pStyle w:val="Pagrtekstas"/>
        <w:ind w:firstLine="0"/>
        <w:rPr>
          <w:lang w:val="lt-LT"/>
        </w:rPr>
      </w:pPr>
    </w:p>
    <w:p w:rsidR="00D70415" w:rsidRPr="0042435F" w:rsidRDefault="002057C4" w:rsidP="00C17553">
      <w:pPr>
        <w:pStyle w:val="Pagrtekstas"/>
        <w:spacing w:after="120"/>
        <w:ind w:firstLine="709"/>
        <w:rPr>
          <w:b/>
          <w:lang w:val="lt-LT"/>
        </w:rPr>
      </w:pPr>
      <w:r>
        <w:rPr>
          <w:b/>
          <w:lang w:val="lt-LT"/>
        </w:rPr>
        <w:t>Paaiškinimai</w:t>
      </w:r>
    </w:p>
    <w:p w:rsidR="001869EF" w:rsidRPr="0042435F" w:rsidRDefault="00092D3C" w:rsidP="00C17553">
      <w:pPr>
        <w:pStyle w:val="Pagrtekstas"/>
        <w:ind w:firstLine="709"/>
        <w:rPr>
          <w:lang w:val="lt-LT"/>
        </w:rPr>
      </w:pPr>
      <w:r w:rsidRPr="0042435F">
        <w:rPr>
          <w:b/>
          <w:lang w:val="lt-LT"/>
        </w:rPr>
        <w:t>B</w:t>
      </w:r>
      <w:r w:rsidR="00D6418E" w:rsidRPr="0042435F">
        <w:rPr>
          <w:b/>
          <w:lang w:val="lt-LT"/>
        </w:rPr>
        <w:t>edarbi</w:t>
      </w:r>
      <w:r w:rsidR="00B04E9E" w:rsidRPr="0042435F">
        <w:rPr>
          <w:b/>
          <w:lang w:val="lt-LT"/>
        </w:rPr>
        <w:t>s</w:t>
      </w:r>
      <w:r w:rsidR="00D6418E" w:rsidRPr="0042435F">
        <w:rPr>
          <w:lang w:val="lt-LT"/>
        </w:rPr>
        <w:t xml:space="preserve"> – </w:t>
      </w:r>
      <w:r w:rsidR="00771903" w:rsidRPr="00771903">
        <w:rPr>
          <w:lang w:val="lt-LT"/>
        </w:rPr>
        <w:t>nedirbantis 15–74 metų amžiaus asmuo, kuris pastarąsias keturias savaites aktyviai ieško darbo ir gali pradėti dirbti per dvi savaites</w:t>
      </w:r>
      <w:r w:rsidR="007C1E63" w:rsidRPr="0042435F">
        <w:rPr>
          <w:lang w:val="lt-LT"/>
        </w:rPr>
        <w:t>.</w:t>
      </w:r>
    </w:p>
    <w:p w:rsidR="00CF4633" w:rsidRPr="0042435F" w:rsidRDefault="00CF4633" w:rsidP="00C17553">
      <w:pPr>
        <w:pStyle w:val="Pagrtekstas"/>
        <w:spacing w:before="120"/>
        <w:ind w:firstLine="709"/>
        <w:rPr>
          <w:lang w:val="lt-LT"/>
        </w:rPr>
      </w:pPr>
      <w:r w:rsidRPr="0042435F">
        <w:rPr>
          <w:b/>
          <w:lang w:val="lt-LT"/>
        </w:rPr>
        <w:t>Darbo jėga</w:t>
      </w:r>
      <w:r w:rsidRPr="0042435F">
        <w:rPr>
          <w:lang w:val="lt-LT"/>
        </w:rPr>
        <w:t xml:space="preserve"> –</w:t>
      </w:r>
      <w:r w:rsidR="006C0F91" w:rsidRPr="0042435F">
        <w:rPr>
          <w:lang w:val="lt-LT"/>
        </w:rPr>
        <w:t xml:space="preserve"> </w:t>
      </w:r>
      <w:r w:rsidR="003C4448">
        <w:rPr>
          <w:lang w:val="lt-LT"/>
        </w:rPr>
        <w:t xml:space="preserve">visi </w:t>
      </w:r>
      <w:r w:rsidRPr="0042435F">
        <w:rPr>
          <w:lang w:val="lt-LT"/>
        </w:rPr>
        <w:t>užimti gyventojai ir bedarbiai.</w:t>
      </w:r>
    </w:p>
    <w:p w:rsidR="00364EF0" w:rsidRPr="0042435F" w:rsidRDefault="00364EF0" w:rsidP="00C17553">
      <w:pPr>
        <w:pStyle w:val="Pagrtekstas"/>
        <w:spacing w:before="120"/>
        <w:ind w:firstLine="709"/>
        <w:rPr>
          <w:lang w:val="lt-LT"/>
        </w:rPr>
      </w:pPr>
      <w:r w:rsidRPr="0042435F">
        <w:rPr>
          <w:b/>
          <w:lang w:val="lt-LT"/>
        </w:rPr>
        <w:t>Ilgalaikis bedarbis</w:t>
      </w:r>
      <w:r w:rsidRPr="0042435F">
        <w:rPr>
          <w:lang w:val="lt-LT"/>
        </w:rPr>
        <w:t xml:space="preserve"> – bedarbis, ieškantis darbo vienus metus ar ilgiau.</w:t>
      </w:r>
    </w:p>
    <w:p w:rsidR="00364EF0" w:rsidRPr="0042435F" w:rsidRDefault="00364EF0" w:rsidP="00C17553">
      <w:pPr>
        <w:pStyle w:val="Pagrtekstas"/>
        <w:spacing w:before="120"/>
        <w:ind w:firstLine="709"/>
        <w:rPr>
          <w:lang w:val="lt-LT"/>
        </w:rPr>
      </w:pPr>
      <w:r w:rsidRPr="0042435F">
        <w:rPr>
          <w:b/>
          <w:lang w:val="lt-LT"/>
        </w:rPr>
        <w:t>Ilgalaikio nedarbo lygis</w:t>
      </w:r>
      <w:r w:rsidRPr="0042435F">
        <w:rPr>
          <w:lang w:val="lt-LT"/>
        </w:rPr>
        <w:t xml:space="preserve"> – rodiklis, išreiškiamas ilgalaikių bedarbių ir darbo jėgos santykiu.</w:t>
      </w:r>
    </w:p>
    <w:p w:rsidR="008016E4" w:rsidRPr="0042435F" w:rsidRDefault="00382181" w:rsidP="00C17553">
      <w:pPr>
        <w:pStyle w:val="Pagrtekstas"/>
        <w:spacing w:before="120"/>
        <w:ind w:firstLine="709"/>
        <w:rPr>
          <w:lang w:val="lt-LT"/>
        </w:rPr>
      </w:pPr>
      <w:r w:rsidRPr="0042435F">
        <w:rPr>
          <w:b/>
          <w:lang w:val="lt-LT"/>
        </w:rPr>
        <w:t>Ekonomiškai n</w:t>
      </w:r>
      <w:r w:rsidR="008016E4" w:rsidRPr="0042435F">
        <w:rPr>
          <w:b/>
          <w:lang w:val="lt-LT"/>
        </w:rPr>
        <w:t>eaktyvūs gyventojai</w:t>
      </w:r>
      <w:r w:rsidR="008016E4" w:rsidRPr="0042435F">
        <w:rPr>
          <w:lang w:val="lt-LT"/>
        </w:rPr>
        <w:t xml:space="preserve"> –</w:t>
      </w:r>
      <w:r w:rsidR="00826AB3" w:rsidRPr="0042435F">
        <w:rPr>
          <w:lang w:val="lt-LT"/>
        </w:rPr>
        <w:t xml:space="preserve"> </w:t>
      </w:r>
      <w:r w:rsidR="00335F8C" w:rsidRPr="0042435F">
        <w:rPr>
          <w:lang w:val="lt-LT"/>
        </w:rPr>
        <w:t>nedirbantys ir neieškantys darbo gyventojai</w:t>
      </w:r>
      <w:r w:rsidR="008016E4" w:rsidRPr="0042435F">
        <w:rPr>
          <w:lang w:val="lt-LT"/>
        </w:rPr>
        <w:t>, kurių negalima priskirti nei prie užimtų</w:t>
      </w:r>
      <w:r w:rsidR="00AC20E1" w:rsidRPr="0042435F">
        <w:rPr>
          <w:lang w:val="lt-LT"/>
        </w:rPr>
        <w:t xml:space="preserve"> gyventojų</w:t>
      </w:r>
      <w:r w:rsidR="00FA04E7" w:rsidRPr="0042435F">
        <w:rPr>
          <w:lang w:val="lt-LT"/>
        </w:rPr>
        <w:t>,</w:t>
      </w:r>
      <w:r w:rsidR="008016E4" w:rsidRPr="0042435F">
        <w:rPr>
          <w:lang w:val="lt-LT"/>
        </w:rPr>
        <w:t xml:space="preserve"> nei prie bedarbių.</w:t>
      </w:r>
    </w:p>
    <w:p w:rsidR="00CF4633" w:rsidRPr="0042435F" w:rsidRDefault="00CF4633" w:rsidP="00C17553">
      <w:pPr>
        <w:pStyle w:val="Pagrtekstas"/>
        <w:spacing w:before="120"/>
        <w:ind w:firstLine="709"/>
        <w:rPr>
          <w:lang w:val="lt-LT"/>
        </w:rPr>
      </w:pPr>
      <w:r w:rsidRPr="0042435F">
        <w:rPr>
          <w:b/>
          <w:lang w:val="lt-LT"/>
        </w:rPr>
        <w:t>Nedarbo lygis</w:t>
      </w:r>
      <w:r w:rsidRPr="0042435F">
        <w:rPr>
          <w:lang w:val="lt-LT"/>
        </w:rPr>
        <w:t xml:space="preserve"> – rodiklis, išreiškiamas bedarbių ir darbo jėgos santykiu.</w:t>
      </w:r>
    </w:p>
    <w:p w:rsidR="00771903" w:rsidRDefault="00AB2F5B" w:rsidP="00C17553">
      <w:pPr>
        <w:pStyle w:val="Pagrtekstas"/>
        <w:spacing w:before="120"/>
        <w:ind w:firstLine="709"/>
        <w:rPr>
          <w:lang w:val="lt-LT"/>
        </w:rPr>
      </w:pPr>
      <w:r w:rsidRPr="0042435F">
        <w:rPr>
          <w:b/>
          <w:lang w:val="lt-LT"/>
        </w:rPr>
        <w:t>Užimti gyventojai</w:t>
      </w:r>
      <w:r w:rsidRPr="0042435F">
        <w:rPr>
          <w:lang w:val="lt-LT"/>
        </w:rPr>
        <w:t xml:space="preserve"> –</w:t>
      </w:r>
      <w:r w:rsidR="00771903" w:rsidRPr="00C17553">
        <w:rPr>
          <w:lang w:val="lt-LT"/>
        </w:rPr>
        <w:t xml:space="preserve"> </w:t>
      </w:r>
      <w:r w:rsidR="00771903" w:rsidRPr="00771903">
        <w:rPr>
          <w:lang w:val="lt-LT"/>
        </w:rPr>
        <w:t>asmenys, dirbantys bet kokį darbą, gaunantys už jį atlygį pinigais ar natūra arba turintys iš jo pajamų ar pelno.</w:t>
      </w:r>
      <w:r w:rsidR="00771903">
        <w:rPr>
          <w:lang w:val="lt-LT"/>
        </w:rPr>
        <w:t xml:space="preserve"> </w:t>
      </w:r>
    </w:p>
    <w:p w:rsidR="00AB2F5B" w:rsidRPr="0042435F" w:rsidRDefault="00771903" w:rsidP="00C17553">
      <w:pPr>
        <w:pStyle w:val="Pagrtekstas"/>
        <w:spacing w:before="120"/>
        <w:ind w:firstLine="709"/>
        <w:rPr>
          <w:lang w:val="lt-LT"/>
        </w:rPr>
      </w:pPr>
      <w:r w:rsidRPr="00771903">
        <w:rPr>
          <w:lang w:val="lt-LT"/>
        </w:rPr>
        <w:t>Tyrime užimtais gyventojais laikomi 15–89 metų gyventojai, tiriamąją savaitę ne trumpiau kaip valandą dirbę bet kokį darbą, už kurį gavo darbo užmokestį pinigais ar atlygį natūra ar iš kurio turėjo pelno ar pajamų, taip pat gyventojai, kurie turėjo darbą, bet tiriamąją savaitę laikinai nedirbo.</w:t>
      </w:r>
    </w:p>
    <w:p w:rsidR="00090BCA" w:rsidRPr="0042435F" w:rsidRDefault="00AB2F5B" w:rsidP="00C17553">
      <w:pPr>
        <w:pStyle w:val="Pagrtekstas"/>
        <w:spacing w:before="120"/>
        <w:ind w:firstLine="709"/>
        <w:rPr>
          <w:lang w:val="lt-LT"/>
        </w:rPr>
      </w:pPr>
      <w:r w:rsidRPr="0042435F">
        <w:rPr>
          <w:b/>
          <w:lang w:val="lt-LT"/>
        </w:rPr>
        <w:t>Užimtumo lygis</w:t>
      </w:r>
      <w:r w:rsidRPr="0042435F">
        <w:rPr>
          <w:lang w:val="lt-LT"/>
        </w:rPr>
        <w:t xml:space="preserve"> – </w:t>
      </w:r>
      <w:r w:rsidR="00CF4633" w:rsidRPr="0042435F">
        <w:rPr>
          <w:lang w:val="lt-LT"/>
        </w:rPr>
        <w:t xml:space="preserve">rodiklis, išreiškiamas </w:t>
      </w:r>
      <w:r w:rsidR="00364EF0" w:rsidRPr="0042435F">
        <w:rPr>
          <w:lang w:val="lt-LT"/>
        </w:rPr>
        <w:t xml:space="preserve">pasirinktos amžiaus grupės </w:t>
      </w:r>
      <w:r w:rsidR="00CF4633" w:rsidRPr="0042435F">
        <w:rPr>
          <w:lang w:val="lt-LT"/>
        </w:rPr>
        <w:t xml:space="preserve">užimtų gyventojų ir </w:t>
      </w:r>
      <w:r w:rsidR="00364EF0" w:rsidRPr="0042435F">
        <w:rPr>
          <w:lang w:val="lt-LT"/>
        </w:rPr>
        <w:t xml:space="preserve">to paties amžiaus </w:t>
      </w:r>
      <w:r w:rsidR="00CF4633" w:rsidRPr="0042435F">
        <w:rPr>
          <w:lang w:val="lt-LT"/>
        </w:rPr>
        <w:t>visų gyventojų santykiu.</w:t>
      </w:r>
    </w:p>
    <w:p w:rsidR="006948CF" w:rsidRDefault="006948CF" w:rsidP="00C17553">
      <w:pPr>
        <w:pStyle w:val="Pagrtekstas"/>
        <w:ind w:firstLine="709"/>
        <w:rPr>
          <w:lang w:val="lt-LT"/>
        </w:rPr>
      </w:pPr>
    </w:p>
    <w:p w:rsidR="00D57FA0" w:rsidRPr="0042435F" w:rsidRDefault="00D57FA0" w:rsidP="0045594E">
      <w:pPr>
        <w:pStyle w:val="Pasiteirauti"/>
        <w:rPr>
          <w:sz w:val="20"/>
        </w:rPr>
      </w:pPr>
    </w:p>
    <w:p w:rsidR="0034382E" w:rsidRPr="0042435F" w:rsidRDefault="0034382E" w:rsidP="0045594E">
      <w:pPr>
        <w:rPr>
          <w:sz w:val="19"/>
          <w:szCs w:val="19"/>
          <w:lang w:val="lt-LT"/>
        </w:rPr>
      </w:pPr>
    </w:p>
    <w:p w:rsidR="00AE0788" w:rsidRPr="0042435F" w:rsidRDefault="00AE0788" w:rsidP="006948CF">
      <w:pPr>
        <w:pStyle w:val="Pasiteirauti"/>
        <w:spacing w:after="60"/>
      </w:pPr>
      <w:r w:rsidRPr="0042435F">
        <w:t>Kontaktinė informacija</w:t>
      </w:r>
      <w:r w:rsidR="00514940" w:rsidRPr="0042435F">
        <w:t xml:space="preserve"> </w:t>
      </w:r>
    </w:p>
    <w:p w:rsidR="00514940" w:rsidRPr="00A70723" w:rsidRDefault="00DF3EFB" w:rsidP="0045594E">
      <w:pPr>
        <w:pStyle w:val="Pasiteirauti"/>
      </w:pPr>
      <w:r>
        <w:t>Rūta Bitinaitė</w:t>
      </w:r>
    </w:p>
    <w:p w:rsidR="00514940" w:rsidRPr="00A70723" w:rsidRDefault="003B23BE" w:rsidP="0045594E">
      <w:pPr>
        <w:pStyle w:val="Pasiteirauti"/>
      </w:pPr>
      <w:r w:rsidRPr="00A70723">
        <w:t>Gyvenimo lygio ir u</w:t>
      </w:r>
      <w:r w:rsidR="00514940" w:rsidRPr="00A70723">
        <w:t xml:space="preserve">žimtumo statistikos skyriaus </w:t>
      </w:r>
      <w:r w:rsidR="00DF3EFB">
        <w:t>vyriausioji specialistė</w:t>
      </w:r>
      <w:r w:rsidR="00253659" w:rsidRPr="00A70723">
        <w:tab/>
      </w:r>
    </w:p>
    <w:p w:rsidR="00514940" w:rsidRPr="00DF3EFB" w:rsidRDefault="00514940" w:rsidP="0045594E">
      <w:pPr>
        <w:pStyle w:val="Pasiteirauti"/>
        <w:rPr>
          <w:lang w:val="en-US"/>
        </w:rPr>
      </w:pPr>
      <w:r w:rsidRPr="00A70723">
        <w:t xml:space="preserve">Tel. (8 5) </w:t>
      </w:r>
      <w:r w:rsidR="006D0BDA">
        <w:t xml:space="preserve"> </w:t>
      </w:r>
      <w:r w:rsidRPr="00A70723">
        <w:t>236 4</w:t>
      </w:r>
      <w:r w:rsidR="00DF3EFB">
        <w:rPr>
          <w:lang w:val="en-US"/>
        </w:rPr>
        <w:t>789</w:t>
      </w:r>
    </w:p>
    <w:p w:rsidR="000678CD" w:rsidRPr="00A70723" w:rsidRDefault="00514940" w:rsidP="0045594E">
      <w:pPr>
        <w:pStyle w:val="Pasiteirauti"/>
        <w:rPr>
          <w:szCs w:val="18"/>
        </w:rPr>
      </w:pPr>
      <w:r w:rsidRPr="00A70723">
        <w:rPr>
          <w:szCs w:val="18"/>
        </w:rPr>
        <w:t xml:space="preserve">El. </w:t>
      </w:r>
      <w:r w:rsidR="00A70723" w:rsidRPr="00A70723">
        <w:rPr>
          <w:szCs w:val="18"/>
        </w:rPr>
        <w:t>p</w:t>
      </w:r>
      <w:r w:rsidR="000678CD" w:rsidRPr="00A70723">
        <w:rPr>
          <w:szCs w:val="18"/>
        </w:rPr>
        <w:t xml:space="preserve">. </w:t>
      </w:r>
      <w:r w:rsidR="00DF3EFB">
        <w:rPr>
          <w:szCs w:val="18"/>
        </w:rPr>
        <w:t>ruta.bitinaite</w:t>
      </w:r>
      <w:r w:rsidR="00DF3EFB">
        <w:rPr>
          <w:szCs w:val="18"/>
          <w:lang w:val="en-US"/>
        </w:rPr>
        <w:t xml:space="preserve"> </w:t>
      </w:r>
      <w:r w:rsidR="00A70723">
        <w:rPr>
          <w:szCs w:val="18"/>
          <w:lang w:val="en-US"/>
        </w:rPr>
        <w:t>@</w:t>
      </w:r>
      <w:r w:rsidR="00A70723">
        <w:rPr>
          <w:szCs w:val="18"/>
        </w:rPr>
        <w:t>stat.gov.lt</w:t>
      </w:r>
    </w:p>
    <w:p w:rsidR="006372AC" w:rsidRPr="006948CF" w:rsidRDefault="006372AC" w:rsidP="0045594E">
      <w:pPr>
        <w:pStyle w:val="Pasiteirauti"/>
        <w:rPr>
          <w:sz w:val="20"/>
          <w:lang w:val="en-US"/>
        </w:rPr>
      </w:pPr>
    </w:p>
    <w:p w:rsidR="0045594E" w:rsidRPr="006948CF" w:rsidRDefault="0045594E" w:rsidP="0045594E">
      <w:pPr>
        <w:pStyle w:val="Pasiteirauti"/>
        <w:rPr>
          <w:sz w:val="20"/>
          <w:lang w:val="en-US"/>
        </w:rPr>
      </w:pPr>
    </w:p>
    <w:p w:rsidR="00514940" w:rsidRPr="0042435F" w:rsidRDefault="00514940" w:rsidP="0045594E">
      <w:pPr>
        <w:pStyle w:val="Pasiteirauti"/>
      </w:pPr>
      <w:r w:rsidRPr="0042435F">
        <w:rPr>
          <w:color w:val="000000"/>
        </w:rPr>
        <w:t xml:space="preserve">© </w:t>
      </w:r>
      <w:r w:rsidR="00254BC6" w:rsidRPr="0042435F">
        <w:rPr>
          <w:color w:val="000000"/>
        </w:rPr>
        <w:t>Lietuvos s</w:t>
      </w:r>
      <w:r w:rsidRPr="0042435F">
        <w:t>tatistikos departamentas</w:t>
      </w:r>
    </w:p>
    <w:p w:rsidR="00AE22AC" w:rsidRPr="0042435F" w:rsidRDefault="00514940" w:rsidP="0045594E">
      <w:pPr>
        <w:pStyle w:val="Pasiteirauti"/>
      </w:pPr>
      <w:r w:rsidRPr="0042435F">
        <w:t xml:space="preserve">Naudojant </w:t>
      </w:r>
      <w:r w:rsidR="002804AE" w:rsidRPr="0042435F">
        <w:t>Lietuvos s</w:t>
      </w:r>
      <w:r w:rsidRPr="0042435F">
        <w:t>tatistikos departamento duomenis</w:t>
      </w:r>
      <w:r w:rsidR="003071C7" w:rsidRPr="0042435F">
        <w:t>,</w:t>
      </w:r>
      <w:r w:rsidRPr="0042435F">
        <w:t xml:space="preserve"> būtina nurodyti šaltinį.</w:t>
      </w:r>
    </w:p>
    <w:p w:rsidR="0045594E" w:rsidRDefault="0045594E" w:rsidP="0045594E">
      <w:pPr>
        <w:pStyle w:val="Pasiteirauti"/>
      </w:pPr>
    </w:p>
    <w:p w:rsidR="002E370B" w:rsidRPr="003F1FF6" w:rsidRDefault="003E5959" w:rsidP="0045594E">
      <w:pPr>
        <w:pStyle w:val="Pasiteirauti"/>
      </w:pPr>
      <w:r w:rsidRPr="0042435F">
        <w:t>Žymos</w:t>
      </w:r>
      <w:r w:rsidR="00E03A51" w:rsidRPr="0042435F">
        <w:t>: nedarbas, bedarbiai, užimtumas</w:t>
      </w:r>
      <w:r w:rsidR="00050203" w:rsidRPr="0042435F">
        <w:t>.</w:t>
      </w:r>
      <w:r w:rsidR="00AE0788" w:rsidRPr="00CE701A" w:rsidDel="00AE0788">
        <w:t xml:space="preserve"> </w:t>
      </w:r>
    </w:p>
    <w:p w:rsidR="008201D3" w:rsidRPr="00CE701A" w:rsidRDefault="008201D3" w:rsidP="0045594E">
      <w:pPr>
        <w:pStyle w:val="Pasiteirauti"/>
        <w:jc w:val="right"/>
        <w:rPr>
          <w:rStyle w:val="Strong"/>
          <w:rFonts w:cs="Arial"/>
          <w:b w:val="0"/>
          <w:color w:val="333333"/>
          <w:sz w:val="4"/>
          <w:szCs w:val="4"/>
        </w:rPr>
      </w:pPr>
    </w:p>
    <w:sectPr w:rsidR="008201D3" w:rsidRPr="00CE701A" w:rsidSect="0045594E">
      <w:headerReference w:type="even" r:id="rId15"/>
      <w:headerReference w:type="default" r:id="rId16"/>
      <w:headerReference w:type="first" r:id="rId17"/>
      <w:footerReference w:type="first" r:id="rId18"/>
      <w:pgSz w:w="11906" w:h="16838" w:code="9"/>
      <w:pgMar w:top="1134" w:right="851" w:bottom="1134" w:left="851" w:header="851" w:footer="22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90" w:rsidRDefault="006E3E90">
      <w:r>
        <w:separator/>
      </w:r>
    </w:p>
  </w:endnote>
  <w:endnote w:type="continuationSeparator" w:id="0">
    <w:p w:rsidR="006E3E90" w:rsidRDefault="006E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B0" w:rsidRDefault="00B26FB0">
    <w:pPr>
      <w:ind w:right="-113"/>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90" w:rsidRDefault="006E3E90">
      <w:r>
        <w:separator/>
      </w:r>
    </w:p>
  </w:footnote>
  <w:footnote w:type="continuationSeparator" w:id="0">
    <w:p w:rsidR="006E3E90" w:rsidRDefault="006E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B0" w:rsidRDefault="00B26F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6FB0" w:rsidRDefault="00B26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B0" w:rsidRPr="00317478" w:rsidRDefault="00B26FB0">
    <w:pPr>
      <w:pStyle w:val="Header"/>
      <w:framePr w:wrap="around" w:vAnchor="text" w:hAnchor="margin" w:xAlign="center" w:y="1"/>
      <w:rPr>
        <w:rStyle w:val="PageNumber"/>
        <w:sz w:val="18"/>
        <w:szCs w:val="18"/>
      </w:rPr>
    </w:pPr>
    <w:r w:rsidRPr="00317478">
      <w:rPr>
        <w:rStyle w:val="PageNumber"/>
        <w:sz w:val="18"/>
        <w:szCs w:val="18"/>
      </w:rPr>
      <w:fldChar w:fldCharType="begin"/>
    </w:r>
    <w:r w:rsidRPr="00317478">
      <w:rPr>
        <w:rStyle w:val="PageNumber"/>
        <w:sz w:val="18"/>
        <w:szCs w:val="18"/>
      </w:rPr>
      <w:instrText xml:space="preserve">PAGE  </w:instrText>
    </w:r>
    <w:r w:rsidRPr="00317478">
      <w:rPr>
        <w:rStyle w:val="PageNumber"/>
        <w:sz w:val="18"/>
        <w:szCs w:val="18"/>
      </w:rPr>
      <w:fldChar w:fldCharType="separate"/>
    </w:r>
    <w:r w:rsidR="00330958">
      <w:rPr>
        <w:rStyle w:val="PageNumber"/>
        <w:noProof/>
        <w:sz w:val="18"/>
        <w:szCs w:val="18"/>
      </w:rPr>
      <w:t>3</w:t>
    </w:r>
    <w:r w:rsidRPr="00317478">
      <w:rPr>
        <w:rStyle w:val="PageNumber"/>
        <w:sz w:val="18"/>
        <w:szCs w:val="18"/>
      </w:rPr>
      <w:fldChar w:fldCharType="end"/>
    </w:r>
  </w:p>
  <w:p w:rsidR="00B26FB0" w:rsidRPr="00317478" w:rsidRDefault="00B26FB0">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45594E" w:rsidTr="007B7543">
      <w:tc>
        <w:tcPr>
          <w:tcW w:w="2500" w:type="pct"/>
          <w:vAlign w:val="center"/>
        </w:tcPr>
        <w:p w:rsidR="0045594E" w:rsidRDefault="00102D7E" w:rsidP="005D2FB6">
          <w:pPr>
            <w:pStyle w:val="Header"/>
            <w:ind w:right="-57"/>
          </w:pPr>
          <w:r>
            <w:rPr>
              <w:noProof/>
              <w:lang w:val="lt-LT" w:eastAsia="lt-LT"/>
            </w:rPr>
            <w:drawing>
              <wp:inline distT="0" distB="0" distL="0" distR="0" wp14:anchorId="36613FF8" wp14:editId="4BDFD7B9">
                <wp:extent cx="1358265" cy="429895"/>
                <wp:effectExtent l="0" t="0" r="0" b="8255"/>
                <wp:docPr id="7"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429895"/>
                        </a:xfrm>
                        <a:prstGeom prst="rect">
                          <a:avLst/>
                        </a:prstGeom>
                        <a:noFill/>
                        <a:ln>
                          <a:noFill/>
                        </a:ln>
                      </pic:spPr>
                    </pic:pic>
                  </a:graphicData>
                </a:graphic>
              </wp:inline>
            </w:drawing>
          </w:r>
        </w:p>
      </w:tc>
      <w:tc>
        <w:tcPr>
          <w:tcW w:w="2500" w:type="pct"/>
          <w:vAlign w:val="bottom"/>
        </w:tcPr>
        <w:p w:rsidR="0045594E" w:rsidRPr="0045594E" w:rsidRDefault="00102D7E" w:rsidP="005D2FB6">
          <w:pPr>
            <w:pStyle w:val="Header"/>
            <w:spacing w:after="60"/>
            <w:jc w:val="right"/>
            <w:rPr>
              <w:lang w:val="lt-LT"/>
            </w:rPr>
          </w:pPr>
          <w:r>
            <w:rPr>
              <w:noProof/>
              <w:lang w:val="lt-LT" w:eastAsia="lt-LT"/>
            </w:rPr>
            <w:drawing>
              <wp:inline distT="0" distB="0" distL="0" distR="0" wp14:anchorId="6563AABF" wp14:editId="3B9A59B9">
                <wp:extent cx="1337310" cy="429895"/>
                <wp:effectExtent l="0" t="0" r="0" b="8255"/>
                <wp:docPr id="5"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310" cy="429895"/>
                        </a:xfrm>
                        <a:prstGeom prst="rect">
                          <a:avLst/>
                        </a:prstGeom>
                        <a:noFill/>
                        <a:ln>
                          <a:noFill/>
                        </a:ln>
                      </pic:spPr>
                    </pic:pic>
                  </a:graphicData>
                </a:graphic>
              </wp:inline>
            </w:drawing>
          </w:r>
        </w:p>
      </w:tc>
    </w:tr>
  </w:tbl>
  <w:p w:rsidR="00B26FB0" w:rsidRDefault="00B26FB0">
    <w:pPr>
      <w:pStyle w:val="Header"/>
      <w:pBdr>
        <w:bottom w:val="double" w:sz="6" w:space="1" w:color="auto"/>
      </w:pBdr>
      <w:rPr>
        <w:sz w:val="16"/>
      </w:rPr>
    </w:pPr>
  </w:p>
  <w:p w:rsidR="00B26FB0" w:rsidRDefault="00B26FB0">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56928"/>
    <w:multiLevelType w:val="hybridMultilevel"/>
    <w:tmpl w:val="50925482"/>
    <w:lvl w:ilvl="0" w:tplc="042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E"/>
    <w:rsid w:val="0000071F"/>
    <w:rsid w:val="000020D8"/>
    <w:rsid w:val="00002DB3"/>
    <w:rsid w:val="00003282"/>
    <w:rsid w:val="000035E5"/>
    <w:rsid w:val="000044B1"/>
    <w:rsid w:val="00004D59"/>
    <w:rsid w:val="00006227"/>
    <w:rsid w:val="00014717"/>
    <w:rsid w:val="00016EA8"/>
    <w:rsid w:val="0002032C"/>
    <w:rsid w:val="00020502"/>
    <w:rsid w:val="000209E3"/>
    <w:rsid w:val="00020FED"/>
    <w:rsid w:val="000215DD"/>
    <w:rsid w:val="000219D4"/>
    <w:rsid w:val="00021BAA"/>
    <w:rsid w:val="000233EC"/>
    <w:rsid w:val="000241E3"/>
    <w:rsid w:val="00024449"/>
    <w:rsid w:val="000260E4"/>
    <w:rsid w:val="00026F74"/>
    <w:rsid w:val="000302B1"/>
    <w:rsid w:val="00031615"/>
    <w:rsid w:val="00031F39"/>
    <w:rsid w:val="00035483"/>
    <w:rsid w:val="00036D40"/>
    <w:rsid w:val="000370EA"/>
    <w:rsid w:val="00040414"/>
    <w:rsid w:val="00041C41"/>
    <w:rsid w:val="00044222"/>
    <w:rsid w:val="000445CC"/>
    <w:rsid w:val="00046451"/>
    <w:rsid w:val="00050203"/>
    <w:rsid w:val="00050C23"/>
    <w:rsid w:val="0005429A"/>
    <w:rsid w:val="0005797E"/>
    <w:rsid w:val="000613C4"/>
    <w:rsid w:val="00061E5A"/>
    <w:rsid w:val="00063526"/>
    <w:rsid w:val="000663E7"/>
    <w:rsid w:val="000678CD"/>
    <w:rsid w:val="00070109"/>
    <w:rsid w:val="000707B4"/>
    <w:rsid w:val="000721EB"/>
    <w:rsid w:val="000731A5"/>
    <w:rsid w:val="00074514"/>
    <w:rsid w:val="00074BBA"/>
    <w:rsid w:val="00075279"/>
    <w:rsid w:val="00075DE0"/>
    <w:rsid w:val="00075DFB"/>
    <w:rsid w:val="00075FC6"/>
    <w:rsid w:val="00076568"/>
    <w:rsid w:val="00076B86"/>
    <w:rsid w:val="000779D9"/>
    <w:rsid w:val="00077AE0"/>
    <w:rsid w:val="000869AC"/>
    <w:rsid w:val="000875FA"/>
    <w:rsid w:val="00087648"/>
    <w:rsid w:val="00090BCA"/>
    <w:rsid w:val="00092C75"/>
    <w:rsid w:val="00092D3C"/>
    <w:rsid w:val="00092D8A"/>
    <w:rsid w:val="00094096"/>
    <w:rsid w:val="000947EE"/>
    <w:rsid w:val="00094D2F"/>
    <w:rsid w:val="00096301"/>
    <w:rsid w:val="00096582"/>
    <w:rsid w:val="00096F57"/>
    <w:rsid w:val="000978C8"/>
    <w:rsid w:val="00097EF7"/>
    <w:rsid w:val="000A0148"/>
    <w:rsid w:val="000A156D"/>
    <w:rsid w:val="000A3389"/>
    <w:rsid w:val="000A346C"/>
    <w:rsid w:val="000A3CDB"/>
    <w:rsid w:val="000A4317"/>
    <w:rsid w:val="000A5063"/>
    <w:rsid w:val="000A5E17"/>
    <w:rsid w:val="000B2920"/>
    <w:rsid w:val="000B2BBB"/>
    <w:rsid w:val="000B3D63"/>
    <w:rsid w:val="000B4BC9"/>
    <w:rsid w:val="000B5344"/>
    <w:rsid w:val="000B643F"/>
    <w:rsid w:val="000B6BD4"/>
    <w:rsid w:val="000C04FC"/>
    <w:rsid w:val="000C0722"/>
    <w:rsid w:val="000C164D"/>
    <w:rsid w:val="000C1F36"/>
    <w:rsid w:val="000C477B"/>
    <w:rsid w:val="000C51B6"/>
    <w:rsid w:val="000C54AD"/>
    <w:rsid w:val="000C6812"/>
    <w:rsid w:val="000C7D3B"/>
    <w:rsid w:val="000C7E49"/>
    <w:rsid w:val="000D0846"/>
    <w:rsid w:val="000D0F51"/>
    <w:rsid w:val="000D19AE"/>
    <w:rsid w:val="000D349E"/>
    <w:rsid w:val="000D5940"/>
    <w:rsid w:val="000D6750"/>
    <w:rsid w:val="000D67AA"/>
    <w:rsid w:val="000E1DBF"/>
    <w:rsid w:val="000E5093"/>
    <w:rsid w:val="000E5ACA"/>
    <w:rsid w:val="000E5FFF"/>
    <w:rsid w:val="000E6A96"/>
    <w:rsid w:val="000E765B"/>
    <w:rsid w:val="000E7995"/>
    <w:rsid w:val="000E7B9F"/>
    <w:rsid w:val="000F008B"/>
    <w:rsid w:val="000F05A3"/>
    <w:rsid w:val="000F0CD8"/>
    <w:rsid w:val="000F122C"/>
    <w:rsid w:val="000F39DC"/>
    <w:rsid w:val="000F5830"/>
    <w:rsid w:val="000F65F3"/>
    <w:rsid w:val="000F660B"/>
    <w:rsid w:val="000F79A1"/>
    <w:rsid w:val="00101874"/>
    <w:rsid w:val="00101DEC"/>
    <w:rsid w:val="001022C1"/>
    <w:rsid w:val="0010261A"/>
    <w:rsid w:val="00102D7E"/>
    <w:rsid w:val="00103CF9"/>
    <w:rsid w:val="00105D53"/>
    <w:rsid w:val="001068B7"/>
    <w:rsid w:val="001100C8"/>
    <w:rsid w:val="0011109B"/>
    <w:rsid w:val="00111DDA"/>
    <w:rsid w:val="00112375"/>
    <w:rsid w:val="00112507"/>
    <w:rsid w:val="00113EF2"/>
    <w:rsid w:val="0011569E"/>
    <w:rsid w:val="0011635D"/>
    <w:rsid w:val="00117382"/>
    <w:rsid w:val="00120062"/>
    <w:rsid w:val="001202BA"/>
    <w:rsid w:val="0012246C"/>
    <w:rsid w:val="00125B60"/>
    <w:rsid w:val="0012678D"/>
    <w:rsid w:val="00126DE8"/>
    <w:rsid w:val="00127C70"/>
    <w:rsid w:val="0013024A"/>
    <w:rsid w:val="001305B1"/>
    <w:rsid w:val="00130CE1"/>
    <w:rsid w:val="00133521"/>
    <w:rsid w:val="00133E6B"/>
    <w:rsid w:val="00133E96"/>
    <w:rsid w:val="00135CF3"/>
    <w:rsid w:val="0013641F"/>
    <w:rsid w:val="00136B44"/>
    <w:rsid w:val="00141590"/>
    <w:rsid w:val="00143AAB"/>
    <w:rsid w:val="001456CB"/>
    <w:rsid w:val="001508E8"/>
    <w:rsid w:val="001530DB"/>
    <w:rsid w:val="00153321"/>
    <w:rsid w:val="00154631"/>
    <w:rsid w:val="00154A0C"/>
    <w:rsid w:val="00155B97"/>
    <w:rsid w:val="00156A8D"/>
    <w:rsid w:val="00157337"/>
    <w:rsid w:val="00161452"/>
    <w:rsid w:val="0016214E"/>
    <w:rsid w:val="00162B27"/>
    <w:rsid w:val="00162C37"/>
    <w:rsid w:val="001659EC"/>
    <w:rsid w:val="001709A2"/>
    <w:rsid w:val="00172D68"/>
    <w:rsid w:val="0017312B"/>
    <w:rsid w:val="0017517E"/>
    <w:rsid w:val="00176149"/>
    <w:rsid w:val="001768A0"/>
    <w:rsid w:val="00176E3A"/>
    <w:rsid w:val="00182955"/>
    <w:rsid w:val="00182EC0"/>
    <w:rsid w:val="0018391E"/>
    <w:rsid w:val="0018464B"/>
    <w:rsid w:val="00184AE9"/>
    <w:rsid w:val="001851E6"/>
    <w:rsid w:val="001855B9"/>
    <w:rsid w:val="00185AA1"/>
    <w:rsid w:val="001860F5"/>
    <w:rsid w:val="001865DC"/>
    <w:rsid w:val="001869EF"/>
    <w:rsid w:val="00193065"/>
    <w:rsid w:val="001937E5"/>
    <w:rsid w:val="001945F0"/>
    <w:rsid w:val="00195A72"/>
    <w:rsid w:val="00196639"/>
    <w:rsid w:val="00197E0B"/>
    <w:rsid w:val="001A191E"/>
    <w:rsid w:val="001A2E82"/>
    <w:rsid w:val="001A3BCB"/>
    <w:rsid w:val="001A617E"/>
    <w:rsid w:val="001A6A94"/>
    <w:rsid w:val="001B0BA0"/>
    <w:rsid w:val="001B129F"/>
    <w:rsid w:val="001B1FC3"/>
    <w:rsid w:val="001B5924"/>
    <w:rsid w:val="001B5B19"/>
    <w:rsid w:val="001B6B4A"/>
    <w:rsid w:val="001B6FF1"/>
    <w:rsid w:val="001C05CF"/>
    <w:rsid w:val="001C36F0"/>
    <w:rsid w:val="001C375A"/>
    <w:rsid w:val="001C5BC4"/>
    <w:rsid w:val="001C605E"/>
    <w:rsid w:val="001C6A9F"/>
    <w:rsid w:val="001C7104"/>
    <w:rsid w:val="001C7B63"/>
    <w:rsid w:val="001D12D1"/>
    <w:rsid w:val="001D14EC"/>
    <w:rsid w:val="001D3D2A"/>
    <w:rsid w:val="001D42A7"/>
    <w:rsid w:val="001D4F3E"/>
    <w:rsid w:val="001D5280"/>
    <w:rsid w:val="001D5667"/>
    <w:rsid w:val="001D6611"/>
    <w:rsid w:val="001E0802"/>
    <w:rsid w:val="001E12B6"/>
    <w:rsid w:val="001E3681"/>
    <w:rsid w:val="001E3CC4"/>
    <w:rsid w:val="001E4CBA"/>
    <w:rsid w:val="001E5713"/>
    <w:rsid w:val="001E61A4"/>
    <w:rsid w:val="001E62DC"/>
    <w:rsid w:val="001F2F0F"/>
    <w:rsid w:val="001F3EBA"/>
    <w:rsid w:val="001F491A"/>
    <w:rsid w:val="001F4F09"/>
    <w:rsid w:val="001F6886"/>
    <w:rsid w:val="001F73E4"/>
    <w:rsid w:val="001F78A2"/>
    <w:rsid w:val="002022CC"/>
    <w:rsid w:val="002034EA"/>
    <w:rsid w:val="00203C57"/>
    <w:rsid w:val="00204621"/>
    <w:rsid w:val="0020502F"/>
    <w:rsid w:val="002057C4"/>
    <w:rsid w:val="00205867"/>
    <w:rsid w:val="002063E4"/>
    <w:rsid w:val="002071C0"/>
    <w:rsid w:val="0020734A"/>
    <w:rsid w:val="00207BEE"/>
    <w:rsid w:val="002111F5"/>
    <w:rsid w:val="002126D6"/>
    <w:rsid w:val="00213046"/>
    <w:rsid w:val="00215FAF"/>
    <w:rsid w:val="0021659E"/>
    <w:rsid w:val="00217843"/>
    <w:rsid w:val="00222086"/>
    <w:rsid w:val="002224F9"/>
    <w:rsid w:val="00223D94"/>
    <w:rsid w:val="00223E39"/>
    <w:rsid w:val="00226787"/>
    <w:rsid w:val="00230243"/>
    <w:rsid w:val="00230253"/>
    <w:rsid w:val="00231045"/>
    <w:rsid w:val="0023364E"/>
    <w:rsid w:val="0024043E"/>
    <w:rsid w:val="002418E7"/>
    <w:rsid w:val="00241CE0"/>
    <w:rsid w:val="002422DE"/>
    <w:rsid w:val="0024266A"/>
    <w:rsid w:val="00242698"/>
    <w:rsid w:val="00242B92"/>
    <w:rsid w:val="00245A64"/>
    <w:rsid w:val="00245F4B"/>
    <w:rsid w:val="00246B6D"/>
    <w:rsid w:val="00250A7D"/>
    <w:rsid w:val="00250FF2"/>
    <w:rsid w:val="00251099"/>
    <w:rsid w:val="00253659"/>
    <w:rsid w:val="0025418C"/>
    <w:rsid w:val="0025419B"/>
    <w:rsid w:val="00254BC6"/>
    <w:rsid w:val="002559ED"/>
    <w:rsid w:val="002576C9"/>
    <w:rsid w:val="002609C1"/>
    <w:rsid w:val="002612B3"/>
    <w:rsid w:val="0026258E"/>
    <w:rsid w:val="00263240"/>
    <w:rsid w:val="0026463A"/>
    <w:rsid w:val="0026679F"/>
    <w:rsid w:val="00267DD8"/>
    <w:rsid w:val="002706B0"/>
    <w:rsid w:val="00275241"/>
    <w:rsid w:val="002762E4"/>
    <w:rsid w:val="00277243"/>
    <w:rsid w:val="002774E9"/>
    <w:rsid w:val="002804AE"/>
    <w:rsid w:val="0028089D"/>
    <w:rsid w:val="00280DB6"/>
    <w:rsid w:val="00280ECB"/>
    <w:rsid w:val="00281832"/>
    <w:rsid w:val="00282556"/>
    <w:rsid w:val="00283AAC"/>
    <w:rsid w:val="00285422"/>
    <w:rsid w:val="00286608"/>
    <w:rsid w:val="00286855"/>
    <w:rsid w:val="00287CFF"/>
    <w:rsid w:val="00290421"/>
    <w:rsid w:val="002908C4"/>
    <w:rsid w:val="00290FCF"/>
    <w:rsid w:val="00291775"/>
    <w:rsid w:val="00291CDB"/>
    <w:rsid w:val="002923AE"/>
    <w:rsid w:val="00295FDC"/>
    <w:rsid w:val="002A10DA"/>
    <w:rsid w:val="002A3020"/>
    <w:rsid w:val="002A5662"/>
    <w:rsid w:val="002A579B"/>
    <w:rsid w:val="002A5B58"/>
    <w:rsid w:val="002A6A86"/>
    <w:rsid w:val="002A75C6"/>
    <w:rsid w:val="002B1211"/>
    <w:rsid w:val="002B1985"/>
    <w:rsid w:val="002B4060"/>
    <w:rsid w:val="002B55C1"/>
    <w:rsid w:val="002B6B3A"/>
    <w:rsid w:val="002B78CA"/>
    <w:rsid w:val="002C0843"/>
    <w:rsid w:val="002C6864"/>
    <w:rsid w:val="002C73D9"/>
    <w:rsid w:val="002C755D"/>
    <w:rsid w:val="002D010E"/>
    <w:rsid w:val="002D03F4"/>
    <w:rsid w:val="002D0F87"/>
    <w:rsid w:val="002D39DC"/>
    <w:rsid w:val="002D44E6"/>
    <w:rsid w:val="002D49D1"/>
    <w:rsid w:val="002D59D6"/>
    <w:rsid w:val="002D653E"/>
    <w:rsid w:val="002D69F5"/>
    <w:rsid w:val="002D7D4A"/>
    <w:rsid w:val="002D7D94"/>
    <w:rsid w:val="002E078D"/>
    <w:rsid w:val="002E188B"/>
    <w:rsid w:val="002E2B84"/>
    <w:rsid w:val="002E30DA"/>
    <w:rsid w:val="002E31DD"/>
    <w:rsid w:val="002E370B"/>
    <w:rsid w:val="002E4AE7"/>
    <w:rsid w:val="002E5B88"/>
    <w:rsid w:val="002F092E"/>
    <w:rsid w:val="002F1310"/>
    <w:rsid w:val="002F1E05"/>
    <w:rsid w:val="002F2161"/>
    <w:rsid w:val="002F34B8"/>
    <w:rsid w:val="002F4CB6"/>
    <w:rsid w:val="002F4EF0"/>
    <w:rsid w:val="002F5DBC"/>
    <w:rsid w:val="002F6332"/>
    <w:rsid w:val="002F6946"/>
    <w:rsid w:val="002F6DDD"/>
    <w:rsid w:val="00300546"/>
    <w:rsid w:val="00301584"/>
    <w:rsid w:val="00301E69"/>
    <w:rsid w:val="00302070"/>
    <w:rsid w:val="00302596"/>
    <w:rsid w:val="003026BD"/>
    <w:rsid w:val="00306286"/>
    <w:rsid w:val="00306AD9"/>
    <w:rsid w:val="003071C7"/>
    <w:rsid w:val="00311918"/>
    <w:rsid w:val="00311F41"/>
    <w:rsid w:val="00311FF4"/>
    <w:rsid w:val="003126F5"/>
    <w:rsid w:val="003133E4"/>
    <w:rsid w:val="0031342C"/>
    <w:rsid w:val="00317432"/>
    <w:rsid w:val="00317478"/>
    <w:rsid w:val="00317488"/>
    <w:rsid w:val="003203FA"/>
    <w:rsid w:val="00320525"/>
    <w:rsid w:val="00322BBE"/>
    <w:rsid w:val="003250FE"/>
    <w:rsid w:val="003256FD"/>
    <w:rsid w:val="00326F7A"/>
    <w:rsid w:val="0033082E"/>
    <w:rsid w:val="00330958"/>
    <w:rsid w:val="0033143C"/>
    <w:rsid w:val="003314E1"/>
    <w:rsid w:val="00331906"/>
    <w:rsid w:val="00333CB3"/>
    <w:rsid w:val="003341C6"/>
    <w:rsid w:val="0033428E"/>
    <w:rsid w:val="00334F3E"/>
    <w:rsid w:val="00335053"/>
    <w:rsid w:val="00335F8C"/>
    <w:rsid w:val="0033777A"/>
    <w:rsid w:val="003401E2"/>
    <w:rsid w:val="0034070A"/>
    <w:rsid w:val="00340B7E"/>
    <w:rsid w:val="0034382E"/>
    <w:rsid w:val="00345133"/>
    <w:rsid w:val="0034650F"/>
    <w:rsid w:val="00353462"/>
    <w:rsid w:val="0035784A"/>
    <w:rsid w:val="00357EE0"/>
    <w:rsid w:val="003607AC"/>
    <w:rsid w:val="0036135F"/>
    <w:rsid w:val="00362A55"/>
    <w:rsid w:val="00363CB9"/>
    <w:rsid w:val="00364EF0"/>
    <w:rsid w:val="003660C8"/>
    <w:rsid w:val="00370BE3"/>
    <w:rsid w:val="00370E8E"/>
    <w:rsid w:val="00371E88"/>
    <w:rsid w:val="00372011"/>
    <w:rsid w:val="00372D35"/>
    <w:rsid w:val="0037433A"/>
    <w:rsid w:val="00374BD3"/>
    <w:rsid w:val="00376939"/>
    <w:rsid w:val="0038216A"/>
    <w:rsid w:val="00382181"/>
    <w:rsid w:val="0038253B"/>
    <w:rsid w:val="00382A2C"/>
    <w:rsid w:val="00383EB9"/>
    <w:rsid w:val="003844A7"/>
    <w:rsid w:val="00386690"/>
    <w:rsid w:val="003867D0"/>
    <w:rsid w:val="00386FA5"/>
    <w:rsid w:val="00387A24"/>
    <w:rsid w:val="00392324"/>
    <w:rsid w:val="00392726"/>
    <w:rsid w:val="003932CD"/>
    <w:rsid w:val="003952CE"/>
    <w:rsid w:val="003A1F28"/>
    <w:rsid w:val="003A3331"/>
    <w:rsid w:val="003A4968"/>
    <w:rsid w:val="003A5DBB"/>
    <w:rsid w:val="003A67E4"/>
    <w:rsid w:val="003A6CBE"/>
    <w:rsid w:val="003B0226"/>
    <w:rsid w:val="003B1695"/>
    <w:rsid w:val="003B23BE"/>
    <w:rsid w:val="003B467A"/>
    <w:rsid w:val="003B5E6B"/>
    <w:rsid w:val="003B6190"/>
    <w:rsid w:val="003B6CAE"/>
    <w:rsid w:val="003C20D3"/>
    <w:rsid w:val="003C2FB3"/>
    <w:rsid w:val="003C4448"/>
    <w:rsid w:val="003C4F04"/>
    <w:rsid w:val="003C76D8"/>
    <w:rsid w:val="003D407F"/>
    <w:rsid w:val="003D4087"/>
    <w:rsid w:val="003D466A"/>
    <w:rsid w:val="003D5187"/>
    <w:rsid w:val="003D650B"/>
    <w:rsid w:val="003D7A15"/>
    <w:rsid w:val="003E031C"/>
    <w:rsid w:val="003E0A10"/>
    <w:rsid w:val="003E4327"/>
    <w:rsid w:val="003E4836"/>
    <w:rsid w:val="003E483B"/>
    <w:rsid w:val="003E50BB"/>
    <w:rsid w:val="003E5959"/>
    <w:rsid w:val="003F1371"/>
    <w:rsid w:val="003F14B1"/>
    <w:rsid w:val="003F1FF6"/>
    <w:rsid w:val="003F3230"/>
    <w:rsid w:val="003F3A1D"/>
    <w:rsid w:val="003F3B92"/>
    <w:rsid w:val="003F6AC3"/>
    <w:rsid w:val="003F712C"/>
    <w:rsid w:val="00400087"/>
    <w:rsid w:val="00400D9C"/>
    <w:rsid w:val="00401650"/>
    <w:rsid w:val="00402D1E"/>
    <w:rsid w:val="00403953"/>
    <w:rsid w:val="004042AD"/>
    <w:rsid w:val="004118CF"/>
    <w:rsid w:val="00412B47"/>
    <w:rsid w:val="00414592"/>
    <w:rsid w:val="0041491E"/>
    <w:rsid w:val="00414E22"/>
    <w:rsid w:val="0041512E"/>
    <w:rsid w:val="004165B3"/>
    <w:rsid w:val="00421B25"/>
    <w:rsid w:val="004226DC"/>
    <w:rsid w:val="00424262"/>
    <w:rsid w:val="0042435F"/>
    <w:rsid w:val="00424A5A"/>
    <w:rsid w:val="00425447"/>
    <w:rsid w:val="00425CAB"/>
    <w:rsid w:val="004265C5"/>
    <w:rsid w:val="00430807"/>
    <w:rsid w:val="0043083F"/>
    <w:rsid w:val="00430D76"/>
    <w:rsid w:val="00433FEB"/>
    <w:rsid w:val="0043454E"/>
    <w:rsid w:val="00434804"/>
    <w:rsid w:val="00434820"/>
    <w:rsid w:val="004353FA"/>
    <w:rsid w:val="004359BC"/>
    <w:rsid w:val="00435DB2"/>
    <w:rsid w:val="0044073D"/>
    <w:rsid w:val="004418D9"/>
    <w:rsid w:val="00441B13"/>
    <w:rsid w:val="004426E0"/>
    <w:rsid w:val="00443ACE"/>
    <w:rsid w:val="00443C41"/>
    <w:rsid w:val="00444477"/>
    <w:rsid w:val="00444DA4"/>
    <w:rsid w:val="00445651"/>
    <w:rsid w:val="00445BA8"/>
    <w:rsid w:val="00445CD3"/>
    <w:rsid w:val="00445DF1"/>
    <w:rsid w:val="00445EA7"/>
    <w:rsid w:val="00446459"/>
    <w:rsid w:val="0044785B"/>
    <w:rsid w:val="00451EFC"/>
    <w:rsid w:val="00453674"/>
    <w:rsid w:val="00454B19"/>
    <w:rsid w:val="0045594E"/>
    <w:rsid w:val="0046324D"/>
    <w:rsid w:val="0046377F"/>
    <w:rsid w:val="00463D47"/>
    <w:rsid w:val="00465976"/>
    <w:rsid w:val="00466047"/>
    <w:rsid w:val="004660EA"/>
    <w:rsid w:val="00470397"/>
    <w:rsid w:val="0047432B"/>
    <w:rsid w:val="00476C91"/>
    <w:rsid w:val="00476DC1"/>
    <w:rsid w:val="00477A39"/>
    <w:rsid w:val="00485AC2"/>
    <w:rsid w:val="00485EAE"/>
    <w:rsid w:val="00486856"/>
    <w:rsid w:val="0048725A"/>
    <w:rsid w:val="00487274"/>
    <w:rsid w:val="004875B0"/>
    <w:rsid w:val="00487D58"/>
    <w:rsid w:val="00491162"/>
    <w:rsid w:val="00491680"/>
    <w:rsid w:val="004939CA"/>
    <w:rsid w:val="00494718"/>
    <w:rsid w:val="00495C7E"/>
    <w:rsid w:val="004A06D2"/>
    <w:rsid w:val="004A11D6"/>
    <w:rsid w:val="004A2E6B"/>
    <w:rsid w:val="004A309F"/>
    <w:rsid w:val="004A3247"/>
    <w:rsid w:val="004A3B5E"/>
    <w:rsid w:val="004A6658"/>
    <w:rsid w:val="004A66F6"/>
    <w:rsid w:val="004A68D0"/>
    <w:rsid w:val="004A6A5D"/>
    <w:rsid w:val="004B0074"/>
    <w:rsid w:val="004B1F9F"/>
    <w:rsid w:val="004B296B"/>
    <w:rsid w:val="004B3876"/>
    <w:rsid w:val="004B46FF"/>
    <w:rsid w:val="004B4B64"/>
    <w:rsid w:val="004B5A21"/>
    <w:rsid w:val="004C3114"/>
    <w:rsid w:val="004C454C"/>
    <w:rsid w:val="004C4713"/>
    <w:rsid w:val="004C4A3A"/>
    <w:rsid w:val="004D0078"/>
    <w:rsid w:val="004D0FF9"/>
    <w:rsid w:val="004D4B20"/>
    <w:rsid w:val="004D78D3"/>
    <w:rsid w:val="004E046F"/>
    <w:rsid w:val="004E172F"/>
    <w:rsid w:val="004E2743"/>
    <w:rsid w:val="004E3A20"/>
    <w:rsid w:val="004E3AAF"/>
    <w:rsid w:val="004E3E6E"/>
    <w:rsid w:val="004E5029"/>
    <w:rsid w:val="004E66E2"/>
    <w:rsid w:val="004F1D27"/>
    <w:rsid w:val="004F259D"/>
    <w:rsid w:val="004F2C70"/>
    <w:rsid w:val="004F2EAB"/>
    <w:rsid w:val="004F60CA"/>
    <w:rsid w:val="004F63F6"/>
    <w:rsid w:val="004F6C5F"/>
    <w:rsid w:val="004F7232"/>
    <w:rsid w:val="00500475"/>
    <w:rsid w:val="00501094"/>
    <w:rsid w:val="005024DB"/>
    <w:rsid w:val="00507328"/>
    <w:rsid w:val="00510750"/>
    <w:rsid w:val="0051159C"/>
    <w:rsid w:val="005119D9"/>
    <w:rsid w:val="00511E09"/>
    <w:rsid w:val="00511F36"/>
    <w:rsid w:val="00512740"/>
    <w:rsid w:val="00514940"/>
    <w:rsid w:val="00514B8E"/>
    <w:rsid w:val="00521E04"/>
    <w:rsid w:val="005226E1"/>
    <w:rsid w:val="00526CA9"/>
    <w:rsid w:val="00527E85"/>
    <w:rsid w:val="00531980"/>
    <w:rsid w:val="00532E32"/>
    <w:rsid w:val="00534195"/>
    <w:rsid w:val="00534977"/>
    <w:rsid w:val="00537786"/>
    <w:rsid w:val="005378EA"/>
    <w:rsid w:val="0053794B"/>
    <w:rsid w:val="00543601"/>
    <w:rsid w:val="00545F99"/>
    <w:rsid w:val="00552D82"/>
    <w:rsid w:val="0055394B"/>
    <w:rsid w:val="00554793"/>
    <w:rsid w:val="00554DED"/>
    <w:rsid w:val="00555A4B"/>
    <w:rsid w:val="00555BD3"/>
    <w:rsid w:val="00556190"/>
    <w:rsid w:val="00557213"/>
    <w:rsid w:val="00560456"/>
    <w:rsid w:val="0056126E"/>
    <w:rsid w:val="00561293"/>
    <w:rsid w:val="00561304"/>
    <w:rsid w:val="005618A4"/>
    <w:rsid w:val="0056366A"/>
    <w:rsid w:val="00564B23"/>
    <w:rsid w:val="00565932"/>
    <w:rsid w:val="0057370F"/>
    <w:rsid w:val="00574E3B"/>
    <w:rsid w:val="005751C1"/>
    <w:rsid w:val="00575B1F"/>
    <w:rsid w:val="00577AE7"/>
    <w:rsid w:val="0058014F"/>
    <w:rsid w:val="00582A45"/>
    <w:rsid w:val="005835DF"/>
    <w:rsid w:val="00584DC7"/>
    <w:rsid w:val="0058596E"/>
    <w:rsid w:val="00585D97"/>
    <w:rsid w:val="00586D39"/>
    <w:rsid w:val="00587C2B"/>
    <w:rsid w:val="00590132"/>
    <w:rsid w:val="00590670"/>
    <w:rsid w:val="00592126"/>
    <w:rsid w:val="00592605"/>
    <w:rsid w:val="0059290E"/>
    <w:rsid w:val="00592DDF"/>
    <w:rsid w:val="00597F1D"/>
    <w:rsid w:val="005A0DE4"/>
    <w:rsid w:val="005A16E4"/>
    <w:rsid w:val="005A19CD"/>
    <w:rsid w:val="005A4717"/>
    <w:rsid w:val="005A5712"/>
    <w:rsid w:val="005A6625"/>
    <w:rsid w:val="005A6C07"/>
    <w:rsid w:val="005B0FD0"/>
    <w:rsid w:val="005B1D80"/>
    <w:rsid w:val="005B3408"/>
    <w:rsid w:val="005B38E5"/>
    <w:rsid w:val="005B79A8"/>
    <w:rsid w:val="005B7C99"/>
    <w:rsid w:val="005C0350"/>
    <w:rsid w:val="005C126D"/>
    <w:rsid w:val="005C2C17"/>
    <w:rsid w:val="005C3FB0"/>
    <w:rsid w:val="005C4768"/>
    <w:rsid w:val="005C4A77"/>
    <w:rsid w:val="005C6FE1"/>
    <w:rsid w:val="005D19B0"/>
    <w:rsid w:val="005D4FE9"/>
    <w:rsid w:val="005D6BB0"/>
    <w:rsid w:val="005D7BF1"/>
    <w:rsid w:val="005E0077"/>
    <w:rsid w:val="005E0ECD"/>
    <w:rsid w:val="005E1CCF"/>
    <w:rsid w:val="005E4C01"/>
    <w:rsid w:val="005E7AE9"/>
    <w:rsid w:val="005F1203"/>
    <w:rsid w:val="005F3203"/>
    <w:rsid w:val="005F4354"/>
    <w:rsid w:val="005F5252"/>
    <w:rsid w:val="005F5BEB"/>
    <w:rsid w:val="005F6D57"/>
    <w:rsid w:val="006045EB"/>
    <w:rsid w:val="00604D8C"/>
    <w:rsid w:val="006119C8"/>
    <w:rsid w:val="00611EE9"/>
    <w:rsid w:val="00611F0D"/>
    <w:rsid w:val="0061361C"/>
    <w:rsid w:val="006141A5"/>
    <w:rsid w:val="00614FAD"/>
    <w:rsid w:val="0061511E"/>
    <w:rsid w:val="00615435"/>
    <w:rsid w:val="006156A9"/>
    <w:rsid w:val="00616704"/>
    <w:rsid w:val="006206C2"/>
    <w:rsid w:val="00620A0C"/>
    <w:rsid w:val="00620D95"/>
    <w:rsid w:val="006221C6"/>
    <w:rsid w:val="0062479D"/>
    <w:rsid w:val="00630ACE"/>
    <w:rsid w:val="00631C43"/>
    <w:rsid w:val="00633120"/>
    <w:rsid w:val="00633867"/>
    <w:rsid w:val="00637045"/>
    <w:rsid w:val="006370CC"/>
    <w:rsid w:val="006372AC"/>
    <w:rsid w:val="00637890"/>
    <w:rsid w:val="00637928"/>
    <w:rsid w:val="00640FA2"/>
    <w:rsid w:val="00641632"/>
    <w:rsid w:val="00642EE5"/>
    <w:rsid w:val="00643990"/>
    <w:rsid w:val="00644ECF"/>
    <w:rsid w:val="006464AE"/>
    <w:rsid w:val="006478FF"/>
    <w:rsid w:val="00647BC2"/>
    <w:rsid w:val="00650C81"/>
    <w:rsid w:val="00653D1C"/>
    <w:rsid w:val="006551E4"/>
    <w:rsid w:val="00655255"/>
    <w:rsid w:val="0065592A"/>
    <w:rsid w:val="0065671C"/>
    <w:rsid w:val="00656951"/>
    <w:rsid w:val="00657850"/>
    <w:rsid w:val="00660885"/>
    <w:rsid w:val="00666A36"/>
    <w:rsid w:val="00666D14"/>
    <w:rsid w:val="00666FE2"/>
    <w:rsid w:val="00671218"/>
    <w:rsid w:val="00674A88"/>
    <w:rsid w:val="006760B0"/>
    <w:rsid w:val="00676EA0"/>
    <w:rsid w:val="00677669"/>
    <w:rsid w:val="0068123A"/>
    <w:rsid w:val="00683204"/>
    <w:rsid w:val="00684198"/>
    <w:rsid w:val="00687823"/>
    <w:rsid w:val="00690015"/>
    <w:rsid w:val="0069190B"/>
    <w:rsid w:val="00691943"/>
    <w:rsid w:val="00692469"/>
    <w:rsid w:val="006924A1"/>
    <w:rsid w:val="00692C1C"/>
    <w:rsid w:val="006948CF"/>
    <w:rsid w:val="00694B22"/>
    <w:rsid w:val="006957B2"/>
    <w:rsid w:val="00695AC9"/>
    <w:rsid w:val="00695EBF"/>
    <w:rsid w:val="006970C7"/>
    <w:rsid w:val="00697B3D"/>
    <w:rsid w:val="006A09D4"/>
    <w:rsid w:val="006A1A31"/>
    <w:rsid w:val="006A589E"/>
    <w:rsid w:val="006A6C45"/>
    <w:rsid w:val="006A7625"/>
    <w:rsid w:val="006B12FB"/>
    <w:rsid w:val="006B2901"/>
    <w:rsid w:val="006B3A6C"/>
    <w:rsid w:val="006B3F05"/>
    <w:rsid w:val="006B5665"/>
    <w:rsid w:val="006C065A"/>
    <w:rsid w:val="006C0F91"/>
    <w:rsid w:val="006C1969"/>
    <w:rsid w:val="006C21DB"/>
    <w:rsid w:val="006C7CE8"/>
    <w:rsid w:val="006C7CFA"/>
    <w:rsid w:val="006D0BDA"/>
    <w:rsid w:val="006D1B93"/>
    <w:rsid w:val="006D3AC1"/>
    <w:rsid w:val="006D401E"/>
    <w:rsid w:val="006D5A31"/>
    <w:rsid w:val="006E17FD"/>
    <w:rsid w:val="006E1804"/>
    <w:rsid w:val="006E1AE8"/>
    <w:rsid w:val="006E3E90"/>
    <w:rsid w:val="006F0361"/>
    <w:rsid w:val="006F0732"/>
    <w:rsid w:val="006F2A8F"/>
    <w:rsid w:val="006F323A"/>
    <w:rsid w:val="006F4ADD"/>
    <w:rsid w:val="006F4AF4"/>
    <w:rsid w:val="006F5D2E"/>
    <w:rsid w:val="006F6B0E"/>
    <w:rsid w:val="006F6E8D"/>
    <w:rsid w:val="006F752A"/>
    <w:rsid w:val="0070005B"/>
    <w:rsid w:val="007000C8"/>
    <w:rsid w:val="00701F74"/>
    <w:rsid w:val="00703BDB"/>
    <w:rsid w:val="00710296"/>
    <w:rsid w:val="00710839"/>
    <w:rsid w:val="00713011"/>
    <w:rsid w:val="00716BD9"/>
    <w:rsid w:val="00717EB2"/>
    <w:rsid w:val="00720295"/>
    <w:rsid w:val="007204CE"/>
    <w:rsid w:val="00722009"/>
    <w:rsid w:val="007226C0"/>
    <w:rsid w:val="00725BB2"/>
    <w:rsid w:val="007272CE"/>
    <w:rsid w:val="00727DD4"/>
    <w:rsid w:val="00732E6C"/>
    <w:rsid w:val="00734D9A"/>
    <w:rsid w:val="00735A3A"/>
    <w:rsid w:val="00737C87"/>
    <w:rsid w:val="0074020B"/>
    <w:rsid w:val="00740283"/>
    <w:rsid w:val="00743A5D"/>
    <w:rsid w:val="00744865"/>
    <w:rsid w:val="00745C94"/>
    <w:rsid w:val="00746422"/>
    <w:rsid w:val="00747DB1"/>
    <w:rsid w:val="00751C72"/>
    <w:rsid w:val="00753EC2"/>
    <w:rsid w:val="007545D9"/>
    <w:rsid w:val="00755EDC"/>
    <w:rsid w:val="007567F3"/>
    <w:rsid w:val="00756C67"/>
    <w:rsid w:val="00760ECF"/>
    <w:rsid w:val="0076174A"/>
    <w:rsid w:val="007623F3"/>
    <w:rsid w:val="0076313D"/>
    <w:rsid w:val="007637D2"/>
    <w:rsid w:val="0076504E"/>
    <w:rsid w:val="00765D60"/>
    <w:rsid w:val="00770968"/>
    <w:rsid w:val="00770CB8"/>
    <w:rsid w:val="00770DA0"/>
    <w:rsid w:val="00771903"/>
    <w:rsid w:val="0077463E"/>
    <w:rsid w:val="007778BE"/>
    <w:rsid w:val="007801E3"/>
    <w:rsid w:val="0078166A"/>
    <w:rsid w:val="007821E7"/>
    <w:rsid w:val="00782867"/>
    <w:rsid w:val="00783FA7"/>
    <w:rsid w:val="00784DC5"/>
    <w:rsid w:val="0078508B"/>
    <w:rsid w:val="007907A0"/>
    <w:rsid w:val="0079170C"/>
    <w:rsid w:val="00792791"/>
    <w:rsid w:val="0079299F"/>
    <w:rsid w:val="007953CC"/>
    <w:rsid w:val="00795A1B"/>
    <w:rsid w:val="00796E81"/>
    <w:rsid w:val="007A0F5F"/>
    <w:rsid w:val="007A3C3B"/>
    <w:rsid w:val="007A44CF"/>
    <w:rsid w:val="007A4F51"/>
    <w:rsid w:val="007B084B"/>
    <w:rsid w:val="007B0F15"/>
    <w:rsid w:val="007B298B"/>
    <w:rsid w:val="007B369F"/>
    <w:rsid w:val="007B3B39"/>
    <w:rsid w:val="007B438C"/>
    <w:rsid w:val="007B4F61"/>
    <w:rsid w:val="007B4FB6"/>
    <w:rsid w:val="007B6170"/>
    <w:rsid w:val="007B68B7"/>
    <w:rsid w:val="007B69B8"/>
    <w:rsid w:val="007B7543"/>
    <w:rsid w:val="007C0444"/>
    <w:rsid w:val="007C1E63"/>
    <w:rsid w:val="007C1FDC"/>
    <w:rsid w:val="007C4BBD"/>
    <w:rsid w:val="007C56DE"/>
    <w:rsid w:val="007C70BE"/>
    <w:rsid w:val="007C7E5E"/>
    <w:rsid w:val="007D1662"/>
    <w:rsid w:val="007D16C4"/>
    <w:rsid w:val="007D3346"/>
    <w:rsid w:val="007D4266"/>
    <w:rsid w:val="007D42B5"/>
    <w:rsid w:val="007D469E"/>
    <w:rsid w:val="007D6BD8"/>
    <w:rsid w:val="007D787A"/>
    <w:rsid w:val="007D7F95"/>
    <w:rsid w:val="007E0DFE"/>
    <w:rsid w:val="007E1D3C"/>
    <w:rsid w:val="007E299C"/>
    <w:rsid w:val="007E3147"/>
    <w:rsid w:val="007E43A8"/>
    <w:rsid w:val="007E46CB"/>
    <w:rsid w:val="007E47D9"/>
    <w:rsid w:val="007E59D1"/>
    <w:rsid w:val="007E7A7D"/>
    <w:rsid w:val="007E7BD0"/>
    <w:rsid w:val="007F1638"/>
    <w:rsid w:val="007F1743"/>
    <w:rsid w:val="007F2D4A"/>
    <w:rsid w:val="007F590A"/>
    <w:rsid w:val="007F5E8C"/>
    <w:rsid w:val="007F6781"/>
    <w:rsid w:val="007F7625"/>
    <w:rsid w:val="008016E4"/>
    <w:rsid w:val="00801D36"/>
    <w:rsid w:val="008042D7"/>
    <w:rsid w:val="00805D1A"/>
    <w:rsid w:val="00806704"/>
    <w:rsid w:val="008074A0"/>
    <w:rsid w:val="00810CE4"/>
    <w:rsid w:val="008116B0"/>
    <w:rsid w:val="00812013"/>
    <w:rsid w:val="00812641"/>
    <w:rsid w:val="0081419C"/>
    <w:rsid w:val="00815D15"/>
    <w:rsid w:val="00815D1E"/>
    <w:rsid w:val="00815DBB"/>
    <w:rsid w:val="008201D3"/>
    <w:rsid w:val="00821F6F"/>
    <w:rsid w:val="00822A51"/>
    <w:rsid w:val="00822BC1"/>
    <w:rsid w:val="008233D9"/>
    <w:rsid w:val="00823C4E"/>
    <w:rsid w:val="008250AF"/>
    <w:rsid w:val="008261C1"/>
    <w:rsid w:val="00826AB3"/>
    <w:rsid w:val="00827C98"/>
    <w:rsid w:val="008316D5"/>
    <w:rsid w:val="00833EBE"/>
    <w:rsid w:val="00833EEC"/>
    <w:rsid w:val="00834467"/>
    <w:rsid w:val="0083670D"/>
    <w:rsid w:val="00837428"/>
    <w:rsid w:val="00837852"/>
    <w:rsid w:val="00837F1E"/>
    <w:rsid w:val="008403CE"/>
    <w:rsid w:val="0084069B"/>
    <w:rsid w:val="008406E0"/>
    <w:rsid w:val="00841E16"/>
    <w:rsid w:val="00844FE6"/>
    <w:rsid w:val="008462BF"/>
    <w:rsid w:val="008471C1"/>
    <w:rsid w:val="008500E6"/>
    <w:rsid w:val="00850C46"/>
    <w:rsid w:val="008547EE"/>
    <w:rsid w:val="00863AA3"/>
    <w:rsid w:val="00863ECE"/>
    <w:rsid w:val="00863EFD"/>
    <w:rsid w:val="0086485A"/>
    <w:rsid w:val="00865144"/>
    <w:rsid w:val="00866E85"/>
    <w:rsid w:val="00867E8C"/>
    <w:rsid w:val="00874088"/>
    <w:rsid w:val="00874E36"/>
    <w:rsid w:val="00875D04"/>
    <w:rsid w:val="00876CE6"/>
    <w:rsid w:val="008773F2"/>
    <w:rsid w:val="0087773D"/>
    <w:rsid w:val="00880F7F"/>
    <w:rsid w:val="008823C4"/>
    <w:rsid w:val="00882738"/>
    <w:rsid w:val="00884C2B"/>
    <w:rsid w:val="00885855"/>
    <w:rsid w:val="0089270B"/>
    <w:rsid w:val="00892C3F"/>
    <w:rsid w:val="00893BD2"/>
    <w:rsid w:val="00893C80"/>
    <w:rsid w:val="00894CFC"/>
    <w:rsid w:val="0089580A"/>
    <w:rsid w:val="008A1740"/>
    <w:rsid w:val="008A1D50"/>
    <w:rsid w:val="008A65B0"/>
    <w:rsid w:val="008B1B47"/>
    <w:rsid w:val="008B5B28"/>
    <w:rsid w:val="008B5DB9"/>
    <w:rsid w:val="008B6643"/>
    <w:rsid w:val="008B6904"/>
    <w:rsid w:val="008B6A45"/>
    <w:rsid w:val="008B7557"/>
    <w:rsid w:val="008C097A"/>
    <w:rsid w:val="008C0F0D"/>
    <w:rsid w:val="008C10CA"/>
    <w:rsid w:val="008C2071"/>
    <w:rsid w:val="008C52B7"/>
    <w:rsid w:val="008C6C89"/>
    <w:rsid w:val="008D0779"/>
    <w:rsid w:val="008D0D4A"/>
    <w:rsid w:val="008D19E1"/>
    <w:rsid w:val="008D29EF"/>
    <w:rsid w:val="008D2AA0"/>
    <w:rsid w:val="008D2B61"/>
    <w:rsid w:val="008D466C"/>
    <w:rsid w:val="008D5071"/>
    <w:rsid w:val="008D51C1"/>
    <w:rsid w:val="008D5B41"/>
    <w:rsid w:val="008D607C"/>
    <w:rsid w:val="008D6D1A"/>
    <w:rsid w:val="008D75E2"/>
    <w:rsid w:val="008E1F89"/>
    <w:rsid w:val="008E2629"/>
    <w:rsid w:val="008E26DD"/>
    <w:rsid w:val="008E2F50"/>
    <w:rsid w:val="008E4194"/>
    <w:rsid w:val="008E4A54"/>
    <w:rsid w:val="008E76EA"/>
    <w:rsid w:val="008F1939"/>
    <w:rsid w:val="008F5C9D"/>
    <w:rsid w:val="008F7374"/>
    <w:rsid w:val="008F76EA"/>
    <w:rsid w:val="008F7B38"/>
    <w:rsid w:val="0090293F"/>
    <w:rsid w:val="00902D7F"/>
    <w:rsid w:val="00902F98"/>
    <w:rsid w:val="0090307B"/>
    <w:rsid w:val="0090490F"/>
    <w:rsid w:val="00906389"/>
    <w:rsid w:val="00911552"/>
    <w:rsid w:val="0091358D"/>
    <w:rsid w:val="00913DAA"/>
    <w:rsid w:val="00914102"/>
    <w:rsid w:val="009155C0"/>
    <w:rsid w:val="0091610F"/>
    <w:rsid w:val="00916E1A"/>
    <w:rsid w:val="00917230"/>
    <w:rsid w:val="009178DC"/>
    <w:rsid w:val="00917F43"/>
    <w:rsid w:val="009203E4"/>
    <w:rsid w:val="00920E08"/>
    <w:rsid w:val="009215BF"/>
    <w:rsid w:val="009221F3"/>
    <w:rsid w:val="00924686"/>
    <w:rsid w:val="00927D36"/>
    <w:rsid w:val="00927F0A"/>
    <w:rsid w:val="009304A9"/>
    <w:rsid w:val="009373D4"/>
    <w:rsid w:val="009373F7"/>
    <w:rsid w:val="00942166"/>
    <w:rsid w:val="009425EC"/>
    <w:rsid w:val="0094364A"/>
    <w:rsid w:val="009450FA"/>
    <w:rsid w:val="00947CEB"/>
    <w:rsid w:val="00950DBA"/>
    <w:rsid w:val="00950DBE"/>
    <w:rsid w:val="00951846"/>
    <w:rsid w:val="009528F5"/>
    <w:rsid w:val="00953028"/>
    <w:rsid w:val="00956C44"/>
    <w:rsid w:val="009620F3"/>
    <w:rsid w:val="009636D4"/>
    <w:rsid w:val="009642C2"/>
    <w:rsid w:val="00974D2D"/>
    <w:rsid w:val="00975184"/>
    <w:rsid w:val="00976671"/>
    <w:rsid w:val="00976D39"/>
    <w:rsid w:val="00977F9B"/>
    <w:rsid w:val="00980BB0"/>
    <w:rsid w:val="00981FA3"/>
    <w:rsid w:val="00982175"/>
    <w:rsid w:val="00982492"/>
    <w:rsid w:val="009879C2"/>
    <w:rsid w:val="00991AA4"/>
    <w:rsid w:val="009947D1"/>
    <w:rsid w:val="009953C9"/>
    <w:rsid w:val="0099771D"/>
    <w:rsid w:val="009A0BA0"/>
    <w:rsid w:val="009A10D9"/>
    <w:rsid w:val="009A314D"/>
    <w:rsid w:val="009A3BE8"/>
    <w:rsid w:val="009A47F2"/>
    <w:rsid w:val="009A7425"/>
    <w:rsid w:val="009A7A05"/>
    <w:rsid w:val="009B1531"/>
    <w:rsid w:val="009B2A8C"/>
    <w:rsid w:val="009B409F"/>
    <w:rsid w:val="009B6B09"/>
    <w:rsid w:val="009B6DFF"/>
    <w:rsid w:val="009B74AF"/>
    <w:rsid w:val="009C07A7"/>
    <w:rsid w:val="009C154E"/>
    <w:rsid w:val="009C156F"/>
    <w:rsid w:val="009C16B6"/>
    <w:rsid w:val="009C27F4"/>
    <w:rsid w:val="009C2CC2"/>
    <w:rsid w:val="009C2EA0"/>
    <w:rsid w:val="009C3296"/>
    <w:rsid w:val="009C4C43"/>
    <w:rsid w:val="009C5378"/>
    <w:rsid w:val="009D0997"/>
    <w:rsid w:val="009D0C65"/>
    <w:rsid w:val="009D1F35"/>
    <w:rsid w:val="009D36A0"/>
    <w:rsid w:val="009D378E"/>
    <w:rsid w:val="009D4100"/>
    <w:rsid w:val="009D461F"/>
    <w:rsid w:val="009D47D7"/>
    <w:rsid w:val="009D681C"/>
    <w:rsid w:val="009E027C"/>
    <w:rsid w:val="009E19CF"/>
    <w:rsid w:val="009E22FE"/>
    <w:rsid w:val="009E24F1"/>
    <w:rsid w:val="009E3AA2"/>
    <w:rsid w:val="009E46CC"/>
    <w:rsid w:val="009E47FB"/>
    <w:rsid w:val="009E4C5A"/>
    <w:rsid w:val="009E73EE"/>
    <w:rsid w:val="009F04CA"/>
    <w:rsid w:val="009F1E9E"/>
    <w:rsid w:val="009F37AA"/>
    <w:rsid w:val="009F6ECB"/>
    <w:rsid w:val="009F7445"/>
    <w:rsid w:val="00A057DC"/>
    <w:rsid w:val="00A0724D"/>
    <w:rsid w:val="00A112E0"/>
    <w:rsid w:val="00A11946"/>
    <w:rsid w:val="00A11FBC"/>
    <w:rsid w:val="00A128DB"/>
    <w:rsid w:val="00A13AA6"/>
    <w:rsid w:val="00A14D64"/>
    <w:rsid w:val="00A156B1"/>
    <w:rsid w:val="00A16130"/>
    <w:rsid w:val="00A21A3E"/>
    <w:rsid w:val="00A21BC3"/>
    <w:rsid w:val="00A231D8"/>
    <w:rsid w:val="00A251CD"/>
    <w:rsid w:val="00A2675B"/>
    <w:rsid w:val="00A31305"/>
    <w:rsid w:val="00A31BEA"/>
    <w:rsid w:val="00A31F11"/>
    <w:rsid w:val="00A326B1"/>
    <w:rsid w:val="00A33596"/>
    <w:rsid w:val="00A3409D"/>
    <w:rsid w:val="00A34416"/>
    <w:rsid w:val="00A35013"/>
    <w:rsid w:val="00A351CA"/>
    <w:rsid w:val="00A366F1"/>
    <w:rsid w:val="00A36915"/>
    <w:rsid w:val="00A36FEB"/>
    <w:rsid w:val="00A3731F"/>
    <w:rsid w:val="00A3738B"/>
    <w:rsid w:val="00A37BE2"/>
    <w:rsid w:val="00A417ED"/>
    <w:rsid w:val="00A41F50"/>
    <w:rsid w:val="00A42958"/>
    <w:rsid w:val="00A43D7B"/>
    <w:rsid w:val="00A45EF9"/>
    <w:rsid w:val="00A501C6"/>
    <w:rsid w:val="00A54A3A"/>
    <w:rsid w:val="00A54B3A"/>
    <w:rsid w:val="00A56D1A"/>
    <w:rsid w:val="00A57C1D"/>
    <w:rsid w:val="00A61028"/>
    <w:rsid w:val="00A6250E"/>
    <w:rsid w:val="00A64577"/>
    <w:rsid w:val="00A64AC3"/>
    <w:rsid w:val="00A64AF7"/>
    <w:rsid w:val="00A64C6B"/>
    <w:rsid w:val="00A64CC1"/>
    <w:rsid w:val="00A651FA"/>
    <w:rsid w:val="00A7009A"/>
    <w:rsid w:val="00A70723"/>
    <w:rsid w:val="00A740C0"/>
    <w:rsid w:val="00A747E5"/>
    <w:rsid w:val="00A77682"/>
    <w:rsid w:val="00A808B4"/>
    <w:rsid w:val="00A827BD"/>
    <w:rsid w:val="00A86FB6"/>
    <w:rsid w:val="00A87983"/>
    <w:rsid w:val="00A87AD7"/>
    <w:rsid w:val="00A9317E"/>
    <w:rsid w:val="00AA06DC"/>
    <w:rsid w:val="00AA0A4B"/>
    <w:rsid w:val="00AA18A6"/>
    <w:rsid w:val="00AA290B"/>
    <w:rsid w:val="00AA2B8E"/>
    <w:rsid w:val="00AA60A0"/>
    <w:rsid w:val="00AA761D"/>
    <w:rsid w:val="00AB2F5B"/>
    <w:rsid w:val="00AB3289"/>
    <w:rsid w:val="00AB3C9D"/>
    <w:rsid w:val="00AB4720"/>
    <w:rsid w:val="00AB499D"/>
    <w:rsid w:val="00AB55A5"/>
    <w:rsid w:val="00AB6E24"/>
    <w:rsid w:val="00AB733B"/>
    <w:rsid w:val="00AB7453"/>
    <w:rsid w:val="00AC103D"/>
    <w:rsid w:val="00AC1FAF"/>
    <w:rsid w:val="00AC20E1"/>
    <w:rsid w:val="00AC24A5"/>
    <w:rsid w:val="00AC3637"/>
    <w:rsid w:val="00AC39CB"/>
    <w:rsid w:val="00AC3E28"/>
    <w:rsid w:val="00AC4512"/>
    <w:rsid w:val="00AC4A6D"/>
    <w:rsid w:val="00AC7917"/>
    <w:rsid w:val="00AD00A4"/>
    <w:rsid w:val="00AD0945"/>
    <w:rsid w:val="00AD298F"/>
    <w:rsid w:val="00AD31EA"/>
    <w:rsid w:val="00AE0788"/>
    <w:rsid w:val="00AE0A4A"/>
    <w:rsid w:val="00AE0C0B"/>
    <w:rsid w:val="00AE1BEA"/>
    <w:rsid w:val="00AE22AC"/>
    <w:rsid w:val="00AE289D"/>
    <w:rsid w:val="00AE2E44"/>
    <w:rsid w:val="00AE3167"/>
    <w:rsid w:val="00AE3355"/>
    <w:rsid w:val="00AE58E9"/>
    <w:rsid w:val="00AE5D91"/>
    <w:rsid w:val="00AE7CC4"/>
    <w:rsid w:val="00AF07B5"/>
    <w:rsid w:val="00AF1883"/>
    <w:rsid w:val="00AF1B80"/>
    <w:rsid w:val="00AF1BD3"/>
    <w:rsid w:val="00AF214F"/>
    <w:rsid w:val="00AF2D50"/>
    <w:rsid w:val="00AF3932"/>
    <w:rsid w:val="00AF4035"/>
    <w:rsid w:val="00AF5DEA"/>
    <w:rsid w:val="00AF75BD"/>
    <w:rsid w:val="00B0051F"/>
    <w:rsid w:val="00B00B9B"/>
    <w:rsid w:val="00B02B09"/>
    <w:rsid w:val="00B038C8"/>
    <w:rsid w:val="00B03B35"/>
    <w:rsid w:val="00B046E3"/>
    <w:rsid w:val="00B04E9E"/>
    <w:rsid w:val="00B066BB"/>
    <w:rsid w:val="00B06F2B"/>
    <w:rsid w:val="00B1187A"/>
    <w:rsid w:val="00B11B10"/>
    <w:rsid w:val="00B1278A"/>
    <w:rsid w:val="00B1440E"/>
    <w:rsid w:val="00B1441E"/>
    <w:rsid w:val="00B14A94"/>
    <w:rsid w:val="00B20643"/>
    <w:rsid w:val="00B21638"/>
    <w:rsid w:val="00B21A20"/>
    <w:rsid w:val="00B21EB4"/>
    <w:rsid w:val="00B221A0"/>
    <w:rsid w:val="00B22CD1"/>
    <w:rsid w:val="00B24C6F"/>
    <w:rsid w:val="00B26FB0"/>
    <w:rsid w:val="00B320E1"/>
    <w:rsid w:val="00B322AF"/>
    <w:rsid w:val="00B32E99"/>
    <w:rsid w:val="00B3372B"/>
    <w:rsid w:val="00B33E72"/>
    <w:rsid w:val="00B37FFC"/>
    <w:rsid w:val="00B403D3"/>
    <w:rsid w:val="00B40C6C"/>
    <w:rsid w:val="00B41F7E"/>
    <w:rsid w:val="00B42A87"/>
    <w:rsid w:val="00B43128"/>
    <w:rsid w:val="00B45883"/>
    <w:rsid w:val="00B45A49"/>
    <w:rsid w:val="00B46429"/>
    <w:rsid w:val="00B465DC"/>
    <w:rsid w:val="00B4705A"/>
    <w:rsid w:val="00B47B5B"/>
    <w:rsid w:val="00B556D6"/>
    <w:rsid w:val="00B5631D"/>
    <w:rsid w:val="00B564E5"/>
    <w:rsid w:val="00B5683F"/>
    <w:rsid w:val="00B60E43"/>
    <w:rsid w:val="00B6233B"/>
    <w:rsid w:val="00B63B09"/>
    <w:rsid w:val="00B6428E"/>
    <w:rsid w:val="00B64D90"/>
    <w:rsid w:val="00B65940"/>
    <w:rsid w:val="00B65A60"/>
    <w:rsid w:val="00B70482"/>
    <w:rsid w:val="00B707FF"/>
    <w:rsid w:val="00B70993"/>
    <w:rsid w:val="00B74244"/>
    <w:rsid w:val="00B74EC9"/>
    <w:rsid w:val="00B754EF"/>
    <w:rsid w:val="00B75BF1"/>
    <w:rsid w:val="00B7795D"/>
    <w:rsid w:val="00B77F4C"/>
    <w:rsid w:val="00B8165D"/>
    <w:rsid w:val="00B844D8"/>
    <w:rsid w:val="00B85971"/>
    <w:rsid w:val="00B87D20"/>
    <w:rsid w:val="00B906A3"/>
    <w:rsid w:val="00B90A93"/>
    <w:rsid w:val="00B9248E"/>
    <w:rsid w:val="00B93C5D"/>
    <w:rsid w:val="00B93E8B"/>
    <w:rsid w:val="00B963F9"/>
    <w:rsid w:val="00BA0852"/>
    <w:rsid w:val="00BA57E7"/>
    <w:rsid w:val="00BA5A46"/>
    <w:rsid w:val="00BA6EB2"/>
    <w:rsid w:val="00BA7AD4"/>
    <w:rsid w:val="00BB1056"/>
    <w:rsid w:val="00BB3E8A"/>
    <w:rsid w:val="00BB47F1"/>
    <w:rsid w:val="00BB4DFF"/>
    <w:rsid w:val="00BB56D3"/>
    <w:rsid w:val="00BB5C9A"/>
    <w:rsid w:val="00BC01EB"/>
    <w:rsid w:val="00BC1254"/>
    <w:rsid w:val="00BC20C5"/>
    <w:rsid w:val="00BC2EE8"/>
    <w:rsid w:val="00BC3F4E"/>
    <w:rsid w:val="00BC404B"/>
    <w:rsid w:val="00BC42BD"/>
    <w:rsid w:val="00BC4B12"/>
    <w:rsid w:val="00BC51D3"/>
    <w:rsid w:val="00BC731E"/>
    <w:rsid w:val="00BD1F01"/>
    <w:rsid w:val="00BD2B1D"/>
    <w:rsid w:val="00BD3623"/>
    <w:rsid w:val="00BD3EC0"/>
    <w:rsid w:val="00BD54CA"/>
    <w:rsid w:val="00BD6918"/>
    <w:rsid w:val="00BD7E39"/>
    <w:rsid w:val="00BE2A41"/>
    <w:rsid w:val="00BE557E"/>
    <w:rsid w:val="00BF353F"/>
    <w:rsid w:val="00BF381F"/>
    <w:rsid w:val="00BF5264"/>
    <w:rsid w:val="00BF61FB"/>
    <w:rsid w:val="00C00F9F"/>
    <w:rsid w:val="00C01C46"/>
    <w:rsid w:val="00C02315"/>
    <w:rsid w:val="00C02AE0"/>
    <w:rsid w:val="00C0375F"/>
    <w:rsid w:val="00C0516F"/>
    <w:rsid w:val="00C070AF"/>
    <w:rsid w:val="00C131AC"/>
    <w:rsid w:val="00C13C77"/>
    <w:rsid w:val="00C14130"/>
    <w:rsid w:val="00C14CDB"/>
    <w:rsid w:val="00C166AB"/>
    <w:rsid w:val="00C1699B"/>
    <w:rsid w:val="00C16C1D"/>
    <w:rsid w:val="00C17553"/>
    <w:rsid w:val="00C17DBA"/>
    <w:rsid w:val="00C21197"/>
    <w:rsid w:val="00C2153B"/>
    <w:rsid w:val="00C215C4"/>
    <w:rsid w:val="00C21881"/>
    <w:rsid w:val="00C22EA0"/>
    <w:rsid w:val="00C23BFB"/>
    <w:rsid w:val="00C2410F"/>
    <w:rsid w:val="00C24926"/>
    <w:rsid w:val="00C264D1"/>
    <w:rsid w:val="00C26E77"/>
    <w:rsid w:val="00C3089A"/>
    <w:rsid w:val="00C30C4A"/>
    <w:rsid w:val="00C3284D"/>
    <w:rsid w:val="00C32B07"/>
    <w:rsid w:val="00C33096"/>
    <w:rsid w:val="00C34C15"/>
    <w:rsid w:val="00C366BF"/>
    <w:rsid w:val="00C36A1E"/>
    <w:rsid w:val="00C40A85"/>
    <w:rsid w:val="00C41AF4"/>
    <w:rsid w:val="00C41F2F"/>
    <w:rsid w:val="00C451F2"/>
    <w:rsid w:val="00C45663"/>
    <w:rsid w:val="00C45D43"/>
    <w:rsid w:val="00C46819"/>
    <w:rsid w:val="00C47AD8"/>
    <w:rsid w:val="00C47F4C"/>
    <w:rsid w:val="00C47F7F"/>
    <w:rsid w:val="00C5144F"/>
    <w:rsid w:val="00C53636"/>
    <w:rsid w:val="00C53C19"/>
    <w:rsid w:val="00C546E1"/>
    <w:rsid w:val="00C54C4E"/>
    <w:rsid w:val="00C55413"/>
    <w:rsid w:val="00C55A47"/>
    <w:rsid w:val="00C56080"/>
    <w:rsid w:val="00C565B1"/>
    <w:rsid w:val="00C569A1"/>
    <w:rsid w:val="00C56E15"/>
    <w:rsid w:val="00C56E86"/>
    <w:rsid w:val="00C56EAC"/>
    <w:rsid w:val="00C570AB"/>
    <w:rsid w:val="00C57678"/>
    <w:rsid w:val="00C60209"/>
    <w:rsid w:val="00C632F0"/>
    <w:rsid w:val="00C64C43"/>
    <w:rsid w:val="00C65960"/>
    <w:rsid w:val="00C66262"/>
    <w:rsid w:val="00C66531"/>
    <w:rsid w:val="00C66830"/>
    <w:rsid w:val="00C66D56"/>
    <w:rsid w:val="00C70D02"/>
    <w:rsid w:val="00C710D5"/>
    <w:rsid w:val="00C717B3"/>
    <w:rsid w:val="00C740A7"/>
    <w:rsid w:val="00C75001"/>
    <w:rsid w:val="00C753E2"/>
    <w:rsid w:val="00C76A6B"/>
    <w:rsid w:val="00C76D23"/>
    <w:rsid w:val="00C774F4"/>
    <w:rsid w:val="00C7787F"/>
    <w:rsid w:val="00C77E3F"/>
    <w:rsid w:val="00C82703"/>
    <w:rsid w:val="00C841D2"/>
    <w:rsid w:val="00C846A3"/>
    <w:rsid w:val="00C84B13"/>
    <w:rsid w:val="00C84D48"/>
    <w:rsid w:val="00C87EC0"/>
    <w:rsid w:val="00C90669"/>
    <w:rsid w:val="00C90900"/>
    <w:rsid w:val="00C914D7"/>
    <w:rsid w:val="00C915B8"/>
    <w:rsid w:val="00C91975"/>
    <w:rsid w:val="00C91982"/>
    <w:rsid w:val="00C92634"/>
    <w:rsid w:val="00C93213"/>
    <w:rsid w:val="00C941B7"/>
    <w:rsid w:val="00C95354"/>
    <w:rsid w:val="00C95720"/>
    <w:rsid w:val="00C9698E"/>
    <w:rsid w:val="00C97F38"/>
    <w:rsid w:val="00CA006E"/>
    <w:rsid w:val="00CA0797"/>
    <w:rsid w:val="00CA12BE"/>
    <w:rsid w:val="00CA12CC"/>
    <w:rsid w:val="00CB0A0F"/>
    <w:rsid w:val="00CB178D"/>
    <w:rsid w:val="00CB2594"/>
    <w:rsid w:val="00CB2596"/>
    <w:rsid w:val="00CB2686"/>
    <w:rsid w:val="00CB2D27"/>
    <w:rsid w:val="00CB37C0"/>
    <w:rsid w:val="00CB39F4"/>
    <w:rsid w:val="00CB517B"/>
    <w:rsid w:val="00CB53B1"/>
    <w:rsid w:val="00CB597C"/>
    <w:rsid w:val="00CB648E"/>
    <w:rsid w:val="00CB65C0"/>
    <w:rsid w:val="00CB694E"/>
    <w:rsid w:val="00CB6BA5"/>
    <w:rsid w:val="00CB74D7"/>
    <w:rsid w:val="00CB7546"/>
    <w:rsid w:val="00CC3191"/>
    <w:rsid w:val="00CC4234"/>
    <w:rsid w:val="00CC453C"/>
    <w:rsid w:val="00CC49C6"/>
    <w:rsid w:val="00CC5EBE"/>
    <w:rsid w:val="00CC7332"/>
    <w:rsid w:val="00CD1B2D"/>
    <w:rsid w:val="00CD1CB7"/>
    <w:rsid w:val="00CD4026"/>
    <w:rsid w:val="00CD75D4"/>
    <w:rsid w:val="00CD75F9"/>
    <w:rsid w:val="00CE031D"/>
    <w:rsid w:val="00CE2DF8"/>
    <w:rsid w:val="00CE631C"/>
    <w:rsid w:val="00CE701A"/>
    <w:rsid w:val="00CF409D"/>
    <w:rsid w:val="00CF4633"/>
    <w:rsid w:val="00CF5E7E"/>
    <w:rsid w:val="00D015D5"/>
    <w:rsid w:val="00D05144"/>
    <w:rsid w:val="00D0708A"/>
    <w:rsid w:val="00D072FD"/>
    <w:rsid w:val="00D115B9"/>
    <w:rsid w:val="00D1195C"/>
    <w:rsid w:val="00D12426"/>
    <w:rsid w:val="00D16362"/>
    <w:rsid w:val="00D244AA"/>
    <w:rsid w:val="00D25F5A"/>
    <w:rsid w:val="00D3091A"/>
    <w:rsid w:val="00D311DC"/>
    <w:rsid w:val="00D317CC"/>
    <w:rsid w:val="00D32307"/>
    <w:rsid w:val="00D3267A"/>
    <w:rsid w:val="00D3748B"/>
    <w:rsid w:val="00D3771D"/>
    <w:rsid w:val="00D407EF"/>
    <w:rsid w:val="00D413B4"/>
    <w:rsid w:val="00D4228D"/>
    <w:rsid w:val="00D472AE"/>
    <w:rsid w:val="00D518E6"/>
    <w:rsid w:val="00D51F59"/>
    <w:rsid w:val="00D54695"/>
    <w:rsid w:val="00D568C9"/>
    <w:rsid w:val="00D57D1E"/>
    <w:rsid w:val="00D57FA0"/>
    <w:rsid w:val="00D612C9"/>
    <w:rsid w:val="00D618D3"/>
    <w:rsid w:val="00D61D3D"/>
    <w:rsid w:val="00D6285D"/>
    <w:rsid w:val="00D63392"/>
    <w:rsid w:val="00D6366A"/>
    <w:rsid w:val="00D637E2"/>
    <w:rsid w:val="00D63E17"/>
    <w:rsid w:val="00D6418E"/>
    <w:rsid w:val="00D65F86"/>
    <w:rsid w:val="00D66EA8"/>
    <w:rsid w:val="00D6774A"/>
    <w:rsid w:val="00D7032B"/>
    <w:rsid w:val="00D70415"/>
    <w:rsid w:val="00D72041"/>
    <w:rsid w:val="00D7433F"/>
    <w:rsid w:val="00D74803"/>
    <w:rsid w:val="00D74E21"/>
    <w:rsid w:val="00D758B5"/>
    <w:rsid w:val="00D759C6"/>
    <w:rsid w:val="00D761F8"/>
    <w:rsid w:val="00D80A27"/>
    <w:rsid w:val="00D8334B"/>
    <w:rsid w:val="00D835D9"/>
    <w:rsid w:val="00D85C9C"/>
    <w:rsid w:val="00D86C57"/>
    <w:rsid w:val="00D86E29"/>
    <w:rsid w:val="00D87061"/>
    <w:rsid w:val="00D90A51"/>
    <w:rsid w:val="00D91FCD"/>
    <w:rsid w:val="00D92C8F"/>
    <w:rsid w:val="00D94CCC"/>
    <w:rsid w:val="00D96265"/>
    <w:rsid w:val="00D9797A"/>
    <w:rsid w:val="00DA0BB5"/>
    <w:rsid w:val="00DA1A05"/>
    <w:rsid w:val="00DA30B0"/>
    <w:rsid w:val="00DA31BE"/>
    <w:rsid w:val="00DA32CB"/>
    <w:rsid w:val="00DA34AB"/>
    <w:rsid w:val="00DA5026"/>
    <w:rsid w:val="00DB0F78"/>
    <w:rsid w:val="00DB39EC"/>
    <w:rsid w:val="00DB4306"/>
    <w:rsid w:val="00DB4626"/>
    <w:rsid w:val="00DB4CB4"/>
    <w:rsid w:val="00DB5128"/>
    <w:rsid w:val="00DB6CF7"/>
    <w:rsid w:val="00DC05D3"/>
    <w:rsid w:val="00DC0C9E"/>
    <w:rsid w:val="00DC222A"/>
    <w:rsid w:val="00DC225C"/>
    <w:rsid w:val="00DC323D"/>
    <w:rsid w:val="00DC36F2"/>
    <w:rsid w:val="00DC3B24"/>
    <w:rsid w:val="00DC3C81"/>
    <w:rsid w:val="00DC5241"/>
    <w:rsid w:val="00DC5B2B"/>
    <w:rsid w:val="00DC73A9"/>
    <w:rsid w:val="00DD23A2"/>
    <w:rsid w:val="00DD23AA"/>
    <w:rsid w:val="00DD4C19"/>
    <w:rsid w:val="00DD51D6"/>
    <w:rsid w:val="00DE1592"/>
    <w:rsid w:val="00DE7ADC"/>
    <w:rsid w:val="00DF09C7"/>
    <w:rsid w:val="00DF0DBC"/>
    <w:rsid w:val="00DF1DDE"/>
    <w:rsid w:val="00DF3EFB"/>
    <w:rsid w:val="00DF4E2B"/>
    <w:rsid w:val="00DF7258"/>
    <w:rsid w:val="00E01694"/>
    <w:rsid w:val="00E03A51"/>
    <w:rsid w:val="00E0424A"/>
    <w:rsid w:val="00E0652B"/>
    <w:rsid w:val="00E101A5"/>
    <w:rsid w:val="00E10438"/>
    <w:rsid w:val="00E1089F"/>
    <w:rsid w:val="00E10F93"/>
    <w:rsid w:val="00E125E7"/>
    <w:rsid w:val="00E12E92"/>
    <w:rsid w:val="00E1333C"/>
    <w:rsid w:val="00E13789"/>
    <w:rsid w:val="00E137EF"/>
    <w:rsid w:val="00E13ABC"/>
    <w:rsid w:val="00E146B1"/>
    <w:rsid w:val="00E15256"/>
    <w:rsid w:val="00E15414"/>
    <w:rsid w:val="00E1563E"/>
    <w:rsid w:val="00E16FED"/>
    <w:rsid w:val="00E20D53"/>
    <w:rsid w:val="00E2265F"/>
    <w:rsid w:val="00E23D19"/>
    <w:rsid w:val="00E273D8"/>
    <w:rsid w:val="00E27DB4"/>
    <w:rsid w:val="00E27F8D"/>
    <w:rsid w:val="00E302F1"/>
    <w:rsid w:val="00E30BFA"/>
    <w:rsid w:val="00E30C87"/>
    <w:rsid w:val="00E318B5"/>
    <w:rsid w:val="00E34680"/>
    <w:rsid w:val="00E35159"/>
    <w:rsid w:val="00E35667"/>
    <w:rsid w:val="00E4012D"/>
    <w:rsid w:val="00E4065C"/>
    <w:rsid w:val="00E4296E"/>
    <w:rsid w:val="00E43DA0"/>
    <w:rsid w:val="00E441E8"/>
    <w:rsid w:val="00E4581A"/>
    <w:rsid w:val="00E460CC"/>
    <w:rsid w:val="00E46FB8"/>
    <w:rsid w:val="00E47A89"/>
    <w:rsid w:val="00E5237C"/>
    <w:rsid w:val="00E52581"/>
    <w:rsid w:val="00E556CD"/>
    <w:rsid w:val="00E57C5F"/>
    <w:rsid w:val="00E57F1D"/>
    <w:rsid w:val="00E63BC2"/>
    <w:rsid w:val="00E730FB"/>
    <w:rsid w:val="00E75A51"/>
    <w:rsid w:val="00E76F97"/>
    <w:rsid w:val="00E77C77"/>
    <w:rsid w:val="00E808EC"/>
    <w:rsid w:val="00E81F86"/>
    <w:rsid w:val="00E8211D"/>
    <w:rsid w:val="00E82307"/>
    <w:rsid w:val="00E82C08"/>
    <w:rsid w:val="00E82FC7"/>
    <w:rsid w:val="00E851FE"/>
    <w:rsid w:val="00E85FD6"/>
    <w:rsid w:val="00E86F8D"/>
    <w:rsid w:val="00E87031"/>
    <w:rsid w:val="00E87E41"/>
    <w:rsid w:val="00E92063"/>
    <w:rsid w:val="00E9315A"/>
    <w:rsid w:val="00E93C3A"/>
    <w:rsid w:val="00E96386"/>
    <w:rsid w:val="00E97E15"/>
    <w:rsid w:val="00EA0192"/>
    <w:rsid w:val="00EA0B7A"/>
    <w:rsid w:val="00EA1E94"/>
    <w:rsid w:val="00EA2095"/>
    <w:rsid w:val="00EA3135"/>
    <w:rsid w:val="00EA7ABE"/>
    <w:rsid w:val="00EB02EA"/>
    <w:rsid w:val="00EB19C9"/>
    <w:rsid w:val="00EB2058"/>
    <w:rsid w:val="00EB3423"/>
    <w:rsid w:val="00EB3C0A"/>
    <w:rsid w:val="00EB4048"/>
    <w:rsid w:val="00EB45AC"/>
    <w:rsid w:val="00EB4BAB"/>
    <w:rsid w:val="00EB4CBA"/>
    <w:rsid w:val="00EB4D75"/>
    <w:rsid w:val="00EC042A"/>
    <w:rsid w:val="00EC178E"/>
    <w:rsid w:val="00EC1F61"/>
    <w:rsid w:val="00EC2A87"/>
    <w:rsid w:val="00EC2B7A"/>
    <w:rsid w:val="00EC393C"/>
    <w:rsid w:val="00EC65E5"/>
    <w:rsid w:val="00EC7B5C"/>
    <w:rsid w:val="00ED0B23"/>
    <w:rsid w:val="00ED0C3E"/>
    <w:rsid w:val="00ED184E"/>
    <w:rsid w:val="00ED3444"/>
    <w:rsid w:val="00ED37C3"/>
    <w:rsid w:val="00ED441B"/>
    <w:rsid w:val="00ED467A"/>
    <w:rsid w:val="00ED48A5"/>
    <w:rsid w:val="00ED55EF"/>
    <w:rsid w:val="00ED6429"/>
    <w:rsid w:val="00ED684B"/>
    <w:rsid w:val="00ED6C49"/>
    <w:rsid w:val="00ED7711"/>
    <w:rsid w:val="00ED79DB"/>
    <w:rsid w:val="00EE07F6"/>
    <w:rsid w:val="00EE103E"/>
    <w:rsid w:val="00EE1DCB"/>
    <w:rsid w:val="00EE3455"/>
    <w:rsid w:val="00EE3615"/>
    <w:rsid w:val="00EE4A8D"/>
    <w:rsid w:val="00EE56D8"/>
    <w:rsid w:val="00EE6739"/>
    <w:rsid w:val="00EE6AC2"/>
    <w:rsid w:val="00EF19EE"/>
    <w:rsid w:val="00EF1A24"/>
    <w:rsid w:val="00EF5CEE"/>
    <w:rsid w:val="00EF5EF5"/>
    <w:rsid w:val="00EF6181"/>
    <w:rsid w:val="00EF73AE"/>
    <w:rsid w:val="00EF7988"/>
    <w:rsid w:val="00F001F1"/>
    <w:rsid w:val="00F007DE"/>
    <w:rsid w:val="00F02F6F"/>
    <w:rsid w:val="00F039BE"/>
    <w:rsid w:val="00F06133"/>
    <w:rsid w:val="00F0680F"/>
    <w:rsid w:val="00F07780"/>
    <w:rsid w:val="00F07CDB"/>
    <w:rsid w:val="00F10CCA"/>
    <w:rsid w:val="00F11591"/>
    <w:rsid w:val="00F12B53"/>
    <w:rsid w:val="00F15348"/>
    <w:rsid w:val="00F15AB6"/>
    <w:rsid w:val="00F1658D"/>
    <w:rsid w:val="00F17A96"/>
    <w:rsid w:val="00F202F9"/>
    <w:rsid w:val="00F21CD4"/>
    <w:rsid w:val="00F258D1"/>
    <w:rsid w:val="00F2623F"/>
    <w:rsid w:val="00F264A3"/>
    <w:rsid w:val="00F26511"/>
    <w:rsid w:val="00F265AB"/>
    <w:rsid w:val="00F269C3"/>
    <w:rsid w:val="00F26E07"/>
    <w:rsid w:val="00F272E3"/>
    <w:rsid w:val="00F350FE"/>
    <w:rsid w:val="00F40D38"/>
    <w:rsid w:val="00F45213"/>
    <w:rsid w:val="00F45943"/>
    <w:rsid w:val="00F46164"/>
    <w:rsid w:val="00F4638D"/>
    <w:rsid w:val="00F466F8"/>
    <w:rsid w:val="00F46AB3"/>
    <w:rsid w:val="00F473B9"/>
    <w:rsid w:val="00F47912"/>
    <w:rsid w:val="00F5016C"/>
    <w:rsid w:val="00F505FA"/>
    <w:rsid w:val="00F50DFB"/>
    <w:rsid w:val="00F5266E"/>
    <w:rsid w:val="00F53577"/>
    <w:rsid w:val="00F546AB"/>
    <w:rsid w:val="00F61EFE"/>
    <w:rsid w:val="00F63EB0"/>
    <w:rsid w:val="00F63ED4"/>
    <w:rsid w:val="00F641F0"/>
    <w:rsid w:val="00F647FB"/>
    <w:rsid w:val="00F64EAC"/>
    <w:rsid w:val="00F65FCB"/>
    <w:rsid w:val="00F66AF6"/>
    <w:rsid w:val="00F6753C"/>
    <w:rsid w:val="00F714D5"/>
    <w:rsid w:val="00F71761"/>
    <w:rsid w:val="00F7297C"/>
    <w:rsid w:val="00F72CEC"/>
    <w:rsid w:val="00F7332F"/>
    <w:rsid w:val="00F73B13"/>
    <w:rsid w:val="00F73C27"/>
    <w:rsid w:val="00F742EC"/>
    <w:rsid w:val="00F75D68"/>
    <w:rsid w:val="00F76D6D"/>
    <w:rsid w:val="00F77912"/>
    <w:rsid w:val="00F80E54"/>
    <w:rsid w:val="00F81527"/>
    <w:rsid w:val="00F831C0"/>
    <w:rsid w:val="00F83448"/>
    <w:rsid w:val="00F87FE3"/>
    <w:rsid w:val="00F90B49"/>
    <w:rsid w:val="00F90C97"/>
    <w:rsid w:val="00F90E55"/>
    <w:rsid w:val="00F90EF9"/>
    <w:rsid w:val="00F90F59"/>
    <w:rsid w:val="00F913B9"/>
    <w:rsid w:val="00F91422"/>
    <w:rsid w:val="00F937F7"/>
    <w:rsid w:val="00F94F39"/>
    <w:rsid w:val="00FA04E7"/>
    <w:rsid w:val="00FA195A"/>
    <w:rsid w:val="00FA3024"/>
    <w:rsid w:val="00FA45E9"/>
    <w:rsid w:val="00FB5CE6"/>
    <w:rsid w:val="00FB7460"/>
    <w:rsid w:val="00FB7EF4"/>
    <w:rsid w:val="00FC2484"/>
    <w:rsid w:val="00FC37F0"/>
    <w:rsid w:val="00FC4E22"/>
    <w:rsid w:val="00FC4EE5"/>
    <w:rsid w:val="00FC5A74"/>
    <w:rsid w:val="00FC5E2A"/>
    <w:rsid w:val="00FC67BD"/>
    <w:rsid w:val="00FC7348"/>
    <w:rsid w:val="00FC78CE"/>
    <w:rsid w:val="00FD1BA0"/>
    <w:rsid w:val="00FD2BBC"/>
    <w:rsid w:val="00FD34FE"/>
    <w:rsid w:val="00FD3E4B"/>
    <w:rsid w:val="00FD4147"/>
    <w:rsid w:val="00FD52CF"/>
    <w:rsid w:val="00FD544F"/>
    <w:rsid w:val="00FE5470"/>
    <w:rsid w:val="00FE6D79"/>
    <w:rsid w:val="00FE74E8"/>
    <w:rsid w:val="00FF1C75"/>
    <w:rsid w:val="00FF243A"/>
    <w:rsid w:val="00FF4C61"/>
    <w:rsid w:val="00FF4D07"/>
    <w:rsid w:val="00FF4E97"/>
    <w:rsid w:val="00FF51A7"/>
    <w:rsid w:val="00FF5463"/>
    <w:rsid w:val="00FF6463"/>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07822"/>
  <w15:docId w15:val="{C758701A-7F4F-427B-AEED-B2A4920C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rPr>
  </w:style>
  <w:style w:type="paragraph" w:styleId="Heading1">
    <w:name w:val="heading 1"/>
    <w:basedOn w:val="Normal"/>
    <w:next w:val="Normal"/>
    <w:qFormat/>
    <w:pPr>
      <w:keepNext/>
      <w:ind w:right="-85"/>
      <w:jc w:val="right"/>
      <w:outlineLvl w:val="0"/>
    </w:pPr>
    <w:rPr>
      <w:rFonts w:ascii="AvantGarde Bk BT" w:hAnsi="AvantGarde Bk BT"/>
      <w:sz w:val="35"/>
    </w:rPr>
  </w:style>
  <w:style w:type="paragraph" w:styleId="Heading2">
    <w:name w:val="heading 2"/>
    <w:basedOn w:val="Normal"/>
    <w:next w:val="Normal"/>
    <w:qFormat/>
    <w:pPr>
      <w:keepNext/>
      <w:ind w:right="-113"/>
      <w:outlineLvl w:val="1"/>
    </w:pPr>
    <w:rPr>
      <w:i/>
      <w:sz w:val="18"/>
      <w:lang w:val="en-US"/>
    </w:rPr>
  </w:style>
  <w:style w:type="paragraph" w:styleId="Heading3">
    <w:name w:val="heading 3"/>
    <w:basedOn w:val="Normal"/>
    <w:next w:val="Normal"/>
    <w:qFormat/>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dstrike w:val="0"/>
      <w:color w:val="auto"/>
      <w:vertAlign w:val="baseline"/>
    </w:rPr>
  </w:style>
  <w:style w:type="character" w:styleId="Hyperlink">
    <w:name w:val="Hyperlink"/>
    <w:rPr>
      <w:color w:val="0000FF"/>
      <w:u w:val="single"/>
    </w:rPr>
  </w:style>
  <w:style w:type="paragraph" w:customStyle="1" w:styleId="Pasiteirauti">
    <w:name w:val="Pasiteirauti"/>
    <w:basedOn w:val="Normal"/>
    <w:pPr>
      <w:outlineLvl w:val="1"/>
    </w:pPr>
    <w:rPr>
      <w:sz w:val="19"/>
      <w:lang w:val="lt-LT"/>
    </w:rPr>
  </w:style>
  <w:style w:type="paragraph" w:customStyle="1" w:styleId="Nrdata">
    <w:name w:val="Nr_data"/>
    <w:basedOn w:val="Normal"/>
    <w:pPr>
      <w:jc w:val="right"/>
    </w:pPr>
    <w:rPr>
      <w:sz w:val="22"/>
    </w:rPr>
  </w:style>
  <w:style w:type="paragraph" w:customStyle="1" w:styleId="Antraste">
    <w:name w:val="Antraste"/>
    <w:basedOn w:val="Heading2"/>
    <w:pPr>
      <w:keepNext w:val="0"/>
      <w:ind w:right="0"/>
      <w:jc w:val="center"/>
    </w:pPr>
    <w:rPr>
      <w:b/>
      <w:i w:val="0"/>
      <w:caps/>
      <w:sz w:val="24"/>
    </w:rPr>
  </w:style>
  <w:style w:type="paragraph" w:customStyle="1" w:styleId="Paantraste">
    <w:name w:val="Paantraste"/>
    <w:basedOn w:val="Antraste"/>
    <w:rPr>
      <w:sz w:val="20"/>
    </w:rPr>
  </w:style>
  <w:style w:type="paragraph" w:customStyle="1" w:styleId="Galva">
    <w:name w:val="Galva"/>
    <w:basedOn w:val="Normal"/>
    <w:pPr>
      <w:spacing w:before="40" w:after="40"/>
      <w:ind w:left="-57" w:right="-57"/>
      <w:jc w:val="center"/>
    </w:pPr>
    <w:rPr>
      <w:sz w:val="19"/>
      <w:lang w:val="lt-LT"/>
    </w:rPr>
  </w:style>
  <w:style w:type="paragraph" w:styleId="BodyText2">
    <w:name w:val="Body Text 2"/>
    <w:basedOn w:val="Normal"/>
    <w:pPr>
      <w:widowControl w:val="0"/>
      <w:spacing w:before="40" w:after="20"/>
      <w:jc w:val="center"/>
    </w:pPr>
    <w:rPr>
      <w:sz w:val="22"/>
      <w:lang w:val="en-AU"/>
    </w:rPr>
  </w:style>
  <w:style w:type="paragraph" w:customStyle="1" w:styleId="0atitr">
    <w:name w:val="0_atitr"/>
    <w:basedOn w:val="Normal"/>
    <w:pPr>
      <w:spacing w:before="20" w:after="20"/>
      <w:ind w:left="113" w:hanging="113"/>
    </w:pPr>
    <w:rPr>
      <w:sz w:val="19"/>
      <w:lang w:val="lt-LT"/>
    </w:rPr>
  </w:style>
  <w:style w:type="paragraph" w:customStyle="1" w:styleId="1atitr">
    <w:name w:val="1_atitr"/>
    <w:basedOn w:val="0atitr"/>
    <w:pPr>
      <w:ind w:left="226"/>
    </w:pPr>
  </w:style>
  <w:style w:type="paragraph" w:customStyle="1" w:styleId="2atitr">
    <w:name w:val="2_atitr"/>
    <w:basedOn w:val="1atitr"/>
    <w:pPr>
      <w:ind w:left="340"/>
    </w:pPr>
  </w:style>
  <w:style w:type="paragraph" w:customStyle="1" w:styleId="skaic">
    <w:name w:val="skaic"/>
    <w:basedOn w:val="Normal"/>
    <w:pPr>
      <w:spacing w:before="20" w:after="20"/>
      <w:ind w:right="284"/>
      <w:jc w:val="right"/>
    </w:pPr>
    <w:rPr>
      <w:sz w:val="19"/>
      <w:lang w:val="lt-LT"/>
    </w:rPr>
  </w:style>
  <w:style w:type="paragraph" w:customStyle="1" w:styleId="Pagrtekstas">
    <w:name w:val="Pagr_tekstas"/>
    <w:basedOn w:val="Normal"/>
    <w:pPr>
      <w:ind w:firstLine="720"/>
      <w:jc w:val="both"/>
    </w:pPr>
  </w:style>
  <w:style w:type="paragraph" w:customStyle="1" w:styleId="Lentelespav">
    <w:name w:val="Lenteles pav"/>
    <w:basedOn w:val="Paantraste"/>
    <w:rPr>
      <w:caps w:val="0"/>
      <w:lang w:val="en-GB"/>
    </w:rPr>
  </w:style>
  <w:style w:type="paragraph" w:customStyle="1" w:styleId="Parasas">
    <w:name w:val="Parasas"/>
    <w:basedOn w:val="Normal"/>
    <w:rPr>
      <w:lang w:val="lt-LT"/>
    </w:rPr>
  </w:style>
  <w:style w:type="paragraph" w:customStyle="1" w:styleId="Pranesimas">
    <w:name w:val="Pranesimas"/>
    <w:basedOn w:val="Normal"/>
    <w:rPr>
      <w:sz w:val="12"/>
      <w:lang w:val="lt-LT"/>
    </w:rPr>
  </w:style>
  <w:style w:type="paragraph" w:styleId="BodyText">
    <w:name w:val="Body Text"/>
    <w:basedOn w:val="Normal"/>
    <w:link w:val="BodyTextChar"/>
    <w:rsid w:val="00514940"/>
    <w:pPr>
      <w:spacing w:after="120"/>
    </w:pPr>
  </w:style>
  <w:style w:type="paragraph" w:customStyle="1" w:styleId="Saltinis">
    <w:name w:val="Saltinis"/>
    <w:basedOn w:val="Normal"/>
    <w:rPr>
      <w:sz w:val="18"/>
    </w:rPr>
  </w:style>
  <w:style w:type="character" w:customStyle="1" w:styleId="BodyTextChar">
    <w:name w:val="Body Text Char"/>
    <w:link w:val="BodyText"/>
    <w:rsid w:val="00514940"/>
    <w:rPr>
      <w:rFonts w:ascii="Arial" w:hAnsi="Arial"/>
      <w:lang w:val="en-GB" w:eastAsia="en-US"/>
    </w:rPr>
  </w:style>
  <w:style w:type="character" w:styleId="Strong">
    <w:name w:val="Strong"/>
    <w:qFormat/>
    <w:rsid w:val="00514940"/>
    <w:rPr>
      <w:b/>
      <w:bCs/>
    </w:rPr>
  </w:style>
  <w:style w:type="paragraph" w:styleId="BalloonText">
    <w:name w:val="Balloon Text"/>
    <w:basedOn w:val="Normal"/>
    <w:semiHidden/>
    <w:rsid w:val="003071C7"/>
    <w:rPr>
      <w:rFonts w:ascii="Tahoma" w:hAnsi="Tahoma" w:cs="Tahoma"/>
      <w:sz w:val="16"/>
      <w:szCs w:val="16"/>
    </w:rPr>
  </w:style>
  <w:style w:type="character" w:styleId="CommentReference">
    <w:name w:val="annotation reference"/>
    <w:semiHidden/>
    <w:rsid w:val="00097EF7"/>
    <w:rPr>
      <w:sz w:val="16"/>
      <w:szCs w:val="16"/>
    </w:rPr>
  </w:style>
  <w:style w:type="paragraph" w:styleId="CommentText">
    <w:name w:val="annotation text"/>
    <w:basedOn w:val="Normal"/>
    <w:semiHidden/>
    <w:rsid w:val="00097EF7"/>
  </w:style>
  <w:style w:type="paragraph" w:styleId="CommentSubject">
    <w:name w:val="annotation subject"/>
    <w:basedOn w:val="CommentText"/>
    <w:next w:val="CommentText"/>
    <w:semiHidden/>
    <w:rsid w:val="00097EF7"/>
    <w:rPr>
      <w:b/>
      <w:bCs/>
    </w:rPr>
  </w:style>
  <w:style w:type="paragraph" w:customStyle="1" w:styleId="Text">
    <w:name w:val="Text"/>
    <w:basedOn w:val="Normal"/>
    <w:rsid w:val="007F590A"/>
    <w:pPr>
      <w:spacing w:line="280" w:lineRule="atLeast"/>
      <w:ind w:firstLine="284"/>
      <w:jc w:val="both"/>
    </w:pPr>
    <w:rPr>
      <w:sz w:val="18"/>
      <w:lang w:val="lt-LT" w:eastAsia="lt-LT"/>
    </w:rPr>
  </w:style>
  <w:style w:type="paragraph" w:styleId="z-BottomofForm">
    <w:name w:val="HTML Bottom of Form"/>
    <w:basedOn w:val="Normal"/>
    <w:next w:val="Normal"/>
    <w:link w:val="z-BottomofFormChar"/>
    <w:hidden/>
    <w:rsid w:val="007F590A"/>
    <w:pPr>
      <w:pBdr>
        <w:top w:val="single" w:sz="6" w:space="1" w:color="auto"/>
      </w:pBdr>
      <w:jc w:val="center"/>
    </w:pPr>
    <w:rPr>
      <w:rFonts w:cs="Arial"/>
      <w:vanish/>
      <w:sz w:val="16"/>
      <w:szCs w:val="16"/>
      <w:lang w:val="lt-LT" w:eastAsia="lt-LT"/>
    </w:rPr>
  </w:style>
  <w:style w:type="character" w:customStyle="1" w:styleId="z-BottomofFormChar">
    <w:name w:val="z-Bottom of Form Char"/>
    <w:link w:val="z-BottomofForm"/>
    <w:rsid w:val="007F590A"/>
    <w:rPr>
      <w:rFonts w:ascii="Arial" w:hAnsi="Arial" w:cs="Arial"/>
      <w:vanish/>
      <w:sz w:val="16"/>
      <w:szCs w:val="16"/>
      <w:lang w:val="lt-LT" w:eastAsia="lt-LT" w:bidi="ar-SA"/>
    </w:rPr>
  </w:style>
  <w:style w:type="paragraph" w:customStyle="1" w:styleId="pagrtekstas0">
    <w:name w:val="pagrtekstas"/>
    <w:basedOn w:val="Normal"/>
    <w:rsid w:val="00CF4633"/>
    <w:pPr>
      <w:spacing w:before="100" w:beforeAutospacing="1" w:after="100" w:afterAutospacing="1"/>
    </w:pPr>
    <w:rPr>
      <w:rFonts w:ascii="Times New Roman" w:hAnsi="Times New Roman"/>
      <w:sz w:val="24"/>
      <w:szCs w:val="24"/>
      <w:lang w:val="lt-LT" w:eastAsia="lt-LT"/>
    </w:rPr>
  </w:style>
  <w:style w:type="character" w:styleId="FollowedHyperlink">
    <w:name w:val="FollowedHyperlink"/>
    <w:rsid w:val="00FD544F"/>
    <w:rPr>
      <w:color w:val="800080"/>
      <w:u w:val="single"/>
    </w:rPr>
  </w:style>
  <w:style w:type="paragraph" w:customStyle="1" w:styleId="Poskyr">
    <w:name w:val="Poskyr"/>
    <w:basedOn w:val="Pagrtekstas"/>
    <w:rsid w:val="00E16FED"/>
    <w:pPr>
      <w:spacing w:line="120" w:lineRule="atLeast"/>
      <w:ind w:firstLine="0"/>
    </w:pPr>
    <w:rPr>
      <w:b/>
      <w:lang w:val="lt-LT"/>
    </w:rPr>
  </w:style>
  <w:style w:type="table" w:styleId="TableGrid">
    <w:name w:val="Table Grid"/>
    <w:basedOn w:val="TableNormal"/>
    <w:rsid w:val="008E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7243"/>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4262">
      <w:bodyDiv w:val="1"/>
      <w:marLeft w:val="0"/>
      <w:marRight w:val="0"/>
      <w:marTop w:val="0"/>
      <w:marBottom w:val="0"/>
      <w:divBdr>
        <w:top w:val="none" w:sz="0" w:space="0" w:color="auto"/>
        <w:left w:val="none" w:sz="0" w:space="0" w:color="auto"/>
        <w:bottom w:val="none" w:sz="0" w:space="0" w:color="auto"/>
        <w:right w:val="none" w:sz="0" w:space="0" w:color="auto"/>
      </w:divBdr>
      <w:divsChild>
        <w:div w:id="2055736554">
          <w:marLeft w:val="0"/>
          <w:marRight w:val="0"/>
          <w:marTop w:val="0"/>
          <w:marBottom w:val="0"/>
          <w:divBdr>
            <w:top w:val="none" w:sz="0" w:space="0" w:color="auto"/>
            <w:left w:val="none" w:sz="0" w:space="0" w:color="auto"/>
            <w:bottom w:val="none" w:sz="0" w:space="0" w:color="auto"/>
            <w:right w:val="none" w:sz="0" w:space="0" w:color="auto"/>
          </w:divBdr>
        </w:div>
      </w:divsChild>
    </w:div>
    <w:div w:id="252013811">
      <w:bodyDiv w:val="1"/>
      <w:marLeft w:val="0"/>
      <w:marRight w:val="0"/>
      <w:marTop w:val="0"/>
      <w:marBottom w:val="0"/>
      <w:divBdr>
        <w:top w:val="none" w:sz="0" w:space="0" w:color="auto"/>
        <w:left w:val="none" w:sz="0" w:space="0" w:color="auto"/>
        <w:bottom w:val="none" w:sz="0" w:space="0" w:color="auto"/>
        <w:right w:val="none" w:sz="0" w:space="0" w:color="auto"/>
      </w:divBdr>
    </w:div>
    <w:div w:id="413863536">
      <w:bodyDiv w:val="1"/>
      <w:marLeft w:val="0"/>
      <w:marRight w:val="0"/>
      <w:marTop w:val="0"/>
      <w:marBottom w:val="0"/>
      <w:divBdr>
        <w:top w:val="none" w:sz="0" w:space="0" w:color="auto"/>
        <w:left w:val="none" w:sz="0" w:space="0" w:color="auto"/>
        <w:bottom w:val="none" w:sz="0" w:space="0" w:color="auto"/>
        <w:right w:val="none" w:sz="0" w:space="0" w:color="auto"/>
      </w:divBdr>
    </w:div>
    <w:div w:id="943463018">
      <w:bodyDiv w:val="1"/>
      <w:marLeft w:val="0"/>
      <w:marRight w:val="0"/>
      <w:marTop w:val="0"/>
      <w:marBottom w:val="0"/>
      <w:divBdr>
        <w:top w:val="none" w:sz="0" w:space="0" w:color="auto"/>
        <w:left w:val="none" w:sz="0" w:space="0" w:color="auto"/>
        <w:bottom w:val="none" w:sz="0" w:space="0" w:color="auto"/>
        <w:right w:val="none" w:sz="0" w:space="0" w:color="auto"/>
      </w:divBdr>
    </w:div>
    <w:div w:id="1096246790">
      <w:bodyDiv w:val="1"/>
      <w:marLeft w:val="0"/>
      <w:marRight w:val="0"/>
      <w:marTop w:val="0"/>
      <w:marBottom w:val="0"/>
      <w:divBdr>
        <w:top w:val="none" w:sz="0" w:space="0" w:color="auto"/>
        <w:left w:val="none" w:sz="0" w:space="0" w:color="auto"/>
        <w:bottom w:val="none" w:sz="0" w:space="0" w:color="auto"/>
        <w:right w:val="none" w:sz="0" w:space="0" w:color="auto"/>
      </w:divBdr>
    </w:div>
    <w:div w:id="1114979824">
      <w:bodyDiv w:val="1"/>
      <w:marLeft w:val="0"/>
      <w:marRight w:val="0"/>
      <w:marTop w:val="0"/>
      <w:marBottom w:val="0"/>
      <w:divBdr>
        <w:top w:val="none" w:sz="0" w:space="0" w:color="auto"/>
        <w:left w:val="none" w:sz="0" w:space="0" w:color="auto"/>
        <w:bottom w:val="none" w:sz="0" w:space="0" w:color="auto"/>
        <w:right w:val="none" w:sz="0" w:space="0" w:color="auto"/>
      </w:divBdr>
    </w:div>
    <w:div w:id="1195576510">
      <w:bodyDiv w:val="1"/>
      <w:marLeft w:val="0"/>
      <w:marRight w:val="0"/>
      <w:marTop w:val="0"/>
      <w:marBottom w:val="0"/>
      <w:divBdr>
        <w:top w:val="none" w:sz="0" w:space="0" w:color="auto"/>
        <w:left w:val="none" w:sz="0" w:space="0" w:color="auto"/>
        <w:bottom w:val="none" w:sz="0" w:space="0" w:color="auto"/>
        <w:right w:val="none" w:sz="0" w:space="0" w:color="auto"/>
      </w:divBdr>
    </w:div>
    <w:div w:id="1267226382">
      <w:bodyDiv w:val="1"/>
      <w:marLeft w:val="0"/>
      <w:marRight w:val="0"/>
      <w:marTop w:val="0"/>
      <w:marBottom w:val="0"/>
      <w:divBdr>
        <w:top w:val="none" w:sz="0" w:space="0" w:color="auto"/>
        <w:left w:val="none" w:sz="0" w:space="0" w:color="auto"/>
        <w:bottom w:val="none" w:sz="0" w:space="0" w:color="auto"/>
        <w:right w:val="none" w:sz="0" w:space="0" w:color="auto"/>
      </w:divBdr>
    </w:div>
    <w:div w:id="1593319648">
      <w:bodyDiv w:val="1"/>
      <w:marLeft w:val="0"/>
      <w:marRight w:val="0"/>
      <w:marTop w:val="0"/>
      <w:marBottom w:val="0"/>
      <w:divBdr>
        <w:top w:val="none" w:sz="0" w:space="0" w:color="auto"/>
        <w:left w:val="none" w:sz="0" w:space="0" w:color="auto"/>
        <w:bottom w:val="none" w:sz="0" w:space="0" w:color="auto"/>
        <w:right w:val="none" w:sz="0" w:space="0" w:color="auto"/>
      </w:divBdr>
    </w:div>
    <w:div w:id="1682581248">
      <w:bodyDiv w:val="1"/>
      <w:marLeft w:val="0"/>
      <w:marRight w:val="0"/>
      <w:marTop w:val="0"/>
      <w:marBottom w:val="0"/>
      <w:divBdr>
        <w:top w:val="none" w:sz="0" w:space="0" w:color="auto"/>
        <w:left w:val="none" w:sz="0" w:space="0" w:color="auto"/>
        <w:bottom w:val="none" w:sz="0" w:space="0" w:color="auto"/>
        <w:right w:val="none" w:sz="0" w:space="0" w:color="auto"/>
      </w:divBdr>
    </w:div>
    <w:div w:id="1702628237">
      <w:bodyDiv w:val="1"/>
      <w:marLeft w:val="0"/>
      <w:marRight w:val="0"/>
      <w:marTop w:val="0"/>
      <w:marBottom w:val="0"/>
      <w:divBdr>
        <w:top w:val="none" w:sz="0" w:space="0" w:color="auto"/>
        <w:left w:val="none" w:sz="0" w:space="0" w:color="auto"/>
        <w:bottom w:val="none" w:sz="0" w:space="0" w:color="auto"/>
        <w:right w:val="none" w:sz="0" w:space="0" w:color="auto"/>
      </w:divBdr>
    </w:div>
    <w:div w:id="1982075792">
      <w:bodyDiv w:val="1"/>
      <w:marLeft w:val="0"/>
      <w:marRight w:val="0"/>
      <w:marTop w:val="0"/>
      <w:marBottom w:val="0"/>
      <w:divBdr>
        <w:top w:val="none" w:sz="0" w:space="0" w:color="auto"/>
        <w:left w:val="none" w:sz="0" w:space="0" w:color="auto"/>
        <w:bottom w:val="none" w:sz="0" w:space="0" w:color="auto"/>
        <w:right w:val="none" w:sz="0" w:space="0" w:color="auto"/>
      </w:divBdr>
    </w:div>
    <w:div w:id="2079329055">
      <w:bodyDiv w:val="1"/>
      <w:marLeft w:val="0"/>
      <w:marRight w:val="0"/>
      <w:marTop w:val="0"/>
      <w:marBottom w:val="0"/>
      <w:divBdr>
        <w:top w:val="none" w:sz="0" w:space="0" w:color="auto"/>
        <w:left w:val="none" w:sz="0" w:space="0" w:color="auto"/>
        <w:bottom w:val="none" w:sz="0" w:space="0" w:color="auto"/>
        <w:right w:val="none" w:sz="0" w:space="0" w:color="auto"/>
      </w:divBdr>
    </w:div>
    <w:div w:id="2095853540">
      <w:bodyDiv w:val="1"/>
      <w:marLeft w:val="0"/>
      <w:marRight w:val="0"/>
      <w:marTop w:val="0"/>
      <w:marBottom w:val="0"/>
      <w:divBdr>
        <w:top w:val="none" w:sz="0" w:space="0" w:color="auto"/>
        <w:left w:val="none" w:sz="0" w:space="0" w:color="auto"/>
        <w:bottom w:val="none" w:sz="0" w:space="0" w:color="auto"/>
        <w:right w:val="none" w:sz="0" w:space="0" w:color="auto"/>
      </w:divBdr>
    </w:div>
    <w:div w:id="21302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statistiniu-rodikliu-analize?hash=51db13f7-dcff-4bf4-b775-c032763567fa" TargetMode="External"/><Relationship Id="rId13" Type="http://schemas.openxmlformats.org/officeDocument/2006/relationships/hyperlink" Target="https://ec.europa.eu/eurostat/documents/4031688/9394165/KS-02-18-142-LT-N.pdf/2c6787ed-aaf1-4f30-bad1-aa65bf1e964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stat.gov.lt/web/guest/statistiniu-rodikliu-analiz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sp.stat.gov.lt/statistiniu-rodikliu-analize?hash=45bd559a-4bce-49ef-8923-a2d6177431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osp.stat.gov.lt/statistikos-terminu-zodyna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drap\Local%20Settings\Temporary%20Internet%20Files\OLK8D\Pr_spaudai_lt.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543543543543541E-2"/>
          <c:y val="6.6666666666666666E-2"/>
          <c:w val="0.64864864864864868"/>
          <c:h val="0.7911111111111111"/>
        </c:manualLayout>
      </c:layout>
      <c:lineChart>
        <c:grouping val="standard"/>
        <c:varyColors val="0"/>
        <c:ser>
          <c:idx val="0"/>
          <c:order val="0"/>
          <c:tx>
            <c:strRef>
              <c:f>Sheet1!$B$1</c:f>
              <c:strCache>
                <c:ptCount val="1"/>
                <c:pt idx="0">
                  <c:v>Iš viso pagal amžiaus grupes</c:v>
                </c:pt>
              </c:strCache>
            </c:strRef>
          </c:tx>
          <c:spPr>
            <a:ln w="25311">
              <a:solidFill>
                <a:srgbClr val="000080"/>
              </a:solidFill>
              <a:prstDash val="solid"/>
            </a:ln>
          </c:spPr>
          <c:marker>
            <c:symbol val="diamond"/>
            <c:size val="7"/>
            <c:spPr>
              <a:solidFill>
                <a:srgbClr val="000080"/>
              </a:solidFill>
              <a:ln>
                <a:solidFill>
                  <a:srgbClr val="FFFFFF"/>
                </a:solidFill>
                <a:prstDash val="solid"/>
              </a:ln>
            </c:spPr>
          </c:marker>
          <c:dLbls>
            <c:numFmt formatCode="0.0" sourceLinked="0"/>
            <c:spPr>
              <a:noFill/>
              <a:ln w="25311">
                <a:noFill/>
              </a:ln>
            </c:spPr>
            <c:txPr>
              <a:bodyPr wrap="square" lIns="38100" tIns="19050" rIns="38100" bIns="19050" anchor="ctr">
                <a:spAutoFit/>
              </a:bodyPr>
              <a:lstStyle/>
              <a:p>
                <a:pPr>
                  <a:defRPr sz="922" b="0" i="0" u="none" strike="noStrike" baseline="0">
                    <a:solidFill>
                      <a:srgbClr val="000000"/>
                    </a:solidFill>
                    <a:latin typeface="Arial"/>
                    <a:ea typeface="Arial"/>
                    <a:cs typeface="Arial"/>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2021K1</c:v>
                </c:pt>
                <c:pt idx="1">
                  <c:v>2021K2</c:v>
                </c:pt>
                <c:pt idx="2">
                  <c:v>2021K3</c:v>
                </c:pt>
                <c:pt idx="3">
                  <c:v>2021K4</c:v>
                </c:pt>
                <c:pt idx="4">
                  <c:v>2022K1</c:v>
                </c:pt>
              </c:strCache>
            </c:strRef>
          </c:cat>
          <c:val>
            <c:numRef>
              <c:f>Sheet1!$B$2:$B$6</c:f>
              <c:numCache>
                <c:formatCode>General</c:formatCode>
                <c:ptCount val="5"/>
                <c:pt idx="0">
                  <c:v>7.5</c:v>
                </c:pt>
                <c:pt idx="1">
                  <c:v>7.4</c:v>
                </c:pt>
                <c:pt idx="2">
                  <c:v>6.7</c:v>
                </c:pt>
                <c:pt idx="3">
                  <c:v>7</c:v>
                </c:pt>
                <c:pt idx="4">
                  <c:v>6.3</c:v>
                </c:pt>
              </c:numCache>
            </c:numRef>
          </c:val>
          <c:smooth val="0"/>
          <c:extLst>
            <c:ext xmlns:c16="http://schemas.microsoft.com/office/drawing/2014/chart" uri="{C3380CC4-5D6E-409C-BE32-E72D297353CC}">
              <c16:uniqueId val="{00000000-AFE3-4FC5-B1E8-400430BCB181}"/>
            </c:ext>
          </c:extLst>
        </c:ser>
        <c:ser>
          <c:idx val="1"/>
          <c:order val="1"/>
          <c:tx>
            <c:strRef>
              <c:f>Sheet1!$C$1</c:f>
              <c:strCache>
                <c:ptCount val="1"/>
                <c:pt idx="0">
                  <c:v>Jaunimo (15–24 metų amžiaus)</c:v>
                </c:pt>
              </c:strCache>
            </c:strRef>
          </c:tx>
          <c:spPr>
            <a:ln w="25311">
              <a:solidFill>
                <a:srgbClr val="4BBEAA"/>
              </a:solidFill>
              <a:prstDash val="solid"/>
            </a:ln>
          </c:spPr>
          <c:marker>
            <c:symbol val="triangle"/>
            <c:size val="6"/>
            <c:spPr>
              <a:solidFill>
                <a:srgbClr val="4BBEAA"/>
              </a:solidFill>
              <a:ln>
                <a:solidFill>
                  <a:srgbClr val="FFFFFF"/>
                </a:solidFill>
                <a:prstDash val="solid"/>
              </a:ln>
            </c:spPr>
          </c:marker>
          <c:dLbls>
            <c:numFmt formatCode="0.0" sourceLinked="0"/>
            <c:spPr>
              <a:noFill/>
              <a:ln w="25311">
                <a:noFill/>
              </a:ln>
            </c:spPr>
            <c:txPr>
              <a:bodyPr wrap="square" lIns="38100" tIns="19050" rIns="38100" bIns="19050" anchor="ctr">
                <a:spAutoFit/>
              </a:bodyPr>
              <a:lstStyle/>
              <a:p>
                <a:pPr>
                  <a:defRPr sz="922" b="0" i="0" u="none" strike="noStrike" baseline="0">
                    <a:solidFill>
                      <a:srgbClr val="000000"/>
                    </a:solidFill>
                    <a:latin typeface="Arial"/>
                    <a:ea typeface="Arial"/>
                    <a:cs typeface="Arial"/>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2021K1</c:v>
                </c:pt>
                <c:pt idx="1">
                  <c:v>2021K2</c:v>
                </c:pt>
                <c:pt idx="2">
                  <c:v>2021K3</c:v>
                </c:pt>
                <c:pt idx="3">
                  <c:v>2021K4</c:v>
                </c:pt>
                <c:pt idx="4">
                  <c:v>2022K1</c:v>
                </c:pt>
              </c:strCache>
            </c:strRef>
          </c:cat>
          <c:val>
            <c:numRef>
              <c:f>Sheet1!$C$2:$C$6</c:f>
              <c:numCache>
                <c:formatCode>General</c:formatCode>
                <c:ptCount val="5"/>
                <c:pt idx="0">
                  <c:v>12.5</c:v>
                </c:pt>
                <c:pt idx="1">
                  <c:v>19.399999999999999</c:v>
                </c:pt>
                <c:pt idx="2">
                  <c:v>14.5</c:v>
                </c:pt>
                <c:pt idx="3">
                  <c:v>11.2</c:v>
                </c:pt>
                <c:pt idx="4">
                  <c:v>12.7</c:v>
                </c:pt>
              </c:numCache>
            </c:numRef>
          </c:val>
          <c:smooth val="0"/>
          <c:extLst>
            <c:ext xmlns:c16="http://schemas.microsoft.com/office/drawing/2014/chart" uri="{C3380CC4-5D6E-409C-BE32-E72D297353CC}">
              <c16:uniqueId val="{00000001-AFE3-4FC5-B1E8-400430BCB181}"/>
            </c:ext>
          </c:extLst>
        </c:ser>
        <c:ser>
          <c:idx val="2"/>
          <c:order val="2"/>
          <c:tx>
            <c:strRef>
              <c:f>Sheet1!$D$1</c:f>
              <c:strCache>
                <c:ptCount val="1"/>
                <c:pt idx="0">
                  <c:v>Ilgalaikio nedarbo lygis</c:v>
                </c:pt>
              </c:strCache>
            </c:strRef>
          </c:tx>
          <c:spPr>
            <a:ln w="25311">
              <a:solidFill>
                <a:srgbClr val="F06482"/>
              </a:solidFill>
              <a:prstDash val="solid"/>
            </a:ln>
          </c:spPr>
          <c:marker>
            <c:symbol val="triangle"/>
            <c:size val="6"/>
            <c:spPr>
              <a:solidFill>
                <a:srgbClr val="F06482"/>
              </a:solidFill>
              <a:ln>
                <a:solidFill>
                  <a:srgbClr val="FFFFFF"/>
                </a:solidFill>
                <a:prstDash val="solid"/>
              </a:ln>
            </c:spPr>
          </c:marker>
          <c:dLbls>
            <c:dLbl>
              <c:idx val="0"/>
              <c:layout>
                <c:manualLayout>
                  <c:x val="-2.8646429720413175E-2"/>
                  <c:y val="-8.5591659639830064E-2"/>
                </c:manualLayout>
              </c:layout>
              <c:numFmt formatCode="0.0" sourceLinked="0"/>
              <c:spPr>
                <a:noFill/>
                <a:ln w="25311">
                  <a:noFill/>
                </a:ln>
              </c:spPr>
              <c:txPr>
                <a:bodyPr/>
                <a:lstStyle/>
                <a:p>
                  <a:pPr>
                    <a:defRPr sz="922" b="0" i="0" u="none" strike="noStrike" baseline="0">
                      <a:solidFill>
                        <a:srgbClr val="000000"/>
                      </a:solidFill>
                      <a:latin typeface="Arial"/>
                      <a:ea typeface="Arial"/>
                      <a:cs typeface="Arial"/>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E3-4FC5-B1E8-400430BCB181}"/>
                </c:ext>
              </c:extLst>
            </c:dLbl>
            <c:dLbl>
              <c:idx val="1"/>
              <c:layout>
                <c:manualLayout>
                  <c:x val="-2.4742483858457925E-2"/>
                  <c:y val="-8.4311963832575221E-2"/>
                </c:manualLayout>
              </c:layout>
              <c:numFmt formatCode="0.0" sourceLinked="0"/>
              <c:spPr>
                <a:noFill/>
                <a:ln w="25311">
                  <a:noFill/>
                </a:ln>
              </c:spPr>
              <c:txPr>
                <a:bodyPr/>
                <a:lstStyle/>
                <a:p>
                  <a:pPr>
                    <a:defRPr sz="922" b="0" i="0" u="none" strike="noStrike" baseline="0">
                      <a:solidFill>
                        <a:srgbClr val="000000"/>
                      </a:solidFill>
                      <a:latin typeface="Arial"/>
                      <a:ea typeface="Arial"/>
                      <a:cs typeface="Arial"/>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E3-4FC5-B1E8-400430BCB181}"/>
                </c:ext>
              </c:extLst>
            </c:dLbl>
            <c:dLbl>
              <c:idx val="2"/>
              <c:layout>
                <c:manualLayout>
                  <c:x val="-2.8346200748800177E-2"/>
                  <c:y val="-8.8151941980103232E-2"/>
                </c:manualLayout>
              </c:layout>
              <c:numFmt formatCode="0.0" sourceLinked="0"/>
              <c:spPr>
                <a:noFill/>
                <a:ln w="25311">
                  <a:noFill/>
                </a:ln>
              </c:spPr>
              <c:txPr>
                <a:bodyPr/>
                <a:lstStyle/>
                <a:p>
                  <a:pPr>
                    <a:defRPr sz="922" b="0" i="0" u="none" strike="noStrike" baseline="0">
                      <a:solidFill>
                        <a:srgbClr val="000000"/>
                      </a:solidFill>
                      <a:latin typeface="Arial"/>
                      <a:ea typeface="Arial"/>
                      <a:cs typeface="Arial"/>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E3-4FC5-B1E8-400430BCB181}"/>
                </c:ext>
              </c:extLst>
            </c:dLbl>
            <c:dLbl>
              <c:idx val="3"/>
              <c:layout>
                <c:manualLayout>
                  <c:x val="-2.5943756388346451E-2"/>
                  <c:y val="-8.6871800809966704E-2"/>
                </c:manualLayout>
              </c:layout>
              <c:numFmt formatCode="0.0" sourceLinked="0"/>
              <c:spPr>
                <a:noFill/>
                <a:ln w="25311">
                  <a:noFill/>
                </a:ln>
              </c:spPr>
              <c:txPr>
                <a:bodyPr/>
                <a:lstStyle/>
                <a:p>
                  <a:pPr>
                    <a:defRPr sz="922" b="0" i="0" u="none" strike="noStrike" baseline="0">
                      <a:solidFill>
                        <a:srgbClr val="000000"/>
                      </a:solidFill>
                      <a:latin typeface="Arial"/>
                      <a:ea typeface="Arial"/>
                      <a:cs typeface="Arial"/>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E3-4FC5-B1E8-400430BCB181}"/>
                </c:ext>
              </c:extLst>
            </c:dLbl>
            <c:dLbl>
              <c:idx val="4"/>
              <c:layout>
                <c:manualLayout>
                  <c:x val="-2.6544315030895715E-2"/>
                  <c:y val="-9.2596386424547594E-2"/>
                </c:manualLayout>
              </c:layout>
              <c:numFmt formatCode="0.0" sourceLinked="0"/>
              <c:spPr>
                <a:noFill/>
                <a:ln w="25311">
                  <a:noFill/>
                </a:ln>
              </c:spPr>
              <c:txPr>
                <a:bodyPr/>
                <a:lstStyle/>
                <a:p>
                  <a:pPr>
                    <a:defRPr sz="922" b="0" i="0" u="none" strike="noStrike" baseline="0">
                      <a:solidFill>
                        <a:srgbClr val="000000"/>
                      </a:solidFill>
                      <a:latin typeface="Arial"/>
                      <a:ea typeface="Arial"/>
                      <a:cs typeface="Arial"/>
                    </a:defRPr>
                  </a:pPr>
                  <a:endParaRPr lang="lt-L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E3-4FC5-B1E8-400430BCB181}"/>
                </c:ext>
              </c:extLst>
            </c:dLbl>
            <c:numFmt formatCode="0.0" sourceLinked="0"/>
            <c:spPr>
              <a:noFill/>
              <a:ln w="25311">
                <a:noFill/>
              </a:ln>
            </c:spPr>
            <c:txPr>
              <a:bodyPr wrap="square" lIns="38100" tIns="19050" rIns="38100" bIns="19050" anchor="ctr">
                <a:spAutoFit/>
              </a:bodyPr>
              <a:lstStyle/>
              <a:p>
                <a:pPr>
                  <a:defRPr sz="922" b="0" i="0" u="none" strike="noStrike" baseline="0">
                    <a:solidFill>
                      <a:srgbClr val="000000"/>
                    </a:solidFill>
                    <a:latin typeface="Arial"/>
                    <a:ea typeface="Arial"/>
                    <a:cs typeface="Arial"/>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2021K1</c:v>
                </c:pt>
                <c:pt idx="1">
                  <c:v>2021K2</c:v>
                </c:pt>
                <c:pt idx="2">
                  <c:v>2021K3</c:v>
                </c:pt>
                <c:pt idx="3">
                  <c:v>2021K4</c:v>
                </c:pt>
                <c:pt idx="4">
                  <c:v>2022K1</c:v>
                </c:pt>
              </c:strCache>
            </c:strRef>
          </c:cat>
          <c:val>
            <c:numRef>
              <c:f>Sheet1!$D$2:$D$6</c:f>
              <c:numCache>
                <c:formatCode>General</c:formatCode>
                <c:ptCount val="5"/>
                <c:pt idx="0">
                  <c:v>2.6</c:v>
                </c:pt>
                <c:pt idx="1">
                  <c:v>2.7</c:v>
                </c:pt>
                <c:pt idx="2">
                  <c:v>2.4</c:v>
                </c:pt>
                <c:pt idx="3">
                  <c:v>3</c:v>
                </c:pt>
                <c:pt idx="4">
                  <c:v>2.6</c:v>
                </c:pt>
              </c:numCache>
            </c:numRef>
          </c:val>
          <c:smooth val="0"/>
          <c:extLst>
            <c:ext xmlns:c16="http://schemas.microsoft.com/office/drawing/2014/chart" uri="{C3380CC4-5D6E-409C-BE32-E72D297353CC}">
              <c16:uniqueId val="{00000007-AFE3-4FC5-B1E8-400430BCB181}"/>
            </c:ext>
          </c:extLst>
        </c:ser>
        <c:dLbls>
          <c:showLegendKey val="0"/>
          <c:showVal val="1"/>
          <c:showCatName val="0"/>
          <c:showSerName val="0"/>
          <c:showPercent val="0"/>
          <c:showBubbleSize val="0"/>
        </c:dLbls>
        <c:marker val="1"/>
        <c:smooth val="0"/>
        <c:axId val="93371600"/>
        <c:axId val="1"/>
      </c:lineChart>
      <c:catAx>
        <c:axId val="93371600"/>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64">
              <a:solidFill>
                <a:srgbClr val="C0C0C0"/>
              </a:solidFill>
              <a:prstDash val="lgDash"/>
            </a:ln>
          </c:spPr>
        </c:majorGridlines>
        <c:numFmt formatCode="General" sourceLinked="1"/>
        <c:majorTickMark val="out"/>
        <c:minorTickMark val="none"/>
        <c:tickLblPos val="nextTo"/>
        <c:spPr>
          <a:ln w="3164">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lt-LT"/>
          </a:p>
        </c:txPr>
        <c:crossAx val="93371600"/>
        <c:crosses val="autoZero"/>
        <c:crossBetween val="between"/>
      </c:valAx>
      <c:spPr>
        <a:noFill/>
        <a:ln w="25311">
          <a:noFill/>
        </a:ln>
      </c:spPr>
    </c:plotArea>
    <c:legend>
      <c:legendPos val="r"/>
      <c:layout>
        <c:manualLayout>
          <c:xMode val="edge"/>
          <c:yMode val="edge"/>
          <c:x val="0.69369369369369371"/>
          <c:y val="0.31555555555555553"/>
          <c:w val="0.3003003003003003"/>
          <c:h val="0.28888888888888886"/>
        </c:manualLayout>
      </c:layout>
      <c:overlay val="0"/>
      <c:spPr>
        <a:noFill/>
        <a:ln w="3164">
          <a:solidFill>
            <a:srgbClr val="000000"/>
          </a:solidFill>
          <a:prstDash val="solid"/>
        </a:ln>
      </c:spPr>
      <c:txPr>
        <a:bodyPr/>
        <a:lstStyle/>
        <a:p>
          <a:pPr>
            <a:defRPr sz="822"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897" b="0"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93984962406013E-2"/>
          <c:y val="5.3571428571428568E-2"/>
          <c:w val="0.84060150375939846"/>
          <c:h val="0.8169642857142857"/>
        </c:manualLayout>
      </c:layout>
      <c:lineChart>
        <c:grouping val="standard"/>
        <c:varyColors val="0"/>
        <c:ser>
          <c:idx val="0"/>
          <c:order val="0"/>
          <c:tx>
            <c:strRef>
              <c:f>Sheet1!$B$1</c:f>
              <c:strCache>
                <c:ptCount val="1"/>
                <c:pt idx="0">
                  <c:v>15–24</c:v>
                </c:pt>
              </c:strCache>
            </c:strRef>
          </c:tx>
          <c:spPr>
            <a:ln w="25322">
              <a:solidFill>
                <a:srgbClr val="4BBEAA"/>
              </a:solidFill>
              <a:prstDash val="solid"/>
            </a:ln>
          </c:spPr>
          <c:marker>
            <c:symbol val="diamond"/>
            <c:size val="6"/>
            <c:spPr>
              <a:solidFill>
                <a:srgbClr val="4BBEAA"/>
              </a:solidFill>
              <a:ln>
                <a:solidFill>
                  <a:srgbClr val="FFFFFF"/>
                </a:solidFill>
                <a:prstDash val="solid"/>
              </a:ln>
            </c:spPr>
          </c:marker>
          <c:dLbls>
            <c:numFmt formatCode="0.0" sourceLinked="0"/>
            <c:spPr>
              <a:noFill/>
              <a:ln w="25322">
                <a:noFill/>
              </a:ln>
            </c:spPr>
            <c:txPr>
              <a:bodyPr wrap="square" lIns="38100" tIns="19050" rIns="38100" bIns="19050" anchor="ctr">
                <a:spAutoFit/>
              </a:bodyPr>
              <a:lstStyle/>
              <a:p>
                <a:pPr>
                  <a:defRPr sz="897" b="0" i="0" u="none" strike="noStrike" baseline="0">
                    <a:solidFill>
                      <a:srgbClr val="000000"/>
                    </a:solidFill>
                    <a:latin typeface="Calibri"/>
                    <a:ea typeface="Calibri"/>
                    <a:cs typeface="Calibri"/>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2021K1</c:v>
                </c:pt>
                <c:pt idx="1">
                  <c:v>2021K2</c:v>
                </c:pt>
                <c:pt idx="2">
                  <c:v>2021K3</c:v>
                </c:pt>
                <c:pt idx="3">
                  <c:v>2021K4</c:v>
                </c:pt>
                <c:pt idx="4">
                  <c:v>2022K1</c:v>
                </c:pt>
              </c:strCache>
            </c:strRef>
          </c:cat>
          <c:val>
            <c:numRef>
              <c:f>Sheet1!$B$2:$B$6</c:f>
              <c:numCache>
                <c:formatCode>General</c:formatCode>
                <c:ptCount val="5"/>
                <c:pt idx="0">
                  <c:v>29.8</c:v>
                </c:pt>
                <c:pt idx="1">
                  <c:v>27.7</c:v>
                </c:pt>
                <c:pt idx="2">
                  <c:v>32.5</c:v>
                </c:pt>
                <c:pt idx="3">
                  <c:v>35.4</c:v>
                </c:pt>
                <c:pt idx="4">
                  <c:v>32.299999999999997</c:v>
                </c:pt>
              </c:numCache>
            </c:numRef>
          </c:val>
          <c:smooth val="0"/>
          <c:extLst>
            <c:ext xmlns:c16="http://schemas.microsoft.com/office/drawing/2014/chart" uri="{C3380CC4-5D6E-409C-BE32-E72D297353CC}">
              <c16:uniqueId val="{00000000-70B3-43C5-97DB-B07A87FCB20A}"/>
            </c:ext>
          </c:extLst>
        </c:ser>
        <c:ser>
          <c:idx val="1"/>
          <c:order val="1"/>
          <c:tx>
            <c:strRef>
              <c:f>Sheet1!$C$1</c:f>
              <c:strCache>
                <c:ptCount val="1"/>
                <c:pt idx="0">
                  <c:v>15–64</c:v>
                </c:pt>
              </c:strCache>
            </c:strRef>
          </c:tx>
          <c:spPr>
            <a:ln w="25322">
              <a:solidFill>
                <a:srgbClr val="F06482"/>
              </a:solidFill>
              <a:prstDash val="solid"/>
            </a:ln>
          </c:spPr>
          <c:marker>
            <c:symbol val="square"/>
            <c:size val="6"/>
            <c:spPr>
              <a:solidFill>
                <a:srgbClr val="F06482"/>
              </a:solidFill>
              <a:ln>
                <a:solidFill>
                  <a:srgbClr val="FFFFFF"/>
                </a:solidFill>
                <a:prstDash val="solid"/>
              </a:ln>
            </c:spPr>
          </c:marker>
          <c:dLbls>
            <c:numFmt formatCode="0.0" sourceLinked="0"/>
            <c:spPr>
              <a:noFill/>
              <a:ln w="25322">
                <a:noFill/>
              </a:ln>
            </c:spPr>
            <c:txPr>
              <a:bodyPr wrap="square" lIns="38100" tIns="19050" rIns="38100" bIns="19050" anchor="ctr">
                <a:spAutoFit/>
              </a:bodyPr>
              <a:lstStyle/>
              <a:p>
                <a:pPr>
                  <a:defRPr sz="897" b="0" i="0" u="none" strike="noStrike" baseline="0">
                    <a:solidFill>
                      <a:srgbClr val="000000"/>
                    </a:solidFill>
                    <a:latin typeface="Calibri"/>
                    <a:ea typeface="Calibri"/>
                    <a:cs typeface="Calibri"/>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2021K1</c:v>
                </c:pt>
                <c:pt idx="1">
                  <c:v>2021K2</c:v>
                </c:pt>
                <c:pt idx="2">
                  <c:v>2021K3</c:v>
                </c:pt>
                <c:pt idx="3">
                  <c:v>2021K4</c:v>
                </c:pt>
                <c:pt idx="4">
                  <c:v>2022K1</c:v>
                </c:pt>
              </c:strCache>
            </c:strRef>
          </c:cat>
          <c:val>
            <c:numRef>
              <c:f>Sheet1!$C$2:$C$6</c:f>
              <c:numCache>
                <c:formatCode>General</c:formatCode>
                <c:ptCount val="5"/>
                <c:pt idx="0">
                  <c:v>71.599999999999994</c:v>
                </c:pt>
                <c:pt idx="1">
                  <c:v>72.099999999999994</c:v>
                </c:pt>
                <c:pt idx="2">
                  <c:v>73.2</c:v>
                </c:pt>
                <c:pt idx="3">
                  <c:v>73.2</c:v>
                </c:pt>
                <c:pt idx="4">
                  <c:v>72.599999999999994</c:v>
                </c:pt>
              </c:numCache>
            </c:numRef>
          </c:val>
          <c:smooth val="0"/>
          <c:extLst>
            <c:ext xmlns:c16="http://schemas.microsoft.com/office/drawing/2014/chart" uri="{C3380CC4-5D6E-409C-BE32-E72D297353CC}">
              <c16:uniqueId val="{00000001-70B3-43C5-97DB-B07A87FCB20A}"/>
            </c:ext>
          </c:extLst>
        </c:ser>
        <c:ser>
          <c:idx val="2"/>
          <c:order val="2"/>
          <c:tx>
            <c:strRef>
              <c:f>Sheet1!$D$1</c:f>
              <c:strCache>
                <c:ptCount val="1"/>
                <c:pt idx="0">
                  <c:v>55–64</c:v>
                </c:pt>
              </c:strCache>
            </c:strRef>
          </c:tx>
          <c:spPr>
            <a:ln w="25322">
              <a:solidFill>
                <a:srgbClr val="28286E"/>
              </a:solidFill>
              <a:prstDash val="solid"/>
            </a:ln>
          </c:spPr>
          <c:marker>
            <c:symbol val="triangle"/>
            <c:size val="6"/>
            <c:spPr>
              <a:solidFill>
                <a:srgbClr val="28286E"/>
              </a:solidFill>
              <a:ln>
                <a:solidFill>
                  <a:srgbClr val="FFFFFF"/>
                </a:solidFill>
                <a:prstDash val="solid"/>
              </a:ln>
            </c:spPr>
          </c:marker>
          <c:dLbls>
            <c:numFmt formatCode="0.0" sourceLinked="0"/>
            <c:spPr>
              <a:noFill/>
              <a:ln w="25322">
                <a:noFill/>
              </a:ln>
            </c:spPr>
            <c:txPr>
              <a:bodyPr wrap="square" lIns="38100" tIns="19050" rIns="38100" bIns="19050" anchor="ctr">
                <a:spAutoFit/>
              </a:bodyPr>
              <a:lstStyle/>
              <a:p>
                <a:pPr>
                  <a:defRPr sz="897" b="0" i="0" u="none" strike="noStrike" baseline="0">
                    <a:solidFill>
                      <a:srgbClr val="000000"/>
                    </a:solidFill>
                    <a:latin typeface="Calibri"/>
                    <a:ea typeface="Calibri"/>
                    <a:cs typeface="Calibri"/>
                  </a:defRPr>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2021K1</c:v>
                </c:pt>
                <c:pt idx="1">
                  <c:v>2021K2</c:v>
                </c:pt>
                <c:pt idx="2">
                  <c:v>2021K3</c:v>
                </c:pt>
                <c:pt idx="3">
                  <c:v>2021K4</c:v>
                </c:pt>
                <c:pt idx="4">
                  <c:v>2022K1</c:v>
                </c:pt>
              </c:strCache>
            </c:strRef>
          </c:cat>
          <c:val>
            <c:numRef>
              <c:f>Sheet1!$D$2:$D$6</c:f>
              <c:numCache>
                <c:formatCode>General</c:formatCode>
                <c:ptCount val="5"/>
                <c:pt idx="0">
                  <c:v>66.400000000000006</c:v>
                </c:pt>
                <c:pt idx="1">
                  <c:v>69.3</c:v>
                </c:pt>
                <c:pt idx="2">
                  <c:v>68.900000000000006</c:v>
                </c:pt>
                <c:pt idx="3">
                  <c:v>67.3</c:v>
                </c:pt>
                <c:pt idx="4">
                  <c:v>66.8</c:v>
                </c:pt>
              </c:numCache>
            </c:numRef>
          </c:val>
          <c:smooth val="0"/>
          <c:extLst>
            <c:ext xmlns:c16="http://schemas.microsoft.com/office/drawing/2014/chart" uri="{C3380CC4-5D6E-409C-BE32-E72D297353CC}">
              <c16:uniqueId val="{00000002-70B3-43C5-97DB-B07A87FCB20A}"/>
            </c:ext>
          </c:extLst>
        </c:ser>
        <c:dLbls>
          <c:showLegendKey val="0"/>
          <c:showVal val="1"/>
          <c:showCatName val="0"/>
          <c:showSerName val="0"/>
          <c:showPercent val="0"/>
          <c:showBubbleSize val="0"/>
        </c:dLbls>
        <c:marker val="1"/>
        <c:smooth val="0"/>
        <c:axId val="93822792"/>
        <c:axId val="1"/>
      </c:lineChart>
      <c:catAx>
        <c:axId val="93822792"/>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897" b="0"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max val="90"/>
        </c:scaling>
        <c:delete val="0"/>
        <c:axPos val="l"/>
        <c:majorGridlines>
          <c:spPr>
            <a:ln w="3165">
              <a:solidFill>
                <a:srgbClr val="C0C0C0"/>
              </a:solidFill>
              <a:prstDash val="lgDash"/>
            </a:ln>
          </c:spPr>
        </c:majorGridlines>
        <c:numFmt formatCode="General" sourceLinked="1"/>
        <c:majorTickMark val="out"/>
        <c:minorTickMark val="none"/>
        <c:tickLblPos val="nextTo"/>
        <c:spPr>
          <a:ln w="3165">
            <a:solidFill>
              <a:srgbClr val="000000"/>
            </a:solidFill>
            <a:prstDash val="solid"/>
          </a:ln>
        </c:spPr>
        <c:txPr>
          <a:bodyPr rot="0" vert="horz"/>
          <a:lstStyle/>
          <a:p>
            <a:pPr>
              <a:defRPr sz="897" b="0" i="0" u="none" strike="noStrike" baseline="0">
                <a:solidFill>
                  <a:srgbClr val="000000"/>
                </a:solidFill>
                <a:latin typeface="Calibri"/>
                <a:ea typeface="Calibri"/>
                <a:cs typeface="Calibri"/>
              </a:defRPr>
            </a:pPr>
            <a:endParaRPr lang="lt-LT"/>
          </a:p>
        </c:txPr>
        <c:crossAx val="93822792"/>
        <c:crosses val="autoZero"/>
        <c:crossBetween val="between"/>
      </c:valAx>
      <c:spPr>
        <a:noFill/>
        <a:ln w="25322">
          <a:noFill/>
        </a:ln>
      </c:spPr>
    </c:plotArea>
    <c:legend>
      <c:legendPos val="r"/>
      <c:layout>
        <c:manualLayout>
          <c:xMode val="edge"/>
          <c:yMode val="edge"/>
          <c:x val="0.88872180451127825"/>
          <c:y val="0.33035714285714285"/>
          <c:w val="0.10676691729323308"/>
          <c:h val="0.3392857142857143"/>
        </c:manualLayout>
      </c:layout>
      <c:overlay val="0"/>
      <c:spPr>
        <a:noFill/>
        <a:ln w="3165">
          <a:solidFill>
            <a:srgbClr val="000000"/>
          </a:solidFill>
          <a:prstDash val="solid"/>
        </a:ln>
      </c:spPr>
      <c:txPr>
        <a:bodyPr/>
        <a:lstStyle/>
        <a:p>
          <a:pPr>
            <a:defRPr sz="822" b="0"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97" b="0"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02DC-5644-4493-BF91-E5BA159D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Pr_spaudai_lt.dot</Template>
  <TotalTime>0</TotalTime>
  <Pages>1</Pages>
  <Words>4533</Words>
  <Characters>2585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Pranešimas spaudai</vt:lpstr>
      <vt:lpstr>Pranešimas spaudai</vt:lpstr>
    </vt:vector>
  </TitlesOfParts>
  <Company>std</Company>
  <LinksUpToDate>false</LinksUpToDate>
  <CharactersWithSpaces>7104</CharactersWithSpaces>
  <SharedDoc>false</SharedDoc>
  <HLinks>
    <vt:vector size="18" baseType="variant">
      <vt:variant>
        <vt:i4>3145807</vt:i4>
      </vt:variant>
      <vt:variant>
        <vt:i4>6</vt:i4>
      </vt:variant>
      <vt:variant>
        <vt:i4>0</vt:i4>
      </vt:variant>
      <vt:variant>
        <vt:i4>5</vt:i4>
      </vt:variant>
      <vt:variant>
        <vt:lpwstr>https://osp.stat.gov.lt/web/guest/statistiniu-rodikliu-analize</vt:lpwstr>
      </vt:variant>
      <vt:variant>
        <vt:lpwstr>/</vt:lpwstr>
      </vt:variant>
      <vt:variant>
        <vt:i4>7798810</vt:i4>
      </vt:variant>
      <vt:variant>
        <vt:i4>3</vt:i4>
      </vt:variant>
      <vt:variant>
        <vt:i4>0</vt:i4>
      </vt:variant>
      <vt:variant>
        <vt:i4>5</vt:i4>
      </vt:variant>
      <vt:variant>
        <vt:lpwstr>https://osp.stat.gov.lt/statistiniu-rodikliu-analize?hash=45bd559a-4bce-49ef-8923-a2d617743163</vt:lpwstr>
      </vt:variant>
      <vt:variant>
        <vt:lpwstr>/</vt:lpwstr>
      </vt:variant>
      <vt:variant>
        <vt:i4>7602253</vt:i4>
      </vt:variant>
      <vt:variant>
        <vt:i4>0</vt:i4>
      </vt:variant>
      <vt:variant>
        <vt:i4>0</vt:i4>
      </vt:variant>
      <vt:variant>
        <vt:i4>5</vt:i4>
      </vt:variant>
      <vt:variant>
        <vt:lpwstr>https://osp.stat.gov.lt/statistiniu-rodikliu-analize?hash=51db13f7-dcff-4bf4-b775-c032763567fa</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Pranešimas spaudai</dc:title>
  <dc:creator>std</dc:creator>
  <cp:lastModifiedBy>Rūta Bitinaitė</cp:lastModifiedBy>
  <cp:revision>2</cp:revision>
  <cp:lastPrinted>2019-05-09T09:54:00Z</cp:lastPrinted>
  <dcterms:created xsi:type="dcterms:W3CDTF">2022-05-04T12:12:00Z</dcterms:created>
  <dcterms:modified xsi:type="dcterms:W3CDTF">2022-05-04T12:12:00Z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vt:lpwstr>Nedarbas 2010 II k.</vt:lpwstr>
  </property>
</Properties>
</file>