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D3" w:rsidRPr="00D6560E" w:rsidRDefault="00BC51D3" w:rsidP="007F5CC6">
      <w:pPr>
        <w:pStyle w:val="Nrdata"/>
        <w:spacing w:before="120"/>
        <w:rPr>
          <w:lang w:val="lt-LT"/>
        </w:rPr>
      </w:pPr>
      <w:r w:rsidRPr="00D6560E">
        <w:rPr>
          <w:lang w:val="lt-LT"/>
        </w:rPr>
        <w:t>20</w:t>
      </w:r>
      <w:r w:rsidR="00943185">
        <w:rPr>
          <w:lang w:val="lt-LT"/>
        </w:rPr>
        <w:t>2</w:t>
      </w:r>
      <w:r w:rsidR="00200A1C">
        <w:rPr>
          <w:lang w:val="lt-LT"/>
        </w:rPr>
        <w:t>2</w:t>
      </w:r>
      <w:r w:rsidRPr="00D6560E">
        <w:rPr>
          <w:lang w:val="lt-LT"/>
        </w:rPr>
        <w:t xml:space="preserve"> m. </w:t>
      </w:r>
      <w:r w:rsidR="00050C45">
        <w:rPr>
          <w:lang w:val="lt-LT"/>
        </w:rPr>
        <w:t>balandži</w:t>
      </w:r>
      <w:r w:rsidR="00DE7A28">
        <w:rPr>
          <w:lang w:val="lt-LT"/>
        </w:rPr>
        <w:t>o</w:t>
      </w:r>
      <w:r w:rsidR="00A006A6">
        <w:rPr>
          <w:lang w:val="lt-LT"/>
        </w:rPr>
        <w:t xml:space="preserve"> </w:t>
      </w:r>
      <w:r w:rsidR="00071F8A">
        <w:rPr>
          <w:lang w:val="lt-LT"/>
        </w:rPr>
        <w:t>8</w:t>
      </w:r>
      <w:r w:rsidRPr="00D6560E">
        <w:rPr>
          <w:lang w:val="lt-LT"/>
        </w:rPr>
        <w:t xml:space="preserve"> d., Vilnius</w:t>
      </w:r>
    </w:p>
    <w:p w:rsidR="004E0041" w:rsidRPr="00D6560E" w:rsidRDefault="004E0041" w:rsidP="004E0041">
      <w:pPr>
        <w:rPr>
          <w:lang w:val="lt-LT"/>
        </w:rPr>
      </w:pPr>
    </w:p>
    <w:p w:rsidR="004E0041" w:rsidRDefault="004E0041" w:rsidP="004E0041">
      <w:pPr>
        <w:rPr>
          <w:lang w:val="lt-LT"/>
        </w:rPr>
      </w:pPr>
    </w:p>
    <w:p w:rsidR="0075756C" w:rsidRPr="00D6560E" w:rsidRDefault="0075756C" w:rsidP="004E0041">
      <w:pPr>
        <w:rPr>
          <w:lang w:val="lt-LT"/>
        </w:rPr>
      </w:pPr>
    </w:p>
    <w:p w:rsidR="00D92FDF" w:rsidRPr="00D6560E" w:rsidRDefault="00D92FDF" w:rsidP="00192889">
      <w:pPr>
        <w:pStyle w:val="Antraste"/>
        <w:jc w:val="left"/>
        <w:rPr>
          <w:lang w:val="lt-LT"/>
        </w:rPr>
      </w:pPr>
      <w:r w:rsidRPr="00D6560E">
        <w:rPr>
          <w:lang w:val="lt-LT"/>
        </w:rPr>
        <w:t>VARTOJIMO PREKIŲ IR PASLAUGŲ KAINŲ POKYČIAI</w:t>
      </w:r>
    </w:p>
    <w:p w:rsidR="00F97C54" w:rsidRDefault="00F97C54" w:rsidP="00F251C2">
      <w:pPr>
        <w:pStyle w:val="Header"/>
        <w:tabs>
          <w:tab w:val="clear" w:pos="4153"/>
          <w:tab w:val="clear" w:pos="8306"/>
        </w:tabs>
        <w:rPr>
          <w:lang w:val="lt-LT"/>
        </w:rPr>
      </w:pPr>
    </w:p>
    <w:p w:rsidR="000316C1" w:rsidRDefault="000316C1" w:rsidP="00F251C2">
      <w:pPr>
        <w:pStyle w:val="Header"/>
        <w:tabs>
          <w:tab w:val="clear" w:pos="4153"/>
          <w:tab w:val="clear" w:pos="8306"/>
        </w:tabs>
        <w:rPr>
          <w:lang w:val="lt-LT"/>
        </w:rPr>
      </w:pPr>
    </w:p>
    <w:p w:rsidR="00A17966" w:rsidRDefault="00933262" w:rsidP="00E2132F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A17966">
        <w:rPr>
          <w:b/>
          <w:lang w:val="lt-LT"/>
        </w:rPr>
        <w:t>202</w:t>
      </w:r>
      <w:r w:rsidR="00481DEC">
        <w:rPr>
          <w:b/>
          <w:lang w:val="lt-LT"/>
        </w:rPr>
        <w:t>2</w:t>
      </w:r>
      <w:r w:rsidRPr="00A17966">
        <w:rPr>
          <w:b/>
          <w:lang w:val="lt-LT"/>
        </w:rPr>
        <w:t xml:space="preserve"> </w:t>
      </w:r>
      <w:r w:rsidR="00B05E40" w:rsidRPr="00A17966">
        <w:rPr>
          <w:b/>
          <w:lang w:val="lt-LT"/>
        </w:rPr>
        <w:t xml:space="preserve">m. </w:t>
      </w:r>
      <w:r w:rsidR="00050C45">
        <w:rPr>
          <w:b/>
          <w:lang w:val="lt-LT"/>
        </w:rPr>
        <w:t>kovą</w:t>
      </w:r>
      <w:r w:rsidRPr="00A17966">
        <w:rPr>
          <w:b/>
          <w:lang w:val="lt-LT"/>
        </w:rPr>
        <w:t xml:space="preserve">, palyginti su </w:t>
      </w:r>
      <w:r w:rsidR="00050C45">
        <w:rPr>
          <w:b/>
          <w:lang w:val="lt-LT"/>
        </w:rPr>
        <w:t>vasariu</w:t>
      </w:r>
      <w:r w:rsidRPr="00A17966">
        <w:rPr>
          <w:b/>
          <w:lang w:val="lt-LT"/>
        </w:rPr>
        <w:t>, vartojimo prekių ir paslaugų kain</w:t>
      </w:r>
      <w:r w:rsidR="00A17966" w:rsidRPr="00A17966">
        <w:rPr>
          <w:b/>
          <w:lang w:val="lt-LT"/>
        </w:rPr>
        <w:t xml:space="preserve">os padidėjo </w:t>
      </w:r>
      <w:r w:rsidR="00050C45">
        <w:rPr>
          <w:b/>
          <w:lang w:val="lt-LT"/>
        </w:rPr>
        <w:t>2</w:t>
      </w:r>
      <w:r w:rsidR="00200A1C">
        <w:rPr>
          <w:b/>
          <w:lang w:val="lt-LT"/>
        </w:rPr>
        <w:t>,</w:t>
      </w:r>
      <w:r w:rsidR="00050C45">
        <w:rPr>
          <w:b/>
          <w:lang w:val="lt-LT"/>
        </w:rPr>
        <w:t>4</w:t>
      </w:r>
      <w:r w:rsidR="006A383F">
        <w:rPr>
          <w:b/>
          <w:lang w:val="lt-LT"/>
        </w:rPr>
        <w:t> </w:t>
      </w:r>
      <w:r w:rsidR="00A17966" w:rsidRPr="00A17966">
        <w:rPr>
          <w:b/>
          <w:lang w:val="lt-LT"/>
        </w:rPr>
        <w:t>proc.</w:t>
      </w:r>
      <w:r w:rsidR="00ED2FED" w:rsidRPr="00A17966">
        <w:rPr>
          <w:b/>
          <w:lang w:val="lt-LT"/>
        </w:rPr>
        <w:t xml:space="preserve"> </w:t>
      </w:r>
      <w:r w:rsidRPr="006C572B">
        <w:rPr>
          <w:lang w:val="lt-LT"/>
        </w:rPr>
        <w:t>Daugiausia tam įtakos turėjo</w:t>
      </w:r>
      <w:r w:rsidRPr="00A17966">
        <w:rPr>
          <w:lang w:val="lt-LT"/>
        </w:rPr>
        <w:t xml:space="preserve"> </w:t>
      </w:r>
      <w:r w:rsidR="0072308C">
        <w:rPr>
          <w:lang w:val="lt-LT"/>
        </w:rPr>
        <w:t xml:space="preserve">degalų ir tepalų, drabužių, duonos ir grūdų produktų, </w:t>
      </w:r>
      <w:r w:rsidR="00D76FD0">
        <w:rPr>
          <w:lang w:val="lt-LT"/>
        </w:rPr>
        <w:t>pieno ir jo produktų, sūrio,</w:t>
      </w:r>
      <w:r w:rsidR="00B66BED">
        <w:rPr>
          <w:lang w:val="lt-LT"/>
        </w:rPr>
        <w:t xml:space="preserve"> kiaušinių,</w:t>
      </w:r>
      <w:r w:rsidR="00D76FD0">
        <w:rPr>
          <w:lang w:val="lt-LT"/>
        </w:rPr>
        <w:t xml:space="preserve"> </w:t>
      </w:r>
      <w:r w:rsidR="0072308C">
        <w:rPr>
          <w:lang w:val="lt-LT"/>
        </w:rPr>
        <w:t>avalynės, mėsos ir jo</w:t>
      </w:r>
      <w:r w:rsidR="00581DEE">
        <w:rPr>
          <w:lang w:val="lt-LT"/>
        </w:rPr>
        <w:t>s</w:t>
      </w:r>
      <w:r w:rsidR="0072308C">
        <w:rPr>
          <w:lang w:val="lt-LT"/>
        </w:rPr>
        <w:t xml:space="preserve"> produktų</w:t>
      </w:r>
      <w:r w:rsidR="00A61893">
        <w:rPr>
          <w:lang w:val="lt-LT"/>
        </w:rPr>
        <w:t xml:space="preserve">, </w:t>
      </w:r>
      <w:r w:rsidR="0072308C">
        <w:rPr>
          <w:lang w:val="lt-LT"/>
        </w:rPr>
        <w:t>aliejaus ir riebalų</w:t>
      </w:r>
      <w:r w:rsidR="00B66BED">
        <w:rPr>
          <w:lang w:val="lt-LT"/>
        </w:rPr>
        <w:t xml:space="preserve"> </w:t>
      </w:r>
      <w:r w:rsidR="006178F1" w:rsidRPr="005203E8">
        <w:rPr>
          <w:lang w:val="lt-LT"/>
        </w:rPr>
        <w:t xml:space="preserve">kainų </w:t>
      </w:r>
      <w:r w:rsidR="00A17966" w:rsidRPr="005203E8">
        <w:rPr>
          <w:lang w:val="lt-LT"/>
        </w:rPr>
        <w:t>padid</w:t>
      </w:r>
      <w:r w:rsidR="001D3FF7" w:rsidRPr="005203E8">
        <w:rPr>
          <w:lang w:val="lt-LT"/>
        </w:rPr>
        <w:t>ėjimas</w:t>
      </w:r>
      <w:r w:rsidR="00AA2955">
        <w:rPr>
          <w:lang w:val="lt-LT"/>
        </w:rPr>
        <w:t>.</w:t>
      </w:r>
      <w:r w:rsidR="003E226E" w:rsidRPr="003E226E">
        <w:rPr>
          <w:lang w:val="lt-LT"/>
        </w:rPr>
        <w:t xml:space="preserve"> </w:t>
      </w:r>
    </w:p>
    <w:p w:rsidR="00933262" w:rsidRPr="00A17966" w:rsidRDefault="00933262" w:rsidP="00E2132F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A17966">
        <w:rPr>
          <w:lang w:val="lt-LT"/>
        </w:rPr>
        <w:t xml:space="preserve">Vartojimo prekių kainos per mėnesį </w:t>
      </w:r>
      <w:r w:rsidR="00A17966">
        <w:rPr>
          <w:lang w:val="lt-LT"/>
        </w:rPr>
        <w:t>padidė</w:t>
      </w:r>
      <w:r w:rsidR="00DE2CBB" w:rsidRPr="00A17966">
        <w:rPr>
          <w:lang w:val="lt-LT"/>
        </w:rPr>
        <w:t>jo</w:t>
      </w:r>
      <w:r w:rsidR="00EA1F55" w:rsidRPr="00A17966">
        <w:rPr>
          <w:lang w:val="lt-LT"/>
        </w:rPr>
        <w:t xml:space="preserve"> </w:t>
      </w:r>
      <w:r w:rsidR="002D147D">
        <w:rPr>
          <w:lang w:val="lt-LT"/>
        </w:rPr>
        <w:t>3</w:t>
      </w:r>
      <w:r w:rsidR="00556CE2">
        <w:rPr>
          <w:lang w:val="lt-LT"/>
        </w:rPr>
        <w:t> </w:t>
      </w:r>
      <w:r w:rsidR="000453EE" w:rsidRPr="00A17966">
        <w:rPr>
          <w:lang w:val="lt-LT"/>
        </w:rPr>
        <w:t>proc.</w:t>
      </w:r>
      <w:r w:rsidRPr="00A17966">
        <w:rPr>
          <w:lang w:val="lt-LT"/>
        </w:rPr>
        <w:t xml:space="preserve">, paslaugų – </w:t>
      </w:r>
      <w:r w:rsidR="002D147D">
        <w:rPr>
          <w:lang w:val="lt-LT"/>
        </w:rPr>
        <w:t>0</w:t>
      </w:r>
      <w:r w:rsidR="00780169">
        <w:rPr>
          <w:lang w:val="lt-LT"/>
        </w:rPr>
        <w:t>,</w:t>
      </w:r>
      <w:r w:rsidR="002D147D">
        <w:rPr>
          <w:lang w:val="lt-LT"/>
        </w:rPr>
        <w:t>8</w:t>
      </w:r>
      <w:r w:rsidR="00556CE2">
        <w:rPr>
          <w:lang w:val="lt-LT"/>
        </w:rPr>
        <w:t> </w:t>
      </w:r>
      <w:r w:rsidRPr="00A17966">
        <w:rPr>
          <w:lang w:val="lt-LT"/>
        </w:rPr>
        <w:t>proc.</w:t>
      </w:r>
      <w:r w:rsidR="00C27EE7">
        <w:rPr>
          <w:lang w:val="lt-LT"/>
        </w:rPr>
        <w:t xml:space="preserve"> </w:t>
      </w:r>
    </w:p>
    <w:p w:rsidR="000453D3" w:rsidRPr="00E378A9" w:rsidRDefault="00C02F32" w:rsidP="00C6740B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B4050B">
        <w:rPr>
          <w:lang w:val="lt-LT"/>
        </w:rPr>
        <w:t xml:space="preserve">Valstybės ir </w:t>
      </w:r>
      <w:r w:rsidRPr="003C70C0">
        <w:rPr>
          <w:lang w:val="lt-LT"/>
        </w:rPr>
        <w:t>sa</w:t>
      </w:r>
      <w:r w:rsidRPr="009C1845">
        <w:rPr>
          <w:lang w:val="lt-LT"/>
        </w:rPr>
        <w:t>vivaldybių</w:t>
      </w:r>
      <w:r w:rsidRPr="003C70C0">
        <w:rPr>
          <w:lang w:val="lt-LT"/>
        </w:rPr>
        <w:t xml:space="preserve"> institucijų</w:t>
      </w:r>
      <w:r w:rsidRPr="00B4050B">
        <w:rPr>
          <w:lang w:val="lt-LT"/>
        </w:rPr>
        <w:t xml:space="preserve"> </w:t>
      </w:r>
      <w:r w:rsidR="006D6A67" w:rsidRPr="00B4050B">
        <w:rPr>
          <w:lang w:val="lt-LT"/>
        </w:rPr>
        <w:t>administruojamos</w:t>
      </w:r>
      <w:r w:rsidR="007568CE">
        <w:rPr>
          <w:lang w:val="lt-LT"/>
        </w:rPr>
        <w:t xml:space="preserve"> vartojimo </w:t>
      </w:r>
      <w:r w:rsidRPr="00B4050B">
        <w:rPr>
          <w:lang w:val="lt-LT"/>
        </w:rPr>
        <w:t>prekių ir paslaugų</w:t>
      </w:r>
      <w:r w:rsidR="009C1845">
        <w:rPr>
          <w:lang w:val="lt-LT"/>
        </w:rPr>
        <w:t xml:space="preserve"> kainos </w:t>
      </w:r>
      <w:r w:rsidR="002D147D">
        <w:rPr>
          <w:lang w:val="lt-LT"/>
        </w:rPr>
        <w:t>beveik nepasikeitė</w:t>
      </w:r>
      <w:r w:rsidR="007F1050">
        <w:rPr>
          <w:lang w:val="lt-LT"/>
        </w:rPr>
        <w:t>,</w:t>
      </w:r>
      <w:r w:rsidR="00E10E3B">
        <w:rPr>
          <w:lang w:val="lt-LT"/>
        </w:rPr>
        <w:t xml:space="preserve"> rinkos </w:t>
      </w:r>
      <w:r w:rsidR="00581DEE">
        <w:rPr>
          <w:lang w:val="lt-LT"/>
        </w:rPr>
        <w:t xml:space="preserve">kainos </w:t>
      </w:r>
      <w:r w:rsidR="002D147D">
        <w:rPr>
          <w:lang w:val="lt-LT"/>
        </w:rPr>
        <w:t>padidėjo</w:t>
      </w:r>
      <w:r w:rsidR="004E62BD">
        <w:rPr>
          <w:lang w:val="lt-LT"/>
        </w:rPr>
        <w:t xml:space="preserve"> </w:t>
      </w:r>
      <w:r w:rsidR="002D147D">
        <w:rPr>
          <w:lang w:val="lt-LT"/>
        </w:rPr>
        <w:t>2</w:t>
      </w:r>
      <w:r w:rsidR="00DC76FE">
        <w:rPr>
          <w:lang w:val="lt-LT"/>
        </w:rPr>
        <w:t>,</w:t>
      </w:r>
      <w:r w:rsidR="00B66BED">
        <w:rPr>
          <w:lang w:val="lt-LT"/>
        </w:rPr>
        <w:t>7</w:t>
      </w:r>
      <w:r w:rsidR="00556CE2">
        <w:rPr>
          <w:lang w:val="lt-LT"/>
        </w:rPr>
        <w:t> </w:t>
      </w:r>
      <w:r w:rsidR="00ED6C77">
        <w:rPr>
          <w:lang w:val="lt-LT"/>
        </w:rPr>
        <w:t>proc.</w:t>
      </w:r>
    </w:p>
    <w:p w:rsidR="00C6740B" w:rsidRDefault="00C6740B" w:rsidP="00C6740B">
      <w:pPr>
        <w:pStyle w:val="BodyText"/>
        <w:ind w:left="709"/>
        <w:jc w:val="both"/>
        <w:rPr>
          <w:b/>
          <w:lang w:val="lt-LT"/>
        </w:rPr>
      </w:pPr>
    </w:p>
    <w:p w:rsidR="00266C98" w:rsidRPr="00D6560E" w:rsidRDefault="00266C98" w:rsidP="00266C98">
      <w:pPr>
        <w:outlineLvl w:val="1"/>
        <w:rPr>
          <w:b/>
          <w:lang w:val="lt-LT"/>
        </w:rPr>
      </w:pPr>
      <w:r w:rsidRPr="00D6560E">
        <w:rPr>
          <w:b/>
          <w:lang w:val="lt-LT"/>
        </w:rPr>
        <w:t>1 pav. Vartojimo</w:t>
      </w:r>
      <w:r w:rsidR="00C850CD">
        <w:rPr>
          <w:b/>
          <w:lang w:val="lt-LT"/>
        </w:rPr>
        <w:t xml:space="preserve"> </w:t>
      </w:r>
      <w:r w:rsidRPr="00D6560E">
        <w:rPr>
          <w:b/>
          <w:lang w:val="lt-LT"/>
        </w:rPr>
        <w:t>prekių ir paslaugų kainų pokyčiai per mėnesį</w:t>
      </w:r>
    </w:p>
    <w:p w:rsidR="00266C98" w:rsidRPr="00D6560E" w:rsidRDefault="00266C98" w:rsidP="00266C98">
      <w:pPr>
        <w:jc w:val="both"/>
        <w:rPr>
          <w:lang w:val="lt-LT"/>
        </w:rPr>
      </w:pPr>
      <w:r w:rsidRPr="00D6560E">
        <w:rPr>
          <w:lang w:val="lt-LT"/>
        </w:rPr>
        <w:t>Palyginti su ankstesniu mėnesiu</w:t>
      </w:r>
    </w:p>
    <w:p w:rsidR="00F6438F" w:rsidRPr="00D6560E" w:rsidRDefault="00F6438F" w:rsidP="00266C98">
      <w:pPr>
        <w:rPr>
          <w:lang w:val="lt-LT"/>
        </w:rPr>
      </w:pPr>
    </w:p>
    <w:p w:rsidR="00266C98" w:rsidRPr="00D6560E" w:rsidRDefault="0027283F" w:rsidP="00266C98">
      <w:pPr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477C8E88" wp14:editId="0EC4CEDA">
            <wp:extent cx="6120000" cy="252000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417FD" w:rsidRDefault="000417FD" w:rsidP="00D44F26">
      <w:pPr>
        <w:rPr>
          <w:lang w:val="lt-LT"/>
        </w:rPr>
      </w:pPr>
    </w:p>
    <w:p w:rsidR="00CA2307" w:rsidRPr="00E81E75" w:rsidRDefault="00CA2307" w:rsidP="007B2F27">
      <w:pPr>
        <w:pStyle w:val="BodyText"/>
        <w:jc w:val="both"/>
        <w:rPr>
          <w:highlight w:val="yellow"/>
          <w:lang w:val="lt-LT"/>
        </w:rPr>
      </w:pPr>
    </w:p>
    <w:p w:rsidR="003172B9" w:rsidRDefault="005E51C7" w:rsidP="00085443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7B2F27">
        <w:rPr>
          <w:lang w:val="lt-LT"/>
        </w:rPr>
        <w:t xml:space="preserve">2022 m. </w:t>
      </w:r>
      <w:r>
        <w:rPr>
          <w:lang w:val="lt-LT"/>
        </w:rPr>
        <w:t>kovą</w:t>
      </w:r>
      <w:r w:rsidRPr="007B2F27">
        <w:rPr>
          <w:lang w:val="lt-LT"/>
        </w:rPr>
        <w:t xml:space="preserve">, palyginti su </w:t>
      </w:r>
      <w:r w:rsidRPr="005E51C7">
        <w:rPr>
          <w:lang w:val="lt-LT"/>
        </w:rPr>
        <w:t xml:space="preserve">vasariu, </w:t>
      </w:r>
      <w:r>
        <w:rPr>
          <w:lang w:val="lt-LT"/>
        </w:rPr>
        <w:t>t</w:t>
      </w:r>
      <w:r w:rsidR="00782F85" w:rsidRPr="005E51C7">
        <w:rPr>
          <w:lang w:val="lt-LT"/>
        </w:rPr>
        <w:t>ransporto</w:t>
      </w:r>
      <w:r w:rsidR="00782F85" w:rsidRPr="00782F85">
        <w:rPr>
          <w:lang w:val="lt-LT"/>
        </w:rPr>
        <w:t xml:space="preserve"> prekių ir paslaugų kainos padidėjo </w:t>
      </w:r>
      <w:r>
        <w:rPr>
          <w:lang w:val="lt-LT"/>
        </w:rPr>
        <w:t>7,5</w:t>
      </w:r>
      <w:r w:rsidR="00782F85" w:rsidRPr="00782F85">
        <w:rPr>
          <w:lang w:val="lt-LT"/>
        </w:rPr>
        <w:t xml:space="preserve"> proc. Pokytį lėmė </w:t>
      </w:r>
      <w:r>
        <w:rPr>
          <w:lang w:val="lt-LT"/>
        </w:rPr>
        <w:t xml:space="preserve">dyzelinių </w:t>
      </w:r>
      <w:r w:rsidRPr="00782F85">
        <w:rPr>
          <w:lang w:val="lt-LT"/>
        </w:rPr>
        <w:t>degalų (</w:t>
      </w:r>
      <w:r>
        <w:rPr>
          <w:lang w:val="lt-LT"/>
        </w:rPr>
        <w:t>22,5</w:t>
      </w:r>
      <w:r w:rsidRPr="00782F85">
        <w:rPr>
          <w:lang w:val="lt-LT"/>
        </w:rPr>
        <w:t xml:space="preserve"> proc.)</w:t>
      </w:r>
      <w:r>
        <w:rPr>
          <w:lang w:val="lt-LT"/>
        </w:rPr>
        <w:t>, benzino (14,1 proc.), suskystintų automobilinių dujų (</w:t>
      </w:r>
      <w:r w:rsidR="003515AA">
        <w:rPr>
          <w:lang w:val="lt-LT"/>
        </w:rPr>
        <w:t>2,2</w:t>
      </w:r>
      <w:r>
        <w:rPr>
          <w:lang w:val="lt-LT"/>
        </w:rPr>
        <w:t xml:space="preserve"> proc.), </w:t>
      </w:r>
      <w:r w:rsidR="00D1455E">
        <w:rPr>
          <w:lang w:val="lt-LT"/>
        </w:rPr>
        <w:t>asmeninių transporto priemonių techninė</w:t>
      </w:r>
      <w:r w:rsidR="004C0BDF">
        <w:rPr>
          <w:lang w:val="lt-LT"/>
        </w:rPr>
        <w:t>s</w:t>
      </w:r>
      <w:r w:rsidR="00D1455E">
        <w:rPr>
          <w:lang w:val="lt-LT"/>
        </w:rPr>
        <w:t xml:space="preserve"> priežiūr</w:t>
      </w:r>
      <w:r w:rsidR="004C0BDF">
        <w:rPr>
          <w:lang w:val="lt-LT"/>
        </w:rPr>
        <w:t>os</w:t>
      </w:r>
      <w:r w:rsidR="00D1455E">
        <w:rPr>
          <w:lang w:val="lt-LT"/>
        </w:rPr>
        <w:t xml:space="preserve"> ir remont</w:t>
      </w:r>
      <w:r w:rsidR="004C0BDF">
        <w:rPr>
          <w:lang w:val="lt-LT"/>
        </w:rPr>
        <w:t>o</w:t>
      </w:r>
      <w:r w:rsidR="00D1455E">
        <w:rPr>
          <w:lang w:val="lt-LT"/>
        </w:rPr>
        <w:t xml:space="preserve"> (1 proc.)</w:t>
      </w:r>
      <w:r w:rsidR="00782F85" w:rsidRPr="00782F85">
        <w:rPr>
          <w:lang w:val="lt-LT"/>
        </w:rPr>
        <w:t xml:space="preserve"> kainų padidėjimas</w:t>
      </w:r>
      <w:r>
        <w:rPr>
          <w:lang w:val="lt-LT"/>
        </w:rPr>
        <w:t>.</w:t>
      </w:r>
    </w:p>
    <w:p w:rsidR="000617E8" w:rsidRPr="00782F85" w:rsidRDefault="005E51C7" w:rsidP="00085443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5E51C7">
        <w:rPr>
          <w:lang w:val="lt-LT"/>
        </w:rPr>
        <w:t>M</w:t>
      </w:r>
      <w:r w:rsidR="000617E8" w:rsidRPr="005E51C7">
        <w:rPr>
          <w:lang w:val="lt-LT"/>
        </w:rPr>
        <w:t>aisto produktų ir nealkoholinių gėrimų kainos padidėjo 2,</w:t>
      </w:r>
      <w:r w:rsidRPr="005E51C7">
        <w:rPr>
          <w:lang w:val="lt-LT"/>
        </w:rPr>
        <w:t>5</w:t>
      </w:r>
      <w:r w:rsidR="000617E8" w:rsidRPr="005E51C7">
        <w:rPr>
          <w:lang w:val="lt-LT"/>
        </w:rPr>
        <w:t> proc. Labiausiai kito</w:t>
      </w:r>
      <w:r w:rsidR="000617E8" w:rsidRPr="00465E13">
        <w:rPr>
          <w:lang w:val="lt-LT"/>
        </w:rPr>
        <w:t xml:space="preserve"> kai kurių šviežių vaisių ir </w:t>
      </w:r>
      <w:r w:rsidR="000617E8" w:rsidRPr="00695BB4">
        <w:rPr>
          <w:lang w:val="lt-LT"/>
        </w:rPr>
        <w:t xml:space="preserve">daržovių kainos: daugiausia padidėjo </w:t>
      </w:r>
      <w:r w:rsidR="000617E8">
        <w:rPr>
          <w:lang w:val="lt-LT"/>
        </w:rPr>
        <w:t xml:space="preserve">melionų, </w:t>
      </w:r>
      <w:r w:rsidR="000617E8" w:rsidRPr="00695BB4">
        <w:rPr>
          <w:lang w:val="lt-LT"/>
        </w:rPr>
        <w:t>kininių kopūstų</w:t>
      </w:r>
      <w:r>
        <w:rPr>
          <w:lang w:val="lt-LT"/>
        </w:rPr>
        <w:t>, pomidorų, bulvių</w:t>
      </w:r>
      <w:r w:rsidR="000617E8" w:rsidRPr="00695BB4">
        <w:rPr>
          <w:lang w:val="lt-LT"/>
        </w:rPr>
        <w:t xml:space="preserve"> kainos</w:t>
      </w:r>
      <w:r w:rsidR="000617E8">
        <w:rPr>
          <w:lang w:val="lt-LT"/>
        </w:rPr>
        <w:t xml:space="preserve">, bet sumažėjo </w:t>
      </w:r>
      <w:r>
        <w:rPr>
          <w:lang w:val="lt-LT"/>
        </w:rPr>
        <w:t>greipfrutų, apelsinų</w:t>
      </w:r>
      <w:r w:rsidR="000617E8">
        <w:rPr>
          <w:lang w:val="lt-LT"/>
        </w:rPr>
        <w:t xml:space="preserve">, </w:t>
      </w:r>
      <w:r w:rsidR="00CC54CA">
        <w:rPr>
          <w:lang w:val="lt-LT"/>
        </w:rPr>
        <w:t>kriaušių</w:t>
      </w:r>
      <w:r w:rsidR="00D94E14">
        <w:rPr>
          <w:lang w:val="lt-LT"/>
        </w:rPr>
        <w:t>,</w:t>
      </w:r>
      <w:r w:rsidR="000617E8">
        <w:rPr>
          <w:lang w:val="lt-LT"/>
        </w:rPr>
        <w:t xml:space="preserve"> </w:t>
      </w:r>
      <w:r w:rsidR="00D94E14">
        <w:rPr>
          <w:lang w:val="lt-LT"/>
        </w:rPr>
        <w:t xml:space="preserve">gūžinių salotų </w:t>
      </w:r>
      <w:r w:rsidR="000617E8">
        <w:rPr>
          <w:lang w:val="lt-LT"/>
        </w:rPr>
        <w:t xml:space="preserve">kainos. Taip pat </w:t>
      </w:r>
      <w:r w:rsidR="000617E8" w:rsidRPr="005203E8">
        <w:rPr>
          <w:lang w:val="lt-LT"/>
        </w:rPr>
        <w:t xml:space="preserve">pabrango </w:t>
      </w:r>
      <w:r w:rsidR="00CC54CA">
        <w:rPr>
          <w:lang w:val="lt-LT"/>
        </w:rPr>
        <w:t>grūdų dribsniai, sviestas, kiti valgomieji gyvuliniai riebalai, cukrus</w:t>
      </w:r>
      <w:r w:rsidR="000617E8">
        <w:rPr>
          <w:lang w:val="lt-LT"/>
        </w:rPr>
        <w:t>,</w:t>
      </w:r>
      <w:r w:rsidR="000617E8" w:rsidRPr="005203E8">
        <w:rPr>
          <w:lang w:val="lt-LT"/>
        </w:rPr>
        <w:t xml:space="preserve"> bet atpigo </w:t>
      </w:r>
      <w:r w:rsidR="00CC54CA">
        <w:rPr>
          <w:lang w:val="lt-LT"/>
        </w:rPr>
        <w:t>užšaldytos daržovės</w:t>
      </w:r>
      <w:r w:rsidR="000617E8">
        <w:rPr>
          <w:lang w:val="lt-LT"/>
        </w:rPr>
        <w:t xml:space="preserve">, </w:t>
      </w:r>
      <w:r w:rsidR="00CC54CA">
        <w:rPr>
          <w:lang w:val="lt-LT"/>
        </w:rPr>
        <w:t>šviežios ar atšaldytos jūros gėrybės, pievagrybiai, šviežia ar atšaldyta žuvis.</w:t>
      </w:r>
    </w:p>
    <w:p w:rsidR="005179FE" w:rsidRDefault="005179FE" w:rsidP="00085443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>
        <w:rPr>
          <w:lang w:val="lt-LT"/>
        </w:rPr>
        <w:t xml:space="preserve">Dėl </w:t>
      </w:r>
      <w:r w:rsidR="007758CC" w:rsidRPr="007758CC">
        <w:rPr>
          <w:lang w:val="lt-LT"/>
        </w:rPr>
        <w:t>naujų pavasario sezono kolekcijų</w:t>
      </w:r>
      <w:r w:rsidR="007758CC" w:rsidRPr="007758CC">
        <w:rPr>
          <w:sz w:val="18"/>
          <w:szCs w:val="18"/>
          <w:lang w:val="lt-LT"/>
        </w:rPr>
        <w:t xml:space="preserve"> </w:t>
      </w:r>
      <w:r>
        <w:rPr>
          <w:lang w:val="lt-LT"/>
        </w:rPr>
        <w:t xml:space="preserve">drabužių ir avalynės kainos </w:t>
      </w:r>
      <w:r w:rsidR="007758CC">
        <w:rPr>
          <w:lang w:val="lt-LT"/>
        </w:rPr>
        <w:t>padidėjo</w:t>
      </w:r>
      <w:r>
        <w:rPr>
          <w:lang w:val="lt-LT"/>
        </w:rPr>
        <w:t xml:space="preserve"> </w:t>
      </w:r>
      <w:r w:rsidR="007758CC">
        <w:rPr>
          <w:lang w:val="lt-LT"/>
        </w:rPr>
        <w:t>6,8</w:t>
      </w:r>
      <w:r>
        <w:rPr>
          <w:lang w:val="lt-LT"/>
        </w:rPr>
        <w:t xml:space="preserve"> proc. </w:t>
      </w:r>
      <w:r w:rsidR="007758CC">
        <w:rPr>
          <w:lang w:val="lt-LT"/>
        </w:rPr>
        <w:t xml:space="preserve">Drabužiai pabrango 7,3 proc., </w:t>
      </w:r>
      <w:r w:rsidR="00782F85">
        <w:rPr>
          <w:lang w:val="lt-LT"/>
        </w:rPr>
        <w:t xml:space="preserve">avalynė </w:t>
      </w:r>
      <w:r w:rsidR="003172B9">
        <w:rPr>
          <w:lang w:val="lt-LT"/>
        </w:rPr>
        <w:t xml:space="preserve">– </w:t>
      </w:r>
      <w:r w:rsidR="007758CC">
        <w:rPr>
          <w:lang w:val="lt-LT"/>
        </w:rPr>
        <w:t xml:space="preserve">5,5 </w:t>
      </w:r>
      <w:r w:rsidR="003172B9">
        <w:rPr>
          <w:lang w:val="lt-LT"/>
        </w:rPr>
        <w:t>proc.,</w:t>
      </w:r>
      <w:r w:rsidR="00782F85">
        <w:rPr>
          <w:lang w:val="lt-LT"/>
        </w:rPr>
        <w:t xml:space="preserve"> </w:t>
      </w:r>
      <w:r w:rsidR="003336F7">
        <w:rPr>
          <w:lang w:val="lt-LT"/>
        </w:rPr>
        <w:t>aprangos valymas, taisymas ir nuoma</w:t>
      </w:r>
      <w:r w:rsidR="003515AA">
        <w:rPr>
          <w:lang w:val="lt-LT"/>
        </w:rPr>
        <w:t xml:space="preserve"> – 2</w:t>
      </w:r>
      <w:r w:rsidR="00D94E14">
        <w:rPr>
          <w:lang w:val="lt-LT"/>
        </w:rPr>
        <w:t>,</w:t>
      </w:r>
      <w:r w:rsidR="003515AA">
        <w:rPr>
          <w:lang w:val="lt-LT"/>
        </w:rPr>
        <w:t>5 proc.</w:t>
      </w:r>
      <w:r w:rsidR="003336F7">
        <w:rPr>
          <w:lang w:val="lt-LT"/>
        </w:rPr>
        <w:t xml:space="preserve">, </w:t>
      </w:r>
      <w:r w:rsidR="00782F85">
        <w:rPr>
          <w:lang w:val="lt-LT"/>
        </w:rPr>
        <w:t xml:space="preserve">avalynės taisymas </w:t>
      </w:r>
      <w:r w:rsidR="00581DEE">
        <w:rPr>
          <w:lang w:val="lt-LT"/>
        </w:rPr>
        <w:t>–</w:t>
      </w:r>
      <w:r w:rsidR="00782F85">
        <w:rPr>
          <w:lang w:val="lt-LT"/>
        </w:rPr>
        <w:t xml:space="preserve"> </w:t>
      </w:r>
      <w:r w:rsidR="007758CC">
        <w:rPr>
          <w:lang w:val="lt-LT"/>
        </w:rPr>
        <w:t>1,6</w:t>
      </w:r>
      <w:r w:rsidR="00782F85">
        <w:rPr>
          <w:lang w:val="lt-LT"/>
        </w:rPr>
        <w:t xml:space="preserve"> proc.</w:t>
      </w:r>
    </w:p>
    <w:p w:rsidR="00F17F78" w:rsidRDefault="00F17F78" w:rsidP="00F6438F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A650AF" w:rsidRDefault="00A650AF" w:rsidP="00F6438F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571013" w:rsidRDefault="00571013" w:rsidP="00F6438F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A650AF" w:rsidRDefault="00A650AF" w:rsidP="00F6438F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0617E8" w:rsidRDefault="000617E8" w:rsidP="00F6438F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0617E8" w:rsidRDefault="000617E8" w:rsidP="00F6438F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0617E8" w:rsidRDefault="000617E8" w:rsidP="00F6438F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3336F7" w:rsidRDefault="003336F7" w:rsidP="00F6438F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0617E8" w:rsidRDefault="000617E8" w:rsidP="00F6438F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0617E8" w:rsidRPr="00A86E6A" w:rsidRDefault="000617E8" w:rsidP="00F6438F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F6438F" w:rsidRPr="00D52627" w:rsidRDefault="00F6438F" w:rsidP="00F6438F">
      <w:pPr>
        <w:pStyle w:val="Lentelespav"/>
        <w:jc w:val="left"/>
        <w:rPr>
          <w:lang w:val="lt-LT"/>
        </w:rPr>
      </w:pPr>
      <w:r w:rsidRPr="006B12E8">
        <w:rPr>
          <w:lang w:val="lt-LT"/>
        </w:rPr>
        <w:t xml:space="preserve">1 lentelė. </w:t>
      </w:r>
      <w:r w:rsidR="00E5406F" w:rsidRPr="00D52627">
        <w:rPr>
          <w:lang w:val="lt-LT"/>
        </w:rPr>
        <w:t xml:space="preserve">Didžiausi </w:t>
      </w:r>
      <w:r w:rsidR="00E5406F" w:rsidRPr="009435A1">
        <w:rPr>
          <w:lang w:val="lt-LT"/>
        </w:rPr>
        <w:t>v</w:t>
      </w:r>
      <w:r w:rsidRPr="009435A1">
        <w:rPr>
          <w:lang w:val="lt-LT"/>
        </w:rPr>
        <w:t>artojimo prekių ir</w:t>
      </w:r>
      <w:r w:rsidRPr="00D52627">
        <w:rPr>
          <w:lang w:val="lt-LT"/>
        </w:rPr>
        <w:t xml:space="preserve"> paslaugų kainų pokyčiai </w:t>
      </w:r>
      <w:r w:rsidR="00E5406F" w:rsidRPr="00D52627">
        <w:rPr>
          <w:lang w:val="lt-LT"/>
        </w:rPr>
        <w:t>per mėnesį</w:t>
      </w:r>
    </w:p>
    <w:p w:rsidR="00E5406F" w:rsidRPr="006B12E8" w:rsidRDefault="00AA099E" w:rsidP="005A0256">
      <w:pPr>
        <w:spacing w:before="40" w:after="120"/>
        <w:jc w:val="both"/>
        <w:rPr>
          <w:lang w:val="lt-LT"/>
        </w:rPr>
      </w:pPr>
      <w:r w:rsidRPr="00D52627">
        <w:rPr>
          <w:lang w:val="lt-LT"/>
        </w:rPr>
        <w:t>20</w:t>
      </w:r>
      <w:r w:rsidR="00E77EDD">
        <w:rPr>
          <w:lang w:val="lt-LT"/>
        </w:rPr>
        <w:t>2</w:t>
      </w:r>
      <w:r w:rsidR="006E50FE">
        <w:rPr>
          <w:lang w:val="lt-LT"/>
        </w:rPr>
        <w:t>2</w:t>
      </w:r>
      <w:r w:rsidRPr="00D52627">
        <w:rPr>
          <w:lang w:val="lt-LT"/>
        </w:rPr>
        <w:t xml:space="preserve"> m. </w:t>
      </w:r>
      <w:r w:rsidR="00050C45">
        <w:rPr>
          <w:lang w:val="lt-LT"/>
        </w:rPr>
        <w:t>kov</w:t>
      </w:r>
      <w:r w:rsidR="00C24F87">
        <w:rPr>
          <w:lang w:val="lt-LT"/>
        </w:rPr>
        <w:t>o</w:t>
      </w:r>
      <w:r w:rsidRPr="00D52627">
        <w:rPr>
          <w:lang w:val="lt-LT"/>
        </w:rPr>
        <w:t xml:space="preserve"> mėn., palyginti su </w:t>
      </w:r>
      <w:r w:rsidR="00050C45">
        <w:rPr>
          <w:lang w:val="lt-LT"/>
        </w:rPr>
        <w:t>vasar</w:t>
      </w:r>
      <w:r w:rsidR="006E50FE">
        <w:rPr>
          <w:lang w:val="lt-LT"/>
        </w:rPr>
        <w:t>i</w:t>
      </w:r>
      <w:r w:rsidR="00C24F87">
        <w:rPr>
          <w:lang w:val="lt-LT"/>
        </w:rPr>
        <w:t>o</w:t>
      </w:r>
      <w:r w:rsidRPr="00D52627">
        <w:rPr>
          <w:lang w:val="lt-LT"/>
        </w:rPr>
        <w:t xml:space="preserve"> mėn.</w:t>
      </w:r>
    </w:p>
    <w:p w:rsidR="00F6438F" w:rsidRPr="006B12E8" w:rsidRDefault="00F6438F" w:rsidP="00771C4B">
      <w:pPr>
        <w:spacing w:before="60" w:after="60"/>
        <w:rPr>
          <w:sz w:val="18"/>
          <w:szCs w:val="18"/>
          <w:lang w:val="lt-LT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6"/>
        <w:gridCol w:w="1245"/>
        <w:gridCol w:w="3050"/>
        <w:gridCol w:w="1635"/>
      </w:tblGrid>
      <w:tr w:rsidR="00264BF6" w:rsidRPr="006B12E8" w:rsidTr="00C26399">
        <w:trPr>
          <w:tblHeader/>
        </w:trPr>
        <w:tc>
          <w:tcPr>
            <w:tcW w:w="19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0D2D2"/>
          </w:tcPr>
          <w:p w:rsidR="00976E53" w:rsidRPr="006B12E8" w:rsidRDefault="00976E53" w:rsidP="00264BF6">
            <w:pPr>
              <w:spacing w:before="40" w:after="40"/>
              <w:ind w:right="-57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Prekių ir paslaugų pavadinimas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0D2D2"/>
          </w:tcPr>
          <w:p w:rsidR="00976E53" w:rsidRPr="006B12E8" w:rsidRDefault="00976E53" w:rsidP="00264BF6">
            <w:pPr>
              <w:spacing w:before="40" w:after="40"/>
              <w:ind w:left="-57" w:right="-57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Kainų padidėjimas, proc.</w:t>
            </w:r>
          </w:p>
        </w:tc>
        <w:tc>
          <w:tcPr>
            <w:tcW w:w="1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0D2D2"/>
          </w:tcPr>
          <w:p w:rsidR="00976E53" w:rsidRPr="006B12E8" w:rsidRDefault="00976E53" w:rsidP="00264BF6">
            <w:pPr>
              <w:spacing w:before="40" w:after="40"/>
              <w:ind w:right="-57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Prekių ir paslaugų pavadinimas</w:t>
            </w: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0D2D2"/>
          </w:tcPr>
          <w:p w:rsidR="00976E53" w:rsidRPr="006B12E8" w:rsidRDefault="00976E53" w:rsidP="00264BF6">
            <w:pPr>
              <w:spacing w:before="40" w:after="40"/>
              <w:ind w:left="-57" w:right="-85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Kainų sumažėjimas (–), proc.</w:t>
            </w:r>
          </w:p>
        </w:tc>
      </w:tr>
      <w:tr w:rsidR="00976E53" w:rsidRPr="006B12E8" w:rsidTr="00612AC8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976E53" w:rsidRPr="006B12E8" w:rsidRDefault="00976E53" w:rsidP="00264BF6">
            <w:pPr>
              <w:pStyle w:val="BodyText"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b/>
                <w:sz w:val="19"/>
                <w:szCs w:val="19"/>
                <w:lang w:val="lt-LT"/>
              </w:rPr>
              <w:t>Švieži vaisiai ir daržovės</w:t>
            </w:r>
          </w:p>
        </w:tc>
      </w:tr>
      <w:tr w:rsidR="00814DAE" w:rsidRPr="0012099D" w:rsidTr="00C26399">
        <w:tc>
          <w:tcPr>
            <w:tcW w:w="1967" w:type="pct"/>
            <w:tcBorders>
              <w:top w:val="single" w:sz="4" w:space="0" w:color="auto"/>
            </w:tcBorders>
            <w:shd w:val="clear" w:color="auto" w:fill="auto"/>
          </w:tcPr>
          <w:p w:rsidR="00814DAE" w:rsidRPr="003466B4" w:rsidRDefault="00814DAE" w:rsidP="00814DAE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8E0D20">
              <w:rPr>
                <w:rFonts w:cs="Arial"/>
                <w:sz w:val="19"/>
                <w:szCs w:val="19"/>
                <w:lang w:val="lt-LT"/>
              </w:rPr>
              <w:t>Melionai</w:t>
            </w:r>
          </w:p>
        </w:tc>
        <w:tc>
          <w:tcPr>
            <w:tcW w:w="637" w:type="pct"/>
            <w:tcBorders>
              <w:top w:val="single" w:sz="4" w:space="0" w:color="auto"/>
            </w:tcBorders>
            <w:shd w:val="clear" w:color="auto" w:fill="auto"/>
          </w:tcPr>
          <w:p w:rsidR="00814DAE" w:rsidRPr="00814DAE" w:rsidRDefault="00814DAE" w:rsidP="00814DAE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14DAE">
              <w:rPr>
                <w:rFonts w:cs="Arial"/>
                <w:sz w:val="19"/>
                <w:szCs w:val="19"/>
                <w:lang w:val="lt-LT"/>
              </w:rPr>
              <w:t>18,7</w:t>
            </w:r>
          </w:p>
        </w:tc>
        <w:tc>
          <w:tcPr>
            <w:tcW w:w="1560" w:type="pct"/>
            <w:tcBorders>
              <w:top w:val="single" w:sz="4" w:space="0" w:color="auto"/>
            </w:tcBorders>
            <w:shd w:val="clear" w:color="auto" w:fill="auto"/>
          </w:tcPr>
          <w:p w:rsidR="00814DAE" w:rsidRPr="00814DAE" w:rsidRDefault="00814DAE" w:rsidP="00814DAE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814DAE">
              <w:rPr>
                <w:rFonts w:cs="Arial"/>
                <w:sz w:val="19"/>
                <w:szCs w:val="19"/>
                <w:lang w:val="lt-LT"/>
              </w:rPr>
              <w:t>Greipfrutai</w:t>
            </w:r>
          </w:p>
        </w:tc>
        <w:tc>
          <w:tcPr>
            <w:tcW w:w="836" w:type="pct"/>
            <w:tcBorders>
              <w:top w:val="single" w:sz="4" w:space="0" w:color="auto"/>
            </w:tcBorders>
            <w:shd w:val="clear" w:color="auto" w:fill="auto"/>
          </w:tcPr>
          <w:p w:rsidR="00814DAE" w:rsidRPr="00814DAE" w:rsidRDefault="00814DAE" w:rsidP="00814DAE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14DAE">
              <w:rPr>
                <w:rFonts w:cs="Arial"/>
                <w:sz w:val="19"/>
                <w:szCs w:val="19"/>
                <w:lang w:val="lt-LT"/>
              </w:rPr>
              <w:t>–9,5</w:t>
            </w:r>
          </w:p>
        </w:tc>
      </w:tr>
      <w:tr w:rsidR="00814DAE" w:rsidRPr="0012099D" w:rsidTr="00C26399">
        <w:tc>
          <w:tcPr>
            <w:tcW w:w="1967" w:type="pct"/>
            <w:shd w:val="clear" w:color="auto" w:fill="auto"/>
          </w:tcPr>
          <w:p w:rsidR="00814DAE" w:rsidRPr="003466B4" w:rsidRDefault="00814DAE" w:rsidP="00814DAE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5E280D">
              <w:rPr>
                <w:rFonts w:cs="Arial"/>
                <w:sz w:val="19"/>
                <w:szCs w:val="19"/>
                <w:lang w:val="lt-LT"/>
              </w:rPr>
              <w:t>Kininiai kopūstai</w:t>
            </w:r>
          </w:p>
        </w:tc>
        <w:tc>
          <w:tcPr>
            <w:tcW w:w="637" w:type="pct"/>
            <w:shd w:val="clear" w:color="auto" w:fill="auto"/>
          </w:tcPr>
          <w:p w:rsidR="00814DAE" w:rsidRPr="00814DAE" w:rsidRDefault="00814DAE" w:rsidP="00814DAE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14DAE">
              <w:rPr>
                <w:rFonts w:cs="Arial"/>
                <w:sz w:val="19"/>
                <w:szCs w:val="19"/>
                <w:lang w:val="lt-LT"/>
              </w:rPr>
              <w:t>9,3</w:t>
            </w:r>
          </w:p>
        </w:tc>
        <w:tc>
          <w:tcPr>
            <w:tcW w:w="1560" w:type="pct"/>
            <w:shd w:val="clear" w:color="auto" w:fill="auto"/>
          </w:tcPr>
          <w:p w:rsidR="00814DAE" w:rsidRPr="00814DAE" w:rsidRDefault="00814DAE" w:rsidP="00814DAE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814DAE">
              <w:rPr>
                <w:rFonts w:cs="Arial"/>
                <w:sz w:val="19"/>
                <w:szCs w:val="19"/>
                <w:lang w:val="lt-LT"/>
              </w:rPr>
              <w:t>Apelsinai</w:t>
            </w:r>
          </w:p>
        </w:tc>
        <w:tc>
          <w:tcPr>
            <w:tcW w:w="836" w:type="pct"/>
            <w:shd w:val="clear" w:color="auto" w:fill="auto"/>
          </w:tcPr>
          <w:p w:rsidR="00814DAE" w:rsidRPr="00814DAE" w:rsidRDefault="00814DAE" w:rsidP="00814DAE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14DAE">
              <w:rPr>
                <w:rFonts w:cs="Arial"/>
                <w:sz w:val="19"/>
                <w:szCs w:val="19"/>
                <w:lang w:val="lt-LT"/>
              </w:rPr>
              <w:t>–8,5</w:t>
            </w: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Pr="003466B4" w:rsidRDefault="00C216A4" w:rsidP="00C216A4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Pomidorai</w:t>
            </w:r>
          </w:p>
        </w:tc>
        <w:tc>
          <w:tcPr>
            <w:tcW w:w="637" w:type="pct"/>
            <w:shd w:val="clear" w:color="auto" w:fill="auto"/>
          </w:tcPr>
          <w:p w:rsidR="00C216A4" w:rsidRPr="00814DAE" w:rsidRDefault="00C216A4" w:rsidP="00C216A4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14DAE">
              <w:rPr>
                <w:rFonts w:cs="Arial"/>
                <w:sz w:val="19"/>
                <w:szCs w:val="19"/>
                <w:lang w:val="lt-LT"/>
              </w:rPr>
              <w:t>7,8</w:t>
            </w:r>
          </w:p>
        </w:tc>
        <w:tc>
          <w:tcPr>
            <w:tcW w:w="1560" w:type="pct"/>
            <w:shd w:val="clear" w:color="auto" w:fill="auto"/>
          </w:tcPr>
          <w:p w:rsidR="00C216A4" w:rsidRPr="00814DAE" w:rsidRDefault="00C216A4" w:rsidP="00C216A4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814DAE">
              <w:rPr>
                <w:rFonts w:cs="Arial"/>
                <w:sz w:val="19"/>
                <w:szCs w:val="19"/>
                <w:lang w:val="lt-LT"/>
              </w:rPr>
              <w:t>Kriaušės</w:t>
            </w:r>
          </w:p>
        </w:tc>
        <w:tc>
          <w:tcPr>
            <w:tcW w:w="836" w:type="pct"/>
            <w:shd w:val="clear" w:color="auto" w:fill="auto"/>
          </w:tcPr>
          <w:p w:rsidR="00C216A4" w:rsidRPr="00814DAE" w:rsidRDefault="00C216A4" w:rsidP="00C216A4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14DAE">
              <w:rPr>
                <w:rFonts w:cs="Arial"/>
                <w:sz w:val="19"/>
                <w:szCs w:val="19"/>
                <w:lang w:val="lt-LT"/>
              </w:rPr>
              <w:t>–5,7</w:t>
            </w: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185C00">
              <w:rPr>
                <w:rFonts w:cs="Arial"/>
                <w:sz w:val="19"/>
                <w:szCs w:val="19"/>
                <w:lang w:val="lt-LT"/>
              </w:rPr>
              <w:t>Bulvės</w:t>
            </w:r>
          </w:p>
        </w:tc>
        <w:tc>
          <w:tcPr>
            <w:tcW w:w="637" w:type="pct"/>
            <w:shd w:val="clear" w:color="auto" w:fill="auto"/>
          </w:tcPr>
          <w:p w:rsidR="00C216A4" w:rsidRPr="00814DAE" w:rsidRDefault="00C216A4" w:rsidP="00C216A4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14DAE">
              <w:rPr>
                <w:rFonts w:cs="Arial"/>
                <w:sz w:val="19"/>
                <w:szCs w:val="19"/>
                <w:lang w:val="lt-LT"/>
              </w:rPr>
              <w:t>6,1</w:t>
            </w:r>
          </w:p>
        </w:tc>
        <w:tc>
          <w:tcPr>
            <w:tcW w:w="1560" w:type="pct"/>
            <w:shd w:val="clear" w:color="auto" w:fill="auto"/>
          </w:tcPr>
          <w:p w:rsidR="00C216A4" w:rsidRPr="00814DAE" w:rsidRDefault="00C216A4" w:rsidP="00C216A4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814DAE">
              <w:rPr>
                <w:rFonts w:cs="Arial"/>
                <w:sz w:val="19"/>
                <w:szCs w:val="19"/>
                <w:lang w:val="lt-LT"/>
              </w:rPr>
              <w:t>Gūžinės salotos</w:t>
            </w:r>
          </w:p>
        </w:tc>
        <w:tc>
          <w:tcPr>
            <w:tcW w:w="836" w:type="pct"/>
            <w:shd w:val="clear" w:color="auto" w:fill="auto"/>
          </w:tcPr>
          <w:p w:rsidR="00C216A4" w:rsidRPr="00814DAE" w:rsidRDefault="00C216A4" w:rsidP="00C216A4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14DAE">
              <w:rPr>
                <w:rFonts w:cs="Arial"/>
                <w:sz w:val="19"/>
                <w:szCs w:val="19"/>
                <w:lang w:val="lt-LT"/>
              </w:rPr>
              <w:t>–5,6</w:t>
            </w: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Saldžiosios paprikos</w:t>
            </w:r>
            <w:r w:rsidRPr="003466B4">
              <w:rPr>
                <w:rFonts w:cs="Arial"/>
                <w:sz w:val="19"/>
                <w:szCs w:val="19"/>
                <w:lang w:val="lt-LT"/>
              </w:rPr>
              <w:t xml:space="preserve"> </w:t>
            </w:r>
          </w:p>
        </w:tc>
        <w:tc>
          <w:tcPr>
            <w:tcW w:w="637" w:type="pct"/>
            <w:shd w:val="clear" w:color="auto" w:fill="auto"/>
          </w:tcPr>
          <w:p w:rsidR="00C216A4" w:rsidRPr="00814DAE" w:rsidRDefault="00C216A4" w:rsidP="00C216A4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14DAE">
              <w:rPr>
                <w:rFonts w:cs="Arial"/>
                <w:sz w:val="19"/>
                <w:szCs w:val="19"/>
                <w:lang w:val="lt-LT"/>
              </w:rPr>
              <w:t>5,4</w:t>
            </w:r>
          </w:p>
        </w:tc>
        <w:tc>
          <w:tcPr>
            <w:tcW w:w="1560" w:type="pct"/>
            <w:shd w:val="clear" w:color="auto" w:fill="auto"/>
          </w:tcPr>
          <w:p w:rsidR="00C216A4" w:rsidRPr="00814DAE" w:rsidRDefault="00C216A4" w:rsidP="00C216A4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814DAE">
              <w:rPr>
                <w:rFonts w:cs="Arial"/>
                <w:sz w:val="19"/>
                <w:szCs w:val="19"/>
                <w:lang w:val="lt-LT"/>
              </w:rPr>
              <w:t>Citrinos</w:t>
            </w:r>
          </w:p>
        </w:tc>
        <w:tc>
          <w:tcPr>
            <w:tcW w:w="836" w:type="pct"/>
            <w:shd w:val="clear" w:color="auto" w:fill="auto"/>
          </w:tcPr>
          <w:p w:rsidR="00C216A4" w:rsidRPr="00814DAE" w:rsidRDefault="00C216A4" w:rsidP="00C216A4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14DAE">
              <w:rPr>
                <w:rFonts w:cs="Arial"/>
                <w:sz w:val="19"/>
                <w:szCs w:val="19"/>
                <w:lang w:val="lt-LT"/>
              </w:rPr>
              <w:t>–5,0</w:t>
            </w: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Šilauogės</w:t>
            </w:r>
          </w:p>
        </w:tc>
        <w:tc>
          <w:tcPr>
            <w:tcW w:w="637" w:type="pct"/>
            <w:shd w:val="clear" w:color="auto" w:fill="auto"/>
          </w:tcPr>
          <w:p w:rsidR="00C216A4" w:rsidRPr="00814DAE" w:rsidRDefault="00C216A4" w:rsidP="00C216A4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14DAE">
              <w:rPr>
                <w:rFonts w:cs="Arial"/>
                <w:sz w:val="19"/>
                <w:szCs w:val="19"/>
                <w:lang w:val="lt-LT"/>
              </w:rPr>
              <w:t>5,4</w:t>
            </w:r>
          </w:p>
        </w:tc>
        <w:tc>
          <w:tcPr>
            <w:tcW w:w="1560" w:type="pct"/>
            <w:shd w:val="clear" w:color="auto" w:fill="auto"/>
          </w:tcPr>
          <w:p w:rsidR="00C216A4" w:rsidRPr="00814DAE" w:rsidRDefault="00C216A4" w:rsidP="00C216A4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814DAE">
              <w:rPr>
                <w:rFonts w:cs="Arial"/>
                <w:sz w:val="19"/>
                <w:szCs w:val="19"/>
                <w:lang w:val="lt-LT"/>
              </w:rPr>
              <w:t xml:space="preserve">Ilgavaisiai agurkai </w:t>
            </w:r>
          </w:p>
        </w:tc>
        <w:tc>
          <w:tcPr>
            <w:tcW w:w="836" w:type="pct"/>
            <w:shd w:val="clear" w:color="auto" w:fill="auto"/>
          </w:tcPr>
          <w:p w:rsidR="00C216A4" w:rsidRPr="00814DAE" w:rsidRDefault="00C216A4" w:rsidP="00C216A4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14DAE">
              <w:rPr>
                <w:rFonts w:cs="Arial"/>
                <w:sz w:val="19"/>
                <w:szCs w:val="19"/>
                <w:lang w:val="lt-LT"/>
              </w:rPr>
              <w:t>–4,6</w:t>
            </w: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Bananai</w:t>
            </w:r>
          </w:p>
        </w:tc>
        <w:tc>
          <w:tcPr>
            <w:tcW w:w="637" w:type="pct"/>
            <w:shd w:val="clear" w:color="auto" w:fill="auto"/>
          </w:tcPr>
          <w:p w:rsidR="00C216A4" w:rsidRPr="00814DAE" w:rsidRDefault="00C216A4" w:rsidP="00C216A4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14DAE">
              <w:rPr>
                <w:rFonts w:cs="Arial"/>
                <w:sz w:val="19"/>
                <w:szCs w:val="19"/>
                <w:lang w:val="lt-LT"/>
              </w:rPr>
              <w:t>4,9</w:t>
            </w:r>
          </w:p>
        </w:tc>
        <w:tc>
          <w:tcPr>
            <w:tcW w:w="1560" w:type="pct"/>
            <w:shd w:val="clear" w:color="auto" w:fill="auto"/>
          </w:tcPr>
          <w:p w:rsidR="00C216A4" w:rsidRPr="00814DAE" w:rsidRDefault="00C216A4" w:rsidP="00C216A4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814DAE">
              <w:rPr>
                <w:rFonts w:cs="Arial"/>
                <w:sz w:val="19"/>
                <w:szCs w:val="19"/>
                <w:lang w:val="lt-LT"/>
              </w:rPr>
              <w:t>Baltagūžiai kopūstai</w:t>
            </w:r>
          </w:p>
        </w:tc>
        <w:tc>
          <w:tcPr>
            <w:tcW w:w="836" w:type="pct"/>
            <w:shd w:val="clear" w:color="auto" w:fill="auto"/>
          </w:tcPr>
          <w:p w:rsidR="00C216A4" w:rsidRPr="00814DAE" w:rsidRDefault="00C216A4" w:rsidP="00C216A4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14DAE">
              <w:rPr>
                <w:rFonts w:cs="Arial"/>
                <w:sz w:val="19"/>
                <w:szCs w:val="19"/>
                <w:lang w:val="lt-LT"/>
              </w:rPr>
              <w:t>–3,6</w:t>
            </w: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185C00">
              <w:rPr>
                <w:rFonts w:cs="Arial"/>
                <w:sz w:val="19"/>
                <w:szCs w:val="19"/>
                <w:lang w:val="lt-LT"/>
              </w:rPr>
              <w:t>Morkos</w:t>
            </w:r>
          </w:p>
        </w:tc>
        <w:tc>
          <w:tcPr>
            <w:tcW w:w="637" w:type="pct"/>
            <w:shd w:val="clear" w:color="auto" w:fill="auto"/>
          </w:tcPr>
          <w:p w:rsidR="00C216A4" w:rsidRPr="00814DAE" w:rsidRDefault="00C216A4" w:rsidP="00C216A4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14DAE">
              <w:rPr>
                <w:rFonts w:cs="Arial"/>
                <w:sz w:val="19"/>
                <w:szCs w:val="19"/>
                <w:lang w:val="lt-LT"/>
              </w:rPr>
              <w:t>3,4</w:t>
            </w:r>
          </w:p>
        </w:tc>
        <w:tc>
          <w:tcPr>
            <w:tcW w:w="1560" w:type="pct"/>
            <w:shd w:val="clear" w:color="auto" w:fill="auto"/>
          </w:tcPr>
          <w:p w:rsidR="00C216A4" w:rsidRPr="00814DAE" w:rsidRDefault="00C216A4" w:rsidP="00C216A4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814DAE">
              <w:rPr>
                <w:rFonts w:cs="Arial"/>
                <w:sz w:val="19"/>
                <w:szCs w:val="19"/>
                <w:lang w:val="lt-LT"/>
              </w:rPr>
              <w:t>Avokadai</w:t>
            </w:r>
          </w:p>
        </w:tc>
        <w:tc>
          <w:tcPr>
            <w:tcW w:w="836" w:type="pct"/>
            <w:shd w:val="clear" w:color="auto" w:fill="auto"/>
          </w:tcPr>
          <w:p w:rsidR="00C216A4" w:rsidRPr="00814DAE" w:rsidRDefault="00C216A4" w:rsidP="00C216A4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14DAE">
              <w:rPr>
                <w:rFonts w:cs="Arial"/>
                <w:sz w:val="19"/>
                <w:szCs w:val="19"/>
                <w:lang w:val="lt-LT"/>
              </w:rPr>
              <w:t>–3,3</w:t>
            </w: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Pr="003466B4" w:rsidRDefault="00C216A4" w:rsidP="00C216A4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185C00">
              <w:rPr>
                <w:rFonts w:cs="Arial"/>
                <w:sz w:val="19"/>
                <w:szCs w:val="19"/>
                <w:lang w:val="lt-LT"/>
              </w:rPr>
              <w:t>Svogūnai</w:t>
            </w:r>
          </w:p>
        </w:tc>
        <w:tc>
          <w:tcPr>
            <w:tcW w:w="637" w:type="pct"/>
            <w:shd w:val="clear" w:color="auto" w:fill="auto"/>
          </w:tcPr>
          <w:p w:rsidR="00C216A4" w:rsidRPr="00814DAE" w:rsidRDefault="00C216A4" w:rsidP="00C216A4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14DAE">
              <w:rPr>
                <w:rFonts w:cs="Arial"/>
                <w:sz w:val="19"/>
                <w:szCs w:val="19"/>
                <w:lang w:val="lt-LT"/>
              </w:rPr>
              <w:t>3,0</w:t>
            </w:r>
          </w:p>
        </w:tc>
        <w:tc>
          <w:tcPr>
            <w:tcW w:w="1560" w:type="pct"/>
            <w:shd w:val="clear" w:color="auto" w:fill="auto"/>
          </w:tcPr>
          <w:p w:rsidR="00C216A4" w:rsidRPr="00814DAE" w:rsidRDefault="00C216A4" w:rsidP="00C216A4">
            <w:pPr>
              <w:pStyle w:val="BodyText"/>
              <w:spacing w:before="40" w:after="20"/>
              <w:rPr>
                <w:rFonts w:cs="Arial"/>
                <w:sz w:val="19"/>
                <w:szCs w:val="19"/>
                <w:lang w:val="lt-LT"/>
              </w:rPr>
            </w:pPr>
            <w:r w:rsidRPr="00814DAE">
              <w:rPr>
                <w:rFonts w:cs="Arial"/>
                <w:sz w:val="19"/>
                <w:szCs w:val="19"/>
                <w:lang w:val="lt-LT"/>
              </w:rPr>
              <w:t>Kiviai</w:t>
            </w:r>
          </w:p>
        </w:tc>
        <w:tc>
          <w:tcPr>
            <w:tcW w:w="836" w:type="pct"/>
            <w:shd w:val="clear" w:color="auto" w:fill="auto"/>
          </w:tcPr>
          <w:p w:rsidR="00C216A4" w:rsidRPr="00814DAE" w:rsidRDefault="00C216A4" w:rsidP="00C216A4">
            <w:pPr>
              <w:pStyle w:val="BodyText"/>
              <w:spacing w:before="40" w:after="2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814DAE">
              <w:rPr>
                <w:rFonts w:cs="Arial"/>
                <w:sz w:val="19"/>
                <w:szCs w:val="19"/>
                <w:lang w:val="lt-LT"/>
              </w:rPr>
              <w:t>–3,3</w:t>
            </w:r>
          </w:p>
        </w:tc>
      </w:tr>
      <w:tr w:rsidR="00C216A4" w:rsidRPr="0012099D" w:rsidTr="00612AC8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C216A4" w:rsidRPr="0012099D" w:rsidRDefault="00C216A4" w:rsidP="00C216A4">
            <w:pPr>
              <w:pStyle w:val="BodyText"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b/>
                <w:sz w:val="19"/>
                <w:szCs w:val="19"/>
                <w:lang w:val="lt-LT"/>
              </w:rPr>
              <w:t>Maisto produktai ir nealkoholiniai gėrimai</w:t>
            </w:r>
          </w:p>
        </w:tc>
      </w:tr>
      <w:tr w:rsidR="00C216A4" w:rsidRPr="0012099D" w:rsidTr="00C26399">
        <w:tc>
          <w:tcPr>
            <w:tcW w:w="1967" w:type="pct"/>
            <w:tcBorders>
              <w:top w:val="single" w:sz="4" w:space="0" w:color="auto"/>
            </w:tcBorders>
            <w:shd w:val="clear" w:color="auto" w:fill="auto"/>
          </w:tcPr>
          <w:p w:rsidR="00C216A4" w:rsidRPr="00481817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Grūdų dribsniai</w:t>
            </w:r>
          </w:p>
        </w:tc>
        <w:tc>
          <w:tcPr>
            <w:tcW w:w="637" w:type="pct"/>
            <w:tcBorders>
              <w:top w:val="single" w:sz="4" w:space="0" w:color="auto"/>
            </w:tcBorders>
            <w:shd w:val="clear" w:color="auto" w:fill="auto"/>
          </w:tcPr>
          <w:p w:rsidR="00C216A4" w:rsidRPr="00481817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7,2</w:t>
            </w:r>
          </w:p>
        </w:tc>
        <w:tc>
          <w:tcPr>
            <w:tcW w:w="1560" w:type="pct"/>
            <w:tcBorders>
              <w:top w:val="single" w:sz="4" w:space="0" w:color="auto"/>
            </w:tcBorders>
            <w:shd w:val="clear" w:color="auto" w:fill="auto"/>
          </w:tcPr>
          <w:p w:rsidR="00C216A4" w:rsidRPr="00F466F3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Užšaldytos daržovės</w:t>
            </w:r>
          </w:p>
        </w:tc>
        <w:tc>
          <w:tcPr>
            <w:tcW w:w="836" w:type="pct"/>
            <w:tcBorders>
              <w:top w:val="single" w:sz="4" w:space="0" w:color="auto"/>
            </w:tcBorders>
            <w:shd w:val="clear" w:color="auto" w:fill="auto"/>
          </w:tcPr>
          <w:p w:rsidR="00C216A4" w:rsidRPr="005C56AB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–5,6</w:t>
            </w: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Pr="00481817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Sviestas</w:t>
            </w:r>
          </w:p>
        </w:tc>
        <w:tc>
          <w:tcPr>
            <w:tcW w:w="637" w:type="pct"/>
            <w:shd w:val="clear" w:color="auto" w:fill="auto"/>
          </w:tcPr>
          <w:p w:rsidR="00C216A4" w:rsidRPr="00481817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6,7</w:t>
            </w:r>
          </w:p>
        </w:tc>
        <w:tc>
          <w:tcPr>
            <w:tcW w:w="1560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Šviežios ar atšaldytos jūros gėrybės </w:t>
            </w:r>
          </w:p>
        </w:tc>
        <w:tc>
          <w:tcPr>
            <w:tcW w:w="836" w:type="pct"/>
            <w:shd w:val="clear" w:color="auto" w:fill="auto"/>
          </w:tcPr>
          <w:p w:rsidR="00C216A4" w:rsidRPr="005C56AB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–3,4</w:t>
            </w: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Kiti valgomieji gyvuliniai riebalai</w:t>
            </w:r>
          </w:p>
        </w:tc>
        <w:tc>
          <w:tcPr>
            <w:tcW w:w="63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6,4</w:t>
            </w:r>
          </w:p>
        </w:tc>
        <w:tc>
          <w:tcPr>
            <w:tcW w:w="1560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Pievagrybiai</w:t>
            </w:r>
          </w:p>
        </w:tc>
        <w:tc>
          <w:tcPr>
            <w:tcW w:w="836" w:type="pct"/>
            <w:shd w:val="clear" w:color="auto" w:fill="auto"/>
          </w:tcPr>
          <w:p w:rsidR="00C216A4" w:rsidRPr="005C56AB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5C56AB">
              <w:rPr>
                <w:rFonts w:cs="Arial"/>
                <w:sz w:val="19"/>
                <w:szCs w:val="19"/>
                <w:lang w:val="lt-LT"/>
              </w:rPr>
              <w:t>–</w:t>
            </w:r>
            <w:r>
              <w:rPr>
                <w:rFonts w:cs="Arial"/>
                <w:sz w:val="19"/>
                <w:szCs w:val="19"/>
                <w:lang w:val="lt-LT"/>
              </w:rPr>
              <w:t>2,2</w:t>
            </w: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Cukrus</w:t>
            </w:r>
          </w:p>
        </w:tc>
        <w:tc>
          <w:tcPr>
            <w:tcW w:w="63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5,4</w:t>
            </w:r>
          </w:p>
        </w:tc>
        <w:tc>
          <w:tcPr>
            <w:tcW w:w="1560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Šviežia ir atšaldyta žuvis</w:t>
            </w:r>
          </w:p>
        </w:tc>
        <w:tc>
          <w:tcPr>
            <w:tcW w:w="836" w:type="pct"/>
            <w:shd w:val="clear" w:color="auto" w:fill="auto"/>
          </w:tcPr>
          <w:p w:rsidR="00C216A4" w:rsidRPr="005C56AB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–1,8</w:t>
            </w: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Džiovintos daržovės</w:t>
            </w:r>
          </w:p>
        </w:tc>
        <w:tc>
          <w:tcPr>
            <w:tcW w:w="63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4,7</w:t>
            </w:r>
          </w:p>
        </w:tc>
        <w:tc>
          <w:tcPr>
            <w:tcW w:w="1560" w:type="pct"/>
            <w:shd w:val="clear" w:color="auto" w:fill="auto"/>
          </w:tcPr>
          <w:p w:rsidR="00C216A4" w:rsidRPr="00F466F3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Traškučiai</w:t>
            </w:r>
          </w:p>
        </w:tc>
        <w:tc>
          <w:tcPr>
            <w:tcW w:w="836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–1,1</w:t>
            </w: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Aliejus</w:t>
            </w:r>
          </w:p>
        </w:tc>
        <w:tc>
          <w:tcPr>
            <w:tcW w:w="63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4,5</w:t>
            </w:r>
          </w:p>
        </w:tc>
        <w:tc>
          <w:tcPr>
            <w:tcW w:w="1560" w:type="pct"/>
            <w:shd w:val="clear" w:color="auto" w:fill="auto"/>
          </w:tcPr>
          <w:p w:rsidR="00C216A4" w:rsidRPr="00F466F3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Duona</w:t>
            </w:r>
          </w:p>
        </w:tc>
        <w:tc>
          <w:tcPr>
            <w:tcW w:w="63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4,5</w:t>
            </w:r>
          </w:p>
        </w:tc>
        <w:tc>
          <w:tcPr>
            <w:tcW w:w="1560" w:type="pct"/>
            <w:shd w:val="clear" w:color="auto" w:fill="auto"/>
          </w:tcPr>
          <w:p w:rsidR="00C216A4" w:rsidRPr="00F466F3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Varškės sūris</w:t>
            </w:r>
          </w:p>
        </w:tc>
        <w:tc>
          <w:tcPr>
            <w:tcW w:w="63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4,4</w:t>
            </w:r>
          </w:p>
        </w:tc>
        <w:tc>
          <w:tcPr>
            <w:tcW w:w="1560" w:type="pct"/>
            <w:shd w:val="clear" w:color="auto" w:fill="auto"/>
          </w:tcPr>
          <w:p w:rsidR="00C216A4" w:rsidRPr="00F466F3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Grietinėlė</w:t>
            </w:r>
          </w:p>
        </w:tc>
        <w:tc>
          <w:tcPr>
            <w:tcW w:w="63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4,3</w:t>
            </w:r>
          </w:p>
        </w:tc>
        <w:tc>
          <w:tcPr>
            <w:tcW w:w="1560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Fermentinis sūris</w:t>
            </w:r>
          </w:p>
        </w:tc>
        <w:tc>
          <w:tcPr>
            <w:tcW w:w="63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4,2</w:t>
            </w:r>
          </w:p>
        </w:tc>
        <w:tc>
          <w:tcPr>
            <w:tcW w:w="1560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C216A4" w:rsidRPr="0012099D" w:rsidTr="00612AC8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C216A4" w:rsidRPr="0012099D" w:rsidRDefault="00C216A4" w:rsidP="00C216A4">
            <w:pPr>
              <w:pStyle w:val="BodyText"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b/>
                <w:sz w:val="19"/>
                <w:szCs w:val="19"/>
                <w:lang w:val="lt-LT"/>
              </w:rPr>
              <w:t>Alkoholiniai gėrimai ir tabako gaminiai</w:t>
            </w: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Pr="0012099D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sz w:val="19"/>
                <w:szCs w:val="19"/>
                <w:lang w:val="lt-LT"/>
              </w:rPr>
              <w:t>Spirituoti gėrimai</w:t>
            </w:r>
          </w:p>
        </w:tc>
        <w:tc>
          <w:tcPr>
            <w:tcW w:w="637" w:type="pct"/>
            <w:shd w:val="clear" w:color="auto" w:fill="auto"/>
          </w:tcPr>
          <w:p w:rsidR="00C216A4" w:rsidRPr="007708BA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0,9</w:t>
            </w:r>
          </w:p>
        </w:tc>
        <w:tc>
          <w:tcPr>
            <w:tcW w:w="1560" w:type="pct"/>
            <w:shd w:val="clear" w:color="auto" w:fill="auto"/>
          </w:tcPr>
          <w:p w:rsidR="00C216A4" w:rsidRPr="007708BA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C216A4" w:rsidRPr="005A7DB7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Vynas ir vyno produkcija</w:t>
            </w:r>
          </w:p>
        </w:tc>
        <w:tc>
          <w:tcPr>
            <w:tcW w:w="63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0,7</w:t>
            </w:r>
          </w:p>
        </w:tc>
        <w:tc>
          <w:tcPr>
            <w:tcW w:w="1560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Alus</w:t>
            </w:r>
          </w:p>
        </w:tc>
        <w:tc>
          <w:tcPr>
            <w:tcW w:w="63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0,2</w:t>
            </w:r>
          </w:p>
        </w:tc>
        <w:tc>
          <w:tcPr>
            <w:tcW w:w="1560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C216A4" w:rsidRPr="0012099D" w:rsidTr="00612AC8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C216A4" w:rsidRPr="0012099D" w:rsidRDefault="00C216A4" w:rsidP="00C216A4">
            <w:pPr>
              <w:pStyle w:val="BodyText"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b/>
                <w:sz w:val="19"/>
                <w:szCs w:val="19"/>
                <w:lang w:val="lt-LT"/>
              </w:rPr>
              <w:t>Ne maisto prekės</w:t>
            </w:r>
          </w:p>
        </w:tc>
      </w:tr>
      <w:tr w:rsidR="00C216A4" w:rsidRPr="0012099D" w:rsidTr="00C26399">
        <w:tc>
          <w:tcPr>
            <w:tcW w:w="1967" w:type="pct"/>
            <w:tcBorders>
              <w:top w:val="single" w:sz="4" w:space="0" w:color="auto"/>
            </w:tcBorders>
            <w:shd w:val="clear" w:color="auto" w:fill="auto"/>
          </w:tcPr>
          <w:p w:rsidR="00C216A4" w:rsidRPr="0012099D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Juvelyriniai dirbiniai </w:t>
            </w:r>
          </w:p>
        </w:tc>
        <w:tc>
          <w:tcPr>
            <w:tcW w:w="637" w:type="pct"/>
            <w:tcBorders>
              <w:top w:val="single" w:sz="4" w:space="0" w:color="auto"/>
            </w:tcBorders>
            <w:shd w:val="clear" w:color="auto" w:fill="auto"/>
          </w:tcPr>
          <w:p w:rsidR="00C216A4" w:rsidRPr="00F07500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7,4</w:t>
            </w:r>
          </w:p>
        </w:tc>
        <w:tc>
          <w:tcPr>
            <w:tcW w:w="1560" w:type="pct"/>
            <w:tcBorders>
              <w:top w:val="single" w:sz="4" w:space="0" w:color="auto"/>
            </w:tcBorders>
            <w:shd w:val="clear" w:color="auto" w:fill="auto"/>
          </w:tcPr>
          <w:p w:rsidR="00C216A4" w:rsidRPr="000332E0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Telefonų įranga </w:t>
            </w:r>
          </w:p>
        </w:tc>
        <w:tc>
          <w:tcPr>
            <w:tcW w:w="836" w:type="pct"/>
            <w:tcBorders>
              <w:top w:val="single" w:sz="4" w:space="0" w:color="auto"/>
            </w:tcBorders>
            <w:shd w:val="clear" w:color="auto" w:fill="auto"/>
          </w:tcPr>
          <w:p w:rsidR="00C216A4" w:rsidRPr="000332E0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–1,7</w:t>
            </w: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Drabužiai</w:t>
            </w:r>
          </w:p>
        </w:tc>
        <w:tc>
          <w:tcPr>
            <w:tcW w:w="63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7,3</w:t>
            </w:r>
          </w:p>
        </w:tc>
        <w:tc>
          <w:tcPr>
            <w:tcW w:w="1560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Neelektriniai virtuvės rykai</w:t>
            </w:r>
          </w:p>
        </w:tc>
        <w:tc>
          <w:tcPr>
            <w:tcW w:w="836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–1,6</w:t>
            </w: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Avalynė</w:t>
            </w:r>
          </w:p>
        </w:tc>
        <w:tc>
          <w:tcPr>
            <w:tcW w:w="63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5,5</w:t>
            </w:r>
          </w:p>
        </w:tc>
        <w:tc>
          <w:tcPr>
            <w:tcW w:w="1560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Asmeniniai kompiuteriai</w:t>
            </w:r>
          </w:p>
        </w:tc>
        <w:tc>
          <w:tcPr>
            <w:tcW w:w="836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–1,3</w:t>
            </w: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Padangos</w:t>
            </w:r>
          </w:p>
        </w:tc>
        <w:tc>
          <w:tcPr>
            <w:tcW w:w="63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3,8</w:t>
            </w:r>
          </w:p>
        </w:tc>
        <w:tc>
          <w:tcPr>
            <w:tcW w:w="1560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Garso ir vaizdo priėmimo, įrašymo ir atgaminimo įrenginiai</w:t>
            </w:r>
          </w:p>
        </w:tc>
        <w:tc>
          <w:tcPr>
            <w:tcW w:w="836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–0,6</w:t>
            </w: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Dviračiai</w:t>
            </w:r>
          </w:p>
        </w:tc>
        <w:tc>
          <w:tcPr>
            <w:tcW w:w="63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3,6</w:t>
            </w:r>
          </w:p>
        </w:tc>
        <w:tc>
          <w:tcPr>
            <w:tcW w:w="1560" w:type="pct"/>
            <w:shd w:val="clear" w:color="auto" w:fill="auto"/>
          </w:tcPr>
          <w:p w:rsidR="00C216A4" w:rsidRPr="000332E0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C216A4" w:rsidRPr="000332E0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C216A4" w:rsidRPr="0012099D" w:rsidTr="00C26399">
        <w:tc>
          <w:tcPr>
            <w:tcW w:w="196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Valgomieji ir kiti pjaunamieji įrankiai</w:t>
            </w:r>
          </w:p>
        </w:tc>
        <w:tc>
          <w:tcPr>
            <w:tcW w:w="63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3,1</w:t>
            </w:r>
          </w:p>
        </w:tc>
        <w:tc>
          <w:tcPr>
            <w:tcW w:w="156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16A4" w:rsidRPr="000332E0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C216A4" w:rsidRPr="0012099D" w:rsidTr="00612AC8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C216A4" w:rsidRPr="0012099D" w:rsidRDefault="00C216A4" w:rsidP="00C216A4">
            <w:pPr>
              <w:pStyle w:val="BodyText"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b/>
                <w:sz w:val="19"/>
                <w:szCs w:val="19"/>
                <w:lang w:val="lt-LT"/>
              </w:rPr>
              <w:t>Energetinės prekės</w:t>
            </w: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Pr="0012099D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sz w:val="19"/>
                <w:szCs w:val="19"/>
                <w:lang w:val="lt-LT"/>
              </w:rPr>
              <w:t>Sky</w:t>
            </w:r>
            <w:r w:rsidRPr="00E7310E">
              <w:rPr>
                <w:rFonts w:cs="Arial"/>
                <w:sz w:val="19"/>
                <w:szCs w:val="19"/>
                <w:lang w:val="lt-LT"/>
              </w:rPr>
              <w:t>stasi</w:t>
            </w:r>
            <w:r w:rsidRPr="0012099D">
              <w:rPr>
                <w:rFonts w:cs="Arial"/>
                <w:sz w:val="19"/>
                <w:szCs w:val="19"/>
                <w:lang w:val="lt-LT"/>
              </w:rPr>
              <w:t>s kuras</w:t>
            </w:r>
          </w:p>
        </w:tc>
        <w:tc>
          <w:tcPr>
            <w:tcW w:w="637" w:type="pct"/>
            <w:shd w:val="clear" w:color="auto" w:fill="auto"/>
          </w:tcPr>
          <w:p w:rsidR="00C216A4" w:rsidRPr="00573FC9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26,1</w:t>
            </w:r>
          </w:p>
        </w:tc>
        <w:tc>
          <w:tcPr>
            <w:tcW w:w="1560" w:type="pct"/>
            <w:shd w:val="clear" w:color="auto" w:fill="auto"/>
          </w:tcPr>
          <w:p w:rsidR="00C216A4" w:rsidRPr="0012099D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Elektros energija</w:t>
            </w:r>
          </w:p>
        </w:tc>
        <w:tc>
          <w:tcPr>
            <w:tcW w:w="836" w:type="pct"/>
            <w:shd w:val="clear" w:color="auto" w:fill="auto"/>
          </w:tcPr>
          <w:p w:rsidR="00C216A4" w:rsidRPr="00DC32BE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–0,5</w:t>
            </w: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Pr="001C3609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5A7DB7">
              <w:rPr>
                <w:rFonts w:cs="Arial"/>
                <w:sz w:val="19"/>
                <w:szCs w:val="19"/>
                <w:lang w:val="lt-LT"/>
              </w:rPr>
              <w:t>Dyzeliniai degalai</w:t>
            </w:r>
            <w:r w:rsidRPr="00015E7F">
              <w:rPr>
                <w:rFonts w:cs="Arial"/>
                <w:sz w:val="19"/>
                <w:szCs w:val="19"/>
                <w:lang w:val="lt-LT"/>
              </w:rPr>
              <w:t xml:space="preserve"> </w:t>
            </w:r>
          </w:p>
        </w:tc>
        <w:tc>
          <w:tcPr>
            <w:tcW w:w="63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22,5</w:t>
            </w:r>
          </w:p>
        </w:tc>
        <w:tc>
          <w:tcPr>
            <w:tcW w:w="1560" w:type="pct"/>
            <w:shd w:val="clear" w:color="auto" w:fill="auto"/>
          </w:tcPr>
          <w:p w:rsidR="00C216A4" w:rsidRPr="005A7DB7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C216A4" w:rsidRPr="00DC32BE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Pr="00015E7F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5A7DB7">
              <w:rPr>
                <w:rFonts w:cs="Arial"/>
                <w:sz w:val="19"/>
                <w:szCs w:val="19"/>
                <w:lang w:val="lt-LT"/>
              </w:rPr>
              <w:t>Benzinas</w:t>
            </w:r>
            <w:r>
              <w:rPr>
                <w:rFonts w:cs="Arial"/>
                <w:sz w:val="19"/>
                <w:szCs w:val="19"/>
                <w:lang w:val="lt-LT"/>
              </w:rPr>
              <w:t xml:space="preserve"> </w:t>
            </w:r>
          </w:p>
        </w:tc>
        <w:tc>
          <w:tcPr>
            <w:tcW w:w="63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14,1</w:t>
            </w:r>
          </w:p>
        </w:tc>
        <w:tc>
          <w:tcPr>
            <w:tcW w:w="1560" w:type="pct"/>
            <w:shd w:val="clear" w:color="auto" w:fill="auto"/>
          </w:tcPr>
          <w:p w:rsidR="00C216A4" w:rsidRPr="0012099D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sz w:val="19"/>
                <w:szCs w:val="19"/>
                <w:lang w:val="lt-LT"/>
              </w:rPr>
              <w:t>Suskystintos dujos maistui gaminti</w:t>
            </w:r>
          </w:p>
        </w:tc>
        <w:tc>
          <w:tcPr>
            <w:tcW w:w="63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6,7</w:t>
            </w:r>
          </w:p>
        </w:tc>
        <w:tc>
          <w:tcPr>
            <w:tcW w:w="1560" w:type="pct"/>
            <w:shd w:val="clear" w:color="auto" w:fill="auto"/>
          </w:tcPr>
          <w:p w:rsidR="00C216A4" w:rsidRPr="001C3609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Pr="001C3609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1C3609">
              <w:rPr>
                <w:rFonts w:cs="Arial"/>
                <w:sz w:val="19"/>
                <w:szCs w:val="19"/>
                <w:lang w:val="lt-LT"/>
              </w:rPr>
              <w:t>Suskystintos automobilinės dujos</w:t>
            </w:r>
          </w:p>
        </w:tc>
        <w:tc>
          <w:tcPr>
            <w:tcW w:w="63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2,2</w:t>
            </w:r>
          </w:p>
        </w:tc>
        <w:tc>
          <w:tcPr>
            <w:tcW w:w="1560" w:type="pct"/>
            <w:shd w:val="clear" w:color="auto" w:fill="auto"/>
          </w:tcPr>
          <w:p w:rsidR="00C216A4" w:rsidRPr="005A7DB7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C216A4" w:rsidRPr="00DC32BE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Pr="001C3609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Kietasis kuras</w:t>
            </w:r>
          </w:p>
        </w:tc>
        <w:tc>
          <w:tcPr>
            <w:tcW w:w="63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2,1</w:t>
            </w:r>
          </w:p>
        </w:tc>
        <w:tc>
          <w:tcPr>
            <w:tcW w:w="1560" w:type="pct"/>
            <w:shd w:val="clear" w:color="auto" w:fill="auto"/>
          </w:tcPr>
          <w:p w:rsidR="00C216A4" w:rsidRPr="005A7DB7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C216A4" w:rsidRPr="00DC32BE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Pr="0012099D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  <w:r w:rsidRPr="00015E7F">
              <w:rPr>
                <w:rFonts w:cs="Arial"/>
                <w:sz w:val="19"/>
                <w:szCs w:val="19"/>
                <w:lang w:val="lt-LT"/>
              </w:rPr>
              <w:t>Šilumos energija</w:t>
            </w:r>
          </w:p>
        </w:tc>
        <w:tc>
          <w:tcPr>
            <w:tcW w:w="637" w:type="pct"/>
            <w:shd w:val="clear" w:color="auto" w:fill="auto"/>
          </w:tcPr>
          <w:p w:rsidR="00C216A4" w:rsidRPr="00573FC9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0,3</w:t>
            </w:r>
          </w:p>
        </w:tc>
        <w:tc>
          <w:tcPr>
            <w:tcW w:w="1560" w:type="pct"/>
            <w:shd w:val="clear" w:color="auto" w:fill="auto"/>
          </w:tcPr>
          <w:p w:rsidR="00C216A4" w:rsidRPr="005A7DB7" w:rsidRDefault="00C216A4" w:rsidP="00C216A4">
            <w:pPr>
              <w:pStyle w:val="BodyText"/>
              <w:spacing w:before="40" w:after="3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C216A4" w:rsidRPr="00DC32BE" w:rsidRDefault="00C216A4" w:rsidP="00C216A4">
            <w:pPr>
              <w:pStyle w:val="BodyText"/>
              <w:spacing w:before="40" w:after="3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C216A4" w:rsidRPr="0012099D" w:rsidTr="00612AC8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EC3"/>
          </w:tcPr>
          <w:p w:rsidR="00C216A4" w:rsidRPr="0012099D" w:rsidRDefault="00C216A4" w:rsidP="00C216A4">
            <w:pPr>
              <w:pStyle w:val="BodyText"/>
              <w:keepNext/>
              <w:spacing w:before="40" w:after="40"/>
              <w:jc w:val="center"/>
              <w:rPr>
                <w:rFonts w:cs="Arial"/>
                <w:b/>
                <w:sz w:val="19"/>
                <w:szCs w:val="19"/>
                <w:lang w:val="lt-LT"/>
              </w:rPr>
            </w:pPr>
            <w:r w:rsidRPr="0012099D">
              <w:rPr>
                <w:rFonts w:cs="Arial"/>
                <w:b/>
                <w:sz w:val="19"/>
                <w:szCs w:val="19"/>
                <w:lang w:val="lt-LT"/>
              </w:rPr>
              <w:t>Paslaugos</w:t>
            </w: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Pr="00F671DC" w:rsidRDefault="00C216A4" w:rsidP="00C216A4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Atostogų išvykų </w:t>
            </w:r>
          </w:p>
        </w:tc>
        <w:tc>
          <w:tcPr>
            <w:tcW w:w="637" w:type="pct"/>
            <w:shd w:val="clear" w:color="auto" w:fill="auto"/>
          </w:tcPr>
          <w:p w:rsidR="00C216A4" w:rsidRPr="00EF1214" w:rsidRDefault="00C216A4" w:rsidP="00C216A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6,2</w:t>
            </w:r>
          </w:p>
        </w:tc>
        <w:tc>
          <w:tcPr>
            <w:tcW w:w="1560" w:type="pct"/>
            <w:shd w:val="clear" w:color="auto" w:fill="auto"/>
          </w:tcPr>
          <w:p w:rsidR="00C216A4" w:rsidRPr="006C453D" w:rsidRDefault="00C216A4" w:rsidP="00C216A4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Sanatorijų</w:t>
            </w:r>
          </w:p>
        </w:tc>
        <w:tc>
          <w:tcPr>
            <w:tcW w:w="836" w:type="pct"/>
            <w:shd w:val="clear" w:color="auto" w:fill="auto"/>
          </w:tcPr>
          <w:p w:rsidR="00C216A4" w:rsidRPr="00EF1214" w:rsidRDefault="00C216A4" w:rsidP="00C216A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–1,9</w:t>
            </w: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Viešbučių</w:t>
            </w:r>
          </w:p>
        </w:tc>
        <w:tc>
          <w:tcPr>
            <w:tcW w:w="637" w:type="pct"/>
            <w:shd w:val="clear" w:color="auto" w:fill="auto"/>
          </w:tcPr>
          <w:p w:rsidR="00C216A4" w:rsidRPr="00EF1214" w:rsidRDefault="00C216A4" w:rsidP="00C216A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5,4</w:t>
            </w:r>
          </w:p>
        </w:tc>
        <w:tc>
          <w:tcPr>
            <w:tcW w:w="1560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C216A4" w:rsidRPr="00154C78" w:rsidRDefault="00C216A4" w:rsidP="00C216A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Pr="00F656FC" w:rsidRDefault="00C216A4" w:rsidP="00C216A4">
            <w:pPr>
              <w:pStyle w:val="BodyText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0D7A2E">
              <w:rPr>
                <w:rFonts w:cs="Arial"/>
                <w:sz w:val="19"/>
                <w:szCs w:val="19"/>
                <w:lang w:val="lt-LT"/>
              </w:rPr>
              <w:t>Keleivių vežimo oro transportu</w:t>
            </w:r>
          </w:p>
        </w:tc>
        <w:tc>
          <w:tcPr>
            <w:tcW w:w="63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2,9</w:t>
            </w:r>
          </w:p>
        </w:tc>
        <w:tc>
          <w:tcPr>
            <w:tcW w:w="1560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C216A4" w:rsidRPr="00154C78" w:rsidRDefault="00C216A4" w:rsidP="00C216A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Pr="00F656FC" w:rsidRDefault="00C216A4" w:rsidP="00C216A4">
            <w:pPr>
              <w:pStyle w:val="BodyText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Muziejų</w:t>
            </w:r>
          </w:p>
        </w:tc>
        <w:tc>
          <w:tcPr>
            <w:tcW w:w="63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2,9</w:t>
            </w:r>
          </w:p>
        </w:tc>
        <w:tc>
          <w:tcPr>
            <w:tcW w:w="1560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C216A4" w:rsidRPr="00154C78" w:rsidRDefault="00C216A4" w:rsidP="00C216A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Transporto draudimo</w:t>
            </w:r>
          </w:p>
        </w:tc>
        <w:tc>
          <w:tcPr>
            <w:tcW w:w="63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2,5</w:t>
            </w:r>
          </w:p>
        </w:tc>
        <w:tc>
          <w:tcPr>
            <w:tcW w:w="1560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Default="00C216A4" w:rsidP="00581DEE">
            <w:pPr>
              <w:pStyle w:val="BodyText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Aprangos valym</w:t>
            </w:r>
            <w:r w:rsidR="00581DEE">
              <w:rPr>
                <w:rFonts w:cs="Arial"/>
                <w:sz w:val="19"/>
                <w:szCs w:val="19"/>
                <w:lang w:val="lt-LT"/>
              </w:rPr>
              <w:t>o</w:t>
            </w:r>
            <w:r>
              <w:rPr>
                <w:rFonts w:cs="Arial"/>
                <w:sz w:val="19"/>
                <w:szCs w:val="19"/>
                <w:lang w:val="lt-LT"/>
              </w:rPr>
              <w:t>, taisym</w:t>
            </w:r>
            <w:r w:rsidR="00581DEE">
              <w:rPr>
                <w:rFonts w:cs="Arial"/>
                <w:sz w:val="19"/>
                <w:szCs w:val="19"/>
                <w:lang w:val="lt-LT"/>
              </w:rPr>
              <w:t>o</w:t>
            </w:r>
            <w:r>
              <w:rPr>
                <w:rFonts w:cs="Arial"/>
                <w:sz w:val="19"/>
                <w:szCs w:val="19"/>
                <w:lang w:val="lt-LT"/>
              </w:rPr>
              <w:t xml:space="preserve"> ir nuom</w:t>
            </w:r>
            <w:r w:rsidR="00581DEE">
              <w:rPr>
                <w:rFonts w:cs="Arial"/>
                <w:sz w:val="19"/>
                <w:szCs w:val="19"/>
                <w:lang w:val="lt-LT"/>
              </w:rPr>
              <w:t>os</w:t>
            </w:r>
          </w:p>
        </w:tc>
        <w:tc>
          <w:tcPr>
            <w:tcW w:w="63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2,5</w:t>
            </w:r>
          </w:p>
        </w:tc>
        <w:tc>
          <w:tcPr>
            <w:tcW w:w="1560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Vairavimo mokymo</w:t>
            </w:r>
          </w:p>
        </w:tc>
        <w:tc>
          <w:tcPr>
            <w:tcW w:w="63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2,4</w:t>
            </w:r>
          </w:p>
        </w:tc>
        <w:tc>
          <w:tcPr>
            <w:tcW w:w="1560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Baldų remonto</w:t>
            </w:r>
          </w:p>
        </w:tc>
        <w:tc>
          <w:tcPr>
            <w:tcW w:w="637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2,1</w:t>
            </w:r>
          </w:p>
        </w:tc>
        <w:tc>
          <w:tcPr>
            <w:tcW w:w="1560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C216A4" w:rsidRPr="0012099D" w:rsidTr="00C26399">
        <w:tc>
          <w:tcPr>
            <w:tcW w:w="1967" w:type="pct"/>
            <w:shd w:val="clear" w:color="auto" w:fill="auto"/>
          </w:tcPr>
          <w:p w:rsidR="00C216A4" w:rsidRPr="005A0B16" w:rsidRDefault="00C216A4" w:rsidP="00C216A4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V</w:t>
            </w:r>
            <w:r w:rsidRPr="006237F4">
              <w:rPr>
                <w:rFonts w:cs="Arial"/>
                <w:sz w:val="19"/>
                <w:szCs w:val="19"/>
                <w:lang w:val="lt-LT"/>
              </w:rPr>
              <w:t>iešojo maitinimo</w:t>
            </w:r>
          </w:p>
        </w:tc>
        <w:tc>
          <w:tcPr>
            <w:tcW w:w="637" w:type="pct"/>
            <w:shd w:val="clear" w:color="auto" w:fill="auto"/>
          </w:tcPr>
          <w:p w:rsidR="00C216A4" w:rsidRPr="00EF1214" w:rsidRDefault="00C216A4" w:rsidP="00C216A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1,2</w:t>
            </w:r>
          </w:p>
        </w:tc>
        <w:tc>
          <w:tcPr>
            <w:tcW w:w="1560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40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836" w:type="pct"/>
            <w:shd w:val="clear" w:color="auto" w:fill="auto"/>
          </w:tcPr>
          <w:p w:rsidR="00C216A4" w:rsidRDefault="00C216A4" w:rsidP="00C216A4">
            <w:pPr>
              <w:pStyle w:val="BodyText"/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</w:p>
        </w:tc>
      </w:tr>
    </w:tbl>
    <w:p w:rsidR="00A976AC" w:rsidRPr="009A7C00" w:rsidRDefault="00A976AC" w:rsidP="009A7C00">
      <w:pPr>
        <w:pStyle w:val="BodyText"/>
        <w:ind w:left="709"/>
        <w:jc w:val="both"/>
        <w:rPr>
          <w:lang w:val="lt-LT"/>
        </w:rPr>
      </w:pPr>
    </w:p>
    <w:p w:rsidR="00033784" w:rsidRDefault="003336F7" w:rsidP="00E2132F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6B12E8">
        <w:rPr>
          <w:b/>
          <w:lang w:val="lt-LT"/>
        </w:rPr>
        <w:t>20</w:t>
      </w:r>
      <w:r>
        <w:rPr>
          <w:b/>
          <w:lang w:val="lt-LT"/>
        </w:rPr>
        <w:t>22</w:t>
      </w:r>
      <w:r w:rsidRPr="006B12E8">
        <w:rPr>
          <w:b/>
          <w:lang w:val="lt-LT"/>
        </w:rPr>
        <w:t xml:space="preserve"> m. </w:t>
      </w:r>
      <w:r>
        <w:rPr>
          <w:b/>
          <w:lang w:val="lt-LT"/>
        </w:rPr>
        <w:t>kovo</w:t>
      </w:r>
      <w:r w:rsidRPr="006B12E8">
        <w:rPr>
          <w:b/>
          <w:lang w:val="lt-LT"/>
        </w:rPr>
        <w:t xml:space="preserve"> </w:t>
      </w:r>
      <w:r w:rsidRPr="00A54AF8">
        <w:rPr>
          <w:b/>
          <w:color w:val="9BBB59" w:themeColor="accent3"/>
          <w:lang w:val="lt-LT"/>
        </w:rPr>
        <w:t>metinė</w:t>
      </w:r>
      <w:r w:rsidRPr="006B12E8">
        <w:rPr>
          <w:b/>
          <w:lang w:val="lt-LT"/>
        </w:rPr>
        <w:t xml:space="preserve"> (20</w:t>
      </w:r>
      <w:r>
        <w:rPr>
          <w:b/>
          <w:lang w:val="lt-LT"/>
        </w:rPr>
        <w:t>22</w:t>
      </w:r>
      <w:r w:rsidRPr="006B12E8">
        <w:rPr>
          <w:b/>
          <w:lang w:val="lt-LT"/>
        </w:rPr>
        <w:t xml:space="preserve"> m. </w:t>
      </w:r>
      <w:r>
        <w:rPr>
          <w:b/>
          <w:lang w:val="lt-LT"/>
        </w:rPr>
        <w:t>kovą</w:t>
      </w:r>
      <w:r w:rsidRPr="006B12E8">
        <w:rPr>
          <w:b/>
          <w:lang w:val="lt-LT"/>
        </w:rPr>
        <w:t>, palyginti su 20</w:t>
      </w:r>
      <w:r>
        <w:rPr>
          <w:b/>
          <w:lang w:val="lt-LT"/>
        </w:rPr>
        <w:t>21</w:t>
      </w:r>
      <w:r w:rsidRPr="006B12E8">
        <w:rPr>
          <w:b/>
          <w:lang w:val="lt-LT"/>
        </w:rPr>
        <w:t xml:space="preserve"> m. </w:t>
      </w:r>
      <w:r>
        <w:rPr>
          <w:b/>
          <w:lang w:val="lt-LT"/>
        </w:rPr>
        <w:t>kovu</w:t>
      </w:r>
      <w:r w:rsidRPr="006B12E8">
        <w:rPr>
          <w:b/>
          <w:lang w:val="lt-LT"/>
        </w:rPr>
        <w:t xml:space="preserve">) </w:t>
      </w:r>
      <w:r w:rsidRPr="00A54AF8">
        <w:rPr>
          <w:b/>
          <w:color w:val="9BBB59" w:themeColor="accent3"/>
          <w:lang w:val="lt-LT"/>
        </w:rPr>
        <w:t>infliacija</w:t>
      </w:r>
      <w:r w:rsidRPr="006B12E8">
        <w:rPr>
          <w:b/>
          <w:lang w:val="lt-LT"/>
        </w:rPr>
        <w:t xml:space="preserve"> sudarė </w:t>
      </w:r>
      <w:r>
        <w:rPr>
          <w:b/>
          <w:lang w:val="lt-LT"/>
        </w:rPr>
        <w:t>15,7</w:t>
      </w:r>
      <w:r w:rsidRPr="009C1845">
        <w:rPr>
          <w:b/>
          <w:lang w:val="lt-LT"/>
        </w:rPr>
        <w:t> proc</w:t>
      </w:r>
      <w:r w:rsidRPr="006B12E8">
        <w:rPr>
          <w:b/>
          <w:lang w:val="lt-LT"/>
        </w:rPr>
        <w:t>.</w:t>
      </w:r>
      <w:r>
        <w:rPr>
          <w:lang w:val="lt-LT"/>
        </w:rPr>
        <w:t> </w:t>
      </w:r>
      <w:r w:rsidRPr="001E0510">
        <w:rPr>
          <w:lang w:val="lt-LT"/>
        </w:rPr>
        <w:t>Metinei infliacijai</w:t>
      </w:r>
      <w:r w:rsidRPr="00FE19B4">
        <w:rPr>
          <w:lang w:val="lt-LT"/>
        </w:rPr>
        <w:t xml:space="preserve"> daugiausia</w:t>
      </w:r>
      <w:r w:rsidRPr="00ED7B25">
        <w:rPr>
          <w:lang w:val="lt-LT"/>
        </w:rPr>
        <w:t xml:space="preserve"> įtakos</w:t>
      </w:r>
      <w:r w:rsidRPr="00BB3E2A">
        <w:rPr>
          <w:lang w:val="lt-LT"/>
        </w:rPr>
        <w:t xml:space="preserve"> turėjo </w:t>
      </w:r>
      <w:r>
        <w:rPr>
          <w:lang w:val="lt-LT"/>
        </w:rPr>
        <w:t>degalų ir tepalų, šilumos energijos, kietojo kuro, pieno ir jo produktų, sūrio ir kiaušinių, duonos ir grūdų produktų,</w:t>
      </w:r>
      <w:r w:rsidRPr="006F0A76">
        <w:rPr>
          <w:lang w:val="lt-LT"/>
        </w:rPr>
        <w:t xml:space="preserve"> dujų,</w:t>
      </w:r>
      <w:r>
        <w:rPr>
          <w:lang w:val="lt-LT"/>
        </w:rPr>
        <w:t xml:space="preserve"> </w:t>
      </w:r>
      <w:r w:rsidRPr="006F0A76">
        <w:rPr>
          <w:lang w:val="lt-LT"/>
        </w:rPr>
        <w:t>daržovių,</w:t>
      </w:r>
      <w:r>
        <w:rPr>
          <w:lang w:val="lt-LT"/>
        </w:rPr>
        <w:t xml:space="preserve"> </w:t>
      </w:r>
      <w:r w:rsidRPr="006F0A76">
        <w:rPr>
          <w:lang w:val="lt-LT"/>
        </w:rPr>
        <w:t>restoranų</w:t>
      </w:r>
      <w:r w:rsidRPr="009F6D33">
        <w:rPr>
          <w:lang w:val="lt-LT"/>
        </w:rPr>
        <w:t xml:space="preserve">, </w:t>
      </w:r>
      <w:r w:rsidRPr="00E72A52">
        <w:rPr>
          <w:lang w:val="lt-LT"/>
        </w:rPr>
        <w:t xml:space="preserve">kavinių </w:t>
      </w:r>
      <w:r w:rsidRPr="004E6AAC">
        <w:rPr>
          <w:lang w:val="lt-LT"/>
        </w:rPr>
        <w:t xml:space="preserve">ir </w:t>
      </w:r>
      <w:r w:rsidRPr="00E72A52">
        <w:rPr>
          <w:lang w:val="lt-LT"/>
        </w:rPr>
        <w:t>panašių įstaigų paslaugų</w:t>
      </w:r>
      <w:r>
        <w:rPr>
          <w:lang w:val="lt-LT"/>
        </w:rPr>
        <w:t xml:space="preserve">, asmeninių transporto priemonių techninės priežiūros ir remonto </w:t>
      </w:r>
      <w:r w:rsidRPr="00E5502D">
        <w:rPr>
          <w:lang w:val="lt-LT"/>
        </w:rPr>
        <w:t>paslaug</w:t>
      </w:r>
      <w:r>
        <w:rPr>
          <w:lang w:val="lt-LT"/>
        </w:rPr>
        <w:t>ų, elektros energijos kainų</w:t>
      </w:r>
      <w:r w:rsidRPr="00E5406F">
        <w:rPr>
          <w:lang w:val="lt-LT"/>
        </w:rPr>
        <w:t xml:space="preserve"> padidėjimas bei </w:t>
      </w:r>
      <w:r>
        <w:rPr>
          <w:lang w:val="lt-LT"/>
        </w:rPr>
        <w:t>k</w:t>
      </w:r>
      <w:r w:rsidRPr="001E0510">
        <w:rPr>
          <w:lang w:val="lt-LT"/>
        </w:rPr>
        <w:t xml:space="preserve">eleivių vežimo oro transportu </w:t>
      </w:r>
      <w:r w:rsidR="00AE043A">
        <w:rPr>
          <w:lang w:val="lt-LT"/>
        </w:rPr>
        <w:t xml:space="preserve">paslaugų </w:t>
      </w:r>
      <w:r w:rsidR="00581DEE" w:rsidRPr="00E5406F">
        <w:rPr>
          <w:lang w:val="lt-LT"/>
        </w:rPr>
        <w:t xml:space="preserve">kainų </w:t>
      </w:r>
      <w:r w:rsidRPr="00E5406F">
        <w:rPr>
          <w:lang w:val="lt-LT"/>
        </w:rPr>
        <w:t>sumažėjimas.</w:t>
      </w:r>
    </w:p>
    <w:p w:rsidR="003336F7" w:rsidRPr="006B12E8" w:rsidRDefault="003336F7" w:rsidP="00E2132F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9C1845">
        <w:rPr>
          <w:lang w:val="lt-LT"/>
        </w:rPr>
        <w:t>Vartojimo p</w:t>
      </w:r>
      <w:r w:rsidRPr="006B12E8">
        <w:rPr>
          <w:lang w:val="lt-LT"/>
        </w:rPr>
        <w:t xml:space="preserve">rekių kainos </w:t>
      </w:r>
      <w:r w:rsidRPr="00166518">
        <w:rPr>
          <w:lang w:val="lt-LT"/>
        </w:rPr>
        <w:t>per metus padidėjo</w:t>
      </w:r>
      <w:r>
        <w:rPr>
          <w:lang w:val="lt-LT"/>
        </w:rPr>
        <w:t xml:space="preserve"> 17,9 </w:t>
      </w:r>
      <w:r w:rsidRPr="006B12E8">
        <w:rPr>
          <w:lang w:val="lt-LT"/>
        </w:rPr>
        <w:t>proc., paslaugų –</w:t>
      </w:r>
      <w:r>
        <w:rPr>
          <w:lang w:val="lt-LT"/>
        </w:rPr>
        <w:t xml:space="preserve"> 10,5 </w:t>
      </w:r>
      <w:r w:rsidRPr="006B12E8">
        <w:rPr>
          <w:lang w:val="lt-LT"/>
        </w:rPr>
        <w:t>proc.</w:t>
      </w:r>
    </w:p>
    <w:p w:rsidR="006065B0" w:rsidRDefault="00E5406F" w:rsidP="00E2132F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9C1845">
        <w:rPr>
          <w:lang w:val="lt-LT"/>
        </w:rPr>
        <w:t>V</w:t>
      </w:r>
      <w:r w:rsidR="00033784" w:rsidRPr="009C1845">
        <w:rPr>
          <w:lang w:val="lt-LT"/>
        </w:rPr>
        <w:t>alstybės ir savivaldybių</w:t>
      </w:r>
      <w:r w:rsidR="00033784" w:rsidRPr="006B12E8">
        <w:rPr>
          <w:lang w:val="lt-LT"/>
        </w:rPr>
        <w:t xml:space="preserve"> institucijų </w:t>
      </w:r>
      <w:r w:rsidR="006D6A67" w:rsidRPr="006B12E8">
        <w:rPr>
          <w:lang w:val="lt-LT"/>
        </w:rPr>
        <w:t>administruojamos</w:t>
      </w:r>
      <w:r w:rsidR="00033784" w:rsidRPr="006B12E8">
        <w:rPr>
          <w:lang w:val="lt-LT"/>
        </w:rPr>
        <w:t xml:space="preserve"> kainos </w:t>
      </w:r>
      <w:r>
        <w:rPr>
          <w:lang w:val="lt-LT"/>
        </w:rPr>
        <w:t xml:space="preserve">per metus </w:t>
      </w:r>
      <w:r w:rsidR="00C22567">
        <w:rPr>
          <w:lang w:val="lt-LT"/>
        </w:rPr>
        <w:t xml:space="preserve">padidėjo </w:t>
      </w:r>
      <w:r w:rsidR="00EB1D0B">
        <w:rPr>
          <w:lang w:val="lt-LT"/>
        </w:rPr>
        <w:t>21</w:t>
      </w:r>
      <w:r w:rsidR="00166518">
        <w:rPr>
          <w:lang w:val="lt-LT"/>
        </w:rPr>
        <w:t>,</w:t>
      </w:r>
      <w:r w:rsidR="001E0510">
        <w:rPr>
          <w:lang w:val="lt-LT"/>
        </w:rPr>
        <w:t>5</w:t>
      </w:r>
      <w:r w:rsidR="00556CE2">
        <w:rPr>
          <w:lang w:val="lt-LT"/>
        </w:rPr>
        <w:t> </w:t>
      </w:r>
      <w:r w:rsidR="00033784" w:rsidRPr="006B12E8">
        <w:rPr>
          <w:lang w:val="lt-LT"/>
        </w:rPr>
        <w:t>proc</w:t>
      </w:r>
      <w:r w:rsidR="00D22085" w:rsidRPr="006B12E8">
        <w:rPr>
          <w:lang w:val="lt-LT"/>
        </w:rPr>
        <w:t>.</w:t>
      </w:r>
      <w:r w:rsidR="00033784" w:rsidRPr="006B12E8">
        <w:rPr>
          <w:lang w:val="lt-LT"/>
        </w:rPr>
        <w:t xml:space="preserve">, </w:t>
      </w:r>
      <w:r w:rsidR="00033784" w:rsidRPr="006F02CB">
        <w:rPr>
          <w:lang w:val="lt-LT"/>
        </w:rPr>
        <w:t>rinkos</w:t>
      </w:r>
      <w:r w:rsidR="00556CE2">
        <w:rPr>
          <w:lang w:val="lt-LT"/>
        </w:rPr>
        <w:t> </w:t>
      </w:r>
      <w:r w:rsidR="00411029">
        <w:rPr>
          <w:lang w:val="lt-LT"/>
        </w:rPr>
        <w:t>–</w:t>
      </w:r>
      <w:r w:rsidR="00B7708A">
        <w:rPr>
          <w:lang w:val="lt-LT"/>
        </w:rPr>
        <w:t>1</w:t>
      </w:r>
      <w:r w:rsidR="001E0510">
        <w:rPr>
          <w:lang w:val="lt-LT"/>
        </w:rPr>
        <w:t>4</w:t>
      </w:r>
      <w:r w:rsidR="00380DB5">
        <w:rPr>
          <w:lang w:val="lt-LT"/>
        </w:rPr>
        <w:t>,</w:t>
      </w:r>
      <w:r w:rsidR="001E0510">
        <w:rPr>
          <w:lang w:val="lt-LT"/>
        </w:rPr>
        <w:t>8</w:t>
      </w:r>
      <w:r w:rsidR="00556CE2">
        <w:rPr>
          <w:lang w:val="lt-LT"/>
        </w:rPr>
        <w:t> </w:t>
      </w:r>
      <w:r w:rsidR="000600DA">
        <w:rPr>
          <w:lang w:val="lt-LT"/>
        </w:rPr>
        <w:t>proc.</w:t>
      </w:r>
    </w:p>
    <w:p w:rsidR="00A650AF" w:rsidRDefault="00A650AF" w:rsidP="003C2B2A">
      <w:pPr>
        <w:pStyle w:val="BodyText"/>
        <w:jc w:val="both"/>
        <w:rPr>
          <w:lang w:val="lt-LT"/>
        </w:rPr>
      </w:pPr>
    </w:p>
    <w:p w:rsidR="003C2B2A" w:rsidRPr="005A0256" w:rsidRDefault="003C2B2A" w:rsidP="003C2B2A">
      <w:pPr>
        <w:pStyle w:val="Lentelespav"/>
        <w:jc w:val="left"/>
        <w:rPr>
          <w:sz w:val="16"/>
          <w:szCs w:val="16"/>
          <w:lang w:val="lt-LT"/>
        </w:rPr>
      </w:pPr>
    </w:p>
    <w:p w:rsidR="003C2B2A" w:rsidRDefault="003C2B2A" w:rsidP="003C2B2A">
      <w:pPr>
        <w:pStyle w:val="Lentelespav"/>
        <w:jc w:val="left"/>
        <w:rPr>
          <w:lang w:val="lt-LT"/>
        </w:rPr>
      </w:pPr>
      <w:r>
        <w:rPr>
          <w:lang w:val="lt-LT"/>
        </w:rPr>
        <w:t>2</w:t>
      </w:r>
      <w:r w:rsidRPr="0075445C">
        <w:rPr>
          <w:lang w:val="lt-LT"/>
        </w:rPr>
        <w:t xml:space="preserve"> pav. Metinė infliacija 201</w:t>
      </w:r>
      <w:r w:rsidR="001B6622">
        <w:rPr>
          <w:lang w:val="lt-LT"/>
        </w:rPr>
        <w:t>7</w:t>
      </w:r>
      <w:r w:rsidRPr="0075445C">
        <w:rPr>
          <w:lang w:val="lt-LT"/>
        </w:rPr>
        <w:t>–202</w:t>
      </w:r>
      <w:r w:rsidR="001B6622">
        <w:rPr>
          <w:lang w:val="lt-LT"/>
        </w:rPr>
        <w:t>2</w:t>
      </w:r>
      <w:r w:rsidRPr="0075445C">
        <w:rPr>
          <w:lang w:val="lt-LT"/>
        </w:rPr>
        <w:t xml:space="preserve"> m. </w:t>
      </w:r>
      <w:r w:rsidR="001E0510">
        <w:rPr>
          <w:lang w:val="lt-LT"/>
        </w:rPr>
        <w:t>kov</w:t>
      </w:r>
      <w:r w:rsidR="00C24F87">
        <w:rPr>
          <w:lang w:val="lt-LT"/>
        </w:rPr>
        <w:t>o</w:t>
      </w:r>
      <w:r w:rsidRPr="006E2608">
        <w:rPr>
          <w:lang w:val="lt-LT"/>
        </w:rPr>
        <w:t xml:space="preserve"> mė</w:t>
      </w:r>
      <w:r w:rsidRPr="0075445C">
        <w:rPr>
          <w:lang w:val="lt-LT"/>
        </w:rPr>
        <w:t>n.</w:t>
      </w:r>
    </w:p>
    <w:p w:rsidR="003C2B2A" w:rsidRDefault="003C2B2A" w:rsidP="003C2B2A">
      <w:pPr>
        <w:pStyle w:val="Lentelespav"/>
        <w:jc w:val="left"/>
        <w:rPr>
          <w:sz w:val="16"/>
          <w:szCs w:val="16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581EF363" wp14:editId="2ACD6A2D">
            <wp:extent cx="6120000" cy="2520000"/>
            <wp:effectExtent l="0" t="0" r="0" b="0"/>
            <wp:docPr id="4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C2B2A" w:rsidRDefault="003C2B2A" w:rsidP="0035509F">
      <w:pPr>
        <w:pStyle w:val="Lentelespav"/>
        <w:jc w:val="left"/>
        <w:rPr>
          <w:sz w:val="16"/>
          <w:szCs w:val="16"/>
          <w:lang w:val="lt-LT"/>
        </w:rPr>
      </w:pPr>
    </w:p>
    <w:p w:rsidR="00964771" w:rsidRDefault="00964771" w:rsidP="0035509F">
      <w:pPr>
        <w:pStyle w:val="Lentelespav"/>
        <w:jc w:val="left"/>
        <w:rPr>
          <w:sz w:val="16"/>
          <w:szCs w:val="16"/>
          <w:lang w:val="lt-LT"/>
        </w:rPr>
      </w:pPr>
    </w:p>
    <w:p w:rsidR="00A84A2C" w:rsidRDefault="00A84A2C" w:rsidP="00A84A2C">
      <w:pPr>
        <w:pStyle w:val="BodyText"/>
        <w:numPr>
          <w:ilvl w:val="0"/>
          <w:numId w:val="1"/>
        </w:numPr>
        <w:ind w:left="709" w:hanging="357"/>
        <w:jc w:val="both"/>
        <w:rPr>
          <w:lang w:val="lt-LT"/>
        </w:rPr>
      </w:pPr>
      <w:r w:rsidRPr="00AD0BAB">
        <w:rPr>
          <w:b/>
          <w:lang w:val="lt-LT"/>
        </w:rPr>
        <w:t>20</w:t>
      </w:r>
      <w:r>
        <w:rPr>
          <w:b/>
          <w:lang w:val="lt-LT"/>
        </w:rPr>
        <w:t>2</w:t>
      </w:r>
      <w:r w:rsidR="001B6622">
        <w:rPr>
          <w:b/>
          <w:lang w:val="lt-LT"/>
        </w:rPr>
        <w:t>2</w:t>
      </w:r>
      <w:r w:rsidRPr="00AD0BAB">
        <w:rPr>
          <w:b/>
          <w:lang w:val="lt-LT"/>
        </w:rPr>
        <w:t xml:space="preserve"> m. </w:t>
      </w:r>
      <w:r w:rsidR="00EC4562">
        <w:rPr>
          <w:b/>
          <w:lang w:val="lt-LT"/>
        </w:rPr>
        <w:t>kovą</w:t>
      </w:r>
      <w:r w:rsidRPr="006B12E8">
        <w:rPr>
          <w:b/>
          <w:lang w:val="lt-LT"/>
        </w:rPr>
        <w:t xml:space="preserve"> </w:t>
      </w:r>
      <w:r w:rsidRPr="00D93FA7">
        <w:rPr>
          <w:b/>
          <w:color w:val="9BBB59" w:themeColor="accent3"/>
          <w:lang w:val="lt-LT"/>
        </w:rPr>
        <w:t xml:space="preserve">vidutinė metinė infliacija </w:t>
      </w:r>
      <w:r w:rsidRPr="006B12E8">
        <w:rPr>
          <w:b/>
          <w:lang w:val="lt-LT"/>
        </w:rPr>
        <w:t xml:space="preserve">sudarė </w:t>
      </w:r>
      <w:r w:rsidR="00A947B9">
        <w:rPr>
          <w:b/>
          <w:lang w:val="lt-LT"/>
        </w:rPr>
        <w:t>8</w:t>
      </w:r>
      <w:r w:rsidRPr="006B12E8">
        <w:rPr>
          <w:b/>
          <w:lang w:val="lt-LT"/>
        </w:rPr>
        <w:t xml:space="preserve"> proc.</w:t>
      </w:r>
      <w:r w:rsidRPr="006B12E8">
        <w:rPr>
          <w:lang w:val="lt-LT"/>
        </w:rPr>
        <w:t xml:space="preserve"> </w:t>
      </w:r>
    </w:p>
    <w:p w:rsidR="00E97363" w:rsidRDefault="00E97363" w:rsidP="00E97363">
      <w:pPr>
        <w:pStyle w:val="BodyText"/>
        <w:jc w:val="both"/>
        <w:rPr>
          <w:lang w:val="lt-LT"/>
        </w:rPr>
      </w:pPr>
    </w:p>
    <w:p w:rsidR="00A84A2C" w:rsidRPr="006B12E8" w:rsidRDefault="00A84A2C" w:rsidP="005A0256">
      <w:pPr>
        <w:widowControl w:val="0"/>
        <w:spacing w:before="240"/>
        <w:outlineLvl w:val="1"/>
        <w:rPr>
          <w:b/>
          <w:lang w:val="lt-LT"/>
        </w:rPr>
      </w:pPr>
      <w:r>
        <w:rPr>
          <w:b/>
          <w:lang w:val="lt-LT"/>
        </w:rPr>
        <w:t>3</w:t>
      </w:r>
      <w:r w:rsidRPr="006B12E8">
        <w:rPr>
          <w:b/>
          <w:lang w:val="lt-LT"/>
        </w:rPr>
        <w:t xml:space="preserve"> pav. Vidutinė metinė infliacija </w:t>
      </w:r>
      <w:r w:rsidR="00827769" w:rsidRPr="00827769">
        <w:rPr>
          <w:b/>
          <w:lang w:val="lt-LT"/>
        </w:rPr>
        <w:t>201</w:t>
      </w:r>
      <w:r w:rsidR="001B6622">
        <w:rPr>
          <w:b/>
          <w:lang w:val="lt-LT"/>
        </w:rPr>
        <w:t>7</w:t>
      </w:r>
      <w:r w:rsidR="00827769" w:rsidRPr="00827769">
        <w:rPr>
          <w:b/>
          <w:lang w:val="lt-LT"/>
        </w:rPr>
        <w:t>–202</w:t>
      </w:r>
      <w:r w:rsidR="001B6622">
        <w:rPr>
          <w:b/>
          <w:lang w:val="lt-LT"/>
        </w:rPr>
        <w:t>2</w:t>
      </w:r>
      <w:r w:rsidR="00827769" w:rsidRPr="00827769">
        <w:rPr>
          <w:b/>
          <w:lang w:val="lt-LT"/>
        </w:rPr>
        <w:t xml:space="preserve"> m. </w:t>
      </w:r>
      <w:r w:rsidR="00FA0CDD">
        <w:rPr>
          <w:b/>
          <w:lang w:val="lt-LT"/>
        </w:rPr>
        <w:t>kov</w:t>
      </w:r>
      <w:r w:rsidR="001857D6">
        <w:rPr>
          <w:b/>
          <w:lang w:val="lt-LT"/>
        </w:rPr>
        <w:t>o</w:t>
      </w:r>
      <w:r w:rsidR="00827769" w:rsidRPr="00827769">
        <w:rPr>
          <w:b/>
          <w:lang w:val="lt-LT"/>
        </w:rPr>
        <w:t xml:space="preserve"> mėn.</w:t>
      </w:r>
    </w:p>
    <w:p w:rsidR="00A84A2C" w:rsidRPr="00D6560E" w:rsidRDefault="00681204" w:rsidP="00A84A2C">
      <w:pPr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2CA258A" wp14:editId="51CF78B7">
            <wp:extent cx="6089650" cy="1693628"/>
            <wp:effectExtent l="0" t="0" r="6350" b="0"/>
            <wp:docPr id="3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83BB7" w:rsidRDefault="00283BB7" w:rsidP="0035509F">
      <w:pPr>
        <w:pStyle w:val="Lentelespav"/>
        <w:jc w:val="left"/>
        <w:rPr>
          <w:lang w:val="lt-LT"/>
        </w:rPr>
      </w:pPr>
    </w:p>
    <w:p w:rsidR="00F44AA0" w:rsidRDefault="00F44AA0" w:rsidP="0035509F">
      <w:pPr>
        <w:pStyle w:val="Lentelespav"/>
        <w:jc w:val="left"/>
        <w:rPr>
          <w:lang w:val="lt-LT"/>
        </w:rPr>
      </w:pPr>
    </w:p>
    <w:p w:rsidR="00343AFE" w:rsidRDefault="00343AFE" w:rsidP="00343AFE">
      <w:pPr>
        <w:pStyle w:val="Lentelespav"/>
        <w:jc w:val="left"/>
        <w:rPr>
          <w:lang w:val="lt-LT"/>
        </w:rPr>
      </w:pPr>
      <w:r w:rsidRPr="006B12E8">
        <w:rPr>
          <w:lang w:val="lt-LT"/>
        </w:rPr>
        <w:t>2 lentelė. Vartojimo prekių ir paslaugų kainų pokyčiai 20</w:t>
      </w:r>
      <w:r>
        <w:rPr>
          <w:lang w:val="lt-LT"/>
        </w:rPr>
        <w:t>2</w:t>
      </w:r>
      <w:r w:rsidR="004A4A75">
        <w:rPr>
          <w:lang w:val="lt-LT"/>
        </w:rPr>
        <w:t>2</w:t>
      </w:r>
      <w:r w:rsidRPr="006B12E8">
        <w:rPr>
          <w:lang w:val="lt-LT"/>
        </w:rPr>
        <w:t xml:space="preserve"> m. </w:t>
      </w:r>
      <w:r w:rsidR="00FA0CDD">
        <w:rPr>
          <w:lang w:val="lt-LT"/>
        </w:rPr>
        <w:t>kov</w:t>
      </w:r>
      <w:r w:rsidR="00F363C7">
        <w:rPr>
          <w:lang w:val="lt-LT"/>
        </w:rPr>
        <w:t>o</w:t>
      </w:r>
      <w:r w:rsidRPr="006B12E8">
        <w:rPr>
          <w:lang w:val="lt-LT"/>
        </w:rPr>
        <w:t xml:space="preserve"> mėn.</w:t>
      </w:r>
    </w:p>
    <w:p w:rsidR="00343AFE" w:rsidRPr="00187B9D" w:rsidRDefault="00343AFE" w:rsidP="00343AFE">
      <w:pPr>
        <w:spacing w:before="60" w:after="60"/>
        <w:rPr>
          <w:sz w:val="18"/>
          <w:szCs w:val="18"/>
          <w:lang w:val="lt-LT"/>
        </w:rPr>
      </w:pPr>
      <w:r w:rsidRPr="00187B9D">
        <w:rPr>
          <w:sz w:val="18"/>
          <w:szCs w:val="18"/>
          <w:lang w:val="lt-LT"/>
        </w:rPr>
        <w:t>Procentais</w:t>
      </w:r>
    </w:p>
    <w:tbl>
      <w:tblPr>
        <w:tblW w:w="5000" w:type="pct"/>
        <w:tblBorders>
          <w:top w:val="single" w:sz="12" w:space="0" w:color="auto"/>
          <w:bottom w:val="single" w:sz="6" w:space="0" w:color="auto"/>
        </w:tblBorders>
        <w:tblLook w:val="0000" w:firstRow="0" w:lastRow="0" w:firstColumn="0" w:lastColumn="0" w:noHBand="0" w:noVBand="0"/>
      </w:tblPr>
      <w:tblGrid>
        <w:gridCol w:w="2560"/>
        <w:gridCol w:w="1315"/>
        <w:gridCol w:w="1175"/>
        <w:gridCol w:w="945"/>
        <w:gridCol w:w="947"/>
        <w:gridCol w:w="2686"/>
      </w:tblGrid>
      <w:tr w:rsidR="00093645" w:rsidRPr="00187B9D" w:rsidTr="00093645">
        <w:trPr>
          <w:cantSplit/>
          <w:tblHeader/>
        </w:trPr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093645" w:rsidRPr="00187B9D" w:rsidRDefault="00093645" w:rsidP="00BC483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 xml:space="preserve">Vartojimo prekių ir paslaugų skyriai pagal COICOP </w:t>
            </w:r>
            <w:r>
              <w:rPr>
                <w:rFonts w:cs="Arial"/>
                <w:sz w:val="19"/>
                <w:szCs w:val="19"/>
                <w:lang w:val="lt-LT"/>
              </w:rPr>
              <w:t>1999</w:t>
            </w:r>
            <w:r w:rsidRPr="00296EFB">
              <w:rPr>
                <w:rFonts w:cs="Arial"/>
                <w:sz w:val="19"/>
                <w:szCs w:val="19"/>
                <w:vertAlign w:val="superscript"/>
                <w:lang w:val="lt-LT"/>
              </w:rPr>
              <w:t>1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093645" w:rsidRPr="00187B9D" w:rsidRDefault="00093645" w:rsidP="00BC483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Vartojimo išlaidų lyginam</w:t>
            </w:r>
            <w:r>
              <w:rPr>
                <w:rFonts w:cs="Arial"/>
                <w:sz w:val="19"/>
                <w:szCs w:val="19"/>
                <w:lang w:val="lt-LT"/>
              </w:rPr>
              <w:t>osios dalys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 xml:space="preserve"> bendrose vartojimo išlaidose</w:t>
            </w:r>
          </w:p>
        </w:tc>
        <w:tc>
          <w:tcPr>
            <w:tcW w:w="29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D2D2"/>
          </w:tcPr>
          <w:p w:rsidR="00093645" w:rsidRPr="00187B9D" w:rsidRDefault="00093645" w:rsidP="00BC483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Kainų padidėjimas</w:t>
            </w:r>
            <w:r>
              <w:rPr>
                <w:rFonts w:cs="Arial"/>
                <w:sz w:val="19"/>
                <w:szCs w:val="19"/>
                <w:lang w:val="lt-LT"/>
              </w:rPr>
              <w:t>, sumažėjimas (–)</w:t>
            </w:r>
          </w:p>
        </w:tc>
      </w:tr>
      <w:tr w:rsidR="00093645" w:rsidRPr="00187B9D" w:rsidTr="00855FC9">
        <w:trPr>
          <w:cantSplit/>
          <w:trHeight w:val="370"/>
          <w:tblHeader/>
        </w:trPr>
        <w:tc>
          <w:tcPr>
            <w:tcW w:w="13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093645" w:rsidRPr="00187B9D" w:rsidRDefault="00093645" w:rsidP="00BC4837">
            <w:pPr>
              <w:spacing w:before="40" w:after="40"/>
              <w:ind w:right="-85"/>
              <w:jc w:val="center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093645" w:rsidRPr="00187B9D" w:rsidRDefault="00093645" w:rsidP="00BC4837">
            <w:pPr>
              <w:spacing w:before="40" w:after="40"/>
              <w:ind w:right="-85"/>
              <w:jc w:val="center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D2D2"/>
          </w:tcPr>
          <w:p w:rsidR="00093645" w:rsidRPr="00187B9D" w:rsidRDefault="00093645" w:rsidP="00C8474E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20</w:t>
            </w:r>
            <w:r>
              <w:rPr>
                <w:rFonts w:cs="Arial"/>
                <w:sz w:val="19"/>
                <w:szCs w:val="19"/>
                <w:lang w:val="lt-LT"/>
              </w:rPr>
              <w:t>22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> m</w:t>
            </w:r>
            <w:r>
              <w:rPr>
                <w:rFonts w:cs="Arial"/>
                <w:sz w:val="19"/>
                <w:szCs w:val="19"/>
                <w:lang w:val="lt-LT"/>
              </w:rPr>
              <w:t xml:space="preserve">. </w:t>
            </w:r>
            <w:r w:rsidR="00C8474E">
              <w:rPr>
                <w:rFonts w:cs="Arial"/>
                <w:sz w:val="19"/>
                <w:szCs w:val="19"/>
                <w:lang w:val="lt-LT"/>
              </w:rPr>
              <w:t>kov</w:t>
            </w:r>
            <w:r>
              <w:rPr>
                <w:rFonts w:cs="Arial"/>
                <w:sz w:val="19"/>
                <w:szCs w:val="19"/>
                <w:lang w:val="lt-LT"/>
              </w:rPr>
              <w:t>o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 mėn., palyginti su</w:t>
            </w:r>
          </w:p>
        </w:tc>
        <w:tc>
          <w:tcPr>
            <w:tcW w:w="1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093645" w:rsidRPr="00187B9D" w:rsidRDefault="00093645" w:rsidP="00BC483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vidutinis metinis</w:t>
            </w:r>
          </w:p>
          <w:p w:rsidR="00093645" w:rsidRPr="00187B9D" w:rsidRDefault="00093645" w:rsidP="00C8474E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u w:val="single"/>
                <w:lang w:val="lt-LT"/>
              </w:rPr>
              <w:t>20</w:t>
            </w:r>
            <w:r>
              <w:rPr>
                <w:rFonts w:cs="Arial"/>
                <w:sz w:val="19"/>
                <w:szCs w:val="19"/>
                <w:u w:val="single"/>
                <w:lang w:val="lt-LT"/>
              </w:rPr>
              <w:t>21</w:t>
            </w:r>
            <w:r w:rsidRPr="00187B9D">
              <w:rPr>
                <w:rFonts w:cs="Arial"/>
                <w:sz w:val="19"/>
                <w:szCs w:val="19"/>
                <w:u w:val="single"/>
                <w:lang w:val="lt-LT"/>
              </w:rPr>
              <w:t>–20</w:t>
            </w:r>
            <w:r>
              <w:rPr>
                <w:rFonts w:cs="Arial"/>
                <w:sz w:val="19"/>
                <w:szCs w:val="19"/>
                <w:u w:val="single"/>
                <w:lang w:val="lt-LT"/>
              </w:rPr>
              <w:t>22</w:t>
            </w:r>
            <w:r w:rsidRPr="00187B9D">
              <w:rPr>
                <w:rFonts w:cs="Arial"/>
                <w:sz w:val="19"/>
                <w:szCs w:val="19"/>
                <w:u w:val="single"/>
                <w:lang w:val="lt-LT"/>
              </w:rPr>
              <w:t xml:space="preserve"> m. </w:t>
            </w:r>
            <w:r w:rsidR="00C8474E">
              <w:rPr>
                <w:rFonts w:cs="Arial"/>
                <w:sz w:val="19"/>
                <w:szCs w:val="19"/>
                <w:u w:val="single"/>
                <w:lang w:val="lt-LT"/>
              </w:rPr>
              <w:t>kov</w:t>
            </w:r>
            <w:r>
              <w:rPr>
                <w:rFonts w:cs="Arial"/>
                <w:sz w:val="19"/>
                <w:szCs w:val="19"/>
                <w:u w:val="single"/>
                <w:lang w:val="lt-LT"/>
              </w:rPr>
              <w:t>o</w:t>
            </w:r>
            <w:r w:rsidRPr="00187B9D">
              <w:rPr>
                <w:rFonts w:cs="Arial"/>
                <w:sz w:val="19"/>
                <w:szCs w:val="19"/>
                <w:u w:val="single"/>
                <w:lang w:val="lt-LT"/>
              </w:rPr>
              <w:t xml:space="preserve"> mėn.</w:t>
            </w:r>
            <w:r>
              <w:rPr>
                <w:rFonts w:cs="Arial"/>
                <w:sz w:val="19"/>
                <w:szCs w:val="19"/>
                <w:u w:val="single"/>
                <w:lang w:val="lt-LT"/>
              </w:rPr>
              <w:br/>
            </w:r>
            <w:r w:rsidRPr="00187B9D">
              <w:rPr>
                <w:rFonts w:cs="Arial"/>
                <w:sz w:val="19"/>
                <w:szCs w:val="19"/>
                <w:lang w:val="lt-LT"/>
              </w:rPr>
              <w:t>20</w:t>
            </w:r>
            <w:r>
              <w:rPr>
                <w:rFonts w:cs="Arial"/>
                <w:sz w:val="19"/>
                <w:szCs w:val="19"/>
                <w:lang w:val="lt-LT"/>
              </w:rPr>
              <w:t>20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>–20</w:t>
            </w:r>
            <w:r>
              <w:rPr>
                <w:rFonts w:cs="Arial"/>
                <w:sz w:val="19"/>
                <w:szCs w:val="19"/>
                <w:lang w:val="lt-LT"/>
              </w:rPr>
              <w:t>21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 m. </w:t>
            </w:r>
            <w:r w:rsidR="00C8474E">
              <w:rPr>
                <w:rFonts w:cs="Arial"/>
                <w:sz w:val="19"/>
                <w:szCs w:val="19"/>
                <w:lang w:val="lt-LT"/>
              </w:rPr>
              <w:t>kov</w:t>
            </w:r>
            <w:r>
              <w:rPr>
                <w:rFonts w:cs="Arial"/>
                <w:sz w:val="19"/>
                <w:szCs w:val="19"/>
                <w:lang w:val="lt-LT"/>
              </w:rPr>
              <w:t>o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 mėn.</w:t>
            </w:r>
          </w:p>
        </w:tc>
      </w:tr>
      <w:tr w:rsidR="00093645" w:rsidRPr="00187B9D" w:rsidTr="00093645">
        <w:trPr>
          <w:cantSplit/>
          <w:trHeight w:val="369"/>
          <w:tblHeader/>
        </w:trPr>
        <w:tc>
          <w:tcPr>
            <w:tcW w:w="13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093645" w:rsidRPr="00187B9D" w:rsidRDefault="00093645" w:rsidP="00BC4837">
            <w:pPr>
              <w:spacing w:before="40" w:after="40"/>
              <w:ind w:right="-85"/>
              <w:jc w:val="center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093645" w:rsidRPr="00187B9D" w:rsidRDefault="00093645" w:rsidP="00BC4837">
            <w:pPr>
              <w:spacing w:before="40" w:after="40"/>
              <w:ind w:right="-85"/>
              <w:jc w:val="center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093645" w:rsidRPr="00187B9D" w:rsidRDefault="00093645" w:rsidP="00C8474E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20</w:t>
            </w:r>
            <w:r>
              <w:rPr>
                <w:rFonts w:cs="Arial"/>
                <w:sz w:val="19"/>
                <w:szCs w:val="19"/>
                <w:lang w:val="lt-LT"/>
              </w:rPr>
              <w:t>22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 m. 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br/>
            </w:r>
            <w:r w:rsidR="00C8474E">
              <w:rPr>
                <w:rFonts w:cs="Arial"/>
                <w:sz w:val="19"/>
                <w:szCs w:val="19"/>
                <w:lang w:val="lt-LT"/>
              </w:rPr>
              <w:t>vasar</w:t>
            </w:r>
            <w:r>
              <w:rPr>
                <w:rFonts w:cs="Arial"/>
                <w:sz w:val="19"/>
                <w:szCs w:val="19"/>
                <w:lang w:val="lt-LT"/>
              </w:rPr>
              <w:t>io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 mėn.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D2D2"/>
          </w:tcPr>
          <w:p w:rsidR="00093645" w:rsidRPr="00187B9D" w:rsidRDefault="00093645" w:rsidP="00093645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20</w:t>
            </w:r>
            <w:r>
              <w:rPr>
                <w:rFonts w:cs="Arial"/>
                <w:sz w:val="19"/>
                <w:szCs w:val="19"/>
                <w:lang w:val="lt-LT"/>
              </w:rPr>
              <w:t>21</w:t>
            </w:r>
            <w:r w:rsidRPr="00187B9D">
              <w:rPr>
                <w:rFonts w:cs="Arial"/>
                <w:sz w:val="19"/>
                <w:szCs w:val="19"/>
                <w:lang w:val="lt-LT"/>
              </w:rPr>
              <w:t xml:space="preserve"> m. </w:t>
            </w:r>
          </w:p>
        </w:tc>
        <w:tc>
          <w:tcPr>
            <w:tcW w:w="13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093645" w:rsidRPr="00187B9D" w:rsidRDefault="00093645" w:rsidP="00BC483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093645" w:rsidRPr="00187B9D" w:rsidTr="00093645">
        <w:trPr>
          <w:cantSplit/>
          <w:trHeight w:val="881"/>
          <w:tblHeader/>
        </w:trPr>
        <w:tc>
          <w:tcPr>
            <w:tcW w:w="13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093645" w:rsidRPr="00187B9D" w:rsidRDefault="00093645" w:rsidP="00BC4837">
            <w:pPr>
              <w:spacing w:before="40" w:after="40"/>
              <w:ind w:right="-85"/>
              <w:jc w:val="center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093645" w:rsidRPr="00187B9D" w:rsidRDefault="00093645" w:rsidP="00BC4837">
            <w:pPr>
              <w:spacing w:before="40" w:after="40"/>
              <w:ind w:right="-85"/>
              <w:jc w:val="center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093645" w:rsidRPr="00187B9D" w:rsidRDefault="00093645" w:rsidP="00BC483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093645" w:rsidRPr="00187B9D" w:rsidRDefault="00093645" w:rsidP="00BC483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 xml:space="preserve">gruodžio </w:t>
            </w:r>
            <w:r w:rsidRPr="00283BB7">
              <w:rPr>
                <w:rFonts w:cs="Arial"/>
                <w:sz w:val="19"/>
                <w:szCs w:val="19"/>
                <w:lang w:val="lt-LT"/>
              </w:rPr>
              <w:t>mėn.</w:t>
            </w: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093645" w:rsidRPr="00187B9D" w:rsidRDefault="00C8474E" w:rsidP="00BC483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kov</w:t>
            </w:r>
            <w:r w:rsidR="00093645">
              <w:rPr>
                <w:rFonts w:cs="Arial"/>
                <w:sz w:val="19"/>
                <w:szCs w:val="19"/>
                <w:lang w:val="lt-LT"/>
              </w:rPr>
              <w:t>o</w:t>
            </w:r>
            <w:r w:rsidR="00093645" w:rsidRPr="00283BB7">
              <w:rPr>
                <w:rFonts w:cs="Arial"/>
                <w:sz w:val="19"/>
                <w:szCs w:val="19"/>
                <w:lang w:val="lt-LT"/>
              </w:rPr>
              <w:t xml:space="preserve"> mėn.</w:t>
            </w:r>
          </w:p>
        </w:tc>
        <w:tc>
          <w:tcPr>
            <w:tcW w:w="1395" w:type="pct"/>
            <w:tcBorders>
              <w:left w:val="single" w:sz="4" w:space="0" w:color="auto"/>
              <w:right w:val="single" w:sz="4" w:space="0" w:color="auto"/>
            </w:tcBorders>
            <w:shd w:val="clear" w:color="auto" w:fill="F0D2D2"/>
          </w:tcPr>
          <w:p w:rsidR="00093645" w:rsidRPr="00187B9D" w:rsidRDefault="00093645" w:rsidP="00BC4837">
            <w:pPr>
              <w:spacing w:before="40" w:after="40"/>
              <w:ind w:right="-85"/>
              <w:rPr>
                <w:rFonts w:cs="Arial"/>
                <w:sz w:val="19"/>
                <w:szCs w:val="19"/>
                <w:lang w:val="lt-LT"/>
              </w:rPr>
            </w:pPr>
          </w:p>
        </w:tc>
      </w:tr>
      <w:tr w:rsidR="00855FC9" w:rsidRPr="00187B9D" w:rsidTr="00C132A2">
        <w:trPr>
          <w:cantSplit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855FC9" w:rsidRPr="00187B9D" w:rsidRDefault="00855FC9" w:rsidP="00855FC9">
            <w:pPr>
              <w:spacing w:before="40" w:after="40"/>
              <w:ind w:right="-85"/>
              <w:rPr>
                <w:rFonts w:cs="Arial"/>
                <w:b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b/>
                <w:sz w:val="19"/>
                <w:szCs w:val="19"/>
                <w:lang w:val="lt-LT"/>
              </w:rPr>
              <w:t>Vartojimo prekės ir paslaugos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855FC9" w:rsidRPr="006B12E8" w:rsidRDefault="00855FC9" w:rsidP="00855FC9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b/>
                <w:sz w:val="19"/>
                <w:szCs w:val="19"/>
                <w:lang w:val="lt-LT"/>
              </w:rPr>
              <w:t>100,0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855FC9" w:rsidRPr="006B12E8" w:rsidRDefault="003563E1" w:rsidP="00855FC9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2,4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855FC9" w:rsidRPr="00187B9D" w:rsidRDefault="003563E1" w:rsidP="00855FC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6,5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855FC9" w:rsidRDefault="00C8474E" w:rsidP="00855FC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15,7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855FC9" w:rsidRPr="00187B9D" w:rsidRDefault="00C8474E" w:rsidP="00855FC9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8,0</w:t>
            </w:r>
          </w:p>
        </w:tc>
      </w:tr>
      <w:tr w:rsidR="00855FC9" w:rsidRPr="00187B9D" w:rsidTr="00C132A2">
        <w:trPr>
          <w:cantSplit/>
        </w:trPr>
        <w:tc>
          <w:tcPr>
            <w:tcW w:w="1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187B9D" w:rsidRDefault="00855FC9" w:rsidP="00855FC9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Maisto produktai ir nealkoholiniai gėrimai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6B12E8" w:rsidRDefault="00855FC9" w:rsidP="00855FC9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2</w:t>
            </w:r>
            <w:r>
              <w:rPr>
                <w:rFonts w:cs="Arial"/>
                <w:sz w:val="19"/>
                <w:szCs w:val="19"/>
                <w:lang w:val="lt-LT"/>
              </w:rPr>
              <w:t>1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97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6B12E8" w:rsidRDefault="003563E1" w:rsidP="00855FC9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2,5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187B9D" w:rsidRDefault="003563E1" w:rsidP="00855FC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8,0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9C534C" w:rsidRDefault="00C8474E" w:rsidP="00855FC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17,1</w:t>
            </w: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55FC9" w:rsidRPr="00187B9D" w:rsidRDefault="00C8474E" w:rsidP="00855FC9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6,5</w:t>
            </w:r>
          </w:p>
        </w:tc>
      </w:tr>
      <w:tr w:rsidR="00855FC9" w:rsidRPr="00187B9D" w:rsidTr="00C132A2">
        <w:trPr>
          <w:cantSplit/>
        </w:trPr>
        <w:tc>
          <w:tcPr>
            <w:tcW w:w="1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187B9D" w:rsidRDefault="00855FC9" w:rsidP="00855FC9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Alkoholiniai gėrimai ir tabako gaminiai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6B12E8" w:rsidRDefault="00855FC9" w:rsidP="00855FC9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8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42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6B12E8" w:rsidRDefault="003563E1" w:rsidP="00855FC9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0,4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187B9D" w:rsidRDefault="003563E1" w:rsidP="00855FC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7,0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9C534C" w:rsidRDefault="00C8474E" w:rsidP="00855FC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7,9</w:t>
            </w: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55FC9" w:rsidRPr="00187B9D" w:rsidRDefault="00C8474E" w:rsidP="00855FC9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3,2</w:t>
            </w:r>
          </w:p>
        </w:tc>
      </w:tr>
      <w:tr w:rsidR="00855FC9" w:rsidRPr="00187B9D" w:rsidTr="00C132A2">
        <w:trPr>
          <w:cantSplit/>
        </w:trPr>
        <w:tc>
          <w:tcPr>
            <w:tcW w:w="1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187B9D" w:rsidRDefault="00855FC9" w:rsidP="00855FC9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Drabužiai ir avalynė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6B12E8" w:rsidRDefault="00855FC9" w:rsidP="00855FC9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94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6B12E8" w:rsidRDefault="003563E1" w:rsidP="00855FC9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6,8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187B9D" w:rsidRDefault="00C216A4" w:rsidP="00855FC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–</w:t>
            </w:r>
            <w:r w:rsidR="003563E1">
              <w:rPr>
                <w:rFonts w:cs="Arial"/>
                <w:sz w:val="19"/>
                <w:szCs w:val="19"/>
                <w:lang w:val="lt-LT"/>
              </w:rPr>
              <w:t>3,6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9C534C" w:rsidRDefault="00C8474E" w:rsidP="00855FC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4,0</w:t>
            </w: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55FC9" w:rsidRPr="00187B9D" w:rsidRDefault="00C8474E" w:rsidP="00855FC9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2,2</w:t>
            </w:r>
          </w:p>
        </w:tc>
      </w:tr>
      <w:tr w:rsidR="00855FC9" w:rsidRPr="00187B9D" w:rsidTr="00C132A2">
        <w:trPr>
          <w:cantSplit/>
        </w:trPr>
        <w:tc>
          <w:tcPr>
            <w:tcW w:w="1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187B9D" w:rsidRDefault="00855FC9" w:rsidP="00855FC9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Būstas, vanduo, elektra, dujos ir kitas kuras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6B12E8" w:rsidRDefault="00855FC9" w:rsidP="00855FC9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1</w:t>
            </w:r>
            <w:r>
              <w:rPr>
                <w:rFonts w:cs="Arial"/>
                <w:sz w:val="19"/>
                <w:szCs w:val="19"/>
                <w:lang w:val="lt-LT"/>
              </w:rPr>
              <w:t>2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69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6B12E8" w:rsidRDefault="003563E1" w:rsidP="00855FC9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0,7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187B9D" w:rsidRDefault="003563E1" w:rsidP="00855FC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13,0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9C534C" w:rsidRDefault="00C8474E" w:rsidP="00855FC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37,5</w:t>
            </w: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55FC9" w:rsidRPr="00187B9D" w:rsidRDefault="00C8474E" w:rsidP="00855FC9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17,9</w:t>
            </w:r>
          </w:p>
        </w:tc>
      </w:tr>
      <w:tr w:rsidR="00855FC9" w:rsidRPr="00187B9D" w:rsidTr="00C132A2">
        <w:trPr>
          <w:cantSplit/>
        </w:trPr>
        <w:tc>
          <w:tcPr>
            <w:tcW w:w="1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187B9D" w:rsidRDefault="00855FC9" w:rsidP="00855FC9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Būsto apstatymas, namų apyvokos įranga ir kasdienė būsto priežiūra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6B12E8" w:rsidRDefault="00855FC9" w:rsidP="00855FC9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5,</w:t>
            </w:r>
            <w:r>
              <w:rPr>
                <w:rFonts w:cs="Arial"/>
                <w:sz w:val="19"/>
                <w:szCs w:val="19"/>
                <w:lang w:val="lt-LT"/>
              </w:rPr>
              <w:t>43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6B12E8" w:rsidRDefault="003563E1" w:rsidP="00855FC9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1,1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187B9D" w:rsidRDefault="003563E1" w:rsidP="00855FC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4,6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9C534C" w:rsidRDefault="00C8474E" w:rsidP="00855FC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13,2</w:t>
            </w: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55FC9" w:rsidRPr="00187B9D" w:rsidRDefault="00C8474E" w:rsidP="00855FC9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6,6</w:t>
            </w:r>
          </w:p>
        </w:tc>
      </w:tr>
      <w:tr w:rsidR="00855FC9" w:rsidRPr="00187B9D" w:rsidTr="00C132A2">
        <w:trPr>
          <w:cantSplit/>
        </w:trPr>
        <w:tc>
          <w:tcPr>
            <w:tcW w:w="1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187B9D" w:rsidRDefault="00855FC9" w:rsidP="00855FC9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Sveikatos priežiūra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6B12E8" w:rsidRDefault="00855FC9" w:rsidP="00855FC9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7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96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6B12E8" w:rsidRDefault="003563E1" w:rsidP="00855FC9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0,2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187B9D" w:rsidRDefault="003563E1" w:rsidP="00855FC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2,0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9C534C" w:rsidRDefault="00C8474E" w:rsidP="00855FC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5,7</w:t>
            </w: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55FC9" w:rsidRPr="00187B9D" w:rsidRDefault="00C8474E" w:rsidP="00855FC9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4,9</w:t>
            </w:r>
          </w:p>
        </w:tc>
      </w:tr>
      <w:tr w:rsidR="00855FC9" w:rsidRPr="00187B9D" w:rsidTr="00C132A2">
        <w:trPr>
          <w:cantSplit/>
        </w:trPr>
        <w:tc>
          <w:tcPr>
            <w:tcW w:w="1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187B9D" w:rsidRDefault="00855FC9" w:rsidP="00855FC9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Transportas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6B12E8" w:rsidRDefault="00855FC9" w:rsidP="00855FC9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1</w:t>
            </w:r>
            <w:r>
              <w:rPr>
                <w:rFonts w:cs="Arial"/>
                <w:sz w:val="19"/>
                <w:szCs w:val="19"/>
                <w:lang w:val="lt-LT"/>
              </w:rPr>
              <w:t>3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67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6B12E8" w:rsidRDefault="003563E1" w:rsidP="00855FC9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7,5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187B9D" w:rsidRDefault="003563E1" w:rsidP="00855FC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9,9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9C534C" w:rsidRDefault="00C8474E" w:rsidP="00855FC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22,1</w:t>
            </w: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55FC9" w:rsidRPr="00187B9D" w:rsidRDefault="00C8474E" w:rsidP="00855FC9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14,1</w:t>
            </w:r>
          </w:p>
        </w:tc>
      </w:tr>
      <w:tr w:rsidR="00855FC9" w:rsidRPr="00187B9D" w:rsidTr="00C132A2">
        <w:trPr>
          <w:cantSplit/>
        </w:trPr>
        <w:tc>
          <w:tcPr>
            <w:tcW w:w="1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187B9D" w:rsidRDefault="00855FC9" w:rsidP="00855FC9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Ryšiai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6B12E8" w:rsidRDefault="00855FC9" w:rsidP="00855FC9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93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6B12E8" w:rsidRDefault="003563E1" w:rsidP="00855FC9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0,5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187B9D" w:rsidRDefault="003563E1" w:rsidP="00855FC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1,5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9C534C" w:rsidRDefault="00C8474E" w:rsidP="00855FC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3,7</w:t>
            </w: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55FC9" w:rsidRPr="00187B9D" w:rsidRDefault="00C8474E" w:rsidP="00855FC9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2,7</w:t>
            </w:r>
          </w:p>
        </w:tc>
      </w:tr>
      <w:tr w:rsidR="00855FC9" w:rsidRPr="00187B9D" w:rsidTr="00C132A2">
        <w:trPr>
          <w:cantSplit/>
        </w:trPr>
        <w:tc>
          <w:tcPr>
            <w:tcW w:w="1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187B9D" w:rsidRDefault="00855FC9" w:rsidP="00855FC9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Poilsis ir kultūra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6B12E8" w:rsidRDefault="00855FC9" w:rsidP="00855FC9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95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6B12E8" w:rsidRDefault="003563E1" w:rsidP="00855FC9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187B9D" w:rsidRDefault="003563E1" w:rsidP="00855FC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2,7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9C534C" w:rsidRDefault="00C8474E" w:rsidP="00855FC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9,9</w:t>
            </w: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55FC9" w:rsidRPr="00187B9D" w:rsidRDefault="00C8474E" w:rsidP="00855FC9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6,6</w:t>
            </w:r>
          </w:p>
        </w:tc>
      </w:tr>
      <w:tr w:rsidR="00855FC9" w:rsidRPr="00187B9D" w:rsidTr="00C132A2">
        <w:trPr>
          <w:cantSplit/>
        </w:trPr>
        <w:tc>
          <w:tcPr>
            <w:tcW w:w="1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187B9D" w:rsidRDefault="00855FC9" w:rsidP="00855FC9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Švietimas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6B12E8" w:rsidRDefault="00855FC9" w:rsidP="00855FC9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 w:rsidRPr="006B12E8">
              <w:rPr>
                <w:rFonts w:cs="Arial"/>
                <w:sz w:val="19"/>
                <w:szCs w:val="19"/>
                <w:lang w:val="lt-LT"/>
              </w:rPr>
              <w:t>1,</w:t>
            </w:r>
            <w:r>
              <w:rPr>
                <w:rFonts w:cs="Arial"/>
                <w:sz w:val="19"/>
                <w:szCs w:val="19"/>
                <w:lang w:val="lt-LT"/>
              </w:rPr>
              <w:t>79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6B12E8" w:rsidRDefault="003563E1" w:rsidP="00855FC9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0,1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187B9D" w:rsidRDefault="003563E1" w:rsidP="00855FC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0,7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9C534C" w:rsidRDefault="00C8474E" w:rsidP="00855FC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7,6</w:t>
            </w: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55FC9" w:rsidRPr="00187B9D" w:rsidRDefault="00C8474E" w:rsidP="00855FC9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6,3</w:t>
            </w:r>
          </w:p>
        </w:tc>
      </w:tr>
      <w:tr w:rsidR="00855FC9" w:rsidRPr="00187B9D" w:rsidTr="00C132A2">
        <w:trPr>
          <w:cantSplit/>
        </w:trPr>
        <w:tc>
          <w:tcPr>
            <w:tcW w:w="1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187B9D" w:rsidRDefault="00855FC9" w:rsidP="00855FC9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Viešbučiai, kavinės ir restoranai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6B12E8" w:rsidRDefault="00855FC9" w:rsidP="00855FC9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5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64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6B12E8" w:rsidRDefault="003563E1" w:rsidP="00855FC9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1,3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187B9D" w:rsidRDefault="003563E1" w:rsidP="00855FC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4,1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9C534C" w:rsidRDefault="00C8474E" w:rsidP="00855FC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12,6</w:t>
            </w: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55FC9" w:rsidRPr="00187B9D" w:rsidRDefault="00C8474E" w:rsidP="00855FC9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7,0</w:t>
            </w:r>
          </w:p>
        </w:tc>
      </w:tr>
      <w:tr w:rsidR="00855FC9" w:rsidRPr="00187B9D" w:rsidTr="00C132A2">
        <w:trPr>
          <w:cantSplit/>
        </w:trPr>
        <w:tc>
          <w:tcPr>
            <w:tcW w:w="1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187B9D" w:rsidRDefault="00855FC9" w:rsidP="00855FC9">
            <w:pPr>
              <w:spacing w:before="40" w:after="40"/>
              <w:ind w:left="113" w:right="-85"/>
              <w:rPr>
                <w:rFonts w:cs="Arial"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sz w:val="19"/>
                <w:szCs w:val="19"/>
                <w:lang w:val="lt-LT"/>
              </w:rPr>
              <w:t>Įvairios prekės ir paslaugos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6B12E8" w:rsidRDefault="00855FC9" w:rsidP="00855FC9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</w:t>
            </w:r>
            <w:r w:rsidRPr="006B12E8">
              <w:rPr>
                <w:rFonts w:cs="Arial"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sz w:val="19"/>
                <w:szCs w:val="19"/>
                <w:lang w:val="lt-LT"/>
              </w:rPr>
              <w:t>61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6B12E8" w:rsidRDefault="003563E1" w:rsidP="00855FC9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1,0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187B9D" w:rsidRDefault="003563E1" w:rsidP="00855FC9">
            <w:pPr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6,6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55FC9" w:rsidRPr="009C534C" w:rsidRDefault="00C8474E" w:rsidP="00855FC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12,4</w:t>
            </w: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55FC9" w:rsidRPr="00187B9D" w:rsidRDefault="00C8474E" w:rsidP="00855FC9">
            <w:pPr>
              <w:spacing w:before="40" w:after="40"/>
              <w:ind w:right="175"/>
              <w:jc w:val="right"/>
              <w:rPr>
                <w:rFonts w:cs="Arial"/>
                <w:sz w:val="19"/>
                <w:szCs w:val="19"/>
                <w:lang w:val="lt-LT"/>
              </w:rPr>
            </w:pPr>
            <w:r>
              <w:rPr>
                <w:rFonts w:cs="Arial"/>
                <w:sz w:val="19"/>
                <w:szCs w:val="19"/>
                <w:lang w:val="lt-LT"/>
              </w:rPr>
              <w:t>6,2</w:t>
            </w:r>
          </w:p>
        </w:tc>
      </w:tr>
      <w:tr w:rsidR="00855FC9" w:rsidRPr="00187B9D" w:rsidTr="00093645">
        <w:trPr>
          <w:cantSplit/>
        </w:trPr>
        <w:tc>
          <w:tcPr>
            <w:tcW w:w="1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855FC9" w:rsidRPr="00187B9D" w:rsidRDefault="00855FC9" w:rsidP="00855FC9">
            <w:pPr>
              <w:spacing w:before="40" w:after="40"/>
              <w:ind w:right="-85"/>
              <w:rPr>
                <w:rFonts w:cs="Arial"/>
                <w:b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b/>
                <w:sz w:val="19"/>
                <w:szCs w:val="19"/>
                <w:lang w:val="lt-LT"/>
              </w:rPr>
              <w:t>Vartojimo prekės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855FC9" w:rsidRPr="006B12E8" w:rsidRDefault="00855FC9" w:rsidP="00855FC9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70</w:t>
            </w:r>
            <w:r w:rsidRPr="006B12E8">
              <w:rPr>
                <w:rFonts w:cs="Arial"/>
                <w:b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b/>
                <w:sz w:val="19"/>
                <w:szCs w:val="19"/>
                <w:lang w:val="lt-LT"/>
              </w:rPr>
              <w:t>90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855FC9" w:rsidRPr="00D61403" w:rsidRDefault="003563E1" w:rsidP="00EA23FE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highlight w:val="yellow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3</w:t>
            </w:r>
            <w:r w:rsidR="00855FC9">
              <w:rPr>
                <w:rFonts w:cs="Arial"/>
                <w:b/>
                <w:sz w:val="19"/>
                <w:szCs w:val="19"/>
                <w:lang w:val="lt-LT"/>
              </w:rPr>
              <w:t>,</w:t>
            </w:r>
            <w:r w:rsidR="00EA23FE">
              <w:rPr>
                <w:rFonts w:cs="Arial"/>
                <w:b/>
                <w:sz w:val="19"/>
                <w:szCs w:val="19"/>
                <w:lang w:val="lt-LT"/>
              </w:rPr>
              <w:t>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</w:tcPr>
          <w:p w:rsidR="00855FC9" w:rsidRPr="00855FC9" w:rsidRDefault="003563E1" w:rsidP="00855FC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b/>
                <w:sz w:val="19"/>
                <w:szCs w:val="19"/>
              </w:rPr>
              <w:t>7,5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</w:tcPr>
          <w:p w:rsidR="00855FC9" w:rsidRPr="00855FC9" w:rsidRDefault="00855FC9" w:rsidP="00C8474E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 w:rsidRPr="00855FC9">
              <w:rPr>
                <w:b/>
                <w:sz w:val="19"/>
                <w:szCs w:val="19"/>
              </w:rPr>
              <w:t>1</w:t>
            </w:r>
            <w:r w:rsidR="00C8474E">
              <w:rPr>
                <w:b/>
                <w:sz w:val="19"/>
                <w:szCs w:val="19"/>
              </w:rPr>
              <w:t>7</w:t>
            </w:r>
            <w:r w:rsidRPr="00855FC9">
              <w:rPr>
                <w:b/>
                <w:sz w:val="19"/>
                <w:szCs w:val="19"/>
              </w:rPr>
              <w:t>,</w:t>
            </w:r>
            <w:r w:rsidR="00C8474E">
              <w:rPr>
                <w:b/>
                <w:sz w:val="19"/>
                <w:szCs w:val="19"/>
              </w:rPr>
              <w:t>9</w:t>
            </w: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ABEC3"/>
            <w:vAlign w:val="bottom"/>
          </w:tcPr>
          <w:p w:rsidR="00855FC9" w:rsidRPr="00187B9D" w:rsidRDefault="00C8474E" w:rsidP="00855FC9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8,6</w:t>
            </w:r>
          </w:p>
        </w:tc>
      </w:tr>
      <w:tr w:rsidR="00855FC9" w:rsidRPr="00187B9D" w:rsidTr="00093645">
        <w:trPr>
          <w:cantSplit/>
        </w:trPr>
        <w:tc>
          <w:tcPr>
            <w:tcW w:w="1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3"/>
            <w:vAlign w:val="bottom"/>
          </w:tcPr>
          <w:p w:rsidR="00855FC9" w:rsidRPr="00187B9D" w:rsidRDefault="00855FC9" w:rsidP="00855FC9">
            <w:pPr>
              <w:spacing w:before="40" w:after="40"/>
              <w:ind w:right="-85"/>
              <w:rPr>
                <w:rFonts w:cs="Arial"/>
                <w:b/>
                <w:sz w:val="19"/>
                <w:szCs w:val="19"/>
                <w:lang w:val="lt-LT"/>
              </w:rPr>
            </w:pPr>
            <w:r w:rsidRPr="00187B9D">
              <w:rPr>
                <w:rFonts w:cs="Arial"/>
                <w:b/>
                <w:sz w:val="19"/>
                <w:szCs w:val="19"/>
                <w:lang w:val="lt-LT"/>
              </w:rPr>
              <w:t>Vartojimo paslaugos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3"/>
            <w:vAlign w:val="bottom"/>
          </w:tcPr>
          <w:p w:rsidR="00855FC9" w:rsidRPr="006B12E8" w:rsidRDefault="00855FC9" w:rsidP="00855FC9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29</w:t>
            </w:r>
            <w:r w:rsidRPr="006B12E8">
              <w:rPr>
                <w:rFonts w:cs="Arial"/>
                <w:b/>
                <w:sz w:val="19"/>
                <w:szCs w:val="19"/>
                <w:lang w:val="lt-LT"/>
              </w:rPr>
              <w:t>,</w:t>
            </w:r>
            <w:r>
              <w:rPr>
                <w:rFonts w:cs="Arial"/>
                <w:b/>
                <w:sz w:val="19"/>
                <w:szCs w:val="19"/>
                <w:lang w:val="lt-LT"/>
              </w:rPr>
              <w:t>10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3"/>
            <w:vAlign w:val="bottom"/>
          </w:tcPr>
          <w:p w:rsidR="00855FC9" w:rsidRPr="00D61403" w:rsidRDefault="003563E1" w:rsidP="00EA23FE">
            <w:pPr>
              <w:spacing w:before="40" w:after="40"/>
              <w:jc w:val="right"/>
              <w:rPr>
                <w:rFonts w:cs="Arial"/>
                <w:b/>
                <w:sz w:val="19"/>
                <w:szCs w:val="19"/>
                <w:highlight w:val="yellow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0,8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3"/>
          </w:tcPr>
          <w:p w:rsidR="00855FC9" w:rsidRPr="00855FC9" w:rsidRDefault="009C534C" w:rsidP="00855FC9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b/>
                <w:sz w:val="19"/>
                <w:szCs w:val="19"/>
              </w:rPr>
              <w:t>3,</w:t>
            </w:r>
            <w:r w:rsidR="003563E1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3"/>
          </w:tcPr>
          <w:p w:rsidR="00855FC9" w:rsidRPr="00855FC9" w:rsidRDefault="009C534C" w:rsidP="00C8474E">
            <w:pPr>
              <w:tabs>
                <w:tab w:val="left" w:pos="742"/>
              </w:tabs>
              <w:spacing w:before="40" w:after="40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b/>
                <w:sz w:val="19"/>
                <w:szCs w:val="19"/>
              </w:rPr>
              <w:t>10,</w:t>
            </w:r>
            <w:r w:rsidR="00C8474E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EC3"/>
            <w:vAlign w:val="bottom"/>
          </w:tcPr>
          <w:p w:rsidR="00855FC9" w:rsidRPr="00187B9D" w:rsidRDefault="00C80146" w:rsidP="00C8474E">
            <w:pPr>
              <w:tabs>
                <w:tab w:val="left" w:pos="742"/>
              </w:tabs>
              <w:spacing w:before="40" w:after="40"/>
              <w:ind w:right="175"/>
              <w:jc w:val="right"/>
              <w:rPr>
                <w:rFonts w:cs="Arial"/>
                <w:b/>
                <w:sz w:val="19"/>
                <w:szCs w:val="19"/>
                <w:lang w:val="lt-LT"/>
              </w:rPr>
            </w:pPr>
            <w:r>
              <w:rPr>
                <w:rFonts w:cs="Arial"/>
                <w:b/>
                <w:sz w:val="19"/>
                <w:szCs w:val="19"/>
                <w:lang w:val="lt-LT"/>
              </w:rPr>
              <w:t>6,</w:t>
            </w:r>
            <w:r w:rsidR="00C8474E">
              <w:rPr>
                <w:rFonts w:cs="Arial"/>
                <w:b/>
                <w:sz w:val="19"/>
                <w:szCs w:val="19"/>
                <w:lang w:val="lt-LT"/>
              </w:rPr>
              <w:t>6</w:t>
            </w:r>
          </w:p>
        </w:tc>
      </w:tr>
    </w:tbl>
    <w:p w:rsidR="002B4CEF" w:rsidRPr="00D6560E" w:rsidRDefault="002B4CEF" w:rsidP="002B4CEF">
      <w:pPr>
        <w:rPr>
          <w:lang w:val="lt-LT"/>
        </w:rPr>
      </w:pPr>
      <w:r w:rsidRPr="00D6560E">
        <w:rPr>
          <w:lang w:val="lt-LT"/>
        </w:rPr>
        <w:separator/>
      </w:r>
    </w:p>
    <w:p w:rsidR="002B4CEF" w:rsidRDefault="002B4CEF" w:rsidP="002B4CEF">
      <w:pPr>
        <w:pStyle w:val="BodyText"/>
        <w:spacing w:after="0"/>
        <w:jc w:val="both"/>
        <w:rPr>
          <w:sz w:val="18"/>
          <w:szCs w:val="18"/>
          <w:lang w:val="lt-LT"/>
        </w:rPr>
      </w:pPr>
      <w:r w:rsidRPr="00D6560E">
        <w:rPr>
          <w:vertAlign w:val="superscript"/>
          <w:lang w:val="lt-LT"/>
        </w:rPr>
        <w:footnoteRef/>
      </w:r>
      <w:r w:rsidRPr="00D6560E">
        <w:rPr>
          <w:lang w:val="lt-LT"/>
        </w:rPr>
        <w:t xml:space="preserve"> </w:t>
      </w:r>
      <w:r w:rsidRPr="00D6560E">
        <w:rPr>
          <w:sz w:val="18"/>
          <w:szCs w:val="18"/>
          <w:lang w:val="lt-LT"/>
        </w:rPr>
        <w:t xml:space="preserve">Individualaus vartojimo išlaidų pagal paskirtį klasifikatorius (angl. </w:t>
      </w:r>
      <w:r w:rsidRPr="00D6560E">
        <w:rPr>
          <w:i/>
          <w:sz w:val="18"/>
          <w:szCs w:val="18"/>
          <w:lang w:val="lt-LT"/>
        </w:rPr>
        <w:t>Classification of Individual Consumption by Purpose</w:t>
      </w:r>
      <w:r w:rsidR="00556CE2">
        <w:rPr>
          <w:sz w:val="18"/>
          <w:szCs w:val="18"/>
          <w:lang w:val="lt-LT"/>
        </w:rPr>
        <w:t> </w:t>
      </w:r>
      <w:r w:rsidRPr="00D6560E">
        <w:rPr>
          <w:sz w:val="18"/>
          <w:szCs w:val="18"/>
          <w:lang w:val="lt-LT"/>
        </w:rPr>
        <w:t>– COICOP</w:t>
      </w:r>
      <w:r>
        <w:rPr>
          <w:sz w:val="18"/>
          <w:szCs w:val="18"/>
          <w:lang w:val="lt-LT"/>
        </w:rPr>
        <w:t xml:space="preserve"> 1999</w:t>
      </w:r>
      <w:r w:rsidRPr="00D6560E">
        <w:rPr>
          <w:sz w:val="18"/>
          <w:szCs w:val="18"/>
          <w:lang w:val="lt-LT"/>
        </w:rPr>
        <w:t>).</w:t>
      </w:r>
    </w:p>
    <w:p w:rsidR="0081707E" w:rsidRDefault="0081707E" w:rsidP="00155C33">
      <w:pPr>
        <w:pStyle w:val="lentpav"/>
        <w:spacing w:after="120"/>
        <w:jc w:val="both"/>
        <w:rPr>
          <w:b w:val="0"/>
          <w:lang w:val="lt-LT"/>
        </w:rPr>
      </w:pPr>
    </w:p>
    <w:p w:rsidR="008A2084" w:rsidRPr="006B12E8" w:rsidRDefault="008A2084" w:rsidP="00B2341E">
      <w:pPr>
        <w:pStyle w:val="lentpav"/>
        <w:spacing w:after="120"/>
        <w:ind w:firstLine="709"/>
        <w:rPr>
          <w:lang w:val="lt-LT"/>
        </w:rPr>
      </w:pPr>
      <w:r>
        <w:rPr>
          <w:lang w:val="lt-LT"/>
        </w:rPr>
        <w:t>Į</w:t>
      </w:r>
      <w:r w:rsidRPr="00CA200D">
        <w:rPr>
          <w:lang w:val="lt-LT"/>
        </w:rPr>
        <w:t>tak</w:t>
      </w:r>
      <w:r>
        <w:rPr>
          <w:lang w:val="lt-LT"/>
        </w:rPr>
        <w:t>a</w:t>
      </w:r>
      <w:r w:rsidRPr="00CA200D">
        <w:rPr>
          <w:lang w:val="lt-LT"/>
        </w:rPr>
        <w:t xml:space="preserve"> bendram vartotojų kainų pokyčiui</w:t>
      </w:r>
    </w:p>
    <w:p w:rsidR="00296EFB" w:rsidRPr="00CA200D" w:rsidRDefault="00296EFB" w:rsidP="00B2341E">
      <w:pPr>
        <w:ind w:firstLine="709"/>
        <w:rPr>
          <w:b/>
          <w:lang w:val="lt-LT"/>
        </w:rPr>
      </w:pPr>
      <w:r w:rsidRPr="00CA200D">
        <w:rPr>
          <w:lang w:val="lt-LT"/>
        </w:rPr>
        <w:t>Detalesnė informacija apie didžiausią įtaką bendram vartotojų kainų pokyčiui pateikiama lentelėse:</w:t>
      </w:r>
    </w:p>
    <w:p w:rsidR="00296EFB" w:rsidRPr="00112A5B" w:rsidRDefault="00296EFB" w:rsidP="006370F2">
      <w:pPr>
        <w:pStyle w:val="ListParagraph"/>
        <w:numPr>
          <w:ilvl w:val="0"/>
          <w:numId w:val="2"/>
        </w:numPr>
        <w:tabs>
          <w:tab w:val="left" w:pos="1134"/>
        </w:tabs>
        <w:ind w:left="0" w:firstLine="709"/>
        <w:rPr>
          <w:lang w:val="lt-LT"/>
        </w:rPr>
      </w:pPr>
      <w:r w:rsidRPr="00112A5B">
        <w:rPr>
          <w:lang w:val="lt-LT"/>
        </w:rPr>
        <w:t>Įtaka mėnesiniam vartojimo prekių ir paslaugų kainų pokyčiui.</w:t>
      </w:r>
    </w:p>
    <w:p w:rsidR="00966461" w:rsidRPr="00112A5B" w:rsidRDefault="00296EFB" w:rsidP="00B2341E">
      <w:pPr>
        <w:pStyle w:val="ListParagraph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lang w:val="lt-LT"/>
        </w:rPr>
      </w:pPr>
      <w:r w:rsidRPr="00845577">
        <w:rPr>
          <w:lang w:val="lt-LT"/>
        </w:rPr>
        <w:t xml:space="preserve">Didžiausia </w:t>
      </w:r>
      <w:r w:rsidR="00845577" w:rsidRPr="00845577">
        <w:rPr>
          <w:lang w:val="lt-LT"/>
        </w:rPr>
        <w:t xml:space="preserve">teigiama ir neigiama (–) </w:t>
      </w:r>
      <w:r w:rsidRPr="00845577">
        <w:rPr>
          <w:lang w:val="lt-LT"/>
        </w:rPr>
        <w:t>įtak</w:t>
      </w:r>
      <w:r w:rsidR="00845577" w:rsidRPr="00845577">
        <w:rPr>
          <w:lang w:val="lt-LT"/>
        </w:rPr>
        <w:t>os</w:t>
      </w:r>
      <w:r w:rsidRPr="00845577">
        <w:rPr>
          <w:lang w:val="lt-LT"/>
        </w:rPr>
        <w:t xml:space="preserve"> bendram</w:t>
      </w:r>
      <w:r w:rsidRPr="00112A5B">
        <w:rPr>
          <w:lang w:val="lt-LT"/>
        </w:rPr>
        <w:t xml:space="preserve"> vartotojų kainų pokyčiui pagal COICOP</w:t>
      </w:r>
      <w:r w:rsidR="00593969">
        <w:rPr>
          <w:lang w:val="lt-LT"/>
        </w:rPr>
        <w:t> </w:t>
      </w:r>
      <w:r w:rsidRPr="00112A5B">
        <w:rPr>
          <w:lang w:val="lt-LT"/>
        </w:rPr>
        <w:t xml:space="preserve">1999 vartojimo prekių ir paslaugų </w:t>
      </w:r>
      <w:r w:rsidR="0058392D">
        <w:rPr>
          <w:lang w:val="lt-LT"/>
        </w:rPr>
        <w:t>kategorija</w:t>
      </w:r>
      <w:r w:rsidRPr="00112A5B">
        <w:rPr>
          <w:lang w:val="lt-LT"/>
        </w:rPr>
        <w:t>s.</w:t>
      </w:r>
    </w:p>
    <w:p w:rsidR="00906E59" w:rsidRDefault="00906E59" w:rsidP="00B2341E">
      <w:pPr>
        <w:ind w:firstLine="709"/>
        <w:rPr>
          <w:b/>
          <w:lang w:val="lt-LT"/>
        </w:rPr>
      </w:pPr>
    </w:p>
    <w:p w:rsidR="004B75E3" w:rsidRDefault="004B75E3" w:rsidP="00B2341E">
      <w:pPr>
        <w:ind w:firstLine="709"/>
        <w:rPr>
          <w:b/>
          <w:lang w:val="lt-LT"/>
        </w:rPr>
      </w:pPr>
    </w:p>
    <w:p w:rsidR="004B75E3" w:rsidRDefault="004B75E3" w:rsidP="00B2341E">
      <w:pPr>
        <w:ind w:firstLine="709"/>
        <w:rPr>
          <w:b/>
          <w:lang w:val="lt-LT"/>
        </w:rPr>
      </w:pPr>
    </w:p>
    <w:p w:rsidR="00F04D89" w:rsidRPr="00556CE2" w:rsidRDefault="00AA099E" w:rsidP="004E6021">
      <w:pPr>
        <w:jc w:val="both"/>
        <w:rPr>
          <w:lang w:val="lt-LT"/>
        </w:rPr>
      </w:pPr>
      <w:r w:rsidRPr="00556CE2">
        <w:rPr>
          <w:lang w:val="lt-LT"/>
        </w:rPr>
        <w:t>V</w:t>
      </w:r>
      <w:r w:rsidR="00F04D89" w:rsidRPr="00556CE2">
        <w:rPr>
          <w:lang w:val="lt-LT"/>
        </w:rPr>
        <w:t xml:space="preserve">artojimo prekių ir paslaugų kainų pokyčius </w:t>
      </w:r>
      <w:r w:rsidRPr="00556CE2">
        <w:rPr>
          <w:lang w:val="lt-LT"/>
        </w:rPr>
        <w:t>20</w:t>
      </w:r>
      <w:r w:rsidR="009104F7" w:rsidRPr="00556CE2">
        <w:rPr>
          <w:lang w:val="lt-LT"/>
        </w:rPr>
        <w:t>2</w:t>
      </w:r>
      <w:r w:rsidR="00425DC8">
        <w:rPr>
          <w:lang w:val="lt-LT"/>
        </w:rPr>
        <w:t>2</w:t>
      </w:r>
      <w:r w:rsidRPr="00556CE2">
        <w:rPr>
          <w:lang w:val="lt-LT"/>
        </w:rPr>
        <w:t xml:space="preserve"> m. </w:t>
      </w:r>
      <w:r w:rsidR="003563E1">
        <w:rPr>
          <w:lang w:val="lt-LT"/>
        </w:rPr>
        <w:t>balandį</w:t>
      </w:r>
      <w:r w:rsidRPr="00556CE2">
        <w:rPr>
          <w:lang w:val="lt-LT"/>
        </w:rPr>
        <w:t xml:space="preserve"> </w:t>
      </w:r>
      <w:r w:rsidR="00F04D89" w:rsidRPr="00556CE2">
        <w:rPr>
          <w:lang w:val="lt-LT"/>
        </w:rPr>
        <w:t xml:space="preserve">skelbsime </w:t>
      </w:r>
      <w:r w:rsidR="003563E1">
        <w:rPr>
          <w:lang w:val="lt-LT"/>
        </w:rPr>
        <w:t>gegužės</w:t>
      </w:r>
      <w:r w:rsidR="00F04D89" w:rsidRPr="00556CE2">
        <w:rPr>
          <w:lang w:val="lt-LT"/>
        </w:rPr>
        <w:t> </w:t>
      </w:r>
      <w:r w:rsidR="003563E1">
        <w:rPr>
          <w:lang w:val="lt-LT"/>
        </w:rPr>
        <w:t>9</w:t>
      </w:r>
      <w:r w:rsidR="00F04D89" w:rsidRPr="00556CE2">
        <w:rPr>
          <w:lang w:val="lt-LT"/>
        </w:rPr>
        <w:t> d.</w:t>
      </w:r>
    </w:p>
    <w:p w:rsidR="00DF0520" w:rsidRPr="00B2341E" w:rsidRDefault="00DF0520" w:rsidP="00F04D89">
      <w:pPr>
        <w:jc w:val="both"/>
        <w:rPr>
          <w:lang w:val="lt-LT"/>
        </w:rPr>
      </w:pPr>
    </w:p>
    <w:p w:rsidR="005071D3" w:rsidRPr="00556CE2" w:rsidRDefault="00F04D89" w:rsidP="004E6021">
      <w:pPr>
        <w:jc w:val="both"/>
        <w:rPr>
          <w:rFonts w:ascii="OpenSans-Regular" w:hAnsi="OpenSans-Regular"/>
          <w:color w:val="555555"/>
          <w:shd w:val="clear" w:color="auto" w:fill="FFFFFF"/>
          <w:lang w:val="lt-LT"/>
        </w:rPr>
      </w:pPr>
      <w:r w:rsidRPr="00556CE2">
        <w:rPr>
          <w:lang w:val="lt-LT"/>
        </w:rPr>
        <w:t>Daugiau informacijos šia tema rasite</w:t>
      </w:r>
      <w:r w:rsidR="003C71B3" w:rsidRPr="00556CE2">
        <w:rPr>
          <w:lang w:val="lt-LT"/>
        </w:rPr>
        <w:t xml:space="preserve"> </w:t>
      </w:r>
      <w:hyperlink r:id="rId11" w:anchor="/" w:tgtFrame="_blank" w:history="1">
        <w:r w:rsidR="003C71B3" w:rsidRPr="00556CE2">
          <w:rPr>
            <w:rStyle w:val="Hyperlink"/>
            <w:lang w:val="lt-LT"/>
          </w:rPr>
          <w:t>Rodiklių duomenų bazėje</w:t>
        </w:r>
      </w:hyperlink>
      <w:r w:rsidR="003C71B3" w:rsidRPr="00556CE2">
        <w:rPr>
          <w:rFonts w:ascii="OpenSans-Regular" w:hAnsi="OpenSans-Regular"/>
          <w:color w:val="555555"/>
          <w:shd w:val="clear" w:color="auto" w:fill="FFFFFF"/>
          <w:lang w:val="lt-LT"/>
        </w:rPr>
        <w:t>.</w:t>
      </w:r>
    </w:p>
    <w:p w:rsidR="00F04D89" w:rsidRPr="00556CE2" w:rsidRDefault="00F04D89" w:rsidP="009A7F8D">
      <w:pPr>
        <w:ind w:firstLine="709"/>
        <w:jc w:val="both"/>
        <w:rPr>
          <w:lang w:val="lt-LT"/>
        </w:rPr>
      </w:pPr>
    </w:p>
    <w:p w:rsidR="005071D3" w:rsidRPr="00556CE2" w:rsidRDefault="005071D3" w:rsidP="004E6021">
      <w:pPr>
        <w:rPr>
          <w:lang w:val="lt-LT"/>
        </w:rPr>
      </w:pPr>
      <w:r w:rsidRPr="00556CE2">
        <w:rPr>
          <w:lang w:val="lt-LT"/>
        </w:rPr>
        <w:t xml:space="preserve">Statistinė informacija rengiama ir skleidžiama vadovaujantis </w:t>
      </w:r>
      <w:hyperlink r:id="rId12" w:history="1">
        <w:r w:rsidRPr="00E378A9">
          <w:rPr>
            <w:rStyle w:val="Hyperlink"/>
            <w:lang w:val="lt-LT"/>
          </w:rPr>
          <w:t>Europos statistikos praktikos kodeksu</w:t>
        </w:r>
      </w:hyperlink>
      <w:r w:rsidRPr="00556CE2">
        <w:rPr>
          <w:lang w:val="lt-LT"/>
        </w:rPr>
        <w:t>.</w:t>
      </w:r>
    </w:p>
    <w:p w:rsidR="009D21EA" w:rsidRPr="00556CE2" w:rsidRDefault="009D21EA" w:rsidP="00112A5B">
      <w:pPr>
        <w:ind w:firstLine="709"/>
        <w:rPr>
          <w:color w:val="1F497D"/>
          <w:lang w:val="lt-LT"/>
        </w:rPr>
      </w:pPr>
    </w:p>
    <w:p w:rsidR="002A30E7" w:rsidRPr="00B2341E" w:rsidRDefault="002A30E7" w:rsidP="002A30E7">
      <w:pPr>
        <w:rPr>
          <w:rFonts w:eastAsia="Calibri" w:cs="Arial"/>
          <w:lang w:val="lt-LT" w:eastAsia="lt-LT"/>
        </w:rPr>
      </w:pPr>
      <w:r w:rsidRPr="00B2341E">
        <w:rPr>
          <w:rFonts w:cs="Arial"/>
          <w:lang w:val="lt-LT"/>
        </w:rPr>
        <w:t xml:space="preserve">Kaip keitėsi kainos nuo bet kurio </w:t>
      </w:r>
      <w:r w:rsidR="009D6E50" w:rsidRPr="00B2341E">
        <w:rPr>
          <w:rFonts w:cs="Arial"/>
          <w:lang w:val="lt-LT"/>
        </w:rPr>
        <w:t>J</w:t>
      </w:r>
      <w:r w:rsidRPr="00B2341E">
        <w:rPr>
          <w:rFonts w:cs="Arial"/>
          <w:lang w:val="lt-LT"/>
        </w:rPr>
        <w:t>us dominančio laikotarpio, galite pasiskaičiuoti infliacijos skaičiuoklėje:</w:t>
      </w:r>
      <w:r w:rsidRPr="00B2341E">
        <w:rPr>
          <w:rFonts w:eastAsia="Calibri" w:cs="Arial"/>
          <w:color w:val="1F497D"/>
          <w:lang w:val="lt-LT" w:eastAsia="lt-LT"/>
        </w:rPr>
        <w:t xml:space="preserve"> </w:t>
      </w:r>
      <w:hyperlink r:id="rId13" w:history="1">
        <w:r w:rsidRPr="00B2341E">
          <w:rPr>
            <w:rFonts w:eastAsia="Calibri" w:cs="Arial"/>
            <w:color w:val="0000FF"/>
            <w:u w:val="single"/>
            <w:lang w:val="lt-LT" w:eastAsia="lt-LT"/>
          </w:rPr>
          <w:t>http://estatistika.stat.gov.lt/skaiciuokle/</w:t>
        </w:r>
      </w:hyperlink>
    </w:p>
    <w:p w:rsidR="00962793" w:rsidRPr="00B2341E" w:rsidRDefault="00962793" w:rsidP="00F04D89">
      <w:pPr>
        <w:pStyle w:val="Pasiteirauti"/>
        <w:rPr>
          <w:sz w:val="20"/>
        </w:rPr>
      </w:pPr>
    </w:p>
    <w:p w:rsidR="00BD776B" w:rsidRPr="00B2341E" w:rsidRDefault="00BD776B" w:rsidP="00BD776B">
      <w:pPr>
        <w:jc w:val="both"/>
        <w:rPr>
          <w:lang w:val="lt-LT"/>
        </w:rPr>
      </w:pPr>
      <w:r w:rsidRPr="00B2341E">
        <w:rPr>
          <w:lang w:val="lt-LT"/>
        </w:rPr>
        <w:t xml:space="preserve">Daugiau susijusių terminų ir paaiškinimų ieškokite </w:t>
      </w:r>
      <w:hyperlink r:id="rId14" w:history="1">
        <w:r w:rsidRPr="00B2341E">
          <w:rPr>
            <w:rStyle w:val="Hyperlink"/>
            <w:lang w:val="lt-LT"/>
          </w:rPr>
          <w:t>Statistikos terminų žodyne</w:t>
        </w:r>
      </w:hyperlink>
      <w:r w:rsidRPr="00B2341E">
        <w:rPr>
          <w:lang w:val="lt-LT"/>
        </w:rPr>
        <w:t xml:space="preserve">. </w:t>
      </w:r>
    </w:p>
    <w:p w:rsidR="00BD776B" w:rsidRPr="006B12E8" w:rsidRDefault="00BD776B" w:rsidP="00BD776B">
      <w:pPr>
        <w:jc w:val="both"/>
        <w:rPr>
          <w:sz w:val="19"/>
          <w:lang w:val="lt-LT"/>
        </w:rPr>
      </w:pPr>
    </w:p>
    <w:p w:rsidR="006600EB" w:rsidRDefault="006600EB" w:rsidP="00B2341E">
      <w:pPr>
        <w:pStyle w:val="Pasiteirauti"/>
        <w:ind w:firstLine="709"/>
        <w:rPr>
          <w:szCs w:val="19"/>
        </w:rPr>
      </w:pPr>
    </w:p>
    <w:p w:rsidR="00272269" w:rsidRDefault="00272269" w:rsidP="00B2341E">
      <w:pPr>
        <w:pStyle w:val="Pasiteirauti"/>
        <w:ind w:firstLine="709"/>
        <w:rPr>
          <w:szCs w:val="19"/>
        </w:rPr>
      </w:pPr>
    </w:p>
    <w:p w:rsidR="00272269" w:rsidRPr="006B12E8" w:rsidRDefault="00272269" w:rsidP="00B2341E">
      <w:pPr>
        <w:pStyle w:val="Pasiteirauti"/>
        <w:ind w:firstLine="709"/>
        <w:rPr>
          <w:szCs w:val="19"/>
        </w:rPr>
      </w:pPr>
    </w:p>
    <w:p w:rsidR="009D21EA" w:rsidRPr="006B12E8" w:rsidRDefault="009D21EA" w:rsidP="00B2341E">
      <w:pPr>
        <w:pStyle w:val="lentpav"/>
        <w:spacing w:after="120"/>
        <w:ind w:firstLine="709"/>
        <w:rPr>
          <w:lang w:val="lt-LT"/>
        </w:rPr>
      </w:pPr>
      <w:r>
        <w:rPr>
          <w:lang w:val="lt-LT"/>
        </w:rPr>
        <w:t>Paaiškinimai</w:t>
      </w:r>
    </w:p>
    <w:p w:rsidR="009D21EA" w:rsidRPr="006B12E8" w:rsidRDefault="009D21EA" w:rsidP="00B2341E">
      <w:pPr>
        <w:ind w:firstLine="709"/>
        <w:jc w:val="both"/>
        <w:rPr>
          <w:lang w:val="lt-LT"/>
        </w:rPr>
      </w:pPr>
      <w:r w:rsidRPr="006B12E8">
        <w:rPr>
          <w:b/>
          <w:lang w:val="lt-LT"/>
        </w:rPr>
        <w:t>Metinė infliacija</w:t>
      </w:r>
      <w:r w:rsidRPr="006B12E8">
        <w:rPr>
          <w:lang w:val="lt-LT"/>
        </w:rPr>
        <w:t xml:space="preserve"> – ataskaitinio mėnesio ir </w:t>
      </w:r>
      <w:r>
        <w:rPr>
          <w:lang w:val="lt-LT"/>
        </w:rPr>
        <w:t>ankstesn</w:t>
      </w:r>
      <w:r w:rsidRPr="006B12E8">
        <w:rPr>
          <w:lang w:val="lt-LT"/>
        </w:rPr>
        <w:t>ių metų atitinkamo mėnesio vidutinio kainų lygio santykinis pokytis.</w:t>
      </w:r>
    </w:p>
    <w:p w:rsidR="009D21EA" w:rsidRPr="006B12E8" w:rsidRDefault="009D21EA" w:rsidP="00B2341E">
      <w:pPr>
        <w:ind w:firstLine="709"/>
        <w:jc w:val="both"/>
        <w:rPr>
          <w:lang w:val="lt-LT"/>
        </w:rPr>
      </w:pPr>
      <w:r w:rsidRPr="007A034D">
        <w:rPr>
          <w:b/>
          <w:lang w:val="lt-LT"/>
        </w:rPr>
        <w:t>Vidutinė metinė infliacija</w:t>
      </w:r>
      <w:r w:rsidRPr="007A034D">
        <w:rPr>
          <w:lang w:val="lt-LT"/>
        </w:rPr>
        <w:t xml:space="preserve"> – dvylikos paskutinių mėnesių</w:t>
      </w:r>
      <w:r w:rsidRPr="006B12E8">
        <w:rPr>
          <w:lang w:val="lt-LT"/>
        </w:rPr>
        <w:t xml:space="preserve"> ir atitinkamų ankstesnių dvylikos mėnesių vidutinio kainų lygio santykinis pokytis.</w:t>
      </w:r>
    </w:p>
    <w:p w:rsidR="009D21EA" w:rsidRPr="008D5699" w:rsidRDefault="009D21EA" w:rsidP="008D5699">
      <w:pPr>
        <w:pStyle w:val="Pasiteirauti"/>
        <w:rPr>
          <w:szCs w:val="19"/>
        </w:rPr>
      </w:pPr>
    </w:p>
    <w:p w:rsidR="008D5699" w:rsidRPr="008D5699" w:rsidRDefault="008D5699" w:rsidP="008D5699">
      <w:pPr>
        <w:pStyle w:val="Pasiteirauti"/>
        <w:rPr>
          <w:szCs w:val="19"/>
        </w:rPr>
      </w:pPr>
    </w:p>
    <w:p w:rsidR="00E4284D" w:rsidRPr="006B12E8" w:rsidRDefault="009934E8" w:rsidP="00E378A9">
      <w:pPr>
        <w:pStyle w:val="Pasiteirauti"/>
        <w:keepNext/>
        <w:keepLines/>
        <w:spacing w:after="120"/>
        <w:rPr>
          <w:szCs w:val="19"/>
        </w:rPr>
      </w:pPr>
      <w:r>
        <w:rPr>
          <w:szCs w:val="19"/>
        </w:rPr>
        <w:t>Kontaktinė informacija</w:t>
      </w:r>
      <w:r w:rsidR="00F04D89" w:rsidRPr="006B12E8">
        <w:rPr>
          <w:szCs w:val="19"/>
        </w:rPr>
        <w:t xml:space="preserve"> </w:t>
      </w:r>
    </w:p>
    <w:p w:rsidR="00E4284D" w:rsidRPr="006B12E8" w:rsidRDefault="00434B09" w:rsidP="008D5699">
      <w:pPr>
        <w:pStyle w:val="Pasiteirauti"/>
        <w:keepNext/>
        <w:keepLines/>
        <w:rPr>
          <w:szCs w:val="19"/>
        </w:rPr>
      </w:pPr>
      <w:r>
        <w:rPr>
          <w:szCs w:val="19"/>
        </w:rPr>
        <w:t>Dalia</w:t>
      </w:r>
      <w:r w:rsidR="00C01828">
        <w:rPr>
          <w:szCs w:val="19"/>
        </w:rPr>
        <w:t xml:space="preserve"> </w:t>
      </w:r>
      <w:r>
        <w:rPr>
          <w:szCs w:val="19"/>
        </w:rPr>
        <w:t>Skirelienė</w:t>
      </w:r>
      <w:r w:rsidR="008C1213">
        <w:rPr>
          <w:szCs w:val="19"/>
        </w:rPr>
        <w:t xml:space="preserve"> </w:t>
      </w:r>
    </w:p>
    <w:p w:rsidR="00E4284D" w:rsidRPr="006B12E8" w:rsidRDefault="00E4284D" w:rsidP="008D5699">
      <w:pPr>
        <w:pStyle w:val="Pasiteirauti"/>
        <w:keepNext/>
        <w:keepLines/>
        <w:rPr>
          <w:szCs w:val="19"/>
        </w:rPr>
      </w:pPr>
      <w:r w:rsidRPr="006B12E8">
        <w:rPr>
          <w:szCs w:val="19"/>
        </w:rPr>
        <w:t xml:space="preserve">Kainų statistikos skyriaus </w:t>
      </w:r>
      <w:r w:rsidR="00434B09">
        <w:rPr>
          <w:szCs w:val="19"/>
        </w:rPr>
        <w:t>vyriausioji specialistė</w:t>
      </w:r>
    </w:p>
    <w:p w:rsidR="00E4284D" w:rsidRPr="006B12E8" w:rsidRDefault="00E4284D" w:rsidP="008D5699">
      <w:pPr>
        <w:pStyle w:val="Pasiteirauti"/>
        <w:keepNext/>
        <w:keepLines/>
        <w:rPr>
          <w:szCs w:val="19"/>
        </w:rPr>
      </w:pPr>
      <w:r w:rsidRPr="006B12E8">
        <w:rPr>
          <w:szCs w:val="19"/>
        </w:rPr>
        <w:t>Tel. (8 5)  236 47</w:t>
      </w:r>
      <w:r w:rsidR="00434B09">
        <w:rPr>
          <w:szCs w:val="19"/>
        </w:rPr>
        <w:t>4</w:t>
      </w:r>
      <w:r w:rsidR="00C01828">
        <w:rPr>
          <w:szCs w:val="19"/>
        </w:rPr>
        <w:t>1</w:t>
      </w:r>
    </w:p>
    <w:p w:rsidR="00E4284D" w:rsidRDefault="00E4284D" w:rsidP="008D5699">
      <w:pPr>
        <w:pStyle w:val="Pasiteirauti"/>
        <w:keepNext/>
        <w:keepLines/>
        <w:rPr>
          <w:szCs w:val="19"/>
          <w:lang w:val="en-US"/>
        </w:rPr>
      </w:pPr>
      <w:r w:rsidRPr="006B12E8">
        <w:rPr>
          <w:szCs w:val="19"/>
        </w:rPr>
        <w:t xml:space="preserve">El. p. </w:t>
      </w:r>
      <w:hyperlink r:id="rId15" w:history="1">
        <w:r w:rsidR="0031708B" w:rsidRPr="00DC3563">
          <w:rPr>
            <w:rStyle w:val="Hyperlink"/>
            <w:szCs w:val="19"/>
          </w:rPr>
          <w:t>dalia.skireliene</w:t>
        </w:r>
        <w:r w:rsidR="0031708B" w:rsidRPr="00DC3563">
          <w:rPr>
            <w:rStyle w:val="Hyperlink"/>
            <w:szCs w:val="19"/>
            <w:lang w:val="en-US"/>
          </w:rPr>
          <w:t>@</w:t>
        </w:r>
        <w:proofErr w:type="spellStart"/>
        <w:r w:rsidR="0031708B" w:rsidRPr="00DC3563">
          <w:rPr>
            <w:rStyle w:val="Hyperlink"/>
            <w:szCs w:val="19"/>
            <w:lang w:val="en-US"/>
          </w:rPr>
          <w:t>stat.gov.lt</w:t>
        </w:r>
        <w:proofErr w:type="spellEnd"/>
      </w:hyperlink>
    </w:p>
    <w:p w:rsidR="00E4284D" w:rsidRPr="006B12E8" w:rsidRDefault="00E4284D" w:rsidP="00E4284D">
      <w:pPr>
        <w:pStyle w:val="Pasiteirauti"/>
        <w:rPr>
          <w:szCs w:val="19"/>
        </w:rPr>
      </w:pPr>
    </w:p>
    <w:p w:rsidR="00F04D89" w:rsidRPr="006B12E8" w:rsidRDefault="00F04D89" w:rsidP="00F04D89">
      <w:pPr>
        <w:pStyle w:val="Pasiteirauti"/>
        <w:rPr>
          <w:szCs w:val="19"/>
        </w:rPr>
      </w:pPr>
    </w:p>
    <w:p w:rsidR="00F04D89" w:rsidRPr="006B12E8" w:rsidRDefault="00F04D89" w:rsidP="00F04D89">
      <w:pPr>
        <w:pStyle w:val="Pasiteirauti"/>
        <w:rPr>
          <w:szCs w:val="19"/>
        </w:rPr>
      </w:pPr>
      <w:r w:rsidRPr="006B12E8">
        <w:rPr>
          <w:color w:val="000000"/>
          <w:szCs w:val="19"/>
        </w:rPr>
        <w:t>© Lietuvos s</w:t>
      </w:r>
      <w:r w:rsidRPr="006B12E8">
        <w:rPr>
          <w:szCs w:val="19"/>
        </w:rPr>
        <w:t>tatistikos departamentas</w:t>
      </w:r>
    </w:p>
    <w:p w:rsidR="00F04D89" w:rsidRPr="006B12E8" w:rsidRDefault="00F04D89" w:rsidP="00CB6D1A">
      <w:pPr>
        <w:jc w:val="both"/>
        <w:rPr>
          <w:sz w:val="19"/>
          <w:szCs w:val="19"/>
          <w:lang w:val="lt-LT"/>
        </w:rPr>
      </w:pPr>
      <w:r w:rsidRPr="006B12E8">
        <w:rPr>
          <w:sz w:val="19"/>
          <w:szCs w:val="19"/>
          <w:lang w:val="lt-LT"/>
        </w:rPr>
        <w:t>Naudojant Lietuvos statistikos departamento duomenis, būtina nurodyti šaltinį.</w:t>
      </w:r>
    </w:p>
    <w:p w:rsidR="00432A8D" w:rsidRPr="006B12E8" w:rsidRDefault="00432A8D" w:rsidP="00CB6D1A">
      <w:pPr>
        <w:jc w:val="both"/>
        <w:rPr>
          <w:sz w:val="19"/>
          <w:szCs w:val="19"/>
          <w:lang w:val="lt-LT"/>
        </w:rPr>
      </w:pPr>
    </w:p>
    <w:p w:rsidR="00EA170E" w:rsidRPr="006B12E8" w:rsidRDefault="00432A8D" w:rsidP="00CB6D1A">
      <w:pPr>
        <w:jc w:val="both"/>
        <w:rPr>
          <w:sz w:val="19"/>
          <w:szCs w:val="19"/>
          <w:lang w:val="lt-LT"/>
        </w:rPr>
      </w:pPr>
      <w:r w:rsidRPr="006B12E8">
        <w:rPr>
          <w:sz w:val="19"/>
          <w:szCs w:val="19"/>
          <w:lang w:val="lt-LT"/>
        </w:rPr>
        <w:t>Žymos:</w:t>
      </w:r>
      <w:r w:rsidR="008A409E" w:rsidRPr="006B12E8">
        <w:rPr>
          <w:sz w:val="19"/>
          <w:szCs w:val="19"/>
          <w:lang w:val="lt-LT"/>
        </w:rPr>
        <w:t xml:space="preserve"> VKI,</w:t>
      </w:r>
      <w:r w:rsidRPr="006B12E8">
        <w:rPr>
          <w:sz w:val="19"/>
          <w:szCs w:val="19"/>
          <w:lang w:val="lt-LT"/>
        </w:rPr>
        <w:t xml:space="preserve"> </w:t>
      </w:r>
      <w:r w:rsidR="008A409E" w:rsidRPr="006B12E8">
        <w:rPr>
          <w:sz w:val="19"/>
          <w:szCs w:val="19"/>
          <w:lang w:val="lt-LT"/>
        </w:rPr>
        <w:t>infliacija,</w:t>
      </w:r>
      <w:r w:rsidR="000855A8" w:rsidRPr="006B12E8">
        <w:rPr>
          <w:sz w:val="19"/>
          <w:szCs w:val="19"/>
          <w:lang w:val="lt-LT"/>
        </w:rPr>
        <w:t xml:space="preserve"> </w:t>
      </w:r>
      <w:r w:rsidR="008A409E" w:rsidRPr="006B12E8">
        <w:rPr>
          <w:sz w:val="19"/>
          <w:szCs w:val="19"/>
          <w:lang w:val="lt-LT"/>
        </w:rPr>
        <w:t>kainos</w:t>
      </w:r>
      <w:r w:rsidR="000855A8" w:rsidRPr="006B12E8">
        <w:rPr>
          <w:sz w:val="19"/>
          <w:szCs w:val="19"/>
          <w:lang w:val="lt-LT"/>
        </w:rPr>
        <w:t>,</w:t>
      </w:r>
      <w:r w:rsidR="008A409E" w:rsidRPr="006B12E8">
        <w:rPr>
          <w:sz w:val="19"/>
          <w:szCs w:val="19"/>
          <w:lang w:val="lt-LT"/>
        </w:rPr>
        <w:t xml:space="preserve"> </w:t>
      </w:r>
      <w:r w:rsidR="000855A8" w:rsidRPr="006B12E8">
        <w:rPr>
          <w:sz w:val="19"/>
          <w:szCs w:val="19"/>
          <w:lang w:val="lt-LT"/>
        </w:rPr>
        <w:t>vartojimo prekės ir paslaugos</w:t>
      </w:r>
      <w:r w:rsidR="00B10A35" w:rsidRPr="006B12E8">
        <w:rPr>
          <w:sz w:val="19"/>
          <w:szCs w:val="19"/>
          <w:lang w:val="lt-LT"/>
        </w:rPr>
        <w:t>.</w:t>
      </w:r>
    </w:p>
    <w:sectPr w:rsidR="00EA170E" w:rsidRPr="006B12E8" w:rsidSect="00591FEE">
      <w:headerReference w:type="even" r:id="rId16"/>
      <w:headerReference w:type="default" r:id="rId17"/>
      <w:headerReference w:type="first" r:id="rId18"/>
      <w:pgSz w:w="11906" w:h="16838" w:code="9"/>
      <w:pgMar w:top="1135" w:right="567" w:bottom="851" w:left="1701" w:header="851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B94" w:rsidRDefault="00DE2B94">
      <w:r>
        <w:separator/>
      </w:r>
    </w:p>
  </w:endnote>
  <w:endnote w:type="continuationSeparator" w:id="0">
    <w:p w:rsidR="00DE2B94" w:rsidRDefault="00DE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Sans-Regular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B94" w:rsidRDefault="00DE2B94">
      <w:r>
        <w:separator/>
      </w:r>
    </w:p>
  </w:footnote>
  <w:footnote w:type="continuationSeparator" w:id="0">
    <w:p w:rsidR="00DE2B94" w:rsidRDefault="00DE2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A75" w:rsidRDefault="004A4A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A4A75" w:rsidRDefault="004A4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A75" w:rsidRPr="00317478" w:rsidRDefault="004A4A75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 w:rsidRPr="00317478">
      <w:rPr>
        <w:rStyle w:val="PageNumber"/>
        <w:sz w:val="18"/>
        <w:szCs w:val="18"/>
      </w:rPr>
      <w:fldChar w:fldCharType="begin"/>
    </w:r>
    <w:r w:rsidRPr="00317478">
      <w:rPr>
        <w:rStyle w:val="PageNumber"/>
        <w:sz w:val="18"/>
        <w:szCs w:val="18"/>
      </w:rPr>
      <w:instrText xml:space="preserve">PAGE  </w:instrText>
    </w:r>
    <w:r w:rsidRPr="00317478">
      <w:rPr>
        <w:rStyle w:val="PageNumber"/>
        <w:sz w:val="18"/>
        <w:szCs w:val="18"/>
      </w:rPr>
      <w:fldChar w:fldCharType="separate"/>
    </w:r>
    <w:r w:rsidR="003C6E95">
      <w:rPr>
        <w:rStyle w:val="PageNumber"/>
        <w:noProof/>
        <w:sz w:val="18"/>
        <w:szCs w:val="18"/>
      </w:rPr>
      <w:t>5</w:t>
    </w:r>
    <w:r w:rsidRPr="00317478">
      <w:rPr>
        <w:rStyle w:val="PageNumber"/>
        <w:sz w:val="18"/>
        <w:szCs w:val="18"/>
      </w:rPr>
      <w:fldChar w:fldCharType="end"/>
    </w:r>
  </w:p>
  <w:p w:rsidR="004A4A75" w:rsidRPr="00317478" w:rsidRDefault="004A4A75" w:rsidP="00F251C2">
    <w:pPr>
      <w:pStyle w:val="Header"/>
      <w:ind w:left="-57" w:right="-57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4A4A75">
      <w:tc>
        <w:tcPr>
          <w:tcW w:w="4927" w:type="dxa"/>
          <w:vAlign w:val="center"/>
        </w:tcPr>
        <w:p w:rsidR="004A4A75" w:rsidRDefault="004A4A75" w:rsidP="001825D1">
          <w:pPr>
            <w:pStyle w:val="Header"/>
            <w:ind w:right="-113"/>
          </w:pPr>
          <w:r>
            <w:rPr>
              <w:noProof/>
              <w:lang w:val="lt-LT" w:eastAsia="lt-LT"/>
            </w:rPr>
            <w:drawing>
              <wp:inline distT="0" distB="0" distL="0" distR="0" wp14:anchorId="516DEA25" wp14:editId="00BC7778">
                <wp:extent cx="1358900" cy="429260"/>
                <wp:effectExtent l="0" t="0" r="0" b="8890"/>
                <wp:docPr id="9" name="Picture 5" descr="Q:\Exchange\SSKS\Firminis stilius\Galutinės priemonės\LS ir OSP\LS ir OSP Logopack\LS\Skaitmeninems priemonems\Spalvoti\LT\PNG\LS-horizontalus-spalvotas-baltam fonui-LT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Q:\Exchange\SSKS\Firminis stilius\Galutinės priemonės\LS ir OSP\LS ir OSP Logopack\LS\Skaitmeninems priemonems\Spalvoti\LT\PNG\LS-horizontalus-spalvotas-baltam fonui-LT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7" w:type="dxa"/>
          <w:vAlign w:val="center"/>
        </w:tcPr>
        <w:p w:rsidR="004A4A75" w:rsidRDefault="004A4A75">
          <w:pPr>
            <w:pStyle w:val="Header"/>
            <w:spacing w:after="60"/>
            <w:jc w:val="right"/>
          </w:pPr>
          <w:r>
            <w:rPr>
              <w:noProof/>
              <w:lang w:val="lt-LT" w:eastAsia="lt-LT"/>
            </w:rPr>
            <w:drawing>
              <wp:inline distT="0" distB="0" distL="0" distR="0" wp14:anchorId="593FEAE4" wp14:editId="042324CB">
                <wp:extent cx="1338580" cy="434340"/>
                <wp:effectExtent l="0" t="0" r="0" b="3810"/>
                <wp:docPr id="10" name="Picture 10" descr="C:\Users\BiruteGa\Documents\11_BLANKAI\Medium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BiruteGa\Documents\11_BLANKAI\Medium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85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A4A75" w:rsidRDefault="004A4A75">
    <w:pPr>
      <w:pStyle w:val="Header"/>
      <w:pBdr>
        <w:bottom w:val="double" w:sz="6" w:space="1" w:color="auto"/>
      </w:pBdr>
      <w:rPr>
        <w:sz w:val="16"/>
      </w:rPr>
    </w:pPr>
  </w:p>
  <w:p w:rsidR="004A4A75" w:rsidRDefault="004A4A75">
    <w:pPr>
      <w:pStyle w:val="Header"/>
      <w:ind w:left="-57" w:right="-57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3CB"/>
    <w:multiLevelType w:val="hybridMultilevel"/>
    <w:tmpl w:val="886E5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73738"/>
    <w:multiLevelType w:val="hybridMultilevel"/>
    <w:tmpl w:val="477250D8"/>
    <w:lvl w:ilvl="0" w:tplc="042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CE"/>
    <w:rsid w:val="00000003"/>
    <w:rsid w:val="000005F3"/>
    <w:rsid w:val="00000921"/>
    <w:rsid w:val="00000D5B"/>
    <w:rsid w:val="0000126E"/>
    <w:rsid w:val="00001303"/>
    <w:rsid w:val="000014E4"/>
    <w:rsid w:val="00001C1D"/>
    <w:rsid w:val="0000205E"/>
    <w:rsid w:val="0000380D"/>
    <w:rsid w:val="00003F38"/>
    <w:rsid w:val="000042D2"/>
    <w:rsid w:val="000045A8"/>
    <w:rsid w:val="0000608B"/>
    <w:rsid w:val="0000636C"/>
    <w:rsid w:val="000068A9"/>
    <w:rsid w:val="000068C3"/>
    <w:rsid w:val="00006FEE"/>
    <w:rsid w:val="00007120"/>
    <w:rsid w:val="000074D8"/>
    <w:rsid w:val="000104E4"/>
    <w:rsid w:val="000107CF"/>
    <w:rsid w:val="00010974"/>
    <w:rsid w:val="0001174D"/>
    <w:rsid w:val="0001234D"/>
    <w:rsid w:val="00012CAD"/>
    <w:rsid w:val="000130EA"/>
    <w:rsid w:val="00013747"/>
    <w:rsid w:val="00013944"/>
    <w:rsid w:val="00013996"/>
    <w:rsid w:val="00013E9B"/>
    <w:rsid w:val="0001496B"/>
    <w:rsid w:val="00014A09"/>
    <w:rsid w:val="00015102"/>
    <w:rsid w:val="0001515A"/>
    <w:rsid w:val="000153EC"/>
    <w:rsid w:val="000155A9"/>
    <w:rsid w:val="00015E7F"/>
    <w:rsid w:val="00016206"/>
    <w:rsid w:val="0001630A"/>
    <w:rsid w:val="0001697C"/>
    <w:rsid w:val="000169DD"/>
    <w:rsid w:val="00016EA8"/>
    <w:rsid w:val="0001702B"/>
    <w:rsid w:val="00017499"/>
    <w:rsid w:val="000202E4"/>
    <w:rsid w:val="00020F21"/>
    <w:rsid w:val="00021234"/>
    <w:rsid w:val="00021312"/>
    <w:rsid w:val="000219C2"/>
    <w:rsid w:val="00021B43"/>
    <w:rsid w:val="00021E05"/>
    <w:rsid w:val="00021E64"/>
    <w:rsid w:val="000220D9"/>
    <w:rsid w:val="0002250A"/>
    <w:rsid w:val="000227C1"/>
    <w:rsid w:val="00022EFA"/>
    <w:rsid w:val="00023AB8"/>
    <w:rsid w:val="00023E8B"/>
    <w:rsid w:val="000244BF"/>
    <w:rsid w:val="00025076"/>
    <w:rsid w:val="00025477"/>
    <w:rsid w:val="00025B8A"/>
    <w:rsid w:val="00025D93"/>
    <w:rsid w:val="00026203"/>
    <w:rsid w:val="0002687C"/>
    <w:rsid w:val="000268FD"/>
    <w:rsid w:val="00026B4B"/>
    <w:rsid w:val="000301CB"/>
    <w:rsid w:val="00030207"/>
    <w:rsid w:val="00030F63"/>
    <w:rsid w:val="00031063"/>
    <w:rsid w:val="000316C1"/>
    <w:rsid w:val="00031897"/>
    <w:rsid w:val="00031BA7"/>
    <w:rsid w:val="00031F3F"/>
    <w:rsid w:val="0003210A"/>
    <w:rsid w:val="00032B75"/>
    <w:rsid w:val="00032CC8"/>
    <w:rsid w:val="0003313D"/>
    <w:rsid w:val="000332E0"/>
    <w:rsid w:val="0003376F"/>
    <w:rsid w:val="00033784"/>
    <w:rsid w:val="0003384B"/>
    <w:rsid w:val="000339F9"/>
    <w:rsid w:val="0003458C"/>
    <w:rsid w:val="00034F36"/>
    <w:rsid w:val="00035014"/>
    <w:rsid w:val="000350CB"/>
    <w:rsid w:val="0003560B"/>
    <w:rsid w:val="00036012"/>
    <w:rsid w:val="0003673A"/>
    <w:rsid w:val="000368F2"/>
    <w:rsid w:val="000369D2"/>
    <w:rsid w:val="00036AC4"/>
    <w:rsid w:val="00036B03"/>
    <w:rsid w:val="00036C31"/>
    <w:rsid w:val="0003720B"/>
    <w:rsid w:val="0003732D"/>
    <w:rsid w:val="00037409"/>
    <w:rsid w:val="00037661"/>
    <w:rsid w:val="000378D7"/>
    <w:rsid w:val="0003798D"/>
    <w:rsid w:val="00037A6D"/>
    <w:rsid w:val="00037FC6"/>
    <w:rsid w:val="00040032"/>
    <w:rsid w:val="0004043E"/>
    <w:rsid w:val="000409D1"/>
    <w:rsid w:val="00040C43"/>
    <w:rsid w:val="00041306"/>
    <w:rsid w:val="000417FD"/>
    <w:rsid w:val="00041A9B"/>
    <w:rsid w:val="00042531"/>
    <w:rsid w:val="00042C05"/>
    <w:rsid w:val="00042CF7"/>
    <w:rsid w:val="0004317C"/>
    <w:rsid w:val="000440C5"/>
    <w:rsid w:val="0004418D"/>
    <w:rsid w:val="00044398"/>
    <w:rsid w:val="000443AB"/>
    <w:rsid w:val="00044EF9"/>
    <w:rsid w:val="000453D3"/>
    <w:rsid w:val="000453EE"/>
    <w:rsid w:val="000455B6"/>
    <w:rsid w:val="00046030"/>
    <w:rsid w:val="000461FF"/>
    <w:rsid w:val="0004680E"/>
    <w:rsid w:val="00047149"/>
    <w:rsid w:val="00047769"/>
    <w:rsid w:val="00047C75"/>
    <w:rsid w:val="00047DBE"/>
    <w:rsid w:val="0005006B"/>
    <w:rsid w:val="00050089"/>
    <w:rsid w:val="000500B9"/>
    <w:rsid w:val="000501FF"/>
    <w:rsid w:val="00050463"/>
    <w:rsid w:val="00050599"/>
    <w:rsid w:val="000505A3"/>
    <w:rsid w:val="000505FA"/>
    <w:rsid w:val="000507A8"/>
    <w:rsid w:val="00050C45"/>
    <w:rsid w:val="00050F71"/>
    <w:rsid w:val="0005100B"/>
    <w:rsid w:val="00051458"/>
    <w:rsid w:val="00051B8C"/>
    <w:rsid w:val="00051CB0"/>
    <w:rsid w:val="00051CE3"/>
    <w:rsid w:val="0005231B"/>
    <w:rsid w:val="0005392C"/>
    <w:rsid w:val="00053D07"/>
    <w:rsid w:val="000547B4"/>
    <w:rsid w:val="000549B8"/>
    <w:rsid w:val="00054C5D"/>
    <w:rsid w:val="00054E06"/>
    <w:rsid w:val="00054E89"/>
    <w:rsid w:val="000550A4"/>
    <w:rsid w:val="00055115"/>
    <w:rsid w:val="000551C1"/>
    <w:rsid w:val="000556A2"/>
    <w:rsid w:val="000558CD"/>
    <w:rsid w:val="00056698"/>
    <w:rsid w:val="0005688B"/>
    <w:rsid w:val="00056BCE"/>
    <w:rsid w:val="00056FA6"/>
    <w:rsid w:val="0005721D"/>
    <w:rsid w:val="000574E1"/>
    <w:rsid w:val="00057952"/>
    <w:rsid w:val="000579C8"/>
    <w:rsid w:val="00057F8A"/>
    <w:rsid w:val="000600DA"/>
    <w:rsid w:val="000604A4"/>
    <w:rsid w:val="000606EC"/>
    <w:rsid w:val="00060E25"/>
    <w:rsid w:val="000610D6"/>
    <w:rsid w:val="000615AB"/>
    <w:rsid w:val="000617E8"/>
    <w:rsid w:val="00061AE5"/>
    <w:rsid w:val="0006298F"/>
    <w:rsid w:val="0006343D"/>
    <w:rsid w:val="0006367D"/>
    <w:rsid w:val="00063E7B"/>
    <w:rsid w:val="000650AD"/>
    <w:rsid w:val="00065454"/>
    <w:rsid w:val="0006560B"/>
    <w:rsid w:val="000661D3"/>
    <w:rsid w:val="00066656"/>
    <w:rsid w:val="0006671F"/>
    <w:rsid w:val="00066D48"/>
    <w:rsid w:val="0006787C"/>
    <w:rsid w:val="00067A4F"/>
    <w:rsid w:val="00067C53"/>
    <w:rsid w:val="00070047"/>
    <w:rsid w:val="0007029A"/>
    <w:rsid w:val="00070685"/>
    <w:rsid w:val="000706D5"/>
    <w:rsid w:val="000706DA"/>
    <w:rsid w:val="0007074A"/>
    <w:rsid w:val="00070972"/>
    <w:rsid w:val="0007116E"/>
    <w:rsid w:val="000713C6"/>
    <w:rsid w:val="00071430"/>
    <w:rsid w:val="00071496"/>
    <w:rsid w:val="000715E5"/>
    <w:rsid w:val="00071F8A"/>
    <w:rsid w:val="00072030"/>
    <w:rsid w:val="00072334"/>
    <w:rsid w:val="000723D9"/>
    <w:rsid w:val="0007251B"/>
    <w:rsid w:val="000728A8"/>
    <w:rsid w:val="00072990"/>
    <w:rsid w:val="00072A3B"/>
    <w:rsid w:val="00072E1C"/>
    <w:rsid w:val="00073129"/>
    <w:rsid w:val="0007351E"/>
    <w:rsid w:val="000737EF"/>
    <w:rsid w:val="00073AC6"/>
    <w:rsid w:val="00073B41"/>
    <w:rsid w:val="00074212"/>
    <w:rsid w:val="0007438F"/>
    <w:rsid w:val="00074D8A"/>
    <w:rsid w:val="00074DAC"/>
    <w:rsid w:val="00075885"/>
    <w:rsid w:val="00075D01"/>
    <w:rsid w:val="00075F99"/>
    <w:rsid w:val="000763F3"/>
    <w:rsid w:val="00076AF1"/>
    <w:rsid w:val="00076B56"/>
    <w:rsid w:val="00080147"/>
    <w:rsid w:val="00080253"/>
    <w:rsid w:val="00080312"/>
    <w:rsid w:val="00080683"/>
    <w:rsid w:val="00080909"/>
    <w:rsid w:val="0008092C"/>
    <w:rsid w:val="000814C3"/>
    <w:rsid w:val="000814E4"/>
    <w:rsid w:val="000818CF"/>
    <w:rsid w:val="0008223E"/>
    <w:rsid w:val="0008268F"/>
    <w:rsid w:val="0008370D"/>
    <w:rsid w:val="000837E6"/>
    <w:rsid w:val="00083C82"/>
    <w:rsid w:val="000840A7"/>
    <w:rsid w:val="00084CC6"/>
    <w:rsid w:val="00084EDE"/>
    <w:rsid w:val="00085443"/>
    <w:rsid w:val="000855A8"/>
    <w:rsid w:val="00085E4E"/>
    <w:rsid w:val="00086092"/>
    <w:rsid w:val="000865A9"/>
    <w:rsid w:val="00086D02"/>
    <w:rsid w:val="00087258"/>
    <w:rsid w:val="00087601"/>
    <w:rsid w:val="000877D3"/>
    <w:rsid w:val="00087D28"/>
    <w:rsid w:val="00087E9A"/>
    <w:rsid w:val="00090C81"/>
    <w:rsid w:val="0009117D"/>
    <w:rsid w:val="0009157D"/>
    <w:rsid w:val="000915C8"/>
    <w:rsid w:val="000916A2"/>
    <w:rsid w:val="00091ABB"/>
    <w:rsid w:val="00092C17"/>
    <w:rsid w:val="0009344A"/>
    <w:rsid w:val="00093500"/>
    <w:rsid w:val="00093645"/>
    <w:rsid w:val="0009378C"/>
    <w:rsid w:val="00093878"/>
    <w:rsid w:val="000938F0"/>
    <w:rsid w:val="00093A49"/>
    <w:rsid w:val="00094304"/>
    <w:rsid w:val="00094814"/>
    <w:rsid w:val="00094965"/>
    <w:rsid w:val="00094F00"/>
    <w:rsid w:val="00095083"/>
    <w:rsid w:val="000953A9"/>
    <w:rsid w:val="00095BE4"/>
    <w:rsid w:val="00095E0A"/>
    <w:rsid w:val="00095F9D"/>
    <w:rsid w:val="00095FB3"/>
    <w:rsid w:val="000961F5"/>
    <w:rsid w:val="000969C4"/>
    <w:rsid w:val="00096D9E"/>
    <w:rsid w:val="00096F38"/>
    <w:rsid w:val="000970A1"/>
    <w:rsid w:val="00097548"/>
    <w:rsid w:val="00097B54"/>
    <w:rsid w:val="00097BC4"/>
    <w:rsid w:val="00097DD0"/>
    <w:rsid w:val="000A035E"/>
    <w:rsid w:val="000A0765"/>
    <w:rsid w:val="000A0931"/>
    <w:rsid w:val="000A0A7E"/>
    <w:rsid w:val="000A0D0C"/>
    <w:rsid w:val="000A0D3B"/>
    <w:rsid w:val="000A0EBC"/>
    <w:rsid w:val="000A1077"/>
    <w:rsid w:val="000A127A"/>
    <w:rsid w:val="000A1AE8"/>
    <w:rsid w:val="000A1C6E"/>
    <w:rsid w:val="000A1FD9"/>
    <w:rsid w:val="000A23AE"/>
    <w:rsid w:val="000A3568"/>
    <w:rsid w:val="000A380B"/>
    <w:rsid w:val="000A3909"/>
    <w:rsid w:val="000A3973"/>
    <w:rsid w:val="000A397E"/>
    <w:rsid w:val="000A3E85"/>
    <w:rsid w:val="000A3F15"/>
    <w:rsid w:val="000A4156"/>
    <w:rsid w:val="000A5127"/>
    <w:rsid w:val="000A56EE"/>
    <w:rsid w:val="000A6A0A"/>
    <w:rsid w:val="000A6D36"/>
    <w:rsid w:val="000A714B"/>
    <w:rsid w:val="000A733E"/>
    <w:rsid w:val="000A7478"/>
    <w:rsid w:val="000A7788"/>
    <w:rsid w:val="000B03F9"/>
    <w:rsid w:val="000B0C65"/>
    <w:rsid w:val="000B0CE6"/>
    <w:rsid w:val="000B1DDE"/>
    <w:rsid w:val="000B1EEE"/>
    <w:rsid w:val="000B21E7"/>
    <w:rsid w:val="000B24DA"/>
    <w:rsid w:val="000B2B62"/>
    <w:rsid w:val="000B2E35"/>
    <w:rsid w:val="000B333C"/>
    <w:rsid w:val="000B3D1A"/>
    <w:rsid w:val="000B4B44"/>
    <w:rsid w:val="000B50ED"/>
    <w:rsid w:val="000B5150"/>
    <w:rsid w:val="000B67CD"/>
    <w:rsid w:val="000B6BEB"/>
    <w:rsid w:val="000B6E22"/>
    <w:rsid w:val="000B76A9"/>
    <w:rsid w:val="000B79BA"/>
    <w:rsid w:val="000B7C92"/>
    <w:rsid w:val="000C052B"/>
    <w:rsid w:val="000C078B"/>
    <w:rsid w:val="000C07FF"/>
    <w:rsid w:val="000C080D"/>
    <w:rsid w:val="000C0A8F"/>
    <w:rsid w:val="000C12EA"/>
    <w:rsid w:val="000C1707"/>
    <w:rsid w:val="000C1710"/>
    <w:rsid w:val="000C17EA"/>
    <w:rsid w:val="000C19F2"/>
    <w:rsid w:val="000C1B4E"/>
    <w:rsid w:val="000C2952"/>
    <w:rsid w:val="000C35EB"/>
    <w:rsid w:val="000C3712"/>
    <w:rsid w:val="000C3884"/>
    <w:rsid w:val="000C3993"/>
    <w:rsid w:val="000C3C05"/>
    <w:rsid w:val="000C48A8"/>
    <w:rsid w:val="000C4B5A"/>
    <w:rsid w:val="000C4C9D"/>
    <w:rsid w:val="000C56F0"/>
    <w:rsid w:val="000C5716"/>
    <w:rsid w:val="000C5B8C"/>
    <w:rsid w:val="000C6196"/>
    <w:rsid w:val="000C6772"/>
    <w:rsid w:val="000C6E24"/>
    <w:rsid w:val="000C712B"/>
    <w:rsid w:val="000C717A"/>
    <w:rsid w:val="000D0054"/>
    <w:rsid w:val="000D0055"/>
    <w:rsid w:val="000D0460"/>
    <w:rsid w:val="000D0A48"/>
    <w:rsid w:val="000D0A81"/>
    <w:rsid w:val="000D0D33"/>
    <w:rsid w:val="000D0D88"/>
    <w:rsid w:val="000D0DEB"/>
    <w:rsid w:val="000D13D2"/>
    <w:rsid w:val="000D16A4"/>
    <w:rsid w:val="000D16C6"/>
    <w:rsid w:val="000D18E3"/>
    <w:rsid w:val="000D1F92"/>
    <w:rsid w:val="000D2702"/>
    <w:rsid w:val="000D2D56"/>
    <w:rsid w:val="000D3083"/>
    <w:rsid w:val="000D31FA"/>
    <w:rsid w:val="000D3FDA"/>
    <w:rsid w:val="000D426B"/>
    <w:rsid w:val="000D490D"/>
    <w:rsid w:val="000D49A5"/>
    <w:rsid w:val="000D4D16"/>
    <w:rsid w:val="000D5892"/>
    <w:rsid w:val="000D60E9"/>
    <w:rsid w:val="000D680A"/>
    <w:rsid w:val="000D6CF3"/>
    <w:rsid w:val="000D70CE"/>
    <w:rsid w:val="000D7563"/>
    <w:rsid w:val="000D7912"/>
    <w:rsid w:val="000D7A2E"/>
    <w:rsid w:val="000E0772"/>
    <w:rsid w:val="000E0DB1"/>
    <w:rsid w:val="000E0F49"/>
    <w:rsid w:val="000E149B"/>
    <w:rsid w:val="000E1763"/>
    <w:rsid w:val="000E242B"/>
    <w:rsid w:val="000E24C9"/>
    <w:rsid w:val="000E2535"/>
    <w:rsid w:val="000E2B4A"/>
    <w:rsid w:val="000E3123"/>
    <w:rsid w:val="000E3456"/>
    <w:rsid w:val="000E3498"/>
    <w:rsid w:val="000E3F35"/>
    <w:rsid w:val="000E475B"/>
    <w:rsid w:val="000E4A20"/>
    <w:rsid w:val="000E511F"/>
    <w:rsid w:val="000E54C4"/>
    <w:rsid w:val="000E59CC"/>
    <w:rsid w:val="000E5F57"/>
    <w:rsid w:val="000E600A"/>
    <w:rsid w:val="000E75FF"/>
    <w:rsid w:val="000E7776"/>
    <w:rsid w:val="000E7D9E"/>
    <w:rsid w:val="000E7DBA"/>
    <w:rsid w:val="000E7FC4"/>
    <w:rsid w:val="000F0423"/>
    <w:rsid w:val="000F066C"/>
    <w:rsid w:val="000F0A13"/>
    <w:rsid w:val="000F0C15"/>
    <w:rsid w:val="000F113C"/>
    <w:rsid w:val="000F17EF"/>
    <w:rsid w:val="000F1E70"/>
    <w:rsid w:val="000F260A"/>
    <w:rsid w:val="000F2A28"/>
    <w:rsid w:val="000F347E"/>
    <w:rsid w:val="000F3763"/>
    <w:rsid w:val="000F4598"/>
    <w:rsid w:val="000F4FEF"/>
    <w:rsid w:val="000F63BA"/>
    <w:rsid w:val="000F660B"/>
    <w:rsid w:val="000F66A4"/>
    <w:rsid w:val="000F671F"/>
    <w:rsid w:val="000F7541"/>
    <w:rsid w:val="000F7C9E"/>
    <w:rsid w:val="0010050E"/>
    <w:rsid w:val="00100620"/>
    <w:rsid w:val="001007BE"/>
    <w:rsid w:val="00100B8F"/>
    <w:rsid w:val="00101138"/>
    <w:rsid w:val="00101190"/>
    <w:rsid w:val="0010137C"/>
    <w:rsid w:val="00101469"/>
    <w:rsid w:val="00101795"/>
    <w:rsid w:val="0010198D"/>
    <w:rsid w:val="001019BB"/>
    <w:rsid w:val="00101C66"/>
    <w:rsid w:val="00102409"/>
    <w:rsid w:val="00102764"/>
    <w:rsid w:val="00102780"/>
    <w:rsid w:val="001032E0"/>
    <w:rsid w:val="00103C79"/>
    <w:rsid w:val="00103DBE"/>
    <w:rsid w:val="001044E0"/>
    <w:rsid w:val="00104706"/>
    <w:rsid w:val="00104D07"/>
    <w:rsid w:val="00105944"/>
    <w:rsid w:val="00105AF4"/>
    <w:rsid w:val="0010661A"/>
    <w:rsid w:val="00106C1A"/>
    <w:rsid w:val="00110349"/>
    <w:rsid w:val="0011076E"/>
    <w:rsid w:val="00110D82"/>
    <w:rsid w:val="001113CD"/>
    <w:rsid w:val="00111A2F"/>
    <w:rsid w:val="00111BC4"/>
    <w:rsid w:val="00112153"/>
    <w:rsid w:val="0011253B"/>
    <w:rsid w:val="001127FF"/>
    <w:rsid w:val="00112A5B"/>
    <w:rsid w:val="00112D29"/>
    <w:rsid w:val="001132DE"/>
    <w:rsid w:val="00113983"/>
    <w:rsid w:val="00113C9D"/>
    <w:rsid w:val="001141EA"/>
    <w:rsid w:val="001142BF"/>
    <w:rsid w:val="001146B9"/>
    <w:rsid w:val="00114B64"/>
    <w:rsid w:val="00114C61"/>
    <w:rsid w:val="00114F0F"/>
    <w:rsid w:val="0011533A"/>
    <w:rsid w:val="00115E86"/>
    <w:rsid w:val="00116060"/>
    <w:rsid w:val="001162FA"/>
    <w:rsid w:val="00116D87"/>
    <w:rsid w:val="0011733C"/>
    <w:rsid w:val="00117472"/>
    <w:rsid w:val="001179D3"/>
    <w:rsid w:val="00117A63"/>
    <w:rsid w:val="00120435"/>
    <w:rsid w:val="0012064B"/>
    <w:rsid w:val="0012099D"/>
    <w:rsid w:val="00121973"/>
    <w:rsid w:val="001220CD"/>
    <w:rsid w:val="00122367"/>
    <w:rsid w:val="001225E9"/>
    <w:rsid w:val="001227E8"/>
    <w:rsid w:val="00122D1C"/>
    <w:rsid w:val="001231F9"/>
    <w:rsid w:val="0012335A"/>
    <w:rsid w:val="0012345B"/>
    <w:rsid w:val="00124441"/>
    <w:rsid w:val="001253CD"/>
    <w:rsid w:val="00125693"/>
    <w:rsid w:val="0012574A"/>
    <w:rsid w:val="00125879"/>
    <w:rsid w:val="00125FD9"/>
    <w:rsid w:val="0012632D"/>
    <w:rsid w:val="001265A3"/>
    <w:rsid w:val="0012688E"/>
    <w:rsid w:val="00127026"/>
    <w:rsid w:val="00127070"/>
    <w:rsid w:val="00127415"/>
    <w:rsid w:val="00130868"/>
    <w:rsid w:val="0013089A"/>
    <w:rsid w:val="00130A97"/>
    <w:rsid w:val="0013153D"/>
    <w:rsid w:val="00131A3C"/>
    <w:rsid w:val="00131B58"/>
    <w:rsid w:val="00131CC2"/>
    <w:rsid w:val="00132695"/>
    <w:rsid w:val="001327C4"/>
    <w:rsid w:val="001329CB"/>
    <w:rsid w:val="00132E2B"/>
    <w:rsid w:val="00133055"/>
    <w:rsid w:val="0013396A"/>
    <w:rsid w:val="00133B58"/>
    <w:rsid w:val="001345E8"/>
    <w:rsid w:val="00135D4C"/>
    <w:rsid w:val="001366AD"/>
    <w:rsid w:val="00136912"/>
    <w:rsid w:val="00136ABD"/>
    <w:rsid w:val="00136C7A"/>
    <w:rsid w:val="00137621"/>
    <w:rsid w:val="00137896"/>
    <w:rsid w:val="001404D2"/>
    <w:rsid w:val="001411A4"/>
    <w:rsid w:val="0014163B"/>
    <w:rsid w:val="00141864"/>
    <w:rsid w:val="00142ADF"/>
    <w:rsid w:val="001431D1"/>
    <w:rsid w:val="00144331"/>
    <w:rsid w:val="00145622"/>
    <w:rsid w:val="001465BB"/>
    <w:rsid w:val="00146908"/>
    <w:rsid w:val="0014765E"/>
    <w:rsid w:val="001476AB"/>
    <w:rsid w:val="0014792B"/>
    <w:rsid w:val="0015054A"/>
    <w:rsid w:val="00150938"/>
    <w:rsid w:val="00150D38"/>
    <w:rsid w:val="0015144E"/>
    <w:rsid w:val="001516FC"/>
    <w:rsid w:val="00152200"/>
    <w:rsid w:val="0015245F"/>
    <w:rsid w:val="00152865"/>
    <w:rsid w:val="0015299C"/>
    <w:rsid w:val="00152D50"/>
    <w:rsid w:val="0015302A"/>
    <w:rsid w:val="001531F3"/>
    <w:rsid w:val="001533A1"/>
    <w:rsid w:val="00153C7B"/>
    <w:rsid w:val="001540E1"/>
    <w:rsid w:val="001549A5"/>
    <w:rsid w:val="00154AB6"/>
    <w:rsid w:val="00154BBE"/>
    <w:rsid w:val="00154C78"/>
    <w:rsid w:val="00154F79"/>
    <w:rsid w:val="00155186"/>
    <w:rsid w:val="0015555C"/>
    <w:rsid w:val="00155B3C"/>
    <w:rsid w:val="00155C33"/>
    <w:rsid w:val="001565EB"/>
    <w:rsid w:val="00156DAD"/>
    <w:rsid w:val="00156E30"/>
    <w:rsid w:val="00156F83"/>
    <w:rsid w:val="00157818"/>
    <w:rsid w:val="001579AF"/>
    <w:rsid w:val="001602E0"/>
    <w:rsid w:val="0016050F"/>
    <w:rsid w:val="001609A7"/>
    <w:rsid w:val="00160AA7"/>
    <w:rsid w:val="00160DC7"/>
    <w:rsid w:val="001615BD"/>
    <w:rsid w:val="001616D2"/>
    <w:rsid w:val="00161AFB"/>
    <w:rsid w:val="00162442"/>
    <w:rsid w:val="001624A4"/>
    <w:rsid w:val="00162645"/>
    <w:rsid w:val="00162CCF"/>
    <w:rsid w:val="00163239"/>
    <w:rsid w:val="001632E1"/>
    <w:rsid w:val="00163428"/>
    <w:rsid w:val="0016356D"/>
    <w:rsid w:val="00163D33"/>
    <w:rsid w:val="00163DDE"/>
    <w:rsid w:val="001640AA"/>
    <w:rsid w:val="00165299"/>
    <w:rsid w:val="00166518"/>
    <w:rsid w:val="00166BA9"/>
    <w:rsid w:val="00166F38"/>
    <w:rsid w:val="0016741B"/>
    <w:rsid w:val="00167AE8"/>
    <w:rsid w:val="00167E7C"/>
    <w:rsid w:val="0017033A"/>
    <w:rsid w:val="00170A5A"/>
    <w:rsid w:val="001711FD"/>
    <w:rsid w:val="0017129D"/>
    <w:rsid w:val="00172657"/>
    <w:rsid w:val="001729AF"/>
    <w:rsid w:val="00173052"/>
    <w:rsid w:val="001730F5"/>
    <w:rsid w:val="00174240"/>
    <w:rsid w:val="0017443F"/>
    <w:rsid w:val="001745F2"/>
    <w:rsid w:val="001746CF"/>
    <w:rsid w:val="001747DC"/>
    <w:rsid w:val="00174B3E"/>
    <w:rsid w:val="00174D7F"/>
    <w:rsid w:val="0017517E"/>
    <w:rsid w:val="00175843"/>
    <w:rsid w:val="001758E7"/>
    <w:rsid w:val="00176CCD"/>
    <w:rsid w:val="00176DED"/>
    <w:rsid w:val="001777C7"/>
    <w:rsid w:val="00177A72"/>
    <w:rsid w:val="00177C2A"/>
    <w:rsid w:val="00177F23"/>
    <w:rsid w:val="00177F4C"/>
    <w:rsid w:val="001806B6"/>
    <w:rsid w:val="0018088C"/>
    <w:rsid w:val="00180AFA"/>
    <w:rsid w:val="00180B2F"/>
    <w:rsid w:val="00180C37"/>
    <w:rsid w:val="00180D51"/>
    <w:rsid w:val="00181C08"/>
    <w:rsid w:val="00181C23"/>
    <w:rsid w:val="00181EB7"/>
    <w:rsid w:val="00181F5B"/>
    <w:rsid w:val="0018202D"/>
    <w:rsid w:val="001825D1"/>
    <w:rsid w:val="00182939"/>
    <w:rsid w:val="00182A64"/>
    <w:rsid w:val="00182CAC"/>
    <w:rsid w:val="001830C8"/>
    <w:rsid w:val="001830F3"/>
    <w:rsid w:val="0018370B"/>
    <w:rsid w:val="001841A9"/>
    <w:rsid w:val="001841EA"/>
    <w:rsid w:val="00184C48"/>
    <w:rsid w:val="00184DED"/>
    <w:rsid w:val="00184E22"/>
    <w:rsid w:val="00185177"/>
    <w:rsid w:val="00185362"/>
    <w:rsid w:val="0018539A"/>
    <w:rsid w:val="0018549F"/>
    <w:rsid w:val="00185600"/>
    <w:rsid w:val="001857D6"/>
    <w:rsid w:val="00185970"/>
    <w:rsid w:val="00185C00"/>
    <w:rsid w:val="00185CF0"/>
    <w:rsid w:val="0018638A"/>
    <w:rsid w:val="001865DC"/>
    <w:rsid w:val="00186613"/>
    <w:rsid w:val="0018672C"/>
    <w:rsid w:val="00186AE5"/>
    <w:rsid w:val="00186BE1"/>
    <w:rsid w:val="00186FCB"/>
    <w:rsid w:val="001872F6"/>
    <w:rsid w:val="00187B9D"/>
    <w:rsid w:val="00187C7B"/>
    <w:rsid w:val="00187FEA"/>
    <w:rsid w:val="00190054"/>
    <w:rsid w:val="001903C2"/>
    <w:rsid w:val="00190438"/>
    <w:rsid w:val="00190D59"/>
    <w:rsid w:val="00191202"/>
    <w:rsid w:val="00191651"/>
    <w:rsid w:val="00191E0C"/>
    <w:rsid w:val="00191E8F"/>
    <w:rsid w:val="00191EBD"/>
    <w:rsid w:val="001920BC"/>
    <w:rsid w:val="0019258A"/>
    <w:rsid w:val="00192611"/>
    <w:rsid w:val="00192889"/>
    <w:rsid w:val="001929D9"/>
    <w:rsid w:val="001929F8"/>
    <w:rsid w:val="00192BA2"/>
    <w:rsid w:val="00192E0C"/>
    <w:rsid w:val="00192E46"/>
    <w:rsid w:val="00193699"/>
    <w:rsid w:val="00193939"/>
    <w:rsid w:val="00193B65"/>
    <w:rsid w:val="00193D65"/>
    <w:rsid w:val="00193D9D"/>
    <w:rsid w:val="00193FD8"/>
    <w:rsid w:val="001940F5"/>
    <w:rsid w:val="00194369"/>
    <w:rsid w:val="00194C7E"/>
    <w:rsid w:val="00194E16"/>
    <w:rsid w:val="0019568F"/>
    <w:rsid w:val="00195D98"/>
    <w:rsid w:val="00196976"/>
    <w:rsid w:val="00196BCA"/>
    <w:rsid w:val="00196C21"/>
    <w:rsid w:val="0019704D"/>
    <w:rsid w:val="0019709E"/>
    <w:rsid w:val="00197200"/>
    <w:rsid w:val="00197949"/>
    <w:rsid w:val="001A0117"/>
    <w:rsid w:val="001A01D9"/>
    <w:rsid w:val="001A0651"/>
    <w:rsid w:val="001A22F5"/>
    <w:rsid w:val="001A22FE"/>
    <w:rsid w:val="001A2C58"/>
    <w:rsid w:val="001A3849"/>
    <w:rsid w:val="001A3C04"/>
    <w:rsid w:val="001A3D3B"/>
    <w:rsid w:val="001A43A1"/>
    <w:rsid w:val="001A4DEC"/>
    <w:rsid w:val="001A4F77"/>
    <w:rsid w:val="001A540C"/>
    <w:rsid w:val="001A55FF"/>
    <w:rsid w:val="001A62DC"/>
    <w:rsid w:val="001A6BF2"/>
    <w:rsid w:val="001A6E45"/>
    <w:rsid w:val="001A71DE"/>
    <w:rsid w:val="001A74C4"/>
    <w:rsid w:val="001A758A"/>
    <w:rsid w:val="001A77E3"/>
    <w:rsid w:val="001A77FB"/>
    <w:rsid w:val="001A7E8F"/>
    <w:rsid w:val="001B0022"/>
    <w:rsid w:val="001B01D2"/>
    <w:rsid w:val="001B0AA4"/>
    <w:rsid w:val="001B0ED6"/>
    <w:rsid w:val="001B111F"/>
    <w:rsid w:val="001B14BF"/>
    <w:rsid w:val="001B171F"/>
    <w:rsid w:val="001B17E1"/>
    <w:rsid w:val="001B20B1"/>
    <w:rsid w:val="001B2248"/>
    <w:rsid w:val="001B23E1"/>
    <w:rsid w:val="001B3879"/>
    <w:rsid w:val="001B3AE0"/>
    <w:rsid w:val="001B3B05"/>
    <w:rsid w:val="001B3DFD"/>
    <w:rsid w:val="001B475A"/>
    <w:rsid w:val="001B5AE2"/>
    <w:rsid w:val="001B5C65"/>
    <w:rsid w:val="001B5CA0"/>
    <w:rsid w:val="001B5D6C"/>
    <w:rsid w:val="001B5F92"/>
    <w:rsid w:val="001B5FAB"/>
    <w:rsid w:val="001B64DC"/>
    <w:rsid w:val="001B65B5"/>
    <w:rsid w:val="001B6622"/>
    <w:rsid w:val="001B6ABC"/>
    <w:rsid w:val="001B74FA"/>
    <w:rsid w:val="001B7549"/>
    <w:rsid w:val="001B7873"/>
    <w:rsid w:val="001B7FC6"/>
    <w:rsid w:val="001C0A37"/>
    <w:rsid w:val="001C1993"/>
    <w:rsid w:val="001C2063"/>
    <w:rsid w:val="001C288C"/>
    <w:rsid w:val="001C288E"/>
    <w:rsid w:val="001C331B"/>
    <w:rsid w:val="001C3609"/>
    <w:rsid w:val="001C3AAE"/>
    <w:rsid w:val="001C3C05"/>
    <w:rsid w:val="001C3E1C"/>
    <w:rsid w:val="001C3EE5"/>
    <w:rsid w:val="001C408F"/>
    <w:rsid w:val="001C49DE"/>
    <w:rsid w:val="001C49DF"/>
    <w:rsid w:val="001C4BDE"/>
    <w:rsid w:val="001C506B"/>
    <w:rsid w:val="001C5D6F"/>
    <w:rsid w:val="001C65C6"/>
    <w:rsid w:val="001C6644"/>
    <w:rsid w:val="001C68DE"/>
    <w:rsid w:val="001C6A9F"/>
    <w:rsid w:val="001C7052"/>
    <w:rsid w:val="001C719A"/>
    <w:rsid w:val="001C7AD2"/>
    <w:rsid w:val="001C7E2B"/>
    <w:rsid w:val="001D00D4"/>
    <w:rsid w:val="001D045E"/>
    <w:rsid w:val="001D0B24"/>
    <w:rsid w:val="001D1391"/>
    <w:rsid w:val="001D14B6"/>
    <w:rsid w:val="001D2A9B"/>
    <w:rsid w:val="001D2BE9"/>
    <w:rsid w:val="001D3090"/>
    <w:rsid w:val="001D30BB"/>
    <w:rsid w:val="001D30E9"/>
    <w:rsid w:val="001D3195"/>
    <w:rsid w:val="001D3C75"/>
    <w:rsid w:val="001D3FF7"/>
    <w:rsid w:val="001D4089"/>
    <w:rsid w:val="001D472E"/>
    <w:rsid w:val="001D485C"/>
    <w:rsid w:val="001D4996"/>
    <w:rsid w:val="001D49B6"/>
    <w:rsid w:val="001D566C"/>
    <w:rsid w:val="001D5D56"/>
    <w:rsid w:val="001D613D"/>
    <w:rsid w:val="001D61E5"/>
    <w:rsid w:val="001D64A7"/>
    <w:rsid w:val="001D64C0"/>
    <w:rsid w:val="001D7F65"/>
    <w:rsid w:val="001D7F92"/>
    <w:rsid w:val="001E01E4"/>
    <w:rsid w:val="001E02B3"/>
    <w:rsid w:val="001E0431"/>
    <w:rsid w:val="001E0510"/>
    <w:rsid w:val="001E0778"/>
    <w:rsid w:val="001E127C"/>
    <w:rsid w:val="001E1476"/>
    <w:rsid w:val="001E1BCA"/>
    <w:rsid w:val="001E25A1"/>
    <w:rsid w:val="001E27EC"/>
    <w:rsid w:val="001E2B65"/>
    <w:rsid w:val="001E2ECF"/>
    <w:rsid w:val="001E378A"/>
    <w:rsid w:val="001E37AD"/>
    <w:rsid w:val="001E3A7B"/>
    <w:rsid w:val="001E4401"/>
    <w:rsid w:val="001E44EA"/>
    <w:rsid w:val="001E47FB"/>
    <w:rsid w:val="001E48F7"/>
    <w:rsid w:val="001E4AAB"/>
    <w:rsid w:val="001E5E28"/>
    <w:rsid w:val="001E6303"/>
    <w:rsid w:val="001E645C"/>
    <w:rsid w:val="001E6B1B"/>
    <w:rsid w:val="001E7A34"/>
    <w:rsid w:val="001E7A56"/>
    <w:rsid w:val="001E7E0B"/>
    <w:rsid w:val="001F0B02"/>
    <w:rsid w:val="001F0CBF"/>
    <w:rsid w:val="001F11E2"/>
    <w:rsid w:val="001F13DC"/>
    <w:rsid w:val="001F194A"/>
    <w:rsid w:val="001F1AFC"/>
    <w:rsid w:val="001F1F11"/>
    <w:rsid w:val="001F2E10"/>
    <w:rsid w:val="001F30BC"/>
    <w:rsid w:val="001F382A"/>
    <w:rsid w:val="001F3DD6"/>
    <w:rsid w:val="001F4065"/>
    <w:rsid w:val="001F42E9"/>
    <w:rsid w:val="001F50FF"/>
    <w:rsid w:val="001F53D6"/>
    <w:rsid w:val="001F53E4"/>
    <w:rsid w:val="001F59C6"/>
    <w:rsid w:val="001F5DA0"/>
    <w:rsid w:val="001F6293"/>
    <w:rsid w:val="001F6920"/>
    <w:rsid w:val="001F6D06"/>
    <w:rsid w:val="001F7144"/>
    <w:rsid w:val="001F7450"/>
    <w:rsid w:val="001F76E3"/>
    <w:rsid w:val="001F7A91"/>
    <w:rsid w:val="00200A1C"/>
    <w:rsid w:val="00200FFB"/>
    <w:rsid w:val="00201238"/>
    <w:rsid w:val="002018CA"/>
    <w:rsid w:val="002028A9"/>
    <w:rsid w:val="0020337F"/>
    <w:rsid w:val="00203489"/>
    <w:rsid w:val="00203699"/>
    <w:rsid w:val="002039DC"/>
    <w:rsid w:val="00204183"/>
    <w:rsid w:val="00204808"/>
    <w:rsid w:val="00204BC0"/>
    <w:rsid w:val="00204D6C"/>
    <w:rsid w:val="00204FF1"/>
    <w:rsid w:val="00205242"/>
    <w:rsid w:val="00205D67"/>
    <w:rsid w:val="00205F48"/>
    <w:rsid w:val="00206339"/>
    <w:rsid w:val="00206550"/>
    <w:rsid w:val="002067C9"/>
    <w:rsid w:val="002073B6"/>
    <w:rsid w:val="002073CD"/>
    <w:rsid w:val="00207540"/>
    <w:rsid w:val="002075C8"/>
    <w:rsid w:val="00207FDF"/>
    <w:rsid w:val="00210988"/>
    <w:rsid w:val="00210CE6"/>
    <w:rsid w:val="00210F7B"/>
    <w:rsid w:val="0021131D"/>
    <w:rsid w:val="002118A8"/>
    <w:rsid w:val="002119E9"/>
    <w:rsid w:val="00211E69"/>
    <w:rsid w:val="00212993"/>
    <w:rsid w:val="00212D6D"/>
    <w:rsid w:val="002130FE"/>
    <w:rsid w:val="0021362D"/>
    <w:rsid w:val="002142D5"/>
    <w:rsid w:val="002145E0"/>
    <w:rsid w:val="002146B4"/>
    <w:rsid w:val="00215461"/>
    <w:rsid w:val="0021569D"/>
    <w:rsid w:val="002158C6"/>
    <w:rsid w:val="00215A18"/>
    <w:rsid w:val="00215BBD"/>
    <w:rsid w:val="00215C1F"/>
    <w:rsid w:val="002162C1"/>
    <w:rsid w:val="00216553"/>
    <w:rsid w:val="002174E6"/>
    <w:rsid w:val="00217734"/>
    <w:rsid w:val="00217771"/>
    <w:rsid w:val="00220399"/>
    <w:rsid w:val="00221123"/>
    <w:rsid w:val="002213DB"/>
    <w:rsid w:val="00221B48"/>
    <w:rsid w:val="00221D65"/>
    <w:rsid w:val="00221D7E"/>
    <w:rsid w:val="00221FAF"/>
    <w:rsid w:val="00222334"/>
    <w:rsid w:val="0022269C"/>
    <w:rsid w:val="00222774"/>
    <w:rsid w:val="00222B4C"/>
    <w:rsid w:val="00223879"/>
    <w:rsid w:val="00223C13"/>
    <w:rsid w:val="00224177"/>
    <w:rsid w:val="00224239"/>
    <w:rsid w:val="00224413"/>
    <w:rsid w:val="002244FD"/>
    <w:rsid w:val="00224715"/>
    <w:rsid w:val="00224843"/>
    <w:rsid w:val="0022488F"/>
    <w:rsid w:val="00224979"/>
    <w:rsid w:val="00224BAD"/>
    <w:rsid w:val="00225121"/>
    <w:rsid w:val="0022521F"/>
    <w:rsid w:val="00225A11"/>
    <w:rsid w:val="00225B70"/>
    <w:rsid w:val="0022626E"/>
    <w:rsid w:val="0022673E"/>
    <w:rsid w:val="00226B77"/>
    <w:rsid w:val="00226D65"/>
    <w:rsid w:val="00227016"/>
    <w:rsid w:val="00227126"/>
    <w:rsid w:val="00227472"/>
    <w:rsid w:val="00227639"/>
    <w:rsid w:val="002300E3"/>
    <w:rsid w:val="0023094C"/>
    <w:rsid w:val="002311F3"/>
    <w:rsid w:val="00231437"/>
    <w:rsid w:val="002315F6"/>
    <w:rsid w:val="00231B3E"/>
    <w:rsid w:val="0023276C"/>
    <w:rsid w:val="002330BD"/>
    <w:rsid w:val="002334F0"/>
    <w:rsid w:val="00233907"/>
    <w:rsid w:val="00233A8C"/>
    <w:rsid w:val="00233FF9"/>
    <w:rsid w:val="00234AF7"/>
    <w:rsid w:val="00234E2F"/>
    <w:rsid w:val="002355B6"/>
    <w:rsid w:val="00235701"/>
    <w:rsid w:val="002359DC"/>
    <w:rsid w:val="0023607E"/>
    <w:rsid w:val="00236518"/>
    <w:rsid w:val="00236602"/>
    <w:rsid w:val="00236D23"/>
    <w:rsid w:val="00236E5A"/>
    <w:rsid w:val="002379EA"/>
    <w:rsid w:val="00237A42"/>
    <w:rsid w:val="00240277"/>
    <w:rsid w:val="00240768"/>
    <w:rsid w:val="002414FC"/>
    <w:rsid w:val="00241579"/>
    <w:rsid w:val="002415A5"/>
    <w:rsid w:val="0024198D"/>
    <w:rsid w:val="00242168"/>
    <w:rsid w:val="00242E84"/>
    <w:rsid w:val="00243272"/>
    <w:rsid w:val="002433DA"/>
    <w:rsid w:val="00243F68"/>
    <w:rsid w:val="00244185"/>
    <w:rsid w:val="002448DD"/>
    <w:rsid w:val="00244A9C"/>
    <w:rsid w:val="00245312"/>
    <w:rsid w:val="0024582C"/>
    <w:rsid w:val="00245E77"/>
    <w:rsid w:val="00246473"/>
    <w:rsid w:val="00246554"/>
    <w:rsid w:val="002467F1"/>
    <w:rsid w:val="00247119"/>
    <w:rsid w:val="0024781B"/>
    <w:rsid w:val="00247CE3"/>
    <w:rsid w:val="002503E2"/>
    <w:rsid w:val="00250DE4"/>
    <w:rsid w:val="0025221A"/>
    <w:rsid w:val="00252271"/>
    <w:rsid w:val="00252616"/>
    <w:rsid w:val="00252933"/>
    <w:rsid w:val="00252CF0"/>
    <w:rsid w:val="00252CFC"/>
    <w:rsid w:val="00252D5C"/>
    <w:rsid w:val="00252FDB"/>
    <w:rsid w:val="00253477"/>
    <w:rsid w:val="002536FE"/>
    <w:rsid w:val="002539F6"/>
    <w:rsid w:val="00254C45"/>
    <w:rsid w:val="00254CFA"/>
    <w:rsid w:val="00254F7A"/>
    <w:rsid w:val="002554C5"/>
    <w:rsid w:val="002565D1"/>
    <w:rsid w:val="0025696D"/>
    <w:rsid w:val="00256B50"/>
    <w:rsid w:val="00256ED5"/>
    <w:rsid w:val="002571F8"/>
    <w:rsid w:val="002574CF"/>
    <w:rsid w:val="00257699"/>
    <w:rsid w:val="00257A09"/>
    <w:rsid w:val="00260362"/>
    <w:rsid w:val="002604BB"/>
    <w:rsid w:val="002605B6"/>
    <w:rsid w:val="0026078B"/>
    <w:rsid w:val="002607FA"/>
    <w:rsid w:val="0026102E"/>
    <w:rsid w:val="00261DE7"/>
    <w:rsid w:val="00262712"/>
    <w:rsid w:val="002628E0"/>
    <w:rsid w:val="00262FEC"/>
    <w:rsid w:val="0026308C"/>
    <w:rsid w:val="00263475"/>
    <w:rsid w:val="002638FC"/>
    <w:rsid w:val="00263999"/>
    <w:rsid w:val="002639D0"/>
    <w:rsid w:val="0026410C"/>
    <w:rsid w:val="0026419E"/>
    <w:rsid w:val="002645D9"/>
    <w:rsid w:val="00264678"/>
    <w:rsid w:val="00264BF6"/>
    <w:rsid w:val="00264E15"/>
    <w:rsid w:val="00264FD8"/>
    <w:rsid w:val="0026518B"/>
    <w:rsid w:val="00265294"/>
    <w:rsid w:val="00265593"/>
    <w:rsid w:val="0026569F"/>
    <w:rsid w:val="00265BF5"/>
    <w:rsid w:val="00266311"/>
    <w:rsid w:val="00266B31"/>
    <w:rsid w:val="00266C98"/>
    <w:rsid w:val="00267DD8"/>
    <w:rsid w:val="00267DE6"/>
    <w:rsid w:val="002706F0"/>
    <w:rsid w:val="00270735"/>
    <w:rsid w:val="0027102F"/>
    <w:rsid w:val="0027107F"/>
    <w:rsid w:val="002710BF"/>
    <w:rsid w:val="00271271"/>
    <w:rsid w:val="002717E1"/>
    <w:rsid w:val="00271E6A"/>
    <w:rsid w:val="00272269"/>
    <w:rsid w:val="0027240F"/>
    <w:rsid w:val="00272523"/>
    <w:rsid w:val="0027268E"/>
    <w:rsid w:val="00272822"/>
    <w:rsid w:val="0027283F"/>
    <w:rsid w:val="002729AD"/>
    <w:rsid w:val="00272E8E"/>
    <w:rsid w:val="0027319B"/>
    <w:rsid w:val="00273AA1"/>
    <w:rsid w:val="00273ACA"/>
    <w:rsid w:val="00273D4C"/>
    <w:rsid w:val="00273F93"/>
    <w:rsid w:val="00274120"/>
    <w:rsid w:val="0027426D"/>
    <w:rsid w:val="00274291"/>
    <w:rsid w:val="002748C6"/>
    <w:rsid w:val="00274B28"/>
    <w:rsid w:val="0027547D"/>
    <w:rsid w:val="002758A2"/>
    <w:rsid w:val="00276246"/>
    <w:rsid w:val="002765A4"/>
    <w:rsid w:val="00276822"/>
    <w:rsid w:val="002769D4"/>
    <w:rsid w:val="00277067"/>
    <w:rsid w:val="00277202"/>
    <w:rsid w:val="00277294"/>
    <w:rsid w:val="002772AD"/>
    <w:rsid w:val="0027733B"/>
    <w:rsid w:val="00280505"/>
    <w:rsid w:val="00280A23"/>
    <w:rsid w:val="00280BB4"/>
    <w:rsid w:val="00280D65"/>
    <w:rsid w:val="00280D7F"/>
    <w:rsid w:val="00280D8A"/>
    <w:rsid w:val="002813D1"/>
    <w:rsid w:val="00281C3E"/>
    <w:rsid w:val="00282225"/>
    <w:rsid w:val="00282304"/>
    <w:rsid w:val="00282848"/>
    <w:rsid w:val="00282DD6"/>
    <w:rsid w:val="00282DEC"/>
    <w:rsid w:val="00282F66"/>
    <w:rsid w:val="0028300B"/>
    <w:rsid w:val="00283568"/>
    <w:rsid w:val="002835E2"/>
    <w:rsid w:val="00283B26"/>
    <w:rsid w:val="00283BB7"/>
    <w:rsid w:val="002841FB"/>
    <w:rsid w:val="00285AE1"/>
    <w:rsid w:val="00285EFA"/>
    <w:rsid w:val="002864BB"/>
    <w:rsid w:val="00286E16"/>
    <w:rsid w:val="00286F97"/>
    <w:rsid w:val="00287131"/>
    <w:rsid w:val="00287266"/>
    <w:rsid w:val="002877B9"/>
    <w:rsid w:val="00287F0F"/>
    <w:rsid w:val="002900D0"/>
    <w:rsid w:val="00290148"/>
    <w:rsid w:val="00290E81"/>
    <w:rsid w:val="002916AA"/>
    <w:rsid w:val="002918AF"/>
    <w:rsid w:val="00291912"/>
    <w:rsid w:val="00291DAF"/>
    <w:rsid w:val="0029224E"/>
    <w:rsid w:val="002923CB"/>
    <w:rsid w:val="002933E8"/>
    <w:rsid w:val="0029363A"/>
    <w:rsid w:val="00293B7E"/>
    <w:rsid w:val="00293DF4"/>
    <w:rsid w:val="00294759"/>
    <w:rsid w:val="00294A81"/>
    <w:rsid w:val="00294D34"/>
    <w:rsid w:val="00295A7D"/>
    <w:rsid w:val="002961EF"/>
    <w:rsid w:val="002965A7"/>
    <w:rsid w:val="00296CE1"/>
    <w:rsid w:val="00296EFB"/>
    <w:rsid w:val="00296F51"/>
    <w:rsid w:val="00297685"/>
    <w:rsid w:val="00297774"/>
    <w:rsid w:val="002A008F"/>
    <w:rsid w:val="002A01AC"/>
    <w:rsid w:val="002A02A8"/>
    <w:rsid w:val="002A07AD"/>
    <w:rsid w:val="002A1286"/>
    <w:rsid w:val="002A134F"/>
    <w:rsid w:val="002A14B0"/>
    <w:rsid w:val="002A15A2"/>
    <w:rsid w:val="002A1991"/>
    <w:rsid w:val="002A19A9"/>
    <w:rsid w:val="002A2055"/>
    <w:rsid w:val="002A2592"/>
    <w:rsid w:val="002A2797"/>
    <w:rsid w:val="002A2906"/>
    <w:rsid w:val="002A29A2"/>
    <w:rsid w:val="002A29AB"/>
    <w:rsid w:val="002A2DC3"/>
    <w:rsid w:val="002A30E7"/>
    <w:rsid w:val="002A3604"/>
    <w:rsid w:val="002A39F8"/>
    <w:rsid w:val="002A3CC8"/>
    <w:rsid w:val="002A470D"/>
    <w:rsid w:val="002A4769"/>
    <w:rsid w:val="002A47CB"/>
    <w:rsid w:val="002A4BD5"/>
    <w:rsid w:val="002A4C66"/>
    <w:rsid w:val="002A55F0"/>
    <w:rsid w:val="002A5731"/>
    <w:rsid w:val="002A57DD"/>
    <w:rsid w:val="002A5F2B"/>
    <w:rsid w:val="002A5FC1"/>
    <w:rsid w:val="002A616E"/>
    <w:rsid w:val="002A697B"/>
    <w:rsid w:val="002A6B04"/>
    <w:rsid w:val="002A6B9E"/>
    <w:rsid w:val="002A6E2A"/>
    <w:rsid w:val="002A73A1"/>
    <w:rsid w:val="002A7707"/>
    <w:rsid w:val="002A78A6"/>
    <w:rsid w:val="002B0362"/>
    <w:rsid w:val="002B0FCF"/>
    <w:rsid w:val="002B125F"/>
    <w:rsid w:val="002B1320"/>
    <w:rsid w:val="002B182E"/>
    <w:rsid w:val="002B1B2F"/>
    <w:rsid w:val="002B1EAC"/>
    <w:rsid w:val="002B206E"/>
    <w:rsid w:val="002B2213"/>
    <w:rsid w:val="002B28ED"/>
    <w:rsid w:val="002B2A72"/>
    <w:rsid w:val="002B3857"/>
    <w:rsid w:val="002B38CB"/>
    <w:rsid w:val="002B3E7E"/>
    <w:rsid w:val="002B3EAB"/>
    <w:rsid w:val="002B4582"/>
    <w:rsid w:val="002B4BAE"/>
    <w:rsid w:val="002B4CEF"/>
    <w:rsid w:val="002B51AC"/>
    <w:rsid w:val="002B5318"/>
    <w:rsid w:val="002B5376"/>
    <w:rsid w:val="002B5443"/>
    <w:rsid w:val="002B55C1"/>
    <w:rsid w:val="002B68D9"/>
    <w:rsid w:val="002B6CD9"/>
    <w:rsid w:val="002C0233"/>
    <w:rsid w:val="002C120A"/>
    <w:rsid w:val="002C121F"/>
    <w:rsid w:val="002C1581"/>
    <w:rsid w:val="002C266A"/>
    <w:rsid w:val="002C28D1"/>
    <w:rsid w:val="002C2CE2"/>
    <w:rsid w:val="002C2D58"/>
    <w:rsid w:val="002C2E0D"/>
    <w:rsid w:val="002C2F20"/>
    <w:rsid w:val="002C3535"/>
    <w:rsid w:val="002C3D88"/>
    <w:rsid w:val="002C4286"/>
    <w:rsid w:val="002C4643"/>
    <w:rsid w:val="002C4A29"/>
    <w:rsid w:val="002C4D45"/>
    <w:rsid w:val="002C5147"/>
    <w:rsid w:val="002C538E"/>
    <w:rsid w:val="002C5930"/>
    <w:rsid w:val="002C5A14"/>
    <w:rsid w:val="002C6247"/>
    <w:rsid w:val="002C68ED"/>
    <w:rsid w:val="002C6A13"/>
    <w:rsid w:val="002C71A5"/>
    <w:rsid w:val="002C779D"/>
    <w:rsid w:val="002C7CF0"/>
    <w:rsid w:val="002C7F08"/>
    <w:rsid w:val="002C7F15"/>
    <w:rsid w:val="002D0472"/>
    <w:rsid w:val="002D0650"/>
    <w:rsid w:val="002D0DB7"/>
    <w:rsid w:val="002D1234"/>
    <w:rsid w:val="002D1381"/>
    <w:rsid w:val="002D1388"/>
    <w:rsid w:val="002D147D"/>
    <w:rsid w:val="002D205D"/>
    <w:rsid w:val="002D2307"/>
    <w:rsid w:val="002D2460"/>
    <w:rsid w:val="002D2791"/>
    <w:rsid w:val="002D2C2E"/>
    <w:rsid w:val="002D3203"/>
    <w:rsid w:val="002D3228"/>
    <w:rsid w:val="002D332F"/>
    <w:rsid w:val="002D3425"/>
    <w:rsid w:val="002D399A"/>
    <w:rsid w:val="002D3FC1"/>
    <w:rsid w:val="002D4276"/>
    <w:rsid w:val="002D4A9F"/>
    <w:rsid w:val="002D4F5D"/>
    <w:rsid w:val="002D501E"/>
    <w:rsid w:val="002D5528"/>
    <w:rsid w:val="002D56C5"/>
    <w:rsid w:val="002D5951"/>
    <w:rsid w:val="002D6410"/>
    <w:rsid w:val="002D6659"/>
    <w:rsid w:val="002D69FC"/>
    <w:rsid w:val="002D6A4C"/>
    <w:rsid w:val="002D7A62"/>
    <w:rsid w:val="002D7B47"/>
    <w:rsid w:val="002D7B4F"/>
    <w:rsid w:val="002D7E64"/>
    <w:rsid w:val="002E01B2"/>
    <w:rsid w:val="002E04BE"/>
    <w:rsid w:val="002E08A3"/>
    <w:rsid w:val="002E11BA"/>
    <w:rsid w:val="002E17E8"/>
    <w:rsid w:val="002E1A37"/>
    <w:rsid w:val="002E2273"/>
    <w:rsid w:val="002E2314"/>
    <w:rsid w:val="002E23BD"/>
    <w:rsid w:val="002E3E3E"/>
    <w:rsid w:val="002E3F16"/>
    <w:rsid w:val="002E3F6A"/>
    <w:rsid w:val="002E41D3"/>
    <w:rsid w:val="002E4221"/>
    <w:rsid w:val="002E450A"/>
    <w:rsid w:val="002E45C4"/>
    <w:rsid w:val="002E4B27"/>
    <w:rsid w:val="002E5218"/>
    <w:rsid w:val="002E5408"/>
    <w:rsid w:val="002E5621"/>
    <w:rsid w:val="002E6028"/>
    <w:rsid w:val="002E62E5"/>
    <w:rsid w:val="002E7196"/>
    <w:rsid w:val="002E72B9"/>
    <w:rsid w:val="002E76AF"/>
    <w:rsid w:val="002E7A88"/>
    <w:rsid w:val="002F0021"/>
    <w:rsid w:val="002F0917"/>
    <w:rsid w:val="002F0B6B"/>
    <w:rsid w:val="002F0B6D"/>
    <w:rsid w:val="002F1437"/>
    <w:rsid w:val="002F1451"/>
    <w:rsid w:val="002F1779"/>
    <w:rsid w:val="002F19E4"/>
    <w:rsid w:val="002F1F53"/>
    <w:rsid w:val="002F2088"/>
    <w:rsid w:val="002F21B5"/>
    <w:rsid w:val="002F238E"/>
    <w:rsid w:val="002F24C7"/>
    <w:rsid w:val="002F2502"/>
    <w:rsid w:val="002F2828"/>
    <w:rsid w:val="002F2BDC"/>
    <w:rsid w:val="002F2FE2"/>
    <w:rsid w:val="002F32F9"/>
    <w:rsid w:val="002F44C0"/>
    <w:rsid w:val="002F46CC"/>
    <w:rsid w:val="002F4847"/>
    <w:rsid w:val="002F48E0"/>
    <w:rsid w:val="002F4AA4"/>
    <w:rsid w:val="002F4ABB"/>
    <w:rsid w:val="002F4EF0"/>
    <w:rsid w:val="002F536A"/>
    <w:rsid w:val="002F5568"/>
    <w:rsid w:val="002F579E"/>
    <w:rsid w:val="002F5EDE"/>
    <w:rsid w:val="002F6283"/>
    <w:rsid w:val="002F656E"/>
    <w:rsid w:val="002F6614"/>
    <w:rsid w:val="002F670F"/>
    <w:rsid w:val="002F7134"/>
    <w:rsid w:val="002F7596"/>
    <w:rsid w:val="002F762D"/>
    <w:rsid w:val="002F76FE"/>
    <w:rsid w:val="002F7CB2"/>
    <w:rsid w:val="00300482"/>
    <w:rsid w:val="00301A3F"/>
    <w:rsid w:val="003020EB"/>
    <w:rsid w:val="0030223B"/>
    <w:rsid w:val="00302E72"/>
    <w:rsid w:val="00303DAF"/>
    <w:rsid w:val="00303F58"/>
    <w:rsid w:val="0030421C"/>
    <w:rsid w:val="00304246"/>
    <w:rsid w:val="003042EB"/>
    <w:rsid w:val="00304B5A"/>
    <w:rsid w:val="00304B85"/>
    <w:rsid w:val="00305003"/>
    <w:rsid w:val="00305924"/>
    <w:rsid w:val="00305DED"/>
    <w:rsid w:val="0030609D"/>
    <w:rsid w:val="00306263"/>
    <w:rsid w:val="00306285"/>
    <w:rsid w:val="00306C38"/>
    <w:rsid w:val="00306D4B"/>
    <w:rsid w:val="00306F9C"/>
    <w:rsid w:val="00306FDA"/>
    <w:rsid w:val="00307987"/>
    <w:rsid w:val="00307BEB"/>
    <w:rsid w:val="00307EAA"/>
    <w:rsid w:val="00310101"/>
    <w:rsid w:val="00310300"/>
    <w:rsid w:val="003105BE"/>
    <w:rsid w:val="00310621"/>
    <w:rsid w:val="00310CBE"/>
    <w:rsid w:val="0031114B"/>
    <w:rsid w:val="00311AA1"/>
    <w:rsid w:val="00312072"/>
    <w:rsid w:val="00312924"/>
    <w:rsid w:val="00312D57"/>
    <w:rsid w:val="003131B8"/>
    <w:rsid w:val="003131D0"/>
    <w:rsid w:val="00313691"/>
    <w:rsid w:val="003136B3"/>
    <w:rsid w:val="00314098"/>
    <w:rsid w:val="00314111"/>
    <w:rsid w:val="00314169"/>
    <w:rsid w:val="003142D7"/>
    <w:rsid w:val="00314388"/>
    <w:rsid w:val="0031459C"/>
    <w:rsid w:val="00314998"/>
    <w:rsid w:val="00314B2D"/>
    <w:rsid w:val="0031581A"/>
    <w:rsid w:val="00315D30"/>
    <w:rsid w:val="00316192"/>
    <w:rsid w:val="003162C9"/>
    <w:rsid w:val="003166E0"/>
    <w:rsid w:val="0031708B"/>
    <w:rsid w:val="003172B9"/>
    <w:rsid w:val="00317478"/>
    <w:rsid w:val="00317BC4"/>
    <w:rsid w:val="00317D76"/>
    <w:rsid w:val="00317DF0"/>
    <w:rsid w:val="00317F42"/>
    <w:rsid w:val="0032035E"/>
    <w:rsid w:val="003203CA"/>
    <w:rsid w:val="003214C9"/>
    <w:rsid w:val="0032163A"/>
    <w:rsid w:val="00321708"/>
    <w:rsid w:val="00321A0A"/>
    <w:rsid w:val="00321D2F"/>
    <w:rsid w:val="00321ED4"/>
    <w:rsid w:val="003223F2"/>
    <w:rsid w:val="00322BB5"/>
    <w:rsid w:val="00322BCE"/>
    <w:rsid w:val="0032304C"/>
    <w:rsid w:val="003234A2"/>
    <w:rsid w:val="0032362D"/>
    <w:rsid w:val="003236CB"/>
    <w:rsid w:val="00323AD2"/>
    <w:rsid w:val="00323F75"/>
    <w:rsid w:val="00324617"/>
    <w:rsid w:val="003246DE"/>
    <w:rsid w:val="003249B8"/>
    <w:rsid w:val="00324E0C"/>
    <w:rsid w:val="00324F38"/>
    <w:rsid w:val="003250EE"/>
    <w:rsid w:val="0032529F"/>
    <w:rsid w:val="00325432"/>
    <w:rsid w:val="00325544"/>
    <w:rsid w:val="00325B23"/>
    <w:rsid w:val="00325B3C"/>
    <w:rsid w:val="00325EA6"/>
    <w:rsid w:val="003261F6"/>
    <w:rsid w:val="00326C4C"/>
    <w:rsid w:val="00326CE4"/>
    <w:rsid w:val="00326F0B"/>
    <w:rsid w:val="00327238"/>
    <w:rsid w:val="00327564"/>
    <w:rsid w:val="003278A1"/>
    <w:rsid w:val="00327A6B"/>
    <w:rsid w:val="00327FBF"/>
    <w:rsid w:val="003301DF"/>
    <w:rsid w:val="00331055"/>
    <w:rsid w:val="00331B79"/>
    <w:rsid w:val="00331BA5"/>
    <w:rsid w:val="003328C1"/>
    <w:rsid w:val="00332969"/>
    <w:rsid w:val="00332B4F"/>
    <w:rsid w:val="00332F68"/>
    <w:rsid w:val="0033330B"/>
    <w:rsid w:val="003336F7"/>
    <w:rsid w:val="00333727"/>
    <w:rsid w:val="00333ADE"/>
    <w:rsid w:val="00333F1F"/>
    <w:rsid w:val="003341E2"/>
    <w:rsid w:val="0033443C"/>
    <w:rsid w:val="003347A8"/>
    <w:rsid w:val="00334ADF"/>
    <w:rsid w:val="00335AD3"/>
    <w:rsid w:val="00335BE5"/>
    <w:rsid w:val="003368B7"/>
    <w:rsid w:val="00336AF0"/>
    <w:rsid w:val="00336AFD"/>
    <w:rsid w:val="003370CB"/>
    <w:rsid w:val="0033735F"/>
    <w:rsid w:val="003377B9"/>
    <w:rsid w:val="00337AEF"/>
    <w:rsid w:val="00337D1A"/>
    <w:rsid w:val="00337DDE"/>
    <w:rsid w:val="00337FF7"/>
    <w:rsid w:val="00340205"/>
    <w:rsid w:val="0034055E"/>
    <w:rsid w:val="00340DC4"/>
    <w:rsid w:val="00340E2F"/>
    <w:rsid w:val="0034111C"/>
    <w:rsid w:val="0034178D"/>
    <w:rsid w:val="0034179B"/>
    <w:rsid w:val="00341B92"/>
    <w:rsid w:val="0034260C"/>
    <w:rsid w:val="00342AC5"/>
    <w:rsid w:val="00342DE5"/>
    <w:rsid w:val="00342FF4"/>
    <w:rsid w:val="00342FF6"/>
    <w:rsid w:val="003438E9"/>
    <w:rsid w:val="00343AFE"/>
    <w:rsid w:val="00343EC1"/>
    <w:rsid w:val="003442B4"/>
    <w:rsid w:val="00344B0C"/>
    <w:rsid w:val="00344DE4"/>
    <w:rsid w:val="003456F9"/>
    <w:rsid w:val="0034578C"/>
    <w:rsid w:val="00345F38"/>
    <w:rsid w:val="00346203"/>
    <w:rsid w:val="003463F3"/>
    <w:rsid w:val="003466B4"/>
    <w:rsid w:val="00346711"/>
    <w:rsid w:val="00347231"/>
    <w:rsid w:val="003474F5"/>
    <w:rsid w:val="00350539"/>
    <w:rsid w:val="00350564"/>
    <w:rsid w:val="00350AD2"/>
    <w:rsid w:val="003515AA"/>
    <w:rsid w:val="0035164B"/>
    <w:rsid w:val="00351E17"/>
    <w:rsid w:val="00351E18"/>
    <w:rsid w:val="00351EE3"/>
    <w:rsid w:val="00352C5C"/>
    <w:rsid w:val="00353871"/>
    <w:rsid w:val="00353DBE"/>
    <w:rsid w:val="00353ECA"/>
    <w:rsid w:val="00353F99"/>
    <w:rsid w:val="003540BF"/>
    <w:rsid w:val="00354212"/>
    <w:rsid w:val="00354294"/>
    <w:rsid w:val="00354364"/>
    <w:rsid w:val="003549D9"/>
    <w:rsid w:val="0035509F"/>
    <w:rsid w:val="0035547C"/>
    <w:rsid w:val="003560EB"/>
    <w:rsid w:val="003563E1"/>
    <w:rsid w:val="00356A6A"/>
    <w:rsid w:val="00357C7C"/>
    <w:rsid w:val="00357EB3"/>
    <w:rsid w:val="0036026B"/>
    <w:rsid w:val="00360679"/>
    <w:rsid w:val="003610D7"/>
    <w:rsid w:val="003614F9"/>
    <w:rsid w:val="003618B5"/>
    <w:rsid w:val="003618F5"/>
    <w:rsid w:val="0036194F"/>
    <w:rsid w:val="00361BE5"/>
    <w:rsid w:val="00361D0B"/>
    <w:rsid w:val="00361D39"/>
    <w:rsid w:val="00361D98"/>
    <w:rsid w:val="003621C1"/>
    <w:rsid w:val="003625DC"/>
    <w:rsid w:val="00362684"/>
    <w:rsid w:val="00362DDD"/>
    <w:rsid w:val="00362EC9"/>
    <w:rsid w:val="0036332B"/>
    <w:rsid w:val="0036335B"/>
    <w:rsid w:val="00363C07"/>
    <w:rsid w:val="00364217"/>
    <w:rsid w:val="00364289"/>
    <w:rsid w:val="003643E1"/>
    <w:rsid w:val="00364429"/>
    <w:rsid w:val="0036496C"/>
    <w:rsid w:val="003649E4"/>
    <w:rsid w:val="00364C24"/>
    <w:rsid w:val="00364D6C"/>
    <w:rsid w:val="0036592B"/>
    <w:rsid w:val="00365F33"/>
    <w:rsid w:val="00366234"/>
    <w:rsid w:val="00366981"/>
    <w:rsid w:val="003669FE"/>
    <w:rsid w:val="00366AAA"/>
    <w:rsid w:val="003674DC"/>
    <w:rsid w:val="003675DF"/>
    <w:rsid w:val="003676AB"/>
    <w:rsid w:val="00367921"/>
    <w:rsid w:val="00367BAF"/>
    <w:rsid w:val="00367C8A"/>
    <w:rsid w:val="0037093A"/>
    <w:rsid w:val="00370F61"/>
    <w:rsid w:val="003710BF"/>
    <w:rsid w:val="00371BE6"/>
    <w:rsid w:val="00371D53"/>
    <w:rsid w:val="00372102"/>
    <w:rsid w:val="00372220"/>
    <w:rsid w:val="00372786"/>
    <w:rsid w:val="003727F7"/>
    <w:rsid w:val="00372937"/>
    <w:rsid w:val="00372B86"/>
    <w:rsid w:val="00372BD6"/>
    <w:rsid w:val="00372E1A"/>
    <w:rsid w:val="00373435"/>
    <w:rsid w:val="00373EA1"/>
    <w:rsid w:val="0037441F"/>
    <w:rsid w:val="003748D7"/>
    <w:rsid w:val="00374A63"/>
    <w:rsid w:val="003750A1"/>
    <w:rsid w:val="00375418"/>
    <w:rsid w:val="0037554B"/>
    <w:rsid w:val="00375C04"/>
    <w:rsid w:val="0037654E"/>
    <w:rsid w:val="0037661E"/>
    <w:rsid w:val="003766F1"/>
    <w:rsid w:val="0037686F"/>
    <w:rsid w:val="00376AE0"/>
    <w:rsid w:val="00376F57"/>
    <w:rsid w:val="0037730C"/>
    <w:rsid w:val="00377A5C"/>
    <w:rsid w:val="00377AE6"/>
    <w:rsid w:val="00377CC3"/>
    <w:rsid w:val="00377ECE"/>
    <w:rsid w:val="00377FCF"/>
    <w:rsid w:val="003800A2"/>
    <w:rsid w:val="003800F7"/>
    <w:rsid w:val="003809A5"/>
    <w:rsid w:val="00380DB5"/>
    <w:rsid w:val="00380F47"/>
    <w:rsid w:val="00380FEE"/>
    <w:rsid w:val="00381121"/>
    <w:rsid w:val="003814C1"/>
    <w:rsid w:val="003828E6"/>
    <w:rsid w:val="00382B20"/>
    <w:rsid w:val="0038349D"/>
    <w:rsid w:val="003834D5"/>
    <w:rsid w:val="00383CB4"/>
    <w:rsid w:val="003848A3"/>
    <w:rsid w:val="003854B6"/>
    <w:rsid w:val="0038600C"/>
    <w:rsid w:val="0038602D"/>
    <w:rsid w:val="00386093"/>
    <w:rsid w:val="0038622A"/>
    <w:rsid w:val="00386B57"/>
    <w:rsid w:val="00386EE9"/>
    <w:rsid w:val="003872B7"/>
    <w:rsid w:val="00387783"/>
    <w:rsid w:val="00387FB8"/>
    <w:rsid w:val="00390237"/>
    <w:rsid w:val="00391168"/>
    <w:rsid w:val="00391617"/>
    <w:rsid w:val="003916D4"/>
    <w:rsid w:val="00391A94"/>
    <w:rsid w:val="00391DA4"/>
    <w:rsid w:val="00392327"/>
    <w:rsid w:val="00392769"/>
    <w:rsid w:val="00392E4E"/>
    <w:rsid w:val="003937B2"/>
    <w:rsid w:val="00393893"/>
    <w:rsid w:val="003938D1"/>
    <w:rsid w:val="0039396A"/>
    <w:rsid w:val="00393B80"/>
    <w:rsid w:val="00393C6B"/>
    <w:rsid w:val="003945D3"/>
    <w:rsid w:val="00394A39"/>
    <w:rsid w:val="003952C9"/>
    <w:rsid w:val="0039537C"/>
    <w:rsid w:val="00395799"/>
    <w:rsid w:val="0039587A"/>
    <w:rsid w:val="003962DC"/>
    <w:rsid w:val="003966DB"/>
    <w:rsid w:val="003967EE"/>
    <w:rsid w:val="00396A9F"/>
    <w:rsid w:val="00396C5C"/>
    <w:rsid w:val="00396D3F"/>
    <w:rsid w:val="00396E30"/>
    <w:rsid w:val="00396E34"/>
    <w:rsid w:val="00397549"/>
    <w:rsid w:val="003A0421"/>
    <w:rsid w:val="003A098F"/>
    <w:rsid w:val="003A1A48"/>
    <w:rsid w:val="003A2457"/>
    <w:rsid w:val="003A2DFD"/>
    <w:rsid w:val="003A4473"/>
    <w:rsid w:val="003A4531"/>
    <w:rsid w:val="003A4554"/>
    <w:rsid w:val="003A4A6D"/>
    <w:rsid w:val="003A5B35"/>
    <w:rsid w:val="003A5B5E"/>
    <w:rsid w:val="003A5DC6"/>
    <w:rsid w:val="003A5DDE"/>
    <w:rsid w:val="003A6527"/>
    <w:rsid w:val="003A6710"/>
    <w:rsid w:val="003A68F2"/>
    <w:rsid w:val="003A6D7E"/>
    <w:rsid w:val="003A6EAD"/>
    <w:rsid w:val="003A7745"/>
    <w:rsid w:val="003B0693"/>
    <w:rsid w:val="003B0A1B"/>
    <w:rsid w:val="003B1290"/>
    <w:rsid w:val="003B1359"/>
    <w:rsid w:val="003B1425"/>
    <w:rsid w:val="003B1461"/>
    <w:rsid w:val="003B15F1"/>
    <w:rsid w:val="003B193B"/>
    <w:rsid w:val="003B1C43"/>
    <w:rsid w:val="003B236B"/>
    <w:rsid w:val="003B2FD0"/>
    <w:rsid w:val="003B31E2"/>
    <w:rsid w:val="003B3353"/>
    <w:rsid w:val="003B380F"/>
    <w:rsid w:val="003B3903"/>
    <w:rsid w:val="003B3A7E"/>
    <w:rsid w:val="003B4280"/>
    <w:rsid w:val="003B4B29"/>
    <w:rsid w:val="003B4D6E"/>
    <w:rsid w:val="003B5145"/>
    <w:rsid w:val="003B546C"/>
    <w:rsid w:val="003B5867"/>
    <w:rsid w:val="003B5F05"/>
    <w:rsid w:val="003B6668"/>
    <w:rsid w:val="003B6B06"/>
    <w:rsid w:val="003B6FD8"/>
    <w:rsid w:val="003B7635"/>
    <w:rsid w:val="003B7880"/>
    <w:rsid w:val="003C05A9"/>
    <w:rsid w:val="003C0CA5"/>
    <w:rsid w:val="003C14BE"/>
    <w:rsid w:val="003C18CD"/>
    <w:rsid w:val="003C1B68"/>
    <w:rsid w:val="003C1B81"/>
    <w:rsid w:val="003C20A0"/>
    <w:rsid w:val="003C2B2A"/>
    <w:rsid w:val="003C2CAC"/>
    <w:rsid w:val="003C3055"/>
    <w:rsid w:val="003C372D"/>
    <w:rsid w:val="003C48F0"/>
    <w:rsid w:val="003C5205"/>
    <w:rsid w:val="003C5B04"/>
    <w:rsid w:val="003C6B69"/>
    <w:rsid w:val="003C6C28"/>
    <w:rsid w:val="003C6E95"/>
    <w:rsid w:val="003C70A1"/>
    <w:rsid w:val="003C70C0"/>
    <w:rsid w:val="003C71B3"/>
    <w:rsid w:val="003C7334"/>
    <w:rsid w:val="003C7CD7"/>
    <w:rsid w:val="003C7D3C"/>
    <w:rsid w:val="003C7FC7"/>
    <w:rsid w:val="003D0107"/>
    <w:rsid w:val="003D0658"/>
    <w:rsid w:val="003D0660"/>
    <w:rsid w:val="003D0A12"/>
    <w:rsid w:val="003D0F02"/>
    <w:rsid w:val="003D18B4"/>
    <w:rsid w:val="003D1C21"/>
    <w:rsid w:val="003D2017"/>
    <w:rsid w:val="003D222C"/>
    <w:rsid w:val="003D23F9"/>
    <w:rsid w:val="003D2A01"/>
    <w:rsid w:val="003D2A21"/>
    <w:rsid w:val="003D2A6F"/>
    <w:rsid w:val="003D2C28"/>
    <w:rsid w:val="003D314B"/>
    <w:rsid w:val="003D333C"/>
    <w:rsid w:val="003D3AF9"/>
    <w:rsid w:val="003D4321"/>
    <w:rsid w:val="003D43F8"/>
    <w:rsid w:val="003D4784"/>
    <w:rsid w:val="003D4E16"/>
    <w:rsid w:val="003D4F7C"/>
    <w:rsid w:val="003D543F"/>
    <w:rsid w:val="003D569C"/>
    <w:rsid w:val="003D58B5"/>
    <w:rsid w:val="003D5A63"/>
    <w:rsid w:val="003D5CF7"/>
    <w:rsid w:val="003D5F2A"/>
    <w:rsid w:val="003D631E"/>
    <w:rsid w:val="003D66C7"/>
    <w:rsid w:val="003D6CAB"/>
    <w:rsid w:val="003D6D4E"/>
    <w:rsid w:val="003D70F6"/>
    <w:rsid w:val="003D7462"/>
    <w:rsid w:val="003D7834"/>
    <w:rsid w:val="003D7A9E"/>
    <w:rsid w:val="003D7D12"/>
    <w:rsid w:val="003D7D36"/>
    <w:rsid w:val="003E07E2"/>
    <w:rsid w:val="003E08F0"/>
    <w:rsid w:val="003E0901"/>
    <w:rsid w:val="003E0AE6"/>
    <w:rsid w:val="003E180A"/>
    <w:rsid w:val="003E198F"/>
    <w:rsid w:val="003E1A93"/>
    <w:rsid w:val="003E226E"/>
    <w:rsid w:val="003E2465"/>
    <w:rsid w:val="003E29C0"/>
    <w:rsid w:val="003E2B2E"/>
    <w:rsid w:val="003E3241"/>
    <w:rsid w:val="003E3BAF"/>
    <w:rsid w:val="003E416F"/>
    <w:rsid w:val="003E444E"/>
    <w:rsid w:val="003E49DE"/>
    <w:rsid w:val="003E4B18"/>
    <w:rsid w:val="003E4B3F"/>
    <w:rsid w:val="003E4E3F"/>
    <w:rsid w:val="003E590C"/>
    <w:rsid w:val="003E597E"/>
    <w:rsid w:val="003E6768"/>
    <w:rsid w:val="003E69A6"/>
    <w:rsid w:val="003E733B"/>
    <w:rsid w:val="003E73B4"/>
    <w:rsid w:val="003E7929"/>
    <w:rsid w:val="003E7C01"/>
    <w:rsid w:val="003E7E22"/>
    <w:rsid w:val="003F0218"/>
    <w:rsid w:val="003F0E92"/>
    <w:rsid w:val="003F1276"/>
    <w:rsid w:val="003F1E7F"/>
    <w:rsid w:val="003F20C2"/>
    <w:rsid w:val="003F2277"/>
    <w:rsid w:val="003F25ED"/>
    <w:rsid w:val="003F26EF"/>
    <w:rsid w:val="003F2D0C"/>
    <w:rsid w:val="003F3567"/>
    <w:rsid w:val="003F365F"/>
    <w:rsid w:val="003F3F35"/>
    <w:rsid w:val="003F42D2"/>
    <w:rsid w:val="003F4872"/>
    <w:rsid w:val="003F4C9C"/>
    <w:rsid w:val="003F53FF"/>
    <w:rsid w:val="003F59C2"/>
    <w:rsid w:val="003F59D9"/>
    <w:rsid w:val="003F601D"/>
    <w:rsid w:val="003F6B0B"/>
    <w:rsid w:val="003F6B8E"/>
    <w:rsid w:val="003F6B96"/>
    <w:rsid w:val="003F6FE1"/>
    <w:rsid w:val="003F718D"/>
    <w:rsid w:val="003F753E"/>
    <w:rsid w:val="003F77B6"/>
    <w:rsid w:val="003F7B12"/>
    <w:rsid w:val="00400BCE"/>
    <w:rsid w:val="00400F39"/>
    <w:rsid w:val="00400FB2"/>
    <w:rsid w:val="004013F8"/>
    <w:rsid w:val="00402400"/>
    <w:rsid w:val="0040365F"/>
    <w:rsid w:val="00403E45"/>
    <w:rsid w:val="00403F7B"/>
    <w:rsid w:val="004049B5"/>
    <w:rsid w:val="00404A4F"/>
    <w:rsid w:val="00405574"/>
    <w:rsid w:val="004056C5"/>
    <w:rsid w:val="00405CBB"/>
    <w:rsid w:val="00405EA7"/>
    <w:rsid w:val="004066D9"/>
    <w:rsid w:val="00407162"/>
    <w:rsid w:val="00407722"/>
    <w:rsid w:val="00407B7E"/>
    <w:rsid w:val="00407DB7"/>
    <w:rsid w:val="004103E7"/>
    <w:rsid w:val="00410ADF"/>
    <w:rsid w:val="00410CBE"/>
    <w:rsid w:val="00411029"/>
    <w:rsid w:val="0041174C"/>
    <w:rsid w:val="0041184B"/>
    <w:rsid w:val="00412873"/>
    <w:rsid w:val="00412CA6"/>
    <w:rsid w:val="00412DE3"/>
    <w:rsid w:val="004133BA"/>
    <w:rsid w:val="0041403C"/>
    <w:rsid w:val="004140C8"/>
    <w:rsid w:val="00414446"/>
    <w:rsid w:val="00414CB6"/>
    <w:rsid w:val="00414DE4"/>
    <w:rsid w:val="00414F79"/>
    <w:rsid w:val="0041579D"/>
    <w:rsid w:val="00415B5D"/>
    <w:rsid w:val="00415BFB"/>
    <w:rsid w:val="00416623"/>
    <w:rsid w:val="00416CAB"/>
    <w:rsid w:val="004170AB"/>
    <w:rsid w:val="00417575"/>
    <w:rsid w:val="00417FDA"/>
    <w:rsid w:val="004207E6"/>
    <w:rsid w:val="00420880"/>
    <w:rsid w:val="00420CA9"/>
    <w:rsid w:val="00421405"/>
    <w:rsid w:val="0042156E"/>
    <w:rsid w:val="00422400"/>
    <w:rsid w:val="00422DCC"/>
    <w:rsid w:val="00423057"/>
    <w:rsid w:val="00423C19"/>
    <w:rsid w:val="00423F86"/>
    <w:rsid w:val="00424E13"/>
    <w:rsid w:val="00425284"/>
    <w:rsid w:val="00425444"/>
    <w:rsid w:val="004256D4"/>
    <w:rsid w:val="004259DC"/>
    <w:rsid w:val="00425DC8"/>
    <w:rsid w:val="004264AC"/>
    <w:rsid w:val="00426649"/>
    <w:rsid w:val="0042698F"/>
    <w:rsid w:val="00426EC3"/>
    <w:rsid w:val="00427824"/>
    <w:rsid w:val="00427FE8"/>
    <w:rsid w:val="00430053"/>
    <w:rsid w:val="0043020B"/>
    <w:rsid w:val="004307EF"/>
    <w:rsid w:val="00430A15"/>
    <w:rsid w:val="00430B08"/>
    <w:rsid w:val="00430D5F"/>
    <w:rsid w:val="00430D94"/>
    <w:rsid w:val="004313EB"/>
    <w:rsid w:val="00431AA7"/>
    <w:rsid w:val="00432190"/>
    <w:rsid w:val="00432301"/>
    <w:rsid w:val="00432361"/>
    <w:rsid w:val="004326BA"/>
    <w:rsid w:val="004327C8"/>
    <w:rsid w:val="00432A8D"/>
    <w:rsid w:val="00432D36"/>
    <w:rsid w:val="00433235"/>
    <w:rsid w:val="00433275"/>
    <w:rsid w:val="00433360"/>
    <w:rsid w:val="00433B7A"/>
    <w:rsid w:val="00433C95"/>
    <w:rsid w:val="00433D4C"/>
    <w:rsid w:val="00433D6F"/>
    <w:rsid w:val="004341BB"/>
    <w:rsid w:val="00434591"/>
    <w:rsid w:val="00434B09"/>
    <w:rsid w:val="00435D7E"/>
    <w:rsid w:val="00435F81"/>
    <w:rsid w:val="0043630C"/>
    <w:rsid w:val="00436493"/>
    <w:rsid w:val="00436C53"/>
    <w:rsid w:val="00436D79"/>
    <w:rsid w:val="00436E40"/>
    <w:rsid w:val="00437C4C"/>
    <w:rsid w:val="00441222"/>
    <w:rsid w:val="00441683"/>
    <w:rsid w:val="00441985"/>
    <w:rsid w:val="00441B65"/>
    <w:rsid w:val="0044242D"/>
    <w:rsid w:val="00442468"/>
    <w:rsid w:val="00442A83"/>
    <w:rsid w:val="00442AF4"/>
    <w:rsid w:val="00444080"/>
    <w:rsid w:val="0044423C"/>
    <w:rsid w:val="00444683"/>
    <w:rsid w:val="00444A1C"/>
    <w:rsid w:val="00444D74"/>
    <w:rsid w:val="00444F80"/>
    <w:rsid w:val="004453D5"/>
    <w:rsid w:val="00445498"/>
    <w:rsid w:val="004454A3"/>
    <w:rsid w:val="004454EB"/>
    <w:rsid w:val="00445593"/>
    <w:rsid w:val="00445A26"/>
    <w:rsid w:val="00445EEB"/>
    <w:rsid w:val="00445EF7"/>
    <w:rsid w:val="00446062"/>
    <w:rsid w:val="00446563"/>
    <w:rsid w:val="00446710"/>
    <w:rsid w:val="00446A91"/>
    <w:rsid w:val="004473DA"/>
    <w:rsid w:val="0044768E"/>
    <w:rsid w:val="0044779A"/>
    <w:rsid w:val="00447FE4"/>
    <w:rsid w:val="004502D9"/>
    <w:rsid w:val="00450348"/>
    <w:rsid w:val="00450482"/>
    <w:rsid w:val="00450754"/>
    <w:rsid w:val="00451042"/>
    <w:rsid w:val="004510AB"/>
    <w:rsid w:val="00451F66"/>
    <w:rsid w:val="0045214A"/>
    <w:rsid w:val="004524AF"/>
    <w:rsid w:val="004526DB"/>
    <w:rsid w:val="00453315"/>
    <w:rsid w:val="004536B5"/>
    <w:rsid w:val="004539C8"/>
    <w:rsid w:val="00453E87"/>
    <w:rsid w:val="004544D6"/>
    <w:rsid w:val="004544DB"/>
    <w:rsid w:val="00454728"/>
    <w:rsid w:val="00454DD0"/>
    <w:rsid w:val="00454E7A"/>
    <w:rsid w:val="004555F4"/>
    <w:rsid w:val="00455E14"/>
    <w:rsid w:val="00455E85"/>
    <w:rsid w:val="0045628B"/>
    <w:rsid w:val="00456678"/>
    <w:rsid w:val="004567CD"/>
    <w:rsid w:val="00456D21"/>
    <w:rsid w:val="00457170"/>
    <w:rsid w:val="0045775A"/>
    <w:rsid w:val="004579BC"/>
    <w:rsid w:val="004600D3"/>
    <w:rsid w:val="00460334"/>
    <w:rsid w:val="00460B3D"/>
    <w:rsid w:val="00460B4E"/>
    <w:rsid w:val="00460E8A"/>
    <w:rsid w:val="00460ECF"/>
    <w:rsid w:val="00460F52"/>
    <w:rsid w:val="00460F92"/>
    <w:rsid w:val="00461142"/>
    <w:rsid w:val="00461CC8"/>
    <w:rsid w:val="00462BCE"/>
    <w:rsid w:val="00464248"/>
    <w:rsid w:val="004642E3"/>
    <w:rsid w:val="00464308"/>
    <w:rsid w:val="00464CE1"/>
    <w:rsid w:val="004651BC"/>
    <w:rsid w:val="00465DE8"/>
    <w:rsid w:val="00465E13"/>
    <w:rsid w:val="004668DA"/>
    <w:rsid w:val="00466A7C"/>
    <w:rsid w:val="00467AC4"/>
    <w:rsid w:val="00467F70"/>
    <w:rsid w:val="0047097D"/>
    <w:rsid w:val="00470DBD"/>
    <w:rsid w:val="004713C2"/>
    <w:rsid w:val="00471926"/>
    <w:rsid w:val="00472530"/>
    <w:rsid w:val="004727B3"/>
    <w:rsid w:val="00472A1F"/>
    <w:rsid w:val="004737B0"/>
    <w:rsid w:val="004737D5"/>
    <w:rsid w:val="00473A10"/>
    <w:rsid w:val="00473F53"/>
    <w:rsid w:val="00473F78"/>
    <w:rsid w:val="00474F77"/>
    <w:rsid w:val="0047519E"/>
    <w:rsid w:val="00475764"/>
    <w:rsid w:val="0047578C"/>
    <w:rsid w:val="004762C0"/>
    <w:rsid w:val="004764C9"/>
    <w:rsid w:val="00476764"/>
    <w:rsid w:val="00476E1A"/>
    <w:rsid w:val="004772A9"/>
    <w:rsid w:val="0047740E"/>
    <w:rsid w:val="0047799A"/>
    <w:rsid w:val="00477ABD"/>
    <w:rsid w:val="00477F5C"/>
    <w:rsid w:val="004800F5"/>
    <w:rsid w:val="0048045E"/>
    <w:rsid w:val="004808EA"/>
    <w:rsid w:val="00480C0B"/>
    <w:rsid w:val="00480C96"/>
    <w:rsid w:val="00480DA8"/>
    <w:rsid w:val="0048103C"/>
    <w:rsid w:val="0048119D"/>
    <w:rsid w:val="00481817"/>
    <w:rsid w:val="00481939"/>
    <w:rsid w:val="00481DEC"/>
    <w:rsid w:val="00482762"/>
    <w:rsid w:val="00482F11"/>
    <w:rsid w:val="00482FFC"/>
    <w:rsid w:val="00483294"/>
    <w:rsid w:val="00483B3F"/>
    <w:rsid w:val="00483C6A"/>
    <w:rsid w:val="004845ED"/>
    <w:rsid w:val="004847E8"/>
    <w:rsid w:val="00484A37"/>
    <w:rsid w:val="00485232"/>
    <w:rsid w:val="0048573C"/>
    <w:rsid w:val="00485F9C"/>
    <w:rsid w:val="0048661D"/>
    <w:rsid w:val="00486941"/>
    <w:rsid w:val="0048701D"/>
    <w:rsid w:val="004879B1"/>
    <w:rsid w:val="00487B11"/>
    <w:rsid w:val="00487F5D"/>
    <w:rsid w:val="00490900"/>
    <w:rsid w:val="00491232"/>
    <w:rsid w:val="00491305"/>
    <w:rsid w:val="00491C75"/>
    <w:rsid w:val="00491F53"/>
    <w:rsid w:val="004927FB"/>
    <w:rsid w:val="00492C2C"/>
    <w:rsid w:val="00492F85"/>
    <w:rsid w:val="004937EB"/>
    <w:rsid w:val="00493A08"/>
    <w:rsid w:val="00493B12"/>
    <w:rsid w:val="004943EB"/>
    <w:rsid w:val="004947B7"/>
    <w:rsid w:val="00494B79"/>
    <w:rsid w:val="00494FBC"/>
    <w:rsid w:val="0049534C"/>
    <w:rsid w:val="004967E9"/>
    <w:rsid w:val="00496F0B"/>
    <w:rsid w:val="00497218"/>
    <w:rsid w:val="004A0DF1"/>
    <w:rsid w:val="004A1059"/>
    <w:rsid w:val="004A1A01"/>
    <w:rsid w:val="004A2209"/>
    <w:rsid w:val="004A345B"/>
    <w:rsid w:val="004A417A"/>
    <w:rsid w:val="004A43E9"/>
    <w:rsid w:val="004A43FD"/>
    <w:rsid w:val="004A4A75"/>
    <w:rsid w:val="004A4EAE"/>
    <w:rsid w:val="004A51EA"/>
    <w:rsid w:val="004A563E"/>
    <w:rsid w:val="004A5713"/>
    <w:rsid w:val="004A6469"/>
    <w:rsid w:val="004A6886"/>
    <w:rsid w:val="004A6BF2"/>
    <w:rsid w:val="004A6FCD"/>
    <w:rsid w:val="004A73C0"/>
    <w:rsid w:val="004A7D08"/>
    <w:rsid w:val="004B0098"/>
    <w:rsid w:val="004B0182"/>
    <w:rsid w:val="004B054B"/>
    <w:rsid w:val="004B0CB9"/>
    <w:rsid w:val="004B1483"/>
    <w:rsid w:val="004B14F8"/>
    <w:rsid w:val="004B189F"/>
    <w:rsid w:val="004B200E"/>
    <w:rsid w:val="004B20EC"/>
    <w:rsid w:val="004B2887"/>
    <w:rsid w:val="004B2D95"/>
    <w:rsid w:val="004B2DD8"/>
    <w:rsid w:val="004B3310"/>
    <w:rsid w:val="004B399F"/>
    <w:rsid w:val="004B3B44"/>
    <w:rsid w:val="004B3E5F"/>
    <w:rsid w:val="004B46F0"/>
    <w:rsid w:val="004B46FF"/>
    <w:rsid w:val="004B49BB"/>
    <w:rsid w:val="004B531B"/>
    <w:rsid w:val="004B5FA6"/>
    <w:rsid w:val="004B5FD7"/>
    <w:rsid w:val="004B6ECE"/>
    <w:rsid w:val="004B75E3"/>
    <w:rsid w:val="004B7D91"/>
    <w:rsid w:val="004C0601"/>
    <w:rsid w:val="004C0AD9"/>
    <w:rsid w:val="004C0BDF"/>
    <w:rsid w:val="004C13E3"/>
    <w:rsid w:val="004C14A4"/>
    <w:rsid w:val="004C1BCF"/>
    <w:rsid w:val="004C1E43"/>
    <w:rsid w:val="004C27B4"/>
    <w:rsid w:val="004C2990"/>
    <w:rsid w:val="004C2BE1"/>
    <w:rsid w:val="004C300D"/>
    <w:rsid w:val="004C30E8"/>
    <w:rsid w:val="004C3442"/>
    <w:rsid w:val="004C3513"/>
    <w:rsid w:val="004C3A70"/>
    <w:rsid w:val="004C3C68"/>
    <w:rsid w:val="004C3C74"/>
    <w:rsid w:val="004C3C9C"/>
    <w:rsid w:val="004C3DC2"/>
    <w:rsid w:val="004C3E0C"/>
    <w:rsid w:val="004C4191"/>
    <w:rsid w:val="004C5D8A"/>
    <w:rsid w:val="004C5DFE"/>
    <w:rsid w:val="004C5E4F"/>
    <w:rsid w:val="004C66EB"/>
    <w:rsid w:val="004C6EFC"/>
    <w:rsid w:val="004C7383"/>
    <w:rsid w:val="004C78C1"/>
    <w:rsid w:val="004C7D5E"/>
    <w:rsid w:val="004D031F"/>
    <w:rsid w:val="004D208D"/>
    <w:rsid w:val="004D26F2"/>
    <w:rsid w:val="004D28D0"/>
    <w:rsid w:val="004D294A"/>
    <w:rsid w:val="004D2B43"/>
    <w:rsid w:val="004D2E7D"/>
    <w:rsid w:val="004D2F57"/>
    <w:rsid w:val="004D3285"/>
    <w:rsid w:val="004D341A"/>
    <w:rsid w:val="004D3788"/>
    <w:rsid w:val="004D3930"/>
    <w:rsid w:val="004D3F54"/>
    <w:rsid w:val="004D440C"/>
    <w:rsid w:val="004D4AEE"/>
    <w:rsid w:val="004D4E48"/>
    <w:rsid w:val="004D519B"/>
    <w:rsid w:val="004D593C"/>
    <w:rsid w:val="004D5BFA"/>
    <w:rsid w:val="004D6C7A"/>
    <w:rsid w:val="004D6D7B"/>
    <w:rsid w:val="004D705D"/>
    <w:rsid w:val="004D70B4"/>
    <w:rsid w:val="004D76FE"/>
    <w:rsid w:val="004D7920"/>
    <w:rsid w:val="004D7E89"/>
    <w:rsid w:val="004E0041"/>
    <w:rsid w:val="004E0CAE"/>
    <w:rsid w:val="004E0F3F"/>
    <w:rsid w:val="004E1280"/>
    <w:rsid w:val="004E1283"/>
    <w:rsid w:val="004E16B3"/>
    <w:rsid w:val="004E17D8"/>
    <w:rsid w:val="004E1C5C"/>
    <w:rsid w:val="004E1D18"/>
    <w:rsid w:val="004E1EF7"/>
    <w:rsid w:val="004E20C9"/>
    <w:rsid w:val="004E254E"/>
    <w:rsid w:val="004E2C1F"/>
    <w:rsid w:val="004E2EC7"/>
    <w:rsid w:val="004E2EE4"/>
    <w:rsid w:val="004E3068"/>
    <w:rsid w:val="004E3589"/>
    <w:rsid w:val="004E3AF5"/>
    <w:rsid w:val="004E3DD1"/>
    <w:rsid w:val="004E43A5"/>
    <w:rsid w:val="004E4EC8"/>
    <w:rsid w:val="004E5658"/>
    <w:rsid w:val="004E6021"/>
    <w:rsid w:val="004E614C"/>
    <w:rsid w:val="004E62BD"/>
    <w:rsid w:val="004E6AAC"/>
    <w:rsid w:val="004E70DF"/>
    <w:rsid w:val="004E70F1"/>
    <w:rsid w:val="004E7103"/>
    <w:rsid w:val="004E7250"/>
    <w:rsid w:val="004E7470"/>
    <w:rsid w:val="004E7FFE"/>
    <w:rsid w:val="004F063F"/>
    <w:rsid w:val="004F079E"/>
    <w:rsid w:val="004F08C1"/>
    <w:rsid w:val="004F121E"/>
    <w:rsid w:val="004F13F2"/>
    <w:rsid w:val="004F1824"/>
    <w:rsid w:val="004F1A5A"/>
    <w:rsid w:val="004F1B4B"/>
    <w:rsid w:val="004F1F27"/>
    <w:rsid w:val="004F24E6"/>
    <w:rsid w:val="004F2656"/>
    <w:rsid w:val="004F2B61"/>
    <w:rsid w:val="004F2FBD"/>
    <w:rsid w:val="004F347E"/>
    <w:rsid w:val="004F379F"/>
    <w:rsid w:val="004F3A5A"/>
    <w:rsid w:val="004F3C10"/>
    <w:rsid w:val="004F48A0"/>
    <w:rsid w:val="004F4B29"/>
    <w:rsid w:val="004F4DD8"/>
    <w:rsid w:val="004F4F9D"/>
    <w:rsid w:val="004F536D"/>
    <w:rsid w:val="004F56FC"/>
    <w:rsid w:val="004F5E4E"/>
    <w:rsid w:val="004F620D"/>
    <w:rsid w:val="004F67A0"/>
    <w:rsid w:val="004F690B"/>
    <w:rsid w:val="004F6DA3"/>
    <w:rsid w:val="004F6FD3"/>
    <w:rsid w:val="004F7ED3"/>
    <w:rsid w:val="004F7FA3"/>
    <w:rsid w:val="004F7FD2"/>
    <w:rsid w:val="005007DF"/>
    <w:rsid w:val="0050156F"/>
    <w:rsid w:val="005018DF"/>
    <w:rsid w:val="00501934"/>
    <w:rsid w:val="005029E7"/>
    <w:rsid w:val="00502B7A"/>
    <w:rsid w:val="00502CBE"/>
    <w:rsid w:val="0050317D"/>
    <w:rsid w:val="0050333F"/>
    <w:rsid w:val="00503401"/>
    <w:rsid w:val="005037B8"/>
    <w:rsid w:val="00503870"/>
    <w:rsid w:val="00503FF5"/>
    <w:rsid w:val="00504323"/>
    <w:rsid w:val="00504343"/>
    <w:rsid w:val="005047AF"/>
    <w:rsid w:val="00504855"/>
    <w:rsid w:val="00504A05"/>
    <w:rsid w:val="00504AC6"/>
    <w:rsid w:val="0050507A"/>
    <w:rsid w:val="00505198"/>
    <w:rsid w:val="005051A6"/>
    <w:rsid w:val="0050549B"/>
    <w:rsid w:val="005058E5"/>
    <w:rsid w:val="00505AA9"/>
    <w:rsid w:val="00505CE9"/>
    <w:rsid w:val="00505F66"/>
    <w:rsid w:val="005060BA"/>
    <w:rsid w:val="00506BAB"/>
    <w:rsid w:val="00506DAE"/>
    <w:rsid w:val="00506E2B"/>
    <w:rsid w:val="005071D3"/>
    <w:rsid w:val="00507466"/>
    <w:rsid w:val="00510097"/>
    <w:rsid w:val="00510B7D"/>
    <w:rsid w:val="00511624"/>
    <w:rsid w:val="005118AF"/>
    <w:rsid w:val="00511DB6"/>
    <w:rsid w:val="00511E25"/>
    <w:rsid w:val="00512230"/>
    <w:rsid w:val="005122F2"/>
    <w:rsid w:val="005126D8"/>
    <w:rsid w:val="00512767"/>
    <w:rsid w:val="00512A78"/>
    <w:rsid w:val="00512ACA"/>
    <w:rsid w:val="00512C24"/>
    <w:rsid w:val="00512DB5"/>
    <w:rsid w:val="005140E3"/>
    <w:rsid w:val="005148F7"/>
    <w:rsid w:val="00514A41"/>
    <w:rsid w:val="00515089"/>
    <w:rsid w:val="005151E4"/>
    <w:rsid w:val="0051535C"/>
    <w:rsid w:val="00515AA3"/>
    <w:rsid w:val="00515AC2"/>
    <w:rsid w:val="00515B91"/>
    <w:rsid w:val="00515D38"/>
    <w:rsid w:val="00515FF7"/>
    <w:rsid w:val="0051607D"/>
    <w:rsid w:val="0051647F"/>
    <w:rsid w:val="00516485"/>
    <w:rsid w:val="00516554"/>
    <w:rsid w:val="005178B9"/>
    <w:rsid w:val="005178F3"/>
    <w:rsid w:val="005179FE"/>
    <w:rsid w:val="005200C3"/>
    <w:rsid w:val="005203E8"/>
    <w:rsid w:val="00521A98"/>
    <w:rsid w:val="00521B7B"/>
    <w:rsid w:val="00521CBD"/>
    <w:rsid w:val="00521D61"/>
    <w:rsid w:val="00521E27"/>
    <w:rsid w:val="005220C9"/>
    <w:rsid w:val="00522ECB"/>
    <w:rsid w:val="00522F3B"/>
    <w:rsid w:val="0052370B"/>
    <w:rsid w:val="005238D7"/>
    <w:rsid w:val="00523C20"/>
    <w:rsid w:val="00523C6E"/>
    <w:rsid w:val="00523DCC"/>
    <w:rsid w:val="00524077"/>
    <w:rsid w:val="00524253"/>
    <w:rsid w:val="005244F3"/>
    <w:rsid w:val="0052454E"/>
    <w:rsid w:val="00524779"/>
    <w:rsid w:val="0052526E"/>
    <w:rsid w:val="005256BF"/>
    <w:rsid w:val="00525CA2"/>
    <w:rsid w:val="00526A07"/>
    <w:rsid w:val="00526A27"/>
    <w:rsid w:val="00527190"/>
    <w:rsid w:val="005271E1"/>
    <w:rsid w:val="005274D9"/>
    <w:rsid w:val="005278AF"/>
    <w:rsid w:val="00527951"/>
    <w:rsid w:val="00527BDD"/>
    <w:rsid w:val="00527BE5"/>
    <w:rsid w:val="00527D5C"/>
    <w:rsid w:val="005300FD"/>
    <w:rsid w:val="005301AE"/>
    <w:rsid w:val="00531588"/>
    <w:rsid w:val="00531635"/>
    <w:rsid w:val="005317B2"/>
    <w:rsid w:val="00531D16"/>
    <w:rsid w:val="0053202C"/>
    <w:rsid w:val="005328B1"/>
    <w:rsid w:val="00532A36"/>
    <w:rsid w:val="00533023"/>
    <w:rsid w:val="0053326D"/>
    <w:rsid w:val="0053367B"/>
    <w:rsid w:val="005336FA"/>
    <w:rsid w:val="0053391F"/>
    <w:rsid w:val="00533AE6"/>
    <w:rsid w:val="00533C6F"/>
    <w:rsid w:val="005342FD"/>
    <w:rsid w:val="00534D30"/>
    <w:rsid w:val="0053551A"/>
    <w:rsid w:val="00535E16"/>
    <w:rsid w:val="00535E43"/>
    <w:rsid w:val="005366D4"/>
    <w:rsid w:val="00536701"/>
    <w:rsid w:val="005401A0"/>
    <w:rsid w:val="005403C8"/>
    <w:rsid w:val="005404FF"/>
    <w:rsid w:val="00540A70"/>
    <w:rsid w:val="00541196"/>
    <w:rsid w:val="00541995"/>
    <w:rsid w:val="00541A51"/>
    <w:rsid w:val="00541C22"/>
    <w:rsid w:val="00542092"/>
    <w:rsid w:val="00542464"/>
    <w:rsid w:val="005428DA"/>
    <w:rsid w:val="00542A42"/>
    <w:rsid w:val="005430A0"/>
    <w:rsid w:val="0054321C"/>
    <w:rsid w:val="0054322D"/>
    <w:rsid w:val="00543244"/>
    <w:rsid w:val="00543A36"/>
    <w:rsid w:val="00543DF5"/>
    <w:rsid w:val="005448D1"/>
    <w:rsid w:val="00544A87"/>
    <w:rsid w:val="00544BEB"/>
    <w:rsid w:val="005450B3"/>
    <w:rsid w:val="005454CE"/>
    <w:rsid w:val="00545554"/>
    <w:rsid w:val="00546602"/>
    <w:rsid w:val="0054663C"/>
    <w:rsid w:val="00546FCB"/>
    <w:rsid w:val="005471D5"/>
    <w:rsid w:val="005475F4"/>
    <w:rsid w:val="00547797"/>
    <w:rsid w:val="0054780F"/>
    <w:rsid w:val="00547AB2"/>
    <w:rsid w:val="00547E12"/>
    <w:rsid w:val="00547F29"/>
    <w:rsid w:val="00547FD9"/>
    <w:rsid w:val="00550095"/>
    <w:rsid w:val="005506A5"/>
    <w:rsid w:val="00550B56"/>
    <w:rsid w:val="00550B64"/>
    <w:rsid w:val="00550BAB"/>
    <w:rsid w:val="00550EE8"/>
    <w:rsid w:val="00550FB8"/>
    <w:rsid w:val="00551169"/>
    <w:rsid w:val="00551677"/>
    <w:rsid w:val="00551A46"/>
    <w:rsid w:val="00551CDE"/>
    <w:rsid w:val="0055236B"/>
    <w:rsid w:val="00552610"/>
    <w:rsid w:val="005531BE"/>
    <w:rsid w:val="0055368A"/>
    <w:rsid w:val="005538A5"/>
    <w:rsid w:val="005545D7"/>
    <w:rsid w:val="0055489A"/>
    <w:rsid w:val="005549A7"/>
    <w:rsid w:val="00555298"/>
    <w:rsid w:val="00555EA6"/>
    <w:rsid w:val="0055602A"/>
    <w:rsid w:val="00556064"/>
    <w:rsid w:val="005561A9"/>
    <w:rsid w:val="005563AD"/>
    <w:rsid w:val="005563DA"/>
    <w:rsid w:val="0055649C"/>
    <w:rsid w:val="00556CE2"/>
    <w:rsid w:val="005571E7"/>
    <w:rsid w:val="005575AA"/>
    <w:rsid w:val="00557D67"/>
    <w:rsid w:val="00557E01"/>
    <w:rsid w:val="00557E5B"/>
    <w:rsid w:val="0056090F"/>
    <w:rsid w:val="00560CD0"/>
    <w:rsid w:val="00560F1D"/>
    <w:rsid w:val="005617DD"/>
    <w:rsid w:val="005618CC"/>
    <w:rsid w:val="00561D32"/>
    <w:rsid w:val="005622DD"/>
    <w:rsid w:val="005629CB"/>
    <w:rsid w:val="00563D05"/>
    <w:rsid w:val="00564FD6"/>
    <w:rsid w:val="00565401"/>
    <w:rsid w:val="00565664"/>
    <w:rsid w:val="005659DF"/>
    <w:rsid w:val="00565B3F"/>
    <w:rsid w:val="00565F7B"/>
    <w:rsid w:val="005660B8"/>
    <w:rsid w:val="005663F5"/>
    <w:rsid w:val="005668BC"/>
    <w:rsid w:val="00566D34"/>
    <w:rsid w:val="00567118"/>
    <w:rsid w:val="0056734F"/>
    <w:rsid w:val="00567E69"/>
    <w:rsid w:val="0057063E"/>
    <w:rsid w:val="00570645"/>
    <w:rsid w:val="00570C20"/>
    <w:rsid w:val="00570E08"/>
    <w:rsid w:val="00570E50"/>
    <w:rsid w:val="00571013"/>
    <w:rsid w:val="00571409"/>
    <w:rsid w:val="00572256"/>
    <w:rsid w:val="00573370"/>
    <w:rsid w:val="00573476"/>
    <w:rsid w:val="00573656"/>
    <w:rsid w:val="00573944"/>
    <w:rsid w:val="00573B6F"/>
    <w:rsid w:val="00573FC9"/>
    <w:rsid w:val="00573FF0"/>
    <w:rsid w:val="005746E5"/>
    <w:rsid w:val="005748D0"/>
    <w:rsid w:val="00574C4B"/>
    <w:rsid w:val="00575197"/>
    <w:rsid w:val="005751DA"/>
    <w:rsid w:val="0057594D"/>
    <w:rsid w:val="00576256"/>
    <w:rsid w:val="005771F8"/>
    <w:rsid w:val="005771F9"/>
    <w:rsid w:val="0057768E"/>
    <w:rsid w:val="0057778A"/>
    <w:rsid w:val="0057780D"/>
    <w:rsid w:val="00577ECC"/>
    <w:rsid w:val="005800EB"/>
    <w:rsid w:val="00580581"/>
    <w:rsid w:val="005808B9"/>
    <w:rsid w:val="00580C00"/>
    <w:rsid w:val="00580E96"/>
    <w:rsid w:val="0058131D"/>
    <w:rsid w:val="00581324"/>
    <w:rsid w:val="00581DB3"/>
    <w:rsid w:val="00581DEE"/>
    <w:rsid w:val="00582297"/>
    <w:rsid w:val="00582466"/>
    <w:rsid w:val="005826FF"/>
    <w:rsid w:val="005827F7"/>
    <w:rsid w:val="00582A45"/>
    <w:rsid w:val="00582A75"/>
    <w:rsid w:val="00582E14"/>
    <w:rsid w:val="005837F4"/>
    <w:rsid w:val="0058392D"/>
    <w:rsid w:val="00583DAA"/>
    <w:rsid w:val="0058415F"/>
    <w:rsid w:val="00584258"/>
    <w:rsid w:val="005843DD"/>
    <w:rsid w:val="00584449"/>
    <w:rsid w:val="0058481F"/>
    <w:rsid w:val="00585CC3"/>
    <w:rsid w:val="00585FC2"/>
    <w:rsid w:val="0058608C"/>
    <w:rsid w:val="005869C0"/>
    <w:rsid w:val="00586A85"/>
    <w:rsid w:val="00586BD0"/>
    <w:rsid w:val="00587093"/>
    <w:rsid w:val="00587738"/>
    <w:rsid w:val="00587BD9"/>
    <w:rsid w:val="00587C3C"/>
    <w:rsid w:val="00587DAA"/>
    <w:rsid w:val="005901D6"/>
    <w:rsid w:val="005916E7"/>
    <w:rsid w:val="0059186E"/>
    <w:rsid w:val="005919F9"/>
    <w:rsid w:val="00591B32"/>
    <w:rsid w:val="00591B66"/>
    <w:rsid w:val="00591CA5"/>
    <w:rsid w:val="00591F8B"/>
    <w:rsid w:val="00591FEE"/>
    <w:rsid w:val="00592496"/>
    <w:rsid w:val="00593129"/>
    <w:rsid w:val="005931FA"/>
    <w:rsid w:val="00593508"/>
    <w:rsid w:val="005936B9"/>
    <w:rsid w:val="00593969"/>
    <w:rsid w:val="0059464E"/>
    <w:rsid w:val="00594651"/>
    <w:rsid w:val="00594FFF"/>
    <w:rsid w:val="00595566"/>
    <w:rsid w:val="005958F6"/>
    <w:rsid w:val="00595914"/>
    <w:rsid w:val="00595B18"/>
    <w:rsid w:val="00595E02"/>
    <w:rsid w:val="00596055"/>
    <w:rsid w:val="0059682B"/>
    <w:rsid w:val="00596881"/>
    <w:rsid w:val="00596B5A"/>
    <w:rsid w:val="00596F18"/>
    <w:rsid w:val="00597916"/>
    <w:rsid w:val="00597B32"/>
    <w:rsid w:val="00597E8E"/>
    <w:rsid w:val="005A0256"/>
    <w:rsid w:val="005A02A3"/>
    <w:rsid w:val="005A0545"/>
    <w:rsid w:val="005A05CD"/>
    <w:rsid w:val="005A06EE"/>
    <w:rsid w:val="005A0989"/>
    <w:rsid w:val="005A0B16"/>
    <w:rsid w:val="005A1361"/>
    <w:rsid w:val="005A1388"/>
    <w:rsid w:val="005A1886"/>
    <w:rsid w:val="005A1FDC"/>
    <w:rsid w:val="005A203D"/>
    <w:rsid w:val="005A22A7"/>
    <w:rsid w:val="005A2488"/>
    <w:rsid w:val="005A2BA1"/>
    <w:rsid w:val="005A2D57"/>
    <w:rsid w:val="005A334C"/>
    <w:rsid w:val="005A3519"/>
    <w:rsid w:val="005A3621"/>
    <w:rsid w:val="005A3ABC"/>
    <w:rsid w:val="005A4579"/>
    <w:rsid w:val="005A5505"/>
    <w:rsid w:val="005A5C4D"/>
    <w:rsid w:val="005A5C6B"/>
    <w:rsid w:val="005A65C5"/>
    <w:rsid w:val="005A66EF"/>
    <w:rsid w:val="005A6919"/>
    <w:rsid w:val="005A69EF"/>
    <w:rsid w:val="005A6FD2"/>
    <w:rsid w:val="005A750F"/>
    <w:rsid w:val="005A7DB7"/>
    <w:rsid w:val="005B0236"/>
    <w:rsid w:val="005B0650"/>
    <w:rsid w:val="005B0AAA"/>
    <w:rsid w:val="005B1ADF"/>
    <w:rsid w:val="005B1E44"/>
    <w:rsid w:val="005B255C"/>
    <w:rsid w:val="005B261F"/>
    <w:rsid w:val="005B2BA0"/>
    <w:rsid w:val="005B2FBA"/>
    <w:rsid w:val="005B2FD5"/>
    <w:rsid w:val="005B339A"/>
    <w:rsid w:val="005B33CB"/>
    <w:rsid w:val="005B35C6"/>
    <w:rsid w:val="005B3AE8"/>
    <w:rsid w:val="005B3DDB"/>
    <w:rsid w:val="005B453C"/>
    <w:rsid w:val="005B47BE"/>
    <w:rsid w:val="005B56E0"/>
    <w:rsid w:val="005B5C7A"/>
    <w:rsid w:val="005B6275"/>
    <w:rsid w:val="005B64AA"/>
    <w:rsid w:val="005B6861"/>
    <w:rsid w:val="005B68CE"/>
    <w:rsid w:val="005B7229"/>
    <w:rsid w:val="005B72ED"/>
    <w:rsid w:val="005B740E"/>
    <w:rsid w:val="005B778B"/>
    <w:rsid w:val="005B7CF8"/>
    <w:rsid w:val="005B7E24"/>
    <w:rsid w:val="005C0127"/>
    <w:rsid w:val="005C085F"/>
    <w:rsid w:val="005C0D0A"/>
    <w:rsid w:val="005C1403"/>
    <w:rsid w:val="005C149A"/>
    <w:rsid w:val="005C1766"/>
    <w:rsid w:val="005C182D"/>
    <w:rsid w:val="005C1A94"/>
    <w:rsid w:val="005C1C12"/>
    <w:rsid w:val="005C1EF6"/>
    <w:rsid w:val="005C1F46"/>
    <w:rsid w:val="005C2190"/>
    <w:rsid w:val="005C28D8"/>
    <w:rsid w:val="005C2AA1"/>
    <w:rsid w:val="005C2FB6"/>
    <w:rsid w:val="005C3003"/>
    <w:rsid w:val="005C3684"/>
    <w:rsid w:val="005C36F5"/>
    <w:rsid w:val="005C374E"/>
    <w:rsid w:val="005C3A5F"/>
    <w:rsid w:val="005C3B82"/>
    <w:rsid w:val="005C3DF2"/>
    <w:rsid w:val="005C420C"/>
    <w:rsid w:val="005C4329"/>
    <w:rsid w:val="005C44AB"/>
    <w:rsid w:val="005C4B3F"/>
    <w:rsid w:val="005C56AB"/>
    <w:rsid w:val="005C656E"/>
    <w:rsid w:val="005C772F"/>
    <w:rsid w:val="005C7743"/>
    <w:rsid w:val="005C7E52"/>
    <w:rsid w:val="005C7E6E"/>
    <w:rsid w:val="005D0137"/>
    <w:rsid w:val="005D03CA"/>
    <w:rsid w:val="005D143D"/>
    <w:rsid w:val="005D14B4"/>
    <w:rsid w:val="005D151E"/>
    <w:rsid w:val="005D1627"/>
    <w:rsid w:val="005D1826"/>
    <w:rsid w:val="005D191C"/>
    <w:rsid w:val="005D1CAA"/>
    <w:rsid w:val="005D230F"/>
    <w:rsid w:val="005D25CE"/>
    <w:rsid w:val="005D2C30"/>
    <w:rsid w:val="005D3236"/>
    <w:rsid w:val="005D3369"/>
    <w:rsid w:val="005D33E4"/>
    <w:rsid w:val="005D41D4"/>
    <w:rsid w:val="005D4249"/>
    <w:rsid w:val="005D42E5"/>
    <w:rsid w:val="005D43A2"/>
    <w:rsid w:val="005D4CA7"/>
    <w:rsid w:val="005D535F"/>
    <w:rsid w:val="005D563F"/>
    <w:rsid w:val="005D58C0"/>
    <w:rsid w:val="005D61B8"/>
    <w:rsid w:val="005D64A9"/>
    <w:rsid w:val="005D6515"/>
    <w:rsid w:val="005D65F6"/>
    <w:rsid w:val="005D6855"/>
    <w:rsid w:val="005D6913"/>
    <w:rsid w:val="005D706D"/>
    <w:rsid w:val="005D778A"/>
    <w:rsid w:val="005D780D"/>
    <w:rsid w:val="005D7B61"/>
    <w:rsid w:val="005D7DDF"/>
    <w:rsid w:val="005D7E0F"/>
    <w:rsid w:val="005E068D"/>
    <w:rsid w:val="005E0D9D"/>
    <w:rsid w:val="005E1055"/>
    <w:rsid w:val="005E106C"/>
    <w:rsid w:val="005E2410"/>
    <w:rsid w:val="005E2583"/>
    <w:rsid w:val="005E280D"/>
    <w:rsid w:val="005E28AD"/>
    <w:rsid w:val="005E29B7"/>
    <w:rsid w:val="005E29C5"/>
    <w:rsid w:val="005E2A87"/>
    <w:rsid w:val="005E2B5F"/>
    <w:rsid w:val="005E3125"/>
    <w:rsid w:val="005E35FD"/>
    <w:rsid w:val="005E3959"/>
    <w:rsid w:val="005E3C77"/>
    <w:rsid w:val="005E4182"/>
    <w:rsid w:val="005E4418"/>
    <w:rsid w:val="005E51C7"/>
    <w:rsid w:val="005E5675"/>
    <w:rsid w:val="005E5F2C"/>
    <w:rsid w:val="005E6089"/>
    <w:rsid w:val="005E6EA4"/>
    <w:rsid w:val="005E7237"/>
    <w:rsid w:val="005E7350"/>
    <w:rsid w:val="005E747F"/>
    <w:rsid w:val="005E7BCE"/>
    <w:rsid w:val="005F02FD"/>
    <w:rsid w:val="005F0E20"/>
    <w:rsid w:val="005F14F6"/>
    <w:rsid w:val="005F2123"/>
    <w:rsid w:val="005F218F"/>
    <w:rsid w:val="005F2FD3"/>
    <w:rsid w:val="005F381F"/>
    <w:rsid w:val="005F3AE3"/>
    <w:rsid w:val="005F3B79"/>
    <w:rsid w:val="005F4F51"/>
    <w:rsid w:val="005F547A"/>
    <w:rsid w:val="005F55EA"/>
    <w:rsid w:val="005F5913"/>
    <w:rsid w:val="005F5972"/>
    <w:rsid w:val="005F63FB"/>
    <w:rsid w:val="005F69DC"/>
    <w:rsid w:val="005F709C"/>
    <w:rsid w:val="005F77C2"/>
    <w:rsid w:val="005F7C6B"/>
    <w:rsid w:val="00600078"/>
    <w:rsid w:val="006003EA"/>
    <w:rsid w:val="006005EB"/>
    <w:rsid w:val="006009BF"/>
    <w:rsid w:val="00600D55"/>
    <w:rsid w:val="006013CF"/>
    <w:rsid w:val="006015A9"/>
    <w:rsid w:val="006015FE"/>
    <w:rsid w:val="00601C49"/>
    <w:rsid w:val="00601F16"/>
    <w:rsid w:val="0060202F"/>
    <w:rsid w:val="006022E1"/>
    <w:rsid w:val="00602578"/>
    <w:rsid w:val="00602718"/>
    <w:rsid w:val="0060330C"/>
    <w:rsid w:val="006035C5"/>
    <w:rsid w:val="00603873"/>
    <w:rsid w:val="00603C8C"/>
    <w:rsid w:val="00603D08"/>
    <w:rsid w:val="00603D29"/>
    <w:rsid w:val="00603E98"/>
    <w:rsid w:val="006043B0"/>
    <w:rsid w:val="006046EA"/>
    <w:rsid w:val="00604760"/>
    <w:rsid w:val="006048C9"/>
    <w:rsid w:val="006051DB"/>
    <w:rsid w:val="006065B0"/>
    <w:rsid w:val="00606725"/>
    <w:rsid w:val="006067BA"/>
    <w:rsid w:val="00607536"/>
    <w:rsid w:val="00607EDE"/>
    <w:rsid w:val="00610533"/>
    <w:rsid w:val="006108F5"/>
    <w:rsid w:val="006113D3"/>
    <w:rsid w:val="006116ED"/>
    <w:rsid w:val="00611886"/>
    <w:rsid w:val="00611BA7"/>
    <w:rsid w:val="00611CF6"/>
    <w:rsid w:val="00612337"/>
    <w:rsid w:val="00612507"/>
    <w:rsid w:val="006126E8"/>
    <w:rsid w:val="006128B5"/>
    <w:rsid w:val="00612AC8"/>
    <w:rsid w:val="00612EF7"/>
    <w:rsid w:val="0061305F"/>
    <w:rsid w:val="00613E6D"/>
    <w:rsid w:val="006149C7"/>
    <w:rsid w:val="00615523"/>
    <w:rsid w:val="0061584E"/>
    <w:rsid w:val="00616081"/>
    <w:rsid w:val="00616ABE"/>
    <w:rsid w:val="0061742F"/>
    <w:rsid w:val="006174DF"/>
    <w:rsid w:val="006178F1"/>
    <w:rsid w:val="006204DF"/>
    <w:rsid w:val="006205D8"/>
    <w:rsid w:val="00620639"/>
    <w:rsid w:val="00620EED"/>
    <w:rsid w:val="00621898"/>
    <w:rsid w:val="00621CA3"/>
    <w:rsid w:val="006220AE"/>
    <w:rsid w:val="00622202"/>
    <w:rsid w:val="00622623"/>
    <w:rsid w:val="00622998"/>
    <w:rsid w:val="006232B5"/>
    <w:rsid w:val="00623737"/>
    <w:rsid w:val="006237F4"/>
    <w:rsid w:val="00623C32"/>
    <w:rsid w:val="006241C7"/>
    <w:rsid w:val="006248D0"/>
    <w:rsid w:val="00624930"/>
    <w:rsid w:val="00624BED"/>
    <w:rsid w:val="00624DF3"/>
    <w:rsid w:val="00625236"/>
    <w:rsid w:val="0062534A"/>
    <w:rsid w:val="006254C8"/>
    <w:rsid w:val="0062595B"/>
    <w:rsid w:val="00625B5D"/>
    <w:rsid w:val="00625FD7"/>
    <w:rsid w:val="006261F6"/>
    <w:rsid w:val="00626551"/>
    <w:rsid w:val="006265E4"/>
    <w:rsid w:val="006266EC"/>
    <w:rsid w:val="00626CE0"/>
    <w:rsid w:val="00626DA3"/>
    <w:rsid w:val="006277B0"/>
    <w:rsid w:val="00627C1E"/>
    <w:rsid w:val="00627CD9"/>
    <w:rsid w:val="00627D33"/>
    <w:rsid w:val="0063002C"/>
    <w:rsid w:val="006302BA"/>
    <w:rsid w:val="00630390"/>
    <w:rsid w:val="0063060E"/>
    <w:rsid w:val="00630841"/>
    <w:rsid w:val="00630ACE"/>
    <w:rsid w:val="00630BED"/>
    <w:rsid w:val="00630E53"/>
    <w:rsid w:val="00631B5F"/>
    <w:rsid w:val="00631EB3"/>
    <w:rsid w:val="00631F92"/>
    <w:rsid w:val="0063226D"/>
    <w:rsid w:val="00632B4A"/>
    <w:rsid w:val="00632ED3"/>
    <w:rsid w:val="00633120"/>
    <w:rsid w:val="00633646"/>
    <w:rsid w:val="00633946"/>
    <w:rsid w:val="00633A99"/>
    <w:rsid w:val="006349FE"/>
    <w:rsid w:val="00634E11"/>
    <w:rsid w:val="00635579"/>
    <w:rsid w:val="00635728"/>
    <w:rsid w:val="0063593C"/>
    <w:rsid w:val="00635C5D"/>
    <w:rsid w:val="00635DA6"/>
    <w:rsid w:val="0063634D"/>
    <w:rsid w:val="006365A7"/>
    <w:rsid w:val="006367E6"/>
    <w:rsid w:val="00636C45"/>
    <w:rsid w:val="006370F2"/>
    <w:rsid w:val="00637234"/>
    <w:rsid w:val="00637DF8"/>
    <w:rsid w:val="006404CC"/>
    <w:rsid w:val="006405C0"/>
    <w:rsid w:val="00641037"/>
    <w:rsid w:val="00641208"/>
    <w:rsid w:val="0064141F"/>
    <w:rsid w:val="0064144A"/>
    <w:rsid w:val="00641DAC"/>
    <w:rsid w:val="00642140"/>
    <w:rsid w:val="00642173"/>
    <w:rsid w:val="0064217A"/>
    <w:rsid w:val="006421CD"/>
    <w:rsid w:val="00642BB6"/>
    <w:rsid w:val="00642BBA"/>
    <w:rsid w:val="00642D8A"/>
    <w:rsid w:val="00643280"/>
    <w:rsid w:val="00643384"/>
    <w:rsid w:val="006434E6"/>
    <w:rsid w:val="006438C8"/>
    <w:rsid w:val="00643994"/>
    <w:rsid w:val="006439D8"/>
    <w:rsid w:val="00643BD2"/>
    <w:rsid w:val="006442B6"/>
    <w:rsid w:val="0064481C"/>
    <w:rsid w:val="00644F6F"/>
    <w:rsid w:val="006450C4"/>
    <w:rsid w:val="0064538C"/>
    <w:rsid w:val="00645644"/>
    <w:rsid w:val="00645672"/>
    <w:rsid w:val="0064584B"/>
    <w:rsid w:val="00645B5E"/>
    <w:rsid w:val="00646E70"/>
    <w:rsid w:val="006517B5"/>
    <w:rsid w:val="00651F2A"/>
    <w:rsid w:val="006523E3"/>
    <w:rsid w:val="006536B5"/>
    <w:rsid w:val="00653984"/>
    <w:rsid w:val="00653A25"/>
    <w:rsid w:val="00653A4C"/>
    <w:rsid w:val="00653BC2"/>
    <w:rsid w:val="00653C16"/>
    <w:rsid w:val="00653F84"/>
    <w:rsid w:val="006548BF"/>
    <w:rsid w:val="00654A20"/>
    <w:rsid w:val="00654C32"/>
    <w:rsid w:val="0065535F"/>
    <w:rsid w:val="006554A1"/>
    <w:rsid w:val="00655625"/>
    <w:rsid w:val="0065692C"/>
    <w:rsid w:val="00656C2E"/>
    <w:rsid w:val="00656C9E"/>
    <w:rsid w:val="00657117"/>
    <w:rsid w:val="006571FA"/>
    <w:rsid w:val="0065720C"/>
    <w:rsid w:val="0065750C"/>
    <w:rsid w:val="0065794F"/>
    <w:rsid w:val="00657CFB"/>
    <w:rsid w:val="006600EB"/>
    <w:rsid w:val="00660179"/>
    <w:rsid w:val="006602CE"/>
    <w:rsid w:val="006610A1"/>
    <w:rsid w:val="00661388"/>
    <w:rsid w:val="006618EB"/>
    <w:rsid w:val="00661A7B"/>
    <w:rsid w:val="00661B53"/>
    <w:rsid w:val="006621C8"/>
    <w:rsid w:val="0066229C"/>
    <w:rsid w:val="00662439"/>
    <w:rsid w:val="00662705"/>
    <w:rsid w:val="006627AA"/>
    <w:rsid w:val="00663360"/>
    <w:rsid w:val="00663C31"/>
    <w:rsid w:val="00663CE9"/>
    <w:rsid w:val="00663D31"/>
    <w:rsid w:val="00663D4E"/>
    <w:rsid w:val="0066459C"/>
    <w:rsid w:val="00664E4C"/>
    <w:rsid w:val="00664E8A"/>
    <w:rsid w:val="006651F5"/>
    <w:rsid w:val="006652A0"/>
    <w:rsid w:val="0066537A"/>
    <w:rsid w:val="00665803"/>
    <w:rsid w:val="00665884"/>
    <w:rsid w:val="006663AD"/>
    <w:rsid w:val="006665CF"/>
    <w:rsid w:val="00666C31"/>
    <w:rsid w:val="00666F09"/>
    <w:rsid w:val="00667317"/>
    <w:rsid w:val="0066741F"/>
    <w:rsid w:val="00667B16"/>
    <w:rsid w:val="00667C57"/>
    <w:rsid w:val="00667EEA"/>
    <w:rsid w:val="00670009"/>
    <w:rsid w:val="0067014E"/>
    <w:rsid w:val="00670643"/>
    <w:rsid w:val="006709DA"/>
    <w:rsid w:val="00670D7B"/>
    <w:rsid w:val="00670EA3"/>
    <w:rsid w:val="006719DB"/>
    <w:rsid w:val="00672782"/>
    <w:rsid w:val="006727FE"/>
    <w:rsid w:val="00672B71"/>
    <w:rsid w:val="00672B9A"/>
    <w:rsid w:val="00673144"/>
    <w:rsid w:val="0067364C"/>
    <w:rsid w:val="006737B6"/>
    <w:rsid w:val="00674072"/>
    <w:rsid w:val="006741CB"/>
    <w:rsid w:val="00674611"/>
    <w:rsid w:val="0067485B"/>
    <w:rsid w:val="00674FC9"/>
    <w:rsid w:val="0067563E"/>
    <w:rsid w:val="006756AE"/>
    <w:rsid w:val="00675707"/>
    <w:rsid w:val="006760AE"/>
    <w:rsid w:val="006761F6"/>
    <w:rsid w:val="00676BB0"/>
    <w:rsid w:val="00676C5A"/>
    <w:rsid w:val="00676F93"/>
    <w:rsid w:val="006772C1"/>
    <w:rsid w:val="006774AF"/>
    <w:rsid w:val="0067774B"/>
    <w:rsid w:val="006800BC"/>
    <w:rsid w:val="00680205"/>
    <w:rsid w:val="00680F12"/>
    <w:rsid w:val="00681204"/>
    <w:rsid w:val="006817CF"/>
    <w:rsid w:val="00681A26"/>
    <w:rsid w:val="00681D47"/>
    <w:rsid w:val="00682339"/>
    <w:rsid w:val="00682455"/>
    <w:rsid w:val="00682519"/>
    <w:rsid w:val="00682752"/>
    <w:rsid w:val="00682BEB"/>
    <w:rsid w:val="00682C40"/>
    <w:rsid w:val="00682D72"/>
    <w:rsid w:val="00682D7E"/>
    <w:rsid w:val="00683652"/>
    <w:rsid w:val="006840D3"/>
    <w:rsid w:val="006842F0"/>
    <w:rsid w:val="00684348"/>
    <w:rsid w:val="0068442E"/>
    <w:rsid w:val="006844CE"/>
    <w:rsid w:val="00684BC8"/>
    <w:rsid w:val="006850AD"/>
    <w:rsid w:val="006854A1"/>
    <w:rsid w:val="00685DA3"/>
    <w:rsid w:val="00686062"/>
    <w:rsid w:val="006876E8"/>
    <w:rsid w:val="00687B68"/>
    <w:rsid w:val="00690984"/>
    <w:rsid w:val="00690C6D"/>
    <w:rsid w:val="00691049"/>
    <w:rsid w:val="0069116C"/>
    <w:rsid w:val="006912A6"/>
    <w:rsid w:val="00691330"/>
    <w:rsid w:val="0069190B"/>
    <w:rsid w:val="00691CCA"/>
    <w:rsid w:val="00691F9B"/>
    <w:rsid w:val="00692D32"/>
    <w:rsid w:val="00692F53"/>
    <w:rsid w:val="00693241"/>
    <w:rsid w:val="00693BF7"/>
    <w:rsid w:val="00694302"/>
    <w:rsid w:val="0069440D"/>
    <w:rsid w:val="0069442E"/>
    <w:rsid w:val="006958C1"/>
    <w:rsid w:val="006958F0"/>
    <w:rsid w:val="00695BB4"/>
    <w:rsid w:val="00695BC8"/>
    <w:rsid w:val="00695F90"/>
    <w:rsid w:val="006961B0"/>
    <w:rsid w:val="00696407"/>
    <w:rsid w:val="00696978"/>
    <w:rsid w:val="00696DAD"/>
    <w:rsid w:val="006971EB"/>
    <w:rsid w:val="0069768E"/>
    <w:rsid w:val="006977A3"/>
    <w:rsid w:val="00697A1E"/>
    <w:rsid w:val="00697EC1"/>
    <w:rsid w:val="006A008F"/>
    <w:rsid w:val="006A0906"/>
    <w:rsid w:val="006A0EC8"/>
    <w:rsid w:val="006A141B"/>
    <w:rsid w:val="006A1D39"/>
    <w:rsid w:val="006A1EDC"/>
    <w:rsid w:val="006A263E"/>
    <w:rsid w:val="006A2B7E"/>
    <w:rsid w:val="006A33E9"/>
    <w:rsid w:val="006A3470"/>
    <w:rsid w:val="006A383F"/>
    <w:rsid w:val="006A392D"/>
    <w:rsid w:val="006A3DB4"/>
    <w:rsid w:val="006A3E6B"/>
    <w:rsid w:val="006A3FD0"/>
    <w:rsid w:val="006A4590"/>
    <w:rsid w:val="006A507A"/>
    <w:rsid w:val="006A525D"/>
    <w:rsid w:val="006A654E"/>
    <w:rsid w:val="006A6590"/>
    <w:rsid w:val="006A6703"/>
    <w:rsid w:val="006A68B5"/>
    <w:rsid w:val="006A6B76"/>
    <w:rsid w:val="006A753C"/>
    <w:rsid w:val="006A7A6C"/>
    <w:rsid w:val="006A7B08"/>
    <w:rsid w:val="006A7F52"/>
    <w:rsid w:val="006B040F"/>
    <w:rsid w:val="006B0458"/>
    <w:rsid w:val="006B0EC6"/>
    <w:rsid w:val="006B11EE"/>
    <w:rsid w:val="006B124F"/>
    <w:rsid w:val="006B12E8"/>
    <w:rsid w:val="006B1B32"/>
    <w:rsid w:val="006B1B6F"/>
    <w:rsid w:val="006B1D91"/>
    <w:rsid w:val="006B1E42"/>
    <w:rsid w:val="006B1E64"/>
    <w:rsid w:val="006B2BE3"/>
    <w:rsid w:val="006B306D"/>
    <w:rsid w:val="006B32BF"/>
    <w:rsid w:val="006B342B"/>
    <w:rsid w:val="006B4779"/>
    <w:rsid w:val="006B4BC2"/>
    <w:rsid w:val="006B4F1A"/>
    <w:rsid w:val="006B4FA8"/>
    <w:rsid w:val="006B51C7"/>
    <w:rsid w:val="006B53C3"/>
    <w:rsid w:val="006B55C6"/>
    <w:rsid w:val="006B59D3"/>
    <w:rsid w:val="006B5E06"/>
    <w:rsid w:val="006B6AAC"/>
    <w:rsid w:val="006B7714"/>
    <w:rsid w:val="006B79AD"/>
    <w:rsid w:val="006B7A29"/>
    <w:rsid w:val="006B7F61"/>
    <w:rsid w:val="006C0A19"/>
    <w:rsid w:val="006C14F1"/>
    <w:rsid w:val="006C15C9"/>
    <w:rsid w:val="006C18EF"/>
    <w:rsid w:val="006C1C39"/>
    <w:rsid w:val="006C1D29"/>
    <w:rsid w:val="006C1D89"/>
    <w:rsid w:val="006C1EF7"/>
    <w:rsid w:val="006C2039"/>
    <w:rsid w:val="006C2D45"/>
    <w:rsid w:val="006C30ED"/>
    <w:rsid w:val="006C31A6"/>
    <w:rsid w:val="006C320E"/>
    <w:rsid w:val="006C33D0"/>
    <w:rsid w:val="006C35A1"/>
    <w:rsid w:val="006C3927"/>
    <w:rsid w:val="006C3EEB"/>
    <w:rsid w:val="006C44D7"/>
    <w:rsid w:val="006C453D"/>
    <w:rsid w:val="006C4CF5"/>
    <w:rsid w:val="006C5004"/>
    <w:rsid w:val="006C572B"/>
    <w:rsid w:val="006C58D3"/>
    <w:rsid w:val="006C595F"/>
    <w:rsid w:val="006C5A1C"/>
    <w:rsid w:val="006C5C33"/>
    <w:rsid w:val="006C60C3"/>
    <w:rsid w:val="006C60FD"/>
    <w:rsid w:val="006C64C9"/>
    <w:rsid w:val="006C64F3"/>
    <w:rsid w:val="006C75BE"/>
    <w:rsid w:val="006C77CC"/>
    <w:rsid w:val="006C78A7"/>
    <w:rsid w:val="006C7E22"/>
    <w:rsid w:val="006C7ECD"/>
    <w:rsid w:val="006D097B"/>
    <w:rsid w:val="006D0B43"/>
    <w:rsid w:val="006D1327"/>
    <w:rsid w:val="006D1385"/>
    <w:rsid w:val="006D14E1"/>
    <w:rsid w:val="006D1BDE"/>
    <w:rsid w:val="006D267F"/>
    <w:rsid w:val="006D37C5"/>
    <w:rsid w:val="006D3C40"/>
    <w:rsid w:val="006D3EC7"/>
    <w:rsid w:val="006D423F"/>
    <w:rsid w:val="006D4474"/>
    <w:rsid w:val="006D4792"/>
    <w:rsid w:val="006D480C"/>
    <w:rsid w:val="006D4BB9"/>
    <w:rsid w:val="006D4C8D"/>
    <w:rsid w:val="006D4E35"/>
    <w:rsid w:val="006D503D"/>
    <w:rsid w:val="006D5378"/>
    <w:rsid w:val="006D5635"/>
    <w:rsid w:val="006D6A67"/>
    <w:rsid w:val="006D6BF8"/>
    <w:rsid w:val="006D6DFB"/>
    <w:rsid w:val="006D7017"/>
    <w:rsid w:val="006D75E9"/>
    <w:rsid w:val="006D7CB2"/>
    <w:rsid w:val="006E18A8"/>
    <w:rsid w:val="006E1B1B"/>
    <w:rsid w:val="006E1E9A"/>
    <w:rsid w:val="006E2020"/>
    <w:rsid w:val="006E2608"/>
    <w:rsid w:val="006E2741"/>
    <w:rsid w:val="006E2869"/>
    <w:rsid w:val="006E28A4"/>
    <w:rsid w:val="006E3565"/>
    <w:rsid w:val="006E357F"/>
    <w:rsid w:val="006E36A0"/>
    <w:rsid w:val="006E3C74"/>
    <w:rsid w:val="006E4831"/>
    <w:rsid w:val="006E4B36"/>
    <w:rsid w:val="006E4C4C"/>
    <w:rsid w:val="006E50FE"/>
    <w:rsid w:val="006E5852"/>
    <w:rsid w:val="006E5A5D"/>
    <w:rsid w:val="006E5DE6"/>
    <w:rsid w:val="006E5DF2"/>
    <w:rsid w:val="006E62CF"/>
    <w:rsid w:val="006E6597"/>
    <w:rsid w:val="006E72F8"/>
    <w:rsid w:val="006E778B"/>
    <w:rsid w:val="006E7C7F"/>
    <w:rsid w:val="006F00BB"/>
    <w:rsid w:val="006F02CB"/>
    <w:rsid w:val="006F0333"/>
    <w:rsid w:val="006F0737"/>
    <w:rsid w:val="006F0866"/>
    <w:rsid w:val="006F0A76"/>
    <w:rsid w:val="006F0CE1"/>
    <w:rsid w:val="006F1314"/>
    <w:rsid w:val="006F294E"/>
    <w:rsid w:val="006F2F9E"/>
    <w:rsid w:val="006F2FED"/>
    <w:rsid w:val="006F3D00"/>
    <w:rsid w:val="006F4809"/>
    <w:rsid w:val="006F4960"/>
    <w:rsid w:val="006F502E"/>
    <w:rsid w:val="006F52BE"/>
    <w:rsid w:val="006F57E0"/>
    <w:rsid w:val="006F5A2B"/>
    <w:rsid w:val="006F5BCC"/>
    <w:rsid w:val="006F5D2E"/>
    <w:rsid w:val="006F5D49"/>
    <w:rsid w:val="006F61FE"/>
    <w:rsid w:val="006F6613"/>
    <w:rsid w:val="006F66D0"/>
    <w:rsid w:val="006F6B1C"/>
    <w:rsid w:val="006F6C31"/>
    <w:rsid w:val="006F74F1"/>
    <w:rsid w:val="006F7940"/>
    <w:rsid w:val="006F7CE1"/>
    <w:rsid w:val="00700093"/>
    <w:rsid w:val="00700288"/>
    <w:rsid w:val="00700357"/>
    <w:rsid w:val="007006F9"/>
    <w:rsid w:val="00700C5A"/>
    <w:rsid w:val="00701CCD"/>
    <w:rsid w:val="00702031"/>
    <w:rsid w:val="007029C2"/>
    <w:rsid w:val="00702A8E"/>
    <w:rsid w:val="0070317C"/>
    <w:rsid w:val="007033DC"/>
    <w:rsid w:val="00703504"/>
    <w:rsid w:val="00703880"/>
    <w:rsid w:val="00703A32"/>
    <w:rsid w:val="00703BC3"/>
    <w:rsid w:val="00703E7D"/>
    <w:rsid w:val="00704B65"/>
    <w:rsid w:val="00704D82"/>
    <w:rsid w:val="00704F57"/>
    <w:rsid w:val="007061EC"/>
    <w:rsid w:val="007066A8"/>
    <w:rsid w:val="00706BF3"/>
    <w:rsid w:val="00707352"/>
    <w:rsid w:val="007075FF"/>
    <w:rsid w:val="00710317"/>
    <w:rsid w:val="0071102D"/>
    <w:rsid w:val="0071203E"/>
    <w:rsid w:val="0071251D"/>
    <w:rsid w:val="00712C9D"/>
    <w:rsid w:val="00713092"/>
    <w:rsid w:val="007134D6"/>
    <w:rsid w:val="007148BD"/>
    <w:rsid w:val="00714E00"/>
    <w:rsid w:val="00714F6D"/>
    <w:rsid w:val="00716259"/>
    <w:rsid w:val="007162EF"/>
    <w:rsid w:val="007166C5"/>
    <w:rsid w:val="00716ACC"/>
    <w:rsid w:val="007177B8"/>
    <w:rsid w:val="00717DFB"/>
    <w:rsid w:val="00720244"/>
    <w:rsid w:val="007203BA"/>
    <w:rsid w:val="00720DDE"/>
    <w:rsid w:val="0072114F"/>
    <w:rsid w:val="0072152E"/>
    <w:rsid w:val="007218EE"/>
    <w:rsid w:val="0072308C"/>
    <w:rsid w:val="00723516"/>
    <w:rsid w:val="0072389E"/>
    <w:rsid w:val="0072496D"/>
    <w:rsid w:val="0072544E"/>
    <w:rsid w:val="00725779"/>
    <w:rsid w:val="00726870"/>
    <w:rsid w:val="007269AA"/>
    <w:rsid w:val="00726B0F"/>
    <w:rsid w:val="00726B28"/>
    <w:rsid w:val="00727AFB"/>
    <w:rsid w:val="00730347"/>
    <w:rsid w:val="0073046A"/>
    <w:rsid w:val="00730729"/>
    <w:rsid w:val="0073091D"/>
    <w:rsid w:val="00730F3B"/>
    <w:rsid w:val="0073123C"/>
    <w:rsid w:val="00731439"/>
    <w:rsid w:val="007316E0"/>
    <w:rsid w:val="0073178E"/>
    <w:rsid w:val="00732366"/>
    <w:rsid w:val="0073297F"/>
    <w:rsid w:val="00732A72"/>
    <w:rsid w:val="00732B6A"/>
    <w:rsid w:val="00732CC3"/>
    <w:rsid w:val="007331B1"/>
    <w:rsid w:val="0073327D"/>
    <w:rsid w:val="007336E5"/>
    <w:rsid w:val="00733A40"/>
    <w:rsid w:val="00733E6E"/>
    <w:rsid w:val="00734A54"/>
    <w:rsid w:val="00734A57"/>
    <w:rsid w:val="00734C5E"/>
    <w:rsid w:val="00735D45"/>
    <w:rsid w:val="007365DA"/>
    <w:rsid w:val="007367AB"/>
    <w:rsid w:val="00736CCF"/>
    <w:rsid w:val="00736D2E"/>
    <w:rsid w:val="00736EF3"/>
    <w:rsid w:val="007400A4"/>
    <w:rsid w:val="007403E8"/>
    <w:rsid w:val="00740CD8"/>
    <w:rsid w:val="007412C2"/>
    <w:rsid w:val="00741BFF"/>
    <w:rsid w:val="00741EE4"/>
    <w:rsid w:val="0074259D"/>
    <w:rsid w:val="007426BC"/>
    <w:rsid w:val="0074286A"/>
    <w:rsid w:val="007428DA"/>
    <w:rsid w:val="00742CA5"/>
    <w:rsid w:val="0074337F"/>
    <w:rsid w:val="0074427C"/>
    <w:rsid w:val="00744372"/>
    <w:rsid w:val="0074446D"/>
    <w:rsid w:val="007445CD"/>
    <w:rsid w:val="007446AB"/>
    <w:rsid w:val="00744A36"/>
    <w:rsid w:val="00744CD1"/>
    <w:rsid w:val="00744D33"/>
    <w:rsid w:val="0074537C"/>
    <w:rsid w:val="00745630"/>
    <w:rsid w:val="00745CE1"/>
    <w:rsid w:val="00745D53"/>
    <w:rsid w:val="00745D94"/>
    <w:rsid w:val="00746144"/>
    <w:rsid w:val="007462B6"/>
    <w:rsid w:val="00746799"/>
    <w:rsid w:val="007470B0"/>
    <w:rsid w:val="007477B7"/>
    <w:rsid w:val="0074784F"/>
    <w:rsid w:val="0074797B"/>
    <w:rsid w:val="00747AF5"/>
    <w:rsid w:val="00747E64"/>
    <w:rsid w:val="007500C3"/>
    <w:rsid w:val="00750135"/>
    <w:rsid w:val="0075015D"/>
    <w:rsid w:val="007501BF"/>
    <w:rsid w:val="00750A4B"/>
    <w:rsid w:val="00750AAB"/>
    <w:rsid w:val="0075148F"/>
    <w:rsid w:val="00751875"/>
    <w:rsid w:val="007525AA"/>
    <w:rsid w:val="007525ED"/>
    <w:rsid w:val="007526A5"/>
    <w:rsid w:val="0075291B"/>
    <w:rsid w:val="00752A42"/>
    <w:rsid w:val="00752D95"/>
    <w:rsid w:val="00753297"/>
    <w:rsid w:val="0075349A"/>
    <w:rsid w:val="00754100"/>
    <w:rsid w:val="0075445C"/>
    <w:rsid w:val="007548E6"/>
    <w:rsid w:val="00754AE3"/>
    <w:rsid w:val="00754D54"/>
    <w:rsid w:val="00754E18"/>
    <w:rsid w:val="007554C1"/>
    <w:rsid w:val="0075591A"/>
    <w:rsid w:val="00755BFC"/>
    <w:rsid w:val="00756139"/>
    <w:rsid w:val="007568BC"/>
    <w:rsid w:val="007568CE"/>
    <w:rsid w:val="007569D7"/>
    <w:rsid w:val="00756ACE"/>
    <w:rsid w:val="0075748F"/>
    <w:rsid w:val="0075756C"/>
    <w:rsid w:val="00757C50"/>
    <w:rsid w:val="00757EE3"/>
    <w:rsid w:val="00760D7D"/>
    <w:rsid w:val="00761788"/>
    <w:rsid w:val="00761A27"/>
    <w:rsid w:val="00761BA3"/>
    <w:rsid w:val="00761BBD"/>
    <w:rsid w:val="00761DBD"/>
    <w:rsid w:val="0076220A"/>
    <w:rsid w:val="00762388"/>
    <w:rsid w:val="0076305A"/>
    <w:rsid w:val="007630D9"/>
    <w:rsid w:val="007631D3"/>
    <w:rsid w:val="007636B5"/>
    <w:rsid w:val="0076392F"/>
    <w:rsid w:val="00763B85"/>
    <w:rsid w:val="00763C57"/>
    <w:rsid w:val="00763F44"/>
    <w:rsid w:val="00764073"/>
    <w:rsid w:val="007641DB"/>
    <w:rsid w:val="007644FC"/>
    <w:rsid w:val="0076459D"/>
    <w:rsid w:val="007648A5"/>
    <w:rsid w:val="00764E2C"/>
    <w:rsid w:val="00765137"/>
    <w:rsid w:val="007651C8"/>
    <w:rsid w:val="0076562E"/>
    <w:rsid w:val="0076575D"/>
    <w:rsid w:val="00765857"/>
    <w:rsid w:val="007659F6"/>
    <w:rsid w:val="00765FE5"/>
    <w:rsid w:val="0076662D"/>
    <w:rsid w:val="0076722C"/>
    <w:rsid w:val="00767A9C"/>
    <w:rsid w:val="00767C0A"/>
    <w:rsid w:val="00767E7A"/>
    <w:rsid w:val="00767EC3"/>
    <w:rsid w:val="0077005E"/>
    <w:rsid w:val="007703AB"/>
    <w:rsid w:val="00770771"/>
    <w:rsid w:val="0077081F"/>
    <w:rsid w:val="007708BA"/>
    <w:rsid w:val="007709C8"/>
    <w:rsid w:val="007714D5"/>
    <w:rsid w:val="0077166D"/>
    <w:rsid w:val="00771C4B"/>
    <w:rsid w:val="00771EEF"/>
    <w:rsid w:val="0077279B"/>
    <w:rsid w:val="00772F4E"/>
    <w:rsid w:val="007732A4"/>
    <w:rsid w:val="0077388C"/>
    <w:rsid w:val="00774597"/>
    <w:rsid w:val="00774AB8"/>
    <w:rsid w:val="00774EA5"/>
    <w:rsid w:val="007758CC"/>
    <w:rsid w:val="0077590D"/>
    <w:rsid w:val="00775D09"/>
    <w:rsid w:val="007761A6"/>
    <w:rsid w:val="00776585"/>
    <w:rsid w:val="007765A0"/>
    <w:rsid w:val="007766A4"/>
    <w:rsid w:val="007767D3"/>
    <w:rsid w:val="00776DAE"/>
    <w:rsid w:val="00777209"/>
    <w:rsid w:val="007779AC"/>
    <w:rsid w:val="00777DED"/>
    <w:rsid w:val="00777E76"/>
    <w:rsid w:val="00780169"/>
    <w:rsid w:val="007807CC"/>
    <w:rsid w:val="00780AB5"/>
    <w:rsid w:val="00780B62"/>
    <w:rsid w:val="00780C3F"/>
    <w:rsid w:val="00781647"/>
    <w:rsid w:val="00781A97"/>
    <w:rsid w:val="00781ADC"/>
    <w:rsid w:val="00781ADE"/>
    <w:rsid w:val="00781D05"/>
    <w:rsid w:val="00782983"/>
    <w:rsid w:val="00782F67"/>
    <w:rsid w:val="00782F85"/>
    <w:rsid w:val="00783637"/>
    <w:rsid w:val="00783816"/>
    <w:rsid w:val="00783AE0"/>
    <w:rsid w:val="007841F0"/>
    <w:rsid w:val="0078458B"/>
    <w:rsid w:val="00784A5A"/>
    <w:rsid w:val="00784DAF"/>
    <w:rsid w:val="00785076"/>
    <w:rsid w:val="007852CA"/>
    <w:rsid w:val="00785ADA"/>
    <w:rsid w:val="00785D6D"/>
    <w:rsid w:val="00785DAD"/>
    <w:rsid w:val="00785F24"/>
    <w:rsid w:val="00786425"/>
    <w:rsid w:val="00786D38"/>
    <w:rsid w:val="00786E7E"/>
    <w:rsid w:val="0078718C"/>
    <w:rsid w:val="0078731B"/>
    <w:rsid w:val="007874FB"/>
    <w:rsid w:val="0078785F"/>
    <w:rsid w:val="00787E62"/>
    <w:rsid w:val="007901E2"/>
    <w:rsid w:val="007905EC"/>
    <w:rsid w:val="007909C2"/>
    <w:rsid w:val="0079100C"/>
    <w:rsid w:val="0079160B"/>
    <w:rsid w:val="00791913"/>
    <w:rsid w:val="007922C1"/>
    <w:rsid w:val="00792397"/>
    <w:rsid w:val="00792B68"/>
    <w:rsid w:val="00792C00"/>
    <w:rsid w:val="00792C2E"/>
    <w:rsid w:val="00792D7E"/>
    <w:rsid w:val="00793814"/>
    <w:rsid w:val="0079416A"/>
    <w:rsid w:val="0079484D"/>
    <w:rsid w:val="007959DE"/>
    <w:rsid w:val="00795B3F"/>
    <w:rsid w:val="0079664A"/>
    <w:rsid w:val="00797A1E"/>
    <w:rsid w:val="007A034D"/>
    <w:rsid w:val="007A09D3"/>
    <w:rsid w:val="007A10E8"/>
    <w:rsid w:val="007A12BD"/>
    <w:rsid w:val="007A1DA3"/>
    <w:rsid w:val="007A1E3A"/>
    <w:rsid w:val="007A25C4"/>
    <w:rsid w:val="007A2A9F"/>
    <w:rsid w:val="007A2D43"/>
    <w:rsid w:val="007A359F"/>
    <w:rsid w:val="007A3FAF"/>
    <w:rsid w:val="007A415D"/>
    <w:rsid w:val="007A450E"/>
    <w:rsid w:val="007A4DF4"/>
    <w:rsid w:val="007A5295"/>
    <w:rsid w:val="007A5493"/>
    <w:rsid w:val="007A5815"/>
    <w:rsid w:val="007A58C8"/>
    <w:rsid w:val="007A5A44"/>
    <w:rsid w:val="007A6363"/>
    <w:rsid w:val="007A65D2"/>
    <w:rsid w:val="007A67B5"/>
    <w:rsid w:val="007A6C3F"/>
    <w:rsid w:val="007A6CAA"/>
    <w:rsid w:val="007A6D3E"/>
    <w:rsid w:val="007A6DBC"/>
    <w:rsid w:val="007A74BA"/>
    <w:rsid w:val="007B0142"/>
    <w:rsid w:val="007B0257"/>
    <w:rsid w:val="007B02D3"/>
    <w:rsid w:val="007B04D2"/>
    <w:rsid w:val="007B0689"/>
    <w:rsid w:val="007B0A88"/>
    <w:rsid w:val="007B1E24"/>
    <w:rsid w:val="007B2339"/>
    <w:rsid w:val="007B24E4"/>
    <w:rsid w:val="007B2F27"/>
    <w:rsid w:val="007B33F8"/>
    <w:rsid w:val="007B3A15"/>
    <w:rsid w:val="007B3BF0"/>
    <w:rsid w:val="007B42AE"/>
    <w:rsid w:val="007B458D"/>
    <w:rsid w:val="007B4DDB"/>
    <w:rsid w:val="007B4F78"/>
    <w:rsid w:val="007B4FB8"/>
    <w:rsid w:val="007B5494"/>
    <w:rsid w:val="007B55E3"/>
    <w:rsid w:val="007B5900"/>
    <w:rsid w:val="007B5FB9"/>
    <w:rsid w:val="007B6272"/>
    <w:rsid w:val="007B729D"/>
    <w:rsid w:val="007B78C1"/>
    <w:rsid w:val="007B7A98"/>
    <w:rsid w:val="007C068D"/>
    <w:rsid w:val="007C06CA"/>
    <w:rsid w:val="007C06CF"/>
    <w:rsid w:val="007C08E2"/>
    <w:rsid w:val="007C0906"/>
    <w:rsid w:val="007C0999"/>
    <w:rsid w:val="007C0B28"/>
    <w:rsid w:val="007C1056"/>
    <w:rsid w:val="007C1D0F"/>
    <w:rsid w:val="007C23DF"/>
    <w:rsid w:val="007C33A0"/>
    <w:rsid w:val="007C35FC"/>
    <w:rsid w:val="007C378A"/>
    <w:rsid w:val="007C379D"/>
    <w:rsid w:val="007C398A"/>
    <w:rsid w:val="007C3A3E"/>
    <w:rsid w:val="007C3E83"/>
    <w:rsid w:val="007C43A4"/>
    <w:rsid w:val="007C43D1"/>
    <w:rsid w:val="007C4498"/>
    <w:rsid w:val="007C4592"/>
    <w:rsid w:val="007C468A"/>
    <w:rsid w:val="007C4AAD"/>
    <w:rsid w:val="007C4D95"/>
    <w:rsid w:val="007C4DEA"/>
    <w:rsid w:val="007C5285"/>
    <w:rsid w:val="007C551E"/>
    <w:rsid w:val="007C55A4"/>
    <w:rsid w:val="007C55C6"/>
    <w:rsid w:val="007C588E"/>
    <w:rsid w:val="007C5959"/>
    <w:rsid w:val="007C5C84"/>
    <w:rsid w:val="007C6190"/>
    <w:rsid w:val="007C64F6"/>
    <w:rsid w:val="007C6640"/>
    <w:rsid w:val="007C719E"/>
    <w:rsid w:val="007C7506"/>
    <w:rsid w:val="007C7616"/>
    <w:rsid w:val="007C78BB"/>
    <w:rsid w:val="007C7F9E"/>
    <w:rsid w:val="007D00E7"/>
    <w:rsid w:val="007D02CF"/>
    <w:rsid w:val="007D1B65"/>
    <w:rsid w:val="007D1E04"/>
    <w:rsid w:val="007D1E8E"/>
    <w:rsid w:val="007D224D"/>
    <w:rsid w:val="007D3C8B"/>
    <w:rsid w:val="007D3C8D"/>
    <w:rsid w:val="007D406E"/>
    <w:rsid w:val="007D42D6"/>
    <w:rsid w:val="007D43AE"/>
    <w:rsid w:val="007D46A4"/>
    <w:rsid w:val="007D47B8"/>
    <w:rsid w:val="007D4971"/>
    <w:rsid w:val="007D4B66"/>
    <w:rsid w:val="007D5156"/>
    <w:rsid w:val="007D6010"/>
    <w:rsid w:val="007D66BF"/>
    <w:rsid w:val="007D6E60"/>
    <w:rsid w:val="007D75BC"/>
    <w:rsid w:val="007E00C8"/>
    <w:rsid w:val="007E0135"/>
    <w:rsid w:val="007E02EC"/>
    <w:rsid w:val="007E03CA"/>
    <w:rsid w:val="007E0474"/>
    <w:rsid w:val="007E05AE"/>
    <w:rsid w:val="007E0ADF"/>
    <w:rsid w:val="007E121A"/>
    <w:rsid w:val="007E18A1"/>
    <w:rsid w:val="007E1AA6"/>
    <w:rsid w:val="007E215E"/>
    <w:rsid w:val="007E22A8"/>
    <w:rsid w:val="007E28B8"/>
    <w:rsid w:val="007E2988"/>
    <w:rsid w:val="007E33C2"/>
    <w:rsid w:val="007E3A0E"/>
    <w:rsid w:val="007E3FE1"/>
    <w:rsid w:val="007E484A"/>
    <w:rsid w:val="007E4C9D"/>
    <w:rsid w:val="007E4CE4"/>
    <w:rsid w:val="007E4F9F"/>
    <w:rsid w:val="007E6340"/>
    <w:rsid w:val="007E6355"/>
    <w:rsid w:val="007E6ED4"/>
    <w:rsid w:val="007E716E"/>
    <w:rsid w:val="007E717E"/>
    <w:rsid w:val="007E75D8"/>
    <w:rsid w:val="007E7C9D"/>
    <w:rsid w:val="007F0235"/>
    <w:rsid w:val="007F026A"/>
    <w:rsid w:val="007F0B82"/>
    <w:rsid w:val="007F0C6A"/>
    <w:rsid w:val="007F1050"/>
    <w:rsid w:val="007F11DA"/>
    <w:rsid w:val="007F1610"/>
    <w:rsid w:val="007F1A5B"/>
    <w:rsid w:val="007F1A6E"/>
    <w:rsid w:val="007F1BF8"/>
    <w:rsid w:val="007F1DB7"/>
    <w:rsid w:val="007F217F"/>
    <w:rsid w:val="007F28F4"/>
    <w:rsid w:val="007F2A5E"/>
    <w:rsid w:val="007F2A67"/>
    <w:rsid w:val="007F33F0"/>
    <w:rsid w:val="007F34B4"/>
    <w:rsid w:val="007F35DC"/>
    <w:rsid w:val="007F40BF"/>
    <w:rsid w:val="007F506F"/>
    <w:rsid w:val="007F555C"/>
    <w:rsid w:val="007F5811"/>
    <w:rsid w:val="007F583B"/>
    <w:rsid w:val="007F5A55"/>
    <w:rsid w:val="007F5CC6"/>
    <w:rsid w:val="007F6094"/>
    <w:rsid w:val="007F66FD"/>
    <w:rsid w:val="007F6CFA"/>
    <w:rsid w:val="007F71C6"/>
    <w:rsid w:val="007F7289"/>
    <w:rsid w:val="007F757C"/>
    <w:rsid w:val="007F7625"/>
    <w:rsid w:val="007F7DD0"/>
    <w:rsid w:val="00800876"/>
    <w:rsid w:val="00800BAC"/>
    <w:rsid w:val="00801122"/>
    <w:rsid w:val="008011B2"/>
    <w:rsid w:val="008013F1"/>
    <w:rsid w:val="0080172A"/>
    <w:rsid w:val="0080206C"/>
    <w:rsid w:val="008023D2"/>
    <w:rsid w:val="0080253F"/>
    <w:rsid w:val="008025E7"/>
    <w:rsid w:val="00802F58"/>
    <w:rsid w:val="008034BE"/>
    <w:rsid w:val="00803764"/>
    <w:rsid w:val="00803D0D"/>
    <w:rsid w:val="00804254"/>
    <w:rsid w:val="00804466"/>
    <w:rsid w:val="00804A1B"/>
    <w:rsid w:val="00804DB0"/>
    <w:rsid w:val="00805563"/>
    <w:rsid w:val="008058D8"/>
    <w:rsid w:val="00805937"/>
    <w:rsid w:val="00806B49"/>
    <w:rsid w:val="00807036"/>
    <w:rsid w:val="00807090"/>
    <w:rsid w:val="008070F6"/>
    <w:rsid w:val="008071DA"/>
    <w:rsid w:val="00807872"/>
    <w:rsid w:val="00807DD1"/>
    <w:rsid w:val="00807E0D"/>
    <w:rsid w:val="00810475"/>
    <w:rsid w:val="00810536"/>
    <w:rsid w:val="00810901"/>
    <w:rsid w:val="0081105A"/>
    <w:rsid w:val="00812013"/>
    <w:rsid w:val="008120CA"/>
    <w:rsid w:val="00812F1D"/>
    <w:rsid w:val="00813195"/>
    <w:rsid w:val="008140C5"/>
    <w:rsid w:val="008140DF"/>
    <w:rsid w:val="00814691"/>
    <w:rsid w:val="00814943"/>
    <w:rsid w:val="00814D91"/>
    <w:rsid w:val="00814DAE"/>
    <w:rsid w:val="00815581"/>
    <w:rsid w:val="008158AC"/>
    <w:rsid w:val="00815EBC"/>
    <w:rsid w:val="008161FF"/>
    <w:rsid w:val="00816EDB"/>
    <w:rsid w:val="0081707E"/>
    <w:rsid w:val="00817362"/>
    <w:rsid w:val="00817467"/>
    <w:rsid w:val="00817478"/>
    <w:rsid w:val="0082000B"/>
    <w:rsid w:val="00820302"/>
    <w:rsid w:val="00820635"/>
    <w:rsid w:val="00820A6A"/>
    <w:rsid w:val="00820AA0"/>
    <w:rsid w:val="008213A0"/>
    <w:rsid w:val="00821C79"/>
    <w:rsid w:val="00821FA7"/>
    <w:rsid w:val="00822035"/>
    <w:rsid w:val="0082211C"/>
    <w:rsid w:val="00822433"/>
    <w:rsid w:val="00822583"/>
    <w:rsid w:val="00822963"/>
    <w:rsid w:val="008229D2"/>
    <w:rsid w:val="00822CE5"/>
    <w:rsid w:val="00823275"/>
    <w:rsid w:val="008239BC"/>
    <w:rsid w:val="0082417C"/>
    <w:rsid w:val="00824606"/>
    <w:rsid w:val="00824980"/>
    <w:rsid w:val="00824C29"/>
    <w:rsid w:val="008250EA"/>
    <w:rsid w:val="0082519F"/>
    <w:rsid w:val="008252D1"/>
    <w:rsid w:val="008255A0"/>
    <w:rsid w:val="0082582D"/>
    <w:rsid w:val="0082662A"/>
    <w:rsid w:val="008267C2"/>
    <w:rsid w:val="00827769"/>
    <w:rsid w:val="00827781"/>
    <w:rsid w:val="00827C8A"/>
    <w:rsid w:val="0083038D"/>
    <w:rsid w:val="00830937"/>
    <w:rsid w:val="00831111"/>
    <w:rsid w:val="00832145"/>
    <w:rsid w:val="00832424"/>
    <w:rsid w:val="00832654"/>
    <w:rsid w:val="00832969"/>
    <w:rsid w:val="00833179"/>
    <w:rsid w:val="00833909"/>
    <w:rsid w:val="00833C61"/>
    <w:rsid w:val="00833EF0"/>
    <w:rsid w:val="00833EF7"/>
    <w:rsid w:val="00834A06"/>
    <w:rsid w:val="00834C19"/>
    <w:rsid w:val="00835296"/>
    <w:rsid w:val="0083569D"/>
    <w:rsid w:val="008359E6"/>
    <w:rsid w:val="00835A9A"/>
    <w:rsid w:val="00835B9E"/>
    <w:rsid w:val="00835DE4"/>
    <w:rsid w:val="008362FB"/>
    <w:rsid w:val="00836388"/>
    <w:rsid w:val="00837203"/>
    <w:rsid w:val="008376BA"/>
    <w:rsid w:val="00837E67"/>
    <w:rsid w:val="008405EA"/>
    <w:rsid w:val="00840637"/>
    <w:rsid w:val="00841669"/>
    <w:rsid w:val="008420E8"/>
    <w:rsid w:val="008428AE"/>
    <w:rsid w:val="008431A2"/>
    <w:rsid w:val="008434D6"/>
    <w:rsid w:val="00844463"/>
    <w:rsid w:val="008448B1"/>
    <w:rsid w:val="008449E7"/>
    <w:rsid w:val="00844C1C"/>
    <w:rsid w:val="0084505D"/>
    <w:rsid w:val="00845311"/>
    <w:rsid w:val="00845557"/>
    <w:rsid w:val="00845577"/>
    <w:rsid w:val="00845A5A"/>
    <w:rsid w:val="00845D0E"/>
    <w:rsid w:val="00845D99"/>
    <w:rsid w:val="00846A5A"/>
    <w:rsid w:val="00847667"/>
    <w:rsid w:val="008505FD"/>
    <w:rsid w:val="008509CB"/>
    <w:rsid w:val="00850DAC"/>
    <w:rsid w:val="008510C2"/>
    <w:rsid w:val="008512C1"/>
    <w:rsid w:val="008514AD"/>
    <w:rsid w:val="00851561"/>
    <w:rsid w:val="0085199A"/>
    <w:rsid w:val="00851EA5"/>
    <w:rsid w:val="00852588"/>
    <w:rsid w:val="00852CC6"/>
    <w:rsid w:val="00853192"/>
    <w:rsid w:val="008535A1"/>
    <w:rsid w:val="00853A79"/>
    <w:rsid w:val="00853EA3"/>
    <w:rsid w:val="0085425A"/>
    <w:rsid w:val="0085440E"/>
    <w:rsid w:val="00854651"/>
    <w:rsid w:val="00854AB0"/>
    <w:rsid w:val="008554EA"/>
    <w:rsid w:val="0085580C"/>
    <w:rsid w:val="00855FC9"/>
    <w:rsid w:val="008567C4"/>
    <w:rsid w:val="00856BE8"/>
    <w:rsid w:val="0085702C"/>
    <w:rsid w:val="00857580"/>
    <w:rsid w:val="0085778F"/>
    <w:rsid w:val="008579DD"/>
    <w:rsid w:val="0086056E"/>
    <w:rsid w:val="00860673"/>
    <w:rsid w:val="008606D1"/>
    <w:rsid w:val="00861439"/>
    <w:rsid w:val="00861FC0"/>
    <w:rsid w:val="0086201D"/>
    <w:rsid w:val="00862737"/>
    <w:rsid w:val="0086296C"/>
    <w:rsid w:val="0086319E"/>
    <w:rsid w:val="00863942"/>
    <w:rsid w:val="0086397B"/>
    <w:rsid w:val="00863DA5"/>
    <w:rsid w:val="00863F54"/>
    <w:rsid w:val="00863FB6"/>
    <w:rsid w:val="00864DEE"/>
    <w:rsid w:val="008651CB"/>
    <w:rsid w:val="00865875"/>
    <w:rsid w:val="00865964"/>
    <w:rsid w:val="00865F56"/>
    <w:rsid w:val="00866CA4"/>
    <w:rsid w:val="0086759F"/>
    <w:rsid w:val="00867688"/>
    <w:rsid w:val="00867772"/>
    <w:rsid w:val="00867D98"/>
    <w:rsid w:val="00867DDA"/>
    <w:rsid w:val="008702EC"/>
    <w:rsid w:val="00870595"/>
    <w:rsid w:val="00870791"/>
    <w:rsid w:val="0087092C"/>
    <w:rsid w:val="008709A3"/>
    <w:rsid w:val="00870FB9"/>
    <w:rsid w:val="00870FDE"/>
    <w:rsid w:val="008714D1"/>
    <w:rsid w:val="00871672"/>
    <w:rsid w:val="0087188E"/>
    <w:rsid w:val="00871E83"/>
    <w:rsid w:val="00872457"/>
    <w:rsid w:val="00872482"/>
    <w:rsid w:val="00872835"/>
    <w:rsid w:val="00872B0D"/>
    <w:rsid w:val="00873198"/>
    <w:rsid w:val="00873E44"/>
    <w:rsid w:val="00874062"/>
    <w:rsid w:val="00874217"/>
    <w:rsid w:val="00874555"/>
    <w:rsid w:val="00874653"/>
    <w:rsid w:val="00874919"/>
    <w:rsid w:val="00875252"/>
    <w:rsid w:val="008752F9"/>
    <w:rsid w:val="00875A67"/>
    <w:rsid w:val="0087620C"/>
    <w:rsid w:val="008764B0"/>
    <w:rsid w:val="00876753"/>
    <w:rsid w:val="008769BF"/>
    <w:rsid w:val="008770B8"/>
    <w:rsid w:val="00877207"/>
    <w:rsid w:val="008773F2"/>
    <w:rsid w:val="0087756B"/>
    <w:rsid w:val="00877F0D"/>
    <w:rsid w:val="00880170"/>
    <w:rsid w:val="0088084F"/>
    <w:rsid w:val="00880E42"/>
    <w:rsid w:val="0088138D"/>
    <w:rsid w:val="0088145D"/>
    <w:rsid w:val="00881531"/>
    <w:rsid w:val="008818FE"/>
    <w:rsid w:val="00881979"/>
    <w:rsid w:val="00881B33"/>
    <w:rsid w:val="00881FA5"/>
    <w:rsid w:val="00881FA6"/>
    <w:rsid w:val="008820F9"/>
    <w:rsid w:val="0088276B"/>
    <w:rsid w:val="00883355"/>
    <w:rsid w:val="00883691"/>
    <w:rsid w:val="00883CDE"/>
    <w:rsid w:val="00884E51"/>
    <w:rsid w:val="00885186"/>
    <w:rsid w:val="008861B2"/>
    <w:rsid w:val="00886832"/>
    <w:rsid w:val="00886862"/>
    <w:rsid w:val="00886ACE"/>
    <w:rsid w:val="00886CDD"/>
    <w:rsid w:val="00886D5B"/>
    <w:rsid w:val="008872AE"/>
    <w:rsid w:val="008872DF"/>
    <w:rsid w:val="008878BC"/>
    <w:rsid w:val="00890847"/>
    <w:rsid w:val="008908DF"/>
    <w:rsid w:val="00890E0E"/>
    <w:rsid w:val="0089131E"/>
    <w:rsid w:val="00891B9D"/>
    <w:rsid w:val="00891E10"/>
    <w:rsid w:val="008926AE"/>
    <w:rsid w:val="00892D0C"/>
    <w:rsid w:val="008935AE"/>
    <w:rsid w:val="00893831"/>
    <w:rsid w:val="008938D7"/>
    <w:rsid w:val="00894AF1"/>
    <w:rsid w:val="0089543F"/>
    <w:rsid w:val="00895C17"/>
    <w:rsid w:val="00895EF2"/>
    <w:rsid w:val="0089634E"/>
    <w:rsid w:val="00896535"/>
    <w:rsid w:val="00896628"/>
    <w:rsid w:val="00896DA9"/>
    <w:rsid w:val="00896E17"/>
    <w:rsid w:val="00896EB0"/>
    <w:rsid w:val="00896FEA"/>
    <w:rsid w:val="008972C4"/>
    <w:rsid w:val="00897502"/>
    <w:rsid w:val="00897AFB"/>
    <w:rsid w:val="00897C2F"/>
    <w:rsid w:val="008A00EC"/>
    <w:rsid w:val="008A0110"/>
    <w:rsid w:val="008A0490"/>
    <w:rsid w:val="008A04CD"/>
    <w:rsid w:val="008A0A4B"/>
    <w:rsid w:val="008A135A"/>
    <w:rsid w:val="008A1522"/>
    <w:rsid w:val="008A171A"/>
    <w:rsid w:val="008A199A"/>
    <w:rsid w:val="008A1D3D"/>
    <w:rsid w:val="008A1E9D"/>
    <w:rsid w:val="008A2084"/>
    <w:rsid w:val="008A2108"/>
    <w:rsid w:val="008A409E"/>
    <w:rsid w:val="008A4467"/>
    <w:rsid w:val="008A455F"/>
    <w:rsid w:val="008A4C66"/>
    <w:rsid w:val="008A4DBD"/>
    <w:rsid w:val="008A4E25"/>
    <w:rsid w:val="008A4E31"/>
    <w:rsid w:val="008A5296"/>
    <w:rsid w:val="008A5557"/>
    <w:rsid w:val="008A56A2"/>
    <w:rsid w:val="008A5CBD"/>
    <w:rsid w:val="008A5E77"/>
    <w:rsid w:val="008A5F54"/>
    <w:rsid w:val="008A645C"/>
    <w:rsid w:val="008A7ED2"/>
    <w:rsid w:val="008B052B"/>
    <w:rsid w:val="008B0AD6"/>
    <w:rsid w:val="008B0D24"/>
    <w:rsid w:val="008B0E94"/>
    <w:rsid w:val="008B1273"/>
    <w:rsid w:val="008B1581"/>
    <w:rsid w:val="008B170B"/>
    <w:rsid w:val="008B1710"/>
    <w:rsid w:val="008B1894"/>
    <w:rsid w:val="008B1927"/>
    <w:rsid w:val="008B205A"/>
    <w:rsid w:val="008B2389"/>
    <w:rsid w:val="008B326E"/>
    <w:rsid w:val="008B33E8"/>
    <w:rsid w:val="008B355F"/>
    <w:rsid w:val="008B3561"/>
    <w:rsid w:val="008B37AC"/>
    <w:rsid w:val="008B3BF4"/>
    <w:rsid w:val="008B3E08"/>
    <w:rsid w:val="008B40EC"/>
    <w:rsid w:val="008B432B"/>
    <w:rsid w:val="008B443F"/>
    <w:rsid w:val="008B4792"/>
    <w:rsid w:val="008B480B"/>
    <w:rsid w:val="008B5221"/>
    <w:rsid w:val="008B5AA5"/>
    <w:rsid w:val="008B5B28"/>
    <w:rsid w:val="008B64D8"/>
    <w:rsid w:val="008B6C45"/>
    <w:rsid w:val="008B743B"/>
    <w:rsid w:val="008B77AC"/>
    <w:rsid w:val="008B79D8"/>
    <w:rsid w:val="008C04FB"/>
    <w:rsid w:val="008C0ADF"/>
    <w:rsid w:val="008C0EF4"/>
    <w:rsid w:val="008C0F96"/>
    <w:rsid w:val="008C1032"/>
    <w:rsid w:val="008C11CD"/>
    <w:rsid w:val="008C1213"/>
    <w:rsid w:val="008C1544"/>
    <w:rsid w:val="008C1989"/>
    <w:rsid w:val="008C203F"/>
    <w:rsid w:val="008C24AE"/>
    <w:rsid w:val="008C2864"/>
    <w:rsid w:val="008C2F10"/>
    <w:rsid w:val="008C3166"/>
    <w:rsid w:val="008C3637"/>
    <w:rsid w:val="008C3946"/>
    <w:rsid w:val="008C41E2"/>
    <w:rsid w:val="008C424F"/>
    <w:rsid w:val="008C43D4"/>
    <w:rsid w:val="008C44B2"/>
    <w:rsid w:val="008C50BA"/>
    <w:rsid w:val="008C5965"/>
    <w:rsid w:val="008C5EAD"/>
    <w:rsid w:val="008C5FEA"/>
    <w:rsid w:val="008C6245"/>
    <w:rsid w:val="008C64B7"/>
    <w:rsid w:val="008C6817"/>
    <w:rsid w:val="008C6B6A"/>
    <w:rsid w:val="008C6C6E"/>
    <w:rsid w:val="008C7155"/>
    <w:rsid w:val="008D01C9"/>
    <w:rsid w:val="008D03C9"/>
    <w:rsid w:val="008D0B3A"/>
    <w:rsid w:val="008D0D6F"/>
    <w:rsid w:val="008D176B"/>
    <w:rsid w:val="008D2326"/>
    <w:rsid w:val="008D2617"/>
    <w:rsid w:val="008D2802"/>
    <w:rsid w:val="008D3200"/>
    <w:rsid w:val="008D33B8"/>
    <w:rsid w:val="008D3834"/>
    <w:rsid w:val="008D3A60"/>
    <w:rsid w:val="008D3CB2"/>
    <w:rsid w:val="008D4128"/>
    <w:rsid w:val="008D4304"/>
    <w:rsid w:val="008D46CF"/>
    <w:rsid w:val="008D493D"/>
    <w:rsid w:val="008D4A68"/>
    <w:rsid w:val="008D4C71"/>
    <w:rsid w:val="008D5232"/>
    <w:rsid w:val="008D5699"/>
    <w:rsid w:val="008D6318"/>
    <w:rsid w:val="008D6442"/>
    <w:rsid w:val="008D66FA"/>
    <w:rsid w:val="008D7265"/>
    <w:rsid w:val="008D7D6B"/>
    <w:rsid w:val="008E02EB"/>
    <w:rsid w:val="008E030C"/>
    <w:rsid w:val="008E0822"/>
    <w:rsid w:val="008E0D20"/>
    <w:rsid w:val="008E101C"/>
    <w:rsid w:val="008E2315"/>
    <w:rsid w:val="008E250E"/>
    <w:rsid w:val="008E29AC"/>
    <w:rsid w:val="008E2A7F"/>
    <w:rsid w:val="008E2F7A"/>
    <w:rsid w:val="008E2FDF"/>
    <w:rsid w:val="008E3492"/>
    <w:rsid w:val="008E35D5"/>
    <w:rsid w:val="008E374E"/>
    <w:rsid w:val="008E3754"/>
    <w:rsid w:val="008E3AFF"/>
    <w:rsid w:val="008E3B5C"/>
    <w:rsid w:val="008E3B93"/>
    <w:rsid w:val="008E3E91"/>
    <w:rsid w:val="008E4D57"/>
    <w:rsid w:val="008E5372"/>
    <w:rsid w:val="008E55FC"/>
    <w:rsid w:val="008E56E1"/>
    <w:rsid w:val="008E5D04"/>
    <w:rsid w:val="008E5F1A"/>
    <w:rsid w:val="008E64EA"/>
    <w:rsid w:val="008E6F01"/>
    <w:rsid w:val="008E71EE"/>
    <w:rsid w:val="008F07CC"/>
    <w:rsid w:val="008F0E3F"/>
    <w:rsid w:val="008F107F"/>
    <w:rsid w:val="008F189E"/>
    <w:rsid w:val="008F1A21"/>
    <w:rsid w:val="008F1A47"/>
    <w:rsid w:val="008F1B76"/>
    <w:rsid w:val="008F1BD2"/>
    <w:rsid w:val="008F1E90"/>
    <w:rsid w:val="008F1FCD"/>
    <w:rsid w:val="008F332E"/>
    <w:rsid w:val="008F3464"/>
    <w:rsid w:val="008F3D41"/>
    <w:rsid w:val="008F41F4"/>
    <w:rsid w:val="008F4374"/>
    <w:rsid w:val="008F4CD3"/>
    <w:rsid w:val="008F5268"/>
    <w:rsid w:val="008F5652"/>
    <w:rsid w:val="008F5B9D"/>
    <w:rsid w:val="008F5DA6"/>
    <w:rsid w:val="008F610E"/>
    <w:rsid w:val="008F64E0"/>
    <w:rsid w:val="008F6A45"/>
    <w:rsid w:val="008F6BC8"/>
    <w:rsid w:val="008F6C2C"/>
    <w:rsid w:val="008F6C7E"/>
    <w:rsid w:val="008F7247"/>
    <w:rsid w:val="008F7726"/>
    <w:rsid w:val="008F7A2B"/>
    <w:rsid w:val="008F7B94"/>
    <w:rsid w:val="008F7F32"/>
    <w:rsid w:val="00900AC5"/>
    <w:rsid w:val="00900B56"/>
    <w:rsid w:val="00900F66"/>
    <w:rsid w:val="0090140D"/>
    <w:rsid w:val="0090159E"/>
    <w:rsid w:val="00901F57"/>
    <w:rsid w:val="0090360B"/>
    <w:rsid w:val="009039E7"/>
    <w:rsid w:val="00903C94"/>
    <w:rsid w:val="00903D6B"/>
    <w:rsid w:val="00904044"/>
    <w:rsid w:val="009043E3"/>
    <w:rsid w:val="00905348"/>
    <w:rsid w:val="0090591B"/>
    <w:rsid w:val="00905C59"/>
    <w:rsid w:val="00906143"/>
    <w:rsid w:val="00906A57"/>
    <w:rsid w:val="00906E59"/>
    <w:rsid w:val="009070BB"/>
    <w:rsid w:val="00907393"/>
    <w:rsid w:val="00907B34"/>
    <w:rsid w:val="00907C05"/>
    <w:rsid w:val="00910492"/>
    <w:rsid w:val="009104F7"/>
    <w:rsid w:val="0091054C"/>
    <w:rsid w:val="00910BC2"/>
    <w:rsid w:val="00910E91"/>
    <w:rsid w:val="00911789"/>
    <w:rsid w:val="009119D5"/>
    <w:rsid w:val="00911BD5"/>
    <w:rsid w:val="00911D4A"/>
    <w:rsid w:val="00911DFE"/>
    <w:rsid w:val="00911F22"/>
    <w:rsid w:val="00912176"/>
    <w:rsid w:val="0091240D"/>
    <w:rsid w:val="00912788"/>
    <w:rsid w:val="00912F07"/>
    <w:rsid w:val="00913B54"/>
    <w:rsid w:val="009141AB"/>
    <w:rsid w:val="00914418"/>
    <w:rsid w:val="0091547C"/>
    <w:rsid w:val="009155A8"/>
    <w:rsid w:val="0091577F"/>
    <w:rsid w:val="00916011"/>
    <w:rsid w:val="0091642D"/>
    <w:rsid w:val="009168EA"/>
    <w:rsid w:val="00916E6C"/>
    <w:rsid w:val="00916F73"/>
    <w:rsid w:val="00917942"/>
    <w:rsid w:val="009201E8"/>
    <w:rsid w:val="009204F3"/>
    <w:rsid w:val="009206F8"/>
    <w:rsid w:val="00920A1E"/>
    <w:rsid w:val="00920AA5"/>
    <w:rsid w:val="00920CBD"/>
    <w:rsid w:val="0092187A"/>
    <w:rsid w:val="00921984"/>
    <w:rsid w:val="00921D2E"/>
    <w:rsid w:val="00921EE0"/>
    <w:rsid w:val="009222C3"/>
    <w:rsid w:val="0092235B"/>
    <w:rsid w:val="00922462"/>
    <w:rsid w:val="00922A51"/>
    <w:rsid w:val="00922D95"/>
    <w:rsid w:val="00922F66"/>
    <w:rsid w:val="0092323E"/>
    <w:rsid w:val="009235A5"/>
    <w:rsid w:val="00923922"/>
    <w:rsid w:val="009249BD"/>
    <w:rsid w:val="0092578F"/>
    <w:rsid w:val="00925AEC"/>
    <w:rsid w:val="00926335"/>
    <w:rsid w:val="00926782"/>
    <w:rsid w:val="0092697B"/>
    <w:rsid w:val="009269A8"/>
    <w:rsid w:val="00926BEE"/>
    <w:rsid w:val="00926D43"/>
    <w:rsid w:val="009270A5"/>
    <w:rsid w:val="00930163"/>
    <w:rsid w:val="009303B0"/>
    <w:rsid w:val="009304C6"/>
    <w:rsid w:val="0093053F"/>
    <w:rsid w:val="00930E50"/>
    <w:rsid w:val="00931000"/>
    <w:rsid w:val="00931374"/>
    <w:rsid w:val="00931732"/>
    <w:rsid w:val="00931A96"/>
    <w:rsid w:val="00931DA2"/>
    <w:rsid w:val="00932770"/>
    <w:rsid w:val="00932850"/>
    <w:rsid w:val="00933262"/>
    <w:rsid w:val="00933566"/>
    <w:rsid w:val="009338C6"/>
    <w:rsid w:val="00933D63"/>
    <w:rsid w:val="00933E27"/>
    <w:rsid w:val="009340BE"/>
    <w:rsid w:val="009341EE"/>
    <w:rsid w:val="00934433"/>
    <w:rsid w:val="00934536"/>
    <w:rsid w:val="009347A9"/>
    <w:rsid w:val="009347CF"/>
    <w:rsid w:val="00934FD7"/>
    <w:rsid w:val="00935244"/>
    <w:rsid w:val="00935B0F"/>
    <w:rsid w:val="009361A6"/>
    <w:rsid w:val="0093730B"/>
    <w:rsid w:val="00937849"/>
    <w:rsid w:val="00937CB7"/>
    <w:rsid w:val="00940091"/>
    <w:rsid w:val="0094036F"/>
    <w:rsid w:val="0094051D"/>
    <w:rsid w:val="0094119D"/>
    <w:rsid w:val="00941E36"/>
    <w:rsid w:val="0094216B"/>
    <w:rsid w:val="009424C9"/>
    <w:rsid w:val="009424EE"/>
    <w:rsid w:val="00942CF2"/>
    <w:rsid w:val="00942F58"/>
    <w:rsid w:val="00943185"/>
    <w:rsid w:val="009435A1"/>
    <w:rsid w:val="00943632"/>
    <w:rsid w:val="00943C9F"/>
    <w:rsid w:val="00943CF1"/>
    <w:rsid w:val="00943D42"/>
    <w:rsid w:val="00943EC6"/>
    <w:rsid w:val="0094474D"/>
    <w:rsid w:val="009447CE"/>
    <w:rsid w:val="00944815"/>
    <w:rsid w:val="009449A5"/>
    <w:rsid w:val="009454F1"/>
    <w:rsid w:val="0094570B"/>
    <w:rsid w:val="009463F3"/>
    <w:rsid w:val="009473F2"/>
    <w:rsid w:val="009477AC"/>
    <w:rsid w:val="009508E2"/>
    <w:rsid w:val="00951079"/>
    <w:rsid w:val="0095128E"/>
    <w:rsid w:val="00951BE1"/>
    <w:rsid w:val="00951D6B"/>
    <w:rsid w:val="00951E86"/>
    <w:rsid w:val="00952053"/>
    <w:rsid w:val="009521B2"/>
    <w:rsid w:val="00952357"/>
    <w:rsid w:val="00952AE3"/>
    <w:rsid w:val="00952EB0"/>
    <w:rsid w:val="00953D6F"/>
    <w:rsid w:val="00953E42"/>
    <w:rsid w:val="00953F73"/>
    <w:rsid w:val="00954492"/>
    <w:rsid w:val="0095497E"/>
    <w:rsid w:val="00954C83"/>
    <w:rsid w:val="00954DE6"/>
    <w:rsid w:val="00954EF2"/>
    <w:rsid w:val="009550DC"/>
    <w:rsid w:val="009551E8"/>
    <w:rsid w:val="00955912"/>
    <w:rsid w:val="00955A84"/>
    <w:rsid w:val="0095649C"/>
    <w:rsid w:val="00957837"/>
    <w:rsid w:val="00957E1B"/>
    <w:rsid w:val="009601A3"/>
    <w:rsid w:val="00960300"/>
    <w:rsid w:val="009605FF"/>
    <w:rsid w:val="00960B57"/>
    <w:rsid w:val="00960E27"/>
    <w:rsid w:val="0096136B"/>
    <w:rsid w:val="00961911"/>
    <w:rsid w:val="00961973"/>
    <w:rsid w:val="00961AD4"/>
    <w:rsid w:val="009623A1"/>
    <w:rsid w:val="00962793"/>
    <w:rsid w:val="00962BE7"/>
    <w:rsid w:val="00962C8F"/>
    <w:rsid w:val="00963002"/>
    <w:rsid w:val="0096337E"/>
    <w:rsid w:val="00964771"/>
    <w:rsid w:val="00964E35"/>
    <w:rsid w:val="00964E53"/>
    <w:rsid w:val="00964EF9"/>
    <w:rsid w:val="009650C8"/>
    <w:rsid w:val="009651DF"/>
    <w:rsid w:val="00965760"/>
    <w:rsid w:val="009659BC"/>
    <w:rsid w:val="00965EA4"/>
    <w:rsid w:val="00966461"/>
    <w:rsid w:val="00966706"/>
    <w:rsid w:val="00966735"/>
    <w:rsid w:val="00966C33"/>
    <w:rsid w:val="00966ECD"/>
    <w:rsid w:val="00967C64"/>
    <w:rsid w:val="00967D7B"/>
    <w:rsid w:val="00967EF1"/>
    <w:rsid w:val="009703F2"/>
    <w:rsid w:val="009706B9"/>
    <w:rsid w:val="00970BB5"/>
    <w:rsid w:val="00970D09"/>
    <w:rsid w:val="00970D8C"/>
    <w:rsid w:val="00970E4C"/>
    <w:rsid w:val="00970FEB"/>
    <w:rsid w:val="0097211B"/>
    <w:rsid w:val="00972320"/>
    <w:rsid w:val="0097234F"/>
    <w:rsid w:val="00972AD0"/>
    <w:rsid w:val="00972FB5"/>
    <w:rsid w:val="009735F2"/>
    <w:rsid w:val="00973637"/>
    <w:rsid w:val="00973A35"/>
    <w:rsid w:val="00973D2F"/>
    <w:rsid w:val="00974001"/>
    <w:rsid w:val="0097404D"/>
    <w:rsid w:val="0097471B"/>
    <w:rsid w:val="00974A92"/>
    <w:rsid w:val="00974C47"/>
    <w:rsid w:val="00975262"/>
    <w:rsid w:val="00975326"/>
    <w:rsid w:val="00975B3F"/>
    <w:rsid w:val="00976845"/>
    <w:rsid w:val="00976AD8"/>
    <w:rsid w:val="00976BAE"/>
    <w:rsid w:val="00976BE4"/>
    <w:rsid w:val="00976DA7"/>
    <w:rsid w:val="00976E53"/>
    <w:rsid w:val="00977698"/>
    <w:rsid w:val="00977D48"/>
    <w:rsid w:val="00980000"/>
    <w:rsid w:val="00980170"/>
    <w:rsid w:val="00980417"/>
    <w:rsid w:val="00980EC7"/>
    <w:rsid w:val="00981117"/>
    <w:rsid w:val="00981BAC"/>
    <w:rsid w:val="00982379"/>
    <w:rsid w:val="009824AA"/>
    <w:rsid w:val="00982550"/>
    <w:rsid w:val="00982F7D"/>
    <w:rsid w:val="009831BD"/>
    <w:rsid w:val="00983459"/>
    <w:rsid w:val="00983919"/>
    <w:rsid w:val="00983A5C"/>
    <w:rsid w:val="009840B1"/>
    <w:rsid w:val="009844E8"/>
    <w:rsid w:val="009854BB"/>
    <w:rsid w:val="0098578A"/>
    <w:rsid w:val="00985B1D"/>
    <w:rsid w:val="009862D8"/>
    <w:rsid w:val="00986449"/>
    <w:rsid w:val="009865FA"/>
    <w:rsid w:val="00986A6C"/>
    <w:rsid w:val="00986AE8"/>
    <w:rsid w:val="00986B7F"/>
    <w:rsid w:val="009870F9"/>
    <w:rsid w:val="009874E4"/>
    <w:rsid w:val="00987916"/>
    <w:rsid w:val="009879FF"/>
    <w:rsid w:val="00987FDE"/>
    <w:rsid w:val="00990201"/>
    <w:rsid w:val="00990513"/>
    <w:rsid w:val="0099051A"/>
    <w:rsid w:val="0099057B"/>
    <w:rsid w:val="00990CB4"/>
    <w:rsid w:val="00991149"/>
    <w:rsid w:val="00991769"/>
    <w:rsid w:val="009917D8"/>
    <w:rsid w:val="00991E79"/>
    <w:rsid w:val="00991EFB"/>
    <w:rsid w:val="00991F39"/>
    <w:rsid w:val="00992B16"/>
    <w:rsid w:val="00992D40"/>
    <w:rsid w:val="009934E8"/>
    <w:rsid w:val="009937BA"/>
    <w:rsid w:val="0099380C"/>
    <w:rsid w:val="00993A11"/>
    <w:rsid w:val="00993F10"/>
    <w:rsid w:val="00994B0F"/>
    <w:rsid w:val="00994DB7"/>
    <w:rsid w:val="00994DC9"/>
    <w:rsid w:val="00994DF6"/>
    <w:rsid w:val="009951F5"/>
    <w:rsid w:val="009957D2"/>
    <w:rsid w:val="0099585B"/>
    <w:rsid w:val="00995DD4"/>
    <w:rsid w:val="00996059"/>
    <w:rsid w:val="009960EA"/>
    <w:rsid w:val="0099624E"/>
    <w:rsid w:val="0099632F"/>
    <w:rsid w:val="009966A3"/>
    <w:rsid w:val="00996C63"/>
    <w:rsid w:val="00996D9A"/>
    <w:rsid w:val="00996F51"/>
    <w:rsid w:val="009977BC"/>
    <w:rsid w:val="00997E0D"/>
    <w:rsid w:val="009A02B0"/>
    <w:rsid w:val="009A0BFE"/>
    <w:rsid w:val="009A0D53"/>
    <w:rsid w:val="009A1288"/>
    <w:rsid w:val="009A1369"/>
    <w:rsid w:val="009A18D7"/>
    <w:rsid w:val="009A25F4"/>
    <w:rsid w:val="009A26C2"/>
    <w:rsid w:val="009A2C58"/>
    <w:rsid w:val="009A2E13"/>
    <w:rsid w:val="009A321E"/>
    <w:rsid w:val="009A3851"/>
    <w:rsid w:val="009A3959"/>
    <w:rsid w:val="009A3DAF"/>
    <w:rsid w:val="009A3F5F"/>
    <w:rsid w:val="009A5CCE"/>
    <w:rsid w:val="009A5E7B"/>
    <w:rsid w:val="009A63DF"/>
    <w:rsid w:val="009A6653"/>
    <w:rsid w:val="009A6DE6"/>
    <w:rsid w:val="009A7008"/>
    <w:rsid w:val="009A74A2"/>
    <w:rsid w:val="009A7AC6"/>
    <w:rsid w:val="009A7C00"/>
    <w:rsid w:val="009A7F8D"/>
    <w:rsid w:val="009A7FF5"/>
    <w:rsid w:val="009B0127"/>
    <w:rsid w:val="009B0C76"/>
    <w:rsid w:val="009B0D25"/>
    <w:rsid w:val="009B0DFA"/>
    <w:rsid w:val="009B1142"/>
    <w:rsid w:val="009B1963"/>
    <w:rsid w:val="009B2000"/>
    <w:rsid w:val="009B23C5"/>
    <w:rsid w:val="009B2DBC"/>
    <w:rsid w:val="009B347E"/>
    <w:rsid w:val="009B3FD5"/>
    <w:rsid w:val="009B4740"/>
    <w:rsid w:val="009B4D67"/>
    <w:rsid w:val="009B4EF7"/>
    <w:rsid w:val="009B4F57"/>
    <w:rsid w:val="009B514D"/>
    <w:rsid w:val="009B5CFC"/>
    <w:rsid w:val="009B5D4D"/>
    <w:rsid w:val="009B618F"/>
    <w:rsid w:val="009B621E"/>
    <w:rsid w:val="009B6352"/>
    <w:rsid w:val="009B66FC"/>
    <w:rsid w:val="009B677D"/>
    <w:rsid w:val="009B7428"/>
    <w:rsid w:val="009B7474"/>
    <w:rsid w:val="009B75B0"/>
    <w:rsid w:val="009B7697"/>
    <w:rsid w:val="009B7ADC"/>
    <w:rsid w:val="009C0FB3"/>
    <w:rsid w:val="009C1135"/>
    <w:rsid w:val="009C1361"/>
    <w:rsid w:val="009C13F9"/>
    <w:rsid w:val="009C1634"/>
    <w:rsid w:val="009C1845"/>
    <w:rsid w:val="009C19FC"/>
    <w:rsid w:val="009C1BE8"/>
    <w:rsid w:val="009C29ED"/>
    <w:rsid w:val="009C2D46"/>
    <w:rsid w:val="009C2EA0"/>
    <w:rsid w:val="009C2EA4"/>
    <w:rsid w:val="009C3396"/>
    <w:rsid w:val="009C36FD"/>
    <w:rsid w:val="009C3FCE"/>
    <w:rsid w:val="009C534C"/>
    <w:rsid w:val="009C542F"/>
    <w:rsid w:val="009C55F6"/>
    <w:rsid w:val="009C5657"/>
    <w:rsid w:val="009C57E0"/>
    <w:rsid w:val="009C5F04"/>
    <w:rsid w:val="009C6016"/>
    <w:rsid w:val="009C6B6D"/>
    <w:rsid w:val="009C6C6A"/>
    <w:rsid w:val="009C71A1"/>
    <w:rsid w:val="009C77F3"/>
    <w:rsid w:val="009C7AD2"/>
    <w:rsid w:val="009C7B46"/>
    <w:rsid w:val="009C7BC1"/>
    <w:rsid w:val="009C7D4D"/>
    <w:rsid w:val="009D039D"/>
    <w:rsid w:val="009D049A"/>
    <w:rsid w:val="009D0531"/>
    <w:rsid w:val="009D09D8"/>
    <w:rsid w:val="009D0E9F"/>
    <w:rsid w:val="009D0F6A"/>
    <w:rsid w:val="009D21EA"/>
    <w:rsid w:val="009D2A49"/>
    <w:rsid w:val="009D2CC7"/>
    <w:rsid w:val="009D2FA2"/>
    <w:rsid w:val="009D3134"/>
    <w:rsid w:val="009D32A8"/>
    <w:rsid w:val="009D37BE"/>
    <w:rsid w:val="009D42E1"/>
    <w:rsid w:val="009D42F0"/>
    <w:rsid w:val="009D57ED"/>
    <w:rsid w:val="009D5805"/>
    <w:rsid w:val="009D5CBF"/>
    <w:rsid w:val="009D5ED7"/>
    <w:rsid w:val="009D5EED"/>
    <w:rsid w:val="009D6E50"/>
    <w:rsid w:val="009D6E6D"/>
    <w:rsid w:val="009D79BA"/>
    <w:rsid w:val="009D7FF7"/>
    <w:rsid w:val="009E0095"/>
    <w:rsid w:val="009E04E3"/>
    <w:rsid w:val="009E0C1E"/>
    <w:rsid w:val="009E1588"/>
    <w:rsid w:val="009E16F1"/>
    <w:rsid w:val="009E1ED1"/>
    <w:rsid w:val="009E26AE"/>
    <w:rsid w:val="009E29D6"/>
    <w:rsid w:val="009E2DCC"/>
    <w:rsid w:val="009E3678"/>
    <w:rsid w:val="009E3735"/>
    <w:rsid w:val="009E3837"/>
    <w:rsid w:val="009E390C"/>
    <w:rsid w:val="009E3C3E"/>
    <w:rsid w:val="009E3E0C"/>
    <w:rsid w:val="009E41C8"/>
    <w:rsid w:val="009E4212"/>
    <w:rsid w:val="009E4E8C"/>
    <w:rsid w:val="009E52A9"/>
    <w:rsid w:val="009E593B"/>
    <w:rsid w:val="009E5DE3"/>
    <w:rsid w:val="009E5F48"/>
    <w:rsid w:val="009E5FA5"/>
    <w:rsid w:val="009E5FF9"/>
    <w:rsid w:val="009E78E2"/>
    <w:rsid w:val="009F05F8"/>
    <w:rsid w:val="009F0D10"/>
    <w:rsid w:val="009F10E7"/>
    <w:rsid w:val="009F1792"/>
    <w:rsid w:val="009F1CE7"/>
    <w:rsid w:val="009F1E30"/>
    <w:rsid w:val="009F21B8"/>
    <w:rsid w:val="009F25BF"/>
    <w:rsid w:val="009F2AE2"/>
    <w:rsid w:val="009F3043"/>
    <w:rsid w:val="009F3799"/>
    <w:rsid w:val="009F3BEC"/>
    <w:rsid w:val="009F420F"/>
    <w:rsid w:val="009F4440"/>
    <w:rsid w:val="009F472D"/>
    <w:rsid w:val="009F4C76"/>
    <w:rsid w:val="009F4F5F"/>
    <w:rsid w:val="009F5020"/>
    <w:rsid w:val="009F55AC"/>
    <w:rsid w:val="009F57A9"/>
    <w:rsid w:val="009F5A01"/>
    <w:rsid w:val="009F5DF1"/>
    <w:rsid w:val="009F6111"/>
    <w:rsid w:val="009F67A3"/>
    <w:rsid w:val="009F6D33"/>
    <w:rsid w:val="009F6F07"/>
    <w:rsid w:val="009F7BB5"/>
    <w:rsid w:val="00A006A6"/>
    <w:rsid w:val="00A01238"/>
    <w:rsid w:val="00A01B05"/>
    <w:rsid w:val="00A01E32"/>
    <w:rsid w:val="00A02470"/>
    <w:rsid w:val="00A027CD"/>
    <w:rsid w:val="00A028CE"/>
    <w:rsid w:val="00A02A60"/>
    <w:rsid w:val="00A03042"/>
    <w:rsid w:val="00A0315B"/>
    <w:rsid w:val="00A03168"/>
    <w:rsid w:val="00A031FB"/>
    <w:rsid w:val="00A03848"/>
    <w:rsid w:val="00A03B96"/>
    <w:rsid w:val="00A03EA0"/>
    <w:rsid w:val="00A042CC"/>
    <w:rsid w:val="00A045F0"/>
    <w:rsid w:val="00A048EA"/>
    <w:rsid w:val="00A04BEA"/>
    <w:rsid w:val="00A04C47"/>
    <w:rsid w:val="00A060B2"/>
    <w:rsid w:val="00A062A0"/>
    <w:rsid w:val="00A06339"/>
    <w:rsid w:val="00A068C5"/>
    <w:rsid w:val="00A06CCC"/>
    <w:rsid w:val="00A06E71"/>
    <w:rsid w:val="00A07412"/>
    <w:rsid w:val="00A07B6A"/>
    <w:rsid w:val="00A07BBD"/>
    <w:rsid w:val="00A10836"/>
    <w:rsid w:val="00A10E69"/>
    <w:rsid w:val="00A10F90"/>
    <w:rsid w:val="00A10FF7"/>
    <w:rsid w:val="00A1121B"/>
    <w:rsid w:val="00A11275"/>
    <w:rsid w:val="00A120C5"/>
    <w:rsid w:val="00A124FF"/>
    <w:rsid w:val="00A1272F"/>
    <w:rsid w:val="00A12807"/>
    <w:rsid w:val="00A12EBF"/>
    <w:rsid w:val="00A13051"/>
    <w:rsid w:val="00A1368F"/>
    <w:rsid w:val="00A13779"/>
    <w:rsid w:val="00A13A28"/>
    <w:rsid w:val="00A13A3F"/>
    <w:rsid w:val="00A13D4A"/>
    <w:rsid w:val="00A13E7D"/>
    <w:rsid w:val="00A14ADE"/>
    <w:rsid w:val="00A14C0E"/>
    <w:rsid w:val="00A152E6"/>
    <w:rsid w:val="00A15495"/>
    <w:rsid w:val="00A157AA"/>
    <w:rsid w:val="00A15912"/>
    <w:rsid w:val="00A159DB"/>
    <w:rsid w:val="00A16431"/>
    <w:rsid w:val="00A16468"/>
    <w:rsid w:val="00A1665F"/>
    <w:rsid w:val="00A16BA3"/>
    <w:rsid w:val="00A16D1F"/>
    <w:rsid w:val="00A1792C"/>
    <w:rsid w:val="00A17966"/>
    <w:rsid w:val="00A17DA6"/>
    <w:rsid w:val="00A2077D"/>
    <w:rsid w:val="00A20828"/>
    <w:rsid w:val="00A220A4"/>
    <w:rsid w:val="00A220CE"/>
    <w:rsid w:val="00A22617"/>
    <w:rsid w:val="00A23126"/>
    <w:rsid w:val="00A2431D"/>
    <w:rsid w:val="00A24437"/>
    <w:rsid w:val="00A244EF"/>
    <w:rsid w:val="00A2476F"/>
    <w:rsid w:val="00A25591"/>
    <w:rsid w:val="00A2561D"/>
    <w:rsid w:val="00A25AC0"/>
    <w:rsid w:val="00A25AFB"/>
    <w:rsid w:val="00A25BC3"/>
    <w:rsid w:val="00A260CC"/>
    <w:rsid w:val="00A265BF"/>
    <w:rsid w:val="00A27177"/>
    <w:rsid w:val="00A27411"/>
    <w:rsid w:val="00A27499"/>
    <w:rsid w:val="00A27906"/>
    <w:rsid w:val="00A27E09"/>
    <w:rsid w:val="00A27F7B"/>
    <w:rsid w:val="00A30586"/>
    <w:rsid w:val="00A30CCD"/>
    <w:rsid w:val="00A314E8"/>
    <w:rsid w:val="00A32CF6"/>
    <w:rsid w:val="00A32F27"/>
    <w:rsid w:val="00A33A0D"/>
    <w:rsid w:val="00A33CBA"/>
    <w:rsid w:val="00A340D1"/>
    <w:rsid w:val="00A34385"/>
    <w:rsid w:val="00A34A15"/>
    <w:rsid w:val="00A34D33"/>
    <w:rsid w:val="00A356A1"/>
    <w:rsid w:val="00A35812"/>
    <w:rsid w:val="00A35BD1"/>
    <w:rsid w:val="00A35E51"/>
    <w:rsid w:val="00A367B3"/>
    <w:rsid w:val="00A369D5"/>
    <w:rsid w:val="00A36A1F"/>
    <w:rsid w:val="00A37AFF"/>
    <w:rsid w:val="00A402B5"/>
    <w:rsid w:val="00A40687"/>
    <w:rsid w:val="00A41FE8"/>
    <w:rsid w:val="00A42401"/>
    <w:rsid w:val="00A42717"/>
    <w:rsid w:val="00A42780"/>
    <w:rsid w:val="00A4286C"/>
    <w:rsid w:val="00A42DE0"/>
    <w:rsid w:val="00A43151"/>
    <w:rsid w:val="00A431E4"/>
    <w:rsid w:val="00A43835"/>
    <w:rsid w:val="00A43AD3"/>
    <w:rsid w:val="00A44021"/>
    <w:rsid w:val="00A445E4"/>
    <w:rsid w:val="00A447A8"/>
    <w:rsid w:val="00A449BD"/>
    <w:rsid w:val="00A451C0"/>
    <w:rsid w:val="00A455D8"/>
    <w:rsid w:val="00A4595F"/>
    <w:rsid w:val="00A45C02"/>
    <w:rsid w:val="00A45EED"/>
    <w:rsid w:val="00A46384"/>
    <w:rsid w:val="00A472A6"/>
    <w:rsid w:val="00A47C78"/>
    <w:rsid w:val="00A47F19"/>
    <w:rsid w:val="00A50394"/>
    <w:rsid w:val="00A5051D"/>
    <w:rsid w:val="00A506F4"/>
    <w:rsid w:val="00A50843"/>
    <w:rsid w:val="00A50C21"/>
    <w:rsid w:val="00A516A4"/>
    <w:rsid w:val="00A51A82"/>
    <w:rsid w:val="00A5237A"/>
    <w:rsid w:val="00A525D7"/>
    <w:rsid w:val="00A52FC3"/>
    <w:rsid w:val="00A53104"/>
    <w:rsid w:val="00A53118"/>
    <w:rsid w:val="00A537E2"/>
    <w:rsid w:val="00A538BF"/>
    <w:rsid w:val="00A538F8"/>
    <w:rsid w:val="00A547F7"/>
    <w:rsid w:val="00A54A66"/>
    <w:rsid w:val="00A54AF8"/>
    <w:rsid w:val="00A54D4C"/>
    <w:rsid w:val="00A54EA4"/>
    <w:rsid w:val="00A55727"/>
    <w:rsid w:val="00A558B7"/>
    <w:rsid w:val="00A55E6C"/>
    <w:rsid w:val="00A5798E"/>
    <w:rsid w:val="00A57D8F"/>
    <w:rsid w:val="00A57F5B"/>
    <w:rsid w:val="00A601A1"/>
    <w:rsid w:val="00A605DE"/>
    <w:rsid w:val="00A60903"/>
    <w:rsid w:val="00A61229"/>
    <w:rsid w:val="00A61688"/>
    <w:rsid w:val="00A617D6"/>
    <w:rsid w:val="00A61893"/>
    <w:rsid w:val="00A61895"/>
    <w:rsid w:val="00A62044"/>
    <w:rsid w:val="00A62A5A"/>
    <w:rsid w:val="00A62A9A"/>
    <w:rsid w:val="00A62B77"/>
    <w:rsid w:val="00A62CB2"/>
    <w:rsid w:val="00A6335D"/>
    <w:rsid w:val="00A6372A"/>
    <w:rsid w:val="00A6396A"/>
    <w:rsid w:val="00A641FC"/>
    <w:rsid w:val="00A644A0"/>
    <w:rsid w:val="00A6451A"/>
    <w:rsid w:val="00A64953"/>
    <w:rsid w:val="00A64A7F"/>
    <w:rsid w:val="00A650AF"/>
    <w:rsid w:val="00A65D47"/>
    <w:rsid w:val="00A66556"/>
    <w:rsid w:val="00A66732"/>
    <w:rsid w:val="00A66BDB"/>
    <w:rsid w:val="00A67170"/>
    <w:rsid w:val="00A67578"/>
    <w:rsid w:val="00A6785E"/>
    <w:rsid w:val="00A70626"/>
    <w:rsid w:val="00A7077C"/>
    <w:rsid w:val="00A70A9A"/>
    <w:rsid w:val="00A71432"/>
    <w:rsid w:val="00A71638"/>
    <w:rsid w:val="00A71D2B"/>
    <w:rsid w:val="00A7211D"/>
    <w:rsid w:val="00A7249E"/>
    <w:rsid w:val="00A72C38"/>
    <w:rsid w:val="00A72C47"/>
    <w:rsid w:val="00A735B1"/>
    <w:rsid w:val="00A7366E"/>
    <w:rsid w:val="00A73D2F"/>
    <w:rsid w:val="00A73E16"/>
    <w:rsid w:val="00A742BA"/>
    <w:rsid w:val="00A745F5"/>
    <w:rsid w:val="00A748CD"/>
    <w:rsid w:val="00A74BAC"/>
    <w:rsid w:val="00A7596B"/>
    <w:rsid w:val="00A75BBB"/>
    <w:rsid w:val="00A75BC5"/>
    <w:rsid w:val="00A75C18"/>
    <w:rsid w:val="00A765C0"/>
    <w:rsid w:val="00A76806"/>
    <w:rsid w:val="00A76A43"/>
    <w:rsid w:val="00A76AE9"/>
    <w:rsid w:val="00A76C9B"/>
    <w:rsid w:val="00A77299"/>
    <w:rsid w:val="00A77486"/>
    <w:rsid w:val="00A7753A"/>
    <w:rsid w:val="00A802E9"/>
    <w:rsid w:val="00A80472"/>
    <w:rsid w:val="00A80683"/>
    <w:rsid w:val="00A80971"/>
    <w:rsid w:val="00A80D0B"/>
    <w:rsid w:val="00A80EDD"/>
    <w:rsid w:val="00A817AE"/>
    <w:rsid w:val="00A81CC7"/>
    <w:rsid w:val="00A822AC"/>
    <w:rsid w:val="00A82BDE"/>
    <w:rsid w:val="00A83077"/>
    <w:rsid w:val="00A839B1"/>
    <w:rsid w:val="00A83F30"/>
    <w:rsid w:val="00A84150"/>
    <w:rsid w:val="00A84721"/>
    <w:rsid w:val="00A84A2C"/>
    <w:rsid w:val="00A84BFE"/>
    <w:rsid w:val="00A85F2B"/>
    <w:rsid w:val="00A86083"/>
    <w:rsid w:val="00A868D6"/>
    <w:rsid w:val="00A86E6A"/>
    <w:rsid w:val="00A86F58"/>
    <w:rsid w:val="00A86FC8"/>
    <w:rsid w:val="00A87403"/>
    <w:rsid w:val="00A87517"/>
    <w:rsid w:val="00A875A5"/>
    <w:rsid w:val="00A87BB4"/>
    <w:rsid w:val="00A909C6"/>
    <w:rsid w:val="00A90A65"/>
    <w:rsid w:val="00A9128D"/>
    <w:rsid w:val="00A9133E"/>
    <w:rsid w:val="00A9153D"/>
    <w:rsid w:val="00A915E0"/>
    <w:rsid w:val="00A92673"/>
    <w:rsid w:val="00A92C2E"/>
    <w:rsid w:val="00A94100"/>
    <w:rsid w:val="00A947B9"/>
    <w:rsid w:val="00A94C24"/>
    <w:rsid w:val="00A953E4"/>
    <w:rsid w:val="00A95C8D"/>
    <w:rsid w:val="00A95FF9"/>
    <w:rsid w:val="00A961CA"/>
    <w:rsid w:val="00A96EF2"/>
    <w:rsid w:val="00A9766F"/>
    <w:rsid w:val="00A976AC"/>
    <w:rsid w:val="00A977A5"/>
    <w:rsid w:val="00AA0228"/>
    <w:rsid w:val="00AA0820"/>
    <w:rsid w:val="00AA099E"/>
    <w:rsid w:val="00AA0CD5"/>
    <w:rsid w:val="00AA1099"/>
    <w:rsid w:val="00AA1988"/>
    <w:rsid w:val="00AA19C5"/>
    <w:rsid w:val="00AA1ADD"/>
    <w:rsid w:val="00AA1B72"/>
    <w:rsid w:val="00AA1F44"/>
    <w:rsid w:val="00AA2729"/>
    <w:rsid w:val="00AA2955"/>
    <w:rsid w:val="00AA3234"/>
    <w:rsid w:val="00AA34B2"/>
    <w:rsid w:val="00AA39C7"/>
    <w:rsid w:val="00AA3F9B"/>
    <w:rsid w:val="00AA4390"/>
    <w:rsid w:val="00AA440C"/>
    <w:rsid w:val="00AA48B5"/>
    <w:rsid w:val="00AA4AE1"/>
    <w:rsid w:val="00AA4C01"/>
    <w:rsid w:val="00AA513D"/>
    <w:rsid w:val="00AA5146"/>
    <w:rsid w:val="00AA5308"/>
    <w:rsid w:val="00AA569A"/>
    <w:rsid w:val="00AA5889"/>
    <w:rsid w:val="00AA5E87"/>
    <w:rsid w:val="00AA66E1"/>
    <w:rsid w:val="00AA6769"/>
    <w:rsid w:val="00AA6C0B"/>
    <w:rsid w:val="00AA7271"/>
    <w:rsid w:val="00AA78AB"/>
    <w:rsid w:val="00AA79B4"/>
    <w:rsid w:val="00AB0030"/>
    <w:rsid w:val="00AB016F"/>
    <w:rsid w:val="00AB082A"/>
    <w:rsid w:val="00AB106B"/>
    <w:rsid w:val="00AB11F5"/>
    <w:rsid w:val="00AB1A81"/>
    <w:rsid w:val="00AB1E00"/>
    <w:rsid w:val="00AB1E32"/>
    <w:rsid w:val="00AB2656"/>
    <w:rsid w:val="00AB2766"/>
    <w:rsid w:val="00AB281E"/>
    <w:rsid w:val="00AB2CE2"/>
    <w:rsid w:val="00AB3737"/>
    <w:rsid w:val="00AB3E37"/>
    <w:rsid w:val="00AB3F01"/>
    <w:rsid w:val="00AB4122"/>
    <w:rsid w:val="00AB436B"/>
    <w:rsid w:val="00AB450E"/>
    <w:rsid w:val="00AB46CE"/>
    <w:rsid w:val="00AB4AA9"/>
    <w:rsid w:val="00AB4B5D"/>
    <w:rsid w:val="00AB5205"/>
    <w:rsid w:val="00AB55A5"/>
    <w:rsid w:val="00AB5E99"/>
    <w:rsid w:val="00AB63B3"/>
    <w:rsid w:val="00AB64A1"/>
    <w:rsid w:val="00AB65E9"/>
    <w:rsid w:val="00AB67A4"/>
    <w:rsid w:val="00AB6EA6"/>
    <w:rsid w:val="00AB6F53"/>
    <w:rsid w:val="00AC0553"/>
    <w:rsid w:val="00AC0A15"/>
    <w:rsid w:val="00AC0DDF"/>
    <w:rsid w:val="00AC0FB9"/>
    <w:rsid w:val="00AC11F8"/>
    <w:rsid w:val="00AC1444"/>
    <w:rsid w:val="00AC1878"/>
    <w:rsid w:val="00AC1E88"/>
    <w:rsid w:val="00AC2554"/>
    <w:rsid w:val="00AC2C4C"/>
    <w:rsid w:val="00AC32AE"/>
    <w:rsid w:val="00AC3433"/>
    <w:rsid w:val="00AC34E3"/>
    <w:rsid w:val="00AC365C"/>
    <w:rsid w:val="00AC4915"/>
    <w:rsid w:val="00AC4A1B"/>
    <w:rsid w:val="00AC5709"/>
    <w:rsid w:val="00AC5729"/>
    <w:rsid w:val="00AC5EC1"/>
    <w:rsid w:val="00AC64E7"/>
    <w:rsid w:val="00AC6A75"/>
    <w:rsid w:val="00AC6C74"/>
    <w:rsid w:val="00AC7110"/>
    <w:rsid w:val="00AC7257"/>
    <w:rsid w:val="00AC73AD"/>
    <w:rsid w:val="00AC7AD0"/>
    <w:rsid w:val="00AC7E32"/>
    <w:rsid w:val="00AD072B"/>
    <w:rsid w:val="00AD0B03"/>
    <w:rsid w:val="00AD0BAB"/>
    <w:rsid w:val="00AD1495"/>
    <w:rsid w:val="00AD14F0"/>
    <w:rsid w:val="00AD165B"/>
    <w:rsid w:val="00AD298F"/>
    <w:rsid w:val="00AD2E3B"/>
    <w:rsid w:val="00AD2ED3"/>
    <w:rsid w:val="00AD2F32"/>
    <w:rsid w:val="00AD3607"/>
    <w:rsid w:val="00AD3765"/>
    <w:rsid w:val="00AD3B38"/>
    <w:rsid w:val="00AD3C13"/>
    <w:rsid w:val="00AD4113"/>
    <w:rsid w:val="00AD45E1"/>
    <w:rsid w:val="00AD4ACD"/>
    <w:rsid w:val="00AD5070"/>
    <w:rsid w:val="00AD538B"/>
    <w:rsid w:val="00AD5392"/>
    <w:rsid w:val="00AD5C5B"/>
    <w:rsid w:val="00AD5CDD"/>
    <w:rsid w:val="00AD616F"/>
    <w:rsid w:val="00AD6634"/>
    <w:rsid w:val="00AD69E4"/>
    <w:rsid w:val="00AD6E9D"/>
    <w:rsid w:val="00AD6F61"/>
    <w:rsid w:val="00AD7003"/>
    <w:rsid w:val="00AD7089"/>
    <w:rsid w:val="00AD720D"/>
    <w:rsid w:val="00AD72DD"/>
    <w:rsid w:val="00AD73E8"/>
    <w:rsid w:val="00AD7607"/>
    <w:rsid w:val="00AD7973"/>
    <w:rsid w:val="00AD7E8D"/>
    <w:rsid w:val="00AE043A"/>
    <w:rsid w:val="00AE04F8"/>
    <w:rsid w:val="00AE07CA"/>
    <w:rsid w:val="00AE0B4D"/>
    <w:rsid w:val="00AE0D65"/>
    <w:rsid w:val="00AE1094"/>
    <w:rsid w:val="00AE121C"/>
    <w:rsid w:val="00AE1DC9"/>
    <w:rsid w:val="00AE1EC7"/>
    <w:rsid w:val="00AE2740"/>
    <w:rsid w:val="00AE2E16"/>
    <w:rsid w:val="00AE2EC4"/>
    <w:rsid w:val="00AE3308"/>
    <w:rsid w:val="00AE34F5"/>
    <w:rsid w:val="00AE3693"/>
    <w:rsid w:val="00AE376A"/>
    <w:rsid w:val="00AE3B1A"/>
    <w:rsid w:val="00AE42EF"/>
    <w:rsid w:val="00AE4776"/>
    <w:rsid w:val="00AE525A"/>
    <w:rsid w:val="00AE540B"/>
    <w:rsid w:val="00AE648B"/>
    <w:rsid w:val="00AE65D5"/>
    <w:rsid w:val="00AE6829"/>
    <w:rsid w:val="00AE68AB"/>
    <w:rsid w:val="00AE696D"/>
    <w:rsid w:val="00AE6E83"/>
    <w:rsid w:val="00AE7A7B"/>
    <w:rsid w:val="00AE7DB1"/>
    <w:rsid w:val="00AF03B1"/>
    <w:rsid w:val="00AF0E4A"/>
    <w:rsid w:val="00AF1634"/>
    <w:rsid w:val="00AF19D0"/>
    <w:rsid w:val="00AF1A28"/>
    <w:rsid w:val="00AF1AEB"/>
    <w:rsid w:val="00AF1BD6"/>
    <w:rsid w:val="00AF1DFB"/>
    <w:rsid w:val="00AF1EAA"/>
    <w:rsid w:val="00AF23F6"/>
    <w:rsid w:val="00AF25D4"/>
    <w:rsid w:val="00AF2637"/>
    <w:rsid w:val="00AF2673"/>
    <w:rsid w:val="00AF2B99"/>
    <w:rsid w:val="00AF36E4"/>
    <w:rsid w:val="00AF47A9"/>
    <w:rsid w:val="00AF4879"/>
    <w:rsid w:val="00AF4E8D"/>
    <w:rsid w:val="00AF4E94"/>
    <w:rsid w:val="00AF517F"/>
    <w:rsid w:val="00AF5C36"/>
    <w:rsid w:val="00AF5F67"/>
    <w:rsid w:val="00AF6259"/>
    <w:rsid w:val="00AF66DE"/>
    <w:rsid w:val="00AF7055"/>
    <w:rsid w:val="00AF71E8"/>
    <w:rsid w:val="00AF7506"/>
    <w:rsid w:val="00B002A2"/>
    <w:rsid w:val="00B00654"/>
    <w:rsid w:val="00B00851"/>
    <w:rsid w:val="00B00942"/>
    <w:rsid w:val="00B00DC8"/>
    <w:rsid w:val="00B01150"/>
    <w:rsid w:val="00B017CC"/>
    <w:rsid w:val="00B0198E"/>
    <w:rsid w:val="00B01E2B"/>
    <w:rsid w:val="00B01FFE"/>
    <w:rsid w:val="00B021FF"/>
    <w:rsid w:val="00B0225A"/>
    <w:rsid w:val="00B02AFB"/>
    <w:rsid w:val="00B02BA7"/>
    <w:rsid w:val="00B02E8D"/>
    <w:rsid w:val="00B03924"/>
    <w:rsid w:val="00B03FA4"/>
    <w:rsid w:val="00B04E7E"/>
    <w:rsid w:val="00B05338"/>
    <w:rsid w:val="00B05AA7"/>
    <w:rsid w:val="00B05B77"/>
    <w:rsid w:val="00B05C2F"/>
    <w:rsid w:val="00B05C9C"/>
    <w:rsid w:val="00B05E40"/>
    <w:rsid w:val="00B05F0B"/>
    <w:rsid w:val="00B06318"/>
    <w:rsid w:val="00B06696"/>
    <w:rsid w:val="00B06B13"/>
    <w:rsid w:val="00B06C0E"/>
    <w:rsid w:val="00B06E45"/>
    <w:rsid w:val="00B06F3A"/>
    <w:rsid w:val="00B070F6"/>
    <w:rsid w:val="00B07215"/>
    <w:rsid w:val="00B07685"/>
    <w:rsid w:val="00B07B8C"/>
    <w:rsid w:val="00B10093"/>
    <w:rsid w:val="00B104C7"/>
    <w:rsid w:val="00B10821"/>
    <w:rsid w:val="00B10A17"/>
    <w:rsid w:val="00B10A35"/>
    <w:rsid w:val="00B10F0D"/>
    <w:rsid w:val="00B10FC3"/>
    <w:rsid w:val="00B1124C"/>
    <w:rsid w:val="00B11295"/>
    <w:rsid w:val="00B116BE"/>
    <w:rsid w:val="00B1238D"/>
    <w:rsid w:val="00B12E71"/>
    <w:rsid w:val="00B12FF6"/>
    <w:rsid w:val="00B13BF4"/>
    <w:rsid w:val="00B145C2"/>
    <w:rsid w:val="00B14811"/>
    <w:rsid w:val="00B148A2"/>
    <w:rsid w:val="00B14F58"/>
    <w:rsid w:val="00B15D37"/>
    <w:rsid w:val="00B15D7A"/>
    <w:rsid w:val="00B15DE0"/>
    <w:rsid w:val="00B1649D"/>
    <w:rsid w:val="00B1699D"/>
    <w:rsid w:val="00B16BF5"/>
    <w:rsid w:val="00B16DED"/>
    <w:rsid w:val="00B16F08"/>
    <w:rsid w:val="00B17404"/>
    <w:rsid w:val="00B201F4"/>
    <w:rsid w:val="00B202E9"/>
    <w:rsid w:val="00B2038F"/>
    <w:rsid w:val="00B203A6"/>
    <w:rsid w:val="00B20408"/>
    <w:rsid w:val="00B2054D"/>
    <w:rsid w:val="00B21A27"/>
    <w:rsid w:val="00B21D53"/>
    <w:rsid w:val="00B22338"/>
    <w:rsid w:val="00B227E7"/>
    <w:rsid w:val="00B22804"/>
    <w:rsid w:val="00B22F32"/>
    <w:rsid w:val="00B2341E"/>
    <w:rsid w:val="00B23A1E"/>
    <w:rsid w:val="00B24863"/>
    <w:rsid w:val="00B248F8"/>
    <w:rsid w:val="00B24A30"/>
    <w:rsid w:val="00B24AEE"/>
    <w:rsid w:val="00B24EDD"/>
    <w:rsid w:val="00B25AE1"/>
    <w:rsid w:val="00B26E69"/>
    <w:rsid w:val="00B27D38"/>
    <w:rsid w:val="00B27F51"/>
    <w:rsid w:val="00B30450"/>
    <w:rsid w:val="00B30553"/>
    <w:rsid w:val="00B30755"/>
    <w:rsid w:val="00B30BC0"/>
    <w:rsid w:val="00B3123D"/>
    <w:rsid w:val="00B3141A"/>
    <w:rsid w:val="00B31514"/>
    <w:rsid w:val="00B31864"/>
    <w:rsid w:val="00B31A53"/>
    <w:rsid w:val="00B31ADD"/>
    <w:rsid w:val="00B31EDA"/>
    <w:rsid w:val="00B31F1D"/>
    <w:rsid w:val="00B323AA"/>
    <w:rsid w:val="00B32DE5"/>
    <w:rsid w:val="00B333C6"/>
    <w:rsid w:val="00B33475"/>
    <w:rsid w:val="00B338C6"/>
    <w:rsid w:val="00B33A5B"/>
    <w:rsid w:val="00B33F8E"/>
    <w:rsid w:val="00B341E0"/>
    <w:rsid w:val="00B34340"/>
    <w:rsid w:val="00B3440D"/>
    <w:rsid w:val="00B34EC1"/>
    <w:rsid w:val="00B35041"/>
    <w:rsid w:val="00B35070"/>
    <w:rsid w:val="00B353BE"/>
    <w:rsid w:val="00B35855"/>
    <w:rsid w:val="00B35980"/>
    <w:rsid w:val="00B36301"/>
    <w:rsid w:val="00B377ED"/>
    <w:rsid w:val="00B37CAB"/>
    <w:rsid w:val="00B4006F"/>
    <w:rsid w:val="00B4050B"/>
    <w:rsid w:val="00B409AD"/>
    <w:rsid w:val="00B41549"/>
    <w:rsid w:val="00B41983"/>
    <w:rsid w:val="00B41A07"/>
    <w:rsid w:val="00B4229E"/>
    <w:rsid w:val="00B4242F"/>
    <w:rsid w:val="00B432AE"/>
    <w:rsid w:val="00B434FD"/>
    <w:rsid w:val="00B435C7"/>
    <w:rsid w:val="00B44377"/>
    <w:rsid w:val="00B4484D"/>
    <w:rsid w:val="00B449E5"/>
    <w:rsid w:val="00B44AB3"/>
    <w:rsid w:val="00B45472"/>
    <w:rsid w:val="00B455F5"/>
    <w:rsid w:val="00B4564F"/>
    <w:rsid w:val="00B45AC7"/>
    <w:rsid w:val="00B45C43"/>
    <w:rsid w:val="00B46132"/>
    <w:rsid w:val="00B4616B"/>
    <w:rsid w:val="00B461D9"/>
    <w:rsid w:val="00B463AD"/>
    <w:rsid w:val="00B46452"/>
    <w:rsid w:val="00B466F9"/>
    <w:rsid w:val="00B468CB"/>
    <w:rsid w:val="00B47013"/>
    <w:rsid w:val="00B4714A"/>
    <w:rsid w:val="00B472C9"/>
    <w:rsid w:val="00B47FD2"/>
    <w:rsid w:val="00B5117B"/>
    <w:rsid w:val="00B512BC"/>
    <w:rsid w:val="00B51487"/>
    <w:rsid w:val="00B518F8"/>
    <w:rsid w:val="00B51B6B"/>
    <w:rsid w:val="00B524B2"/>
    <w:rsid w:val="00B52790"/>
    <w:rsid w:val="00B5288E"/>
    <w:rsid w:val="00B528DE"/>
    <w:rsid w:val="00B52991"/>
    <w:rsid w:val="00B529C1"/>
    <w:rsid w:val="00B52C2E"/>
    <w:rsid w:val="00B52D4E"/>
    <w:rsid w:val="00B5303E"/>
    <w:rsid w:val="00B53DAC"/>
    <w:rsid w:val="00B540DE"/>
    <w:rsid w:val="00B5472F"/>
    <w:rsid w:val="00B54EB5"/>
    <w:rsid w:val="00B54FB7"/>
    <w:rsid w:val="00B552F8"/>
    <w:rsid w:val="00B55366"/>
    <w:rsid w:val="00B55597"/>
    <w:rsid w:val="00B55D09"/>
    <w:rsid w:val="00B55F04"/>
    <w:rsid w:val="00B56A91"/>
    <w:rsid w:val="00B56EB1"/>
    <w:rsid w:val="00B5748A"/>
    <w:rsid w:val="00B6004A"/>
    <w:rsid w:val="00B60408"/>
    <w:rsid w:val="00B6160B"/>
    <w:rsid w:val="00B61770"/>
    <w:rsid w:val="00B63479"/>
    <w:rsid w:val="00B6387B"/>
    <w:rsid w:val="00B63A0A"/>
    <w:rsid w:val="00B63E91"/>
    <w:rsid w:val="00B64133"/>
    <w:rsid w:val="00B6499E"/>
    <w:rsid w:val="00B64C44"/>
    <w:rsid w:val="00B64E79"/>
    <w:rsid w:val="00B64EFE"/>
    <w:rsid w:val="00B6568D"/>
    <w:rsid w:val="00B65902"/>
    <w:rsid w:val="00B65921"/>
    <w:rsid w:val="00B659D8"/>
    <w:rsid w:val="00B6676A"/>
    <w:rsid w:val="00B66A83"/>
    <w:rsid w:val="00B66A99"/>
    <w:rsid w:val="00B66BED"/>
    <w:rsid w:val="00B67C27"/>
    <w:rsid w:val="00B67DB6"/>
    <w:rsid w:val="00B700EF"/>
    <w:rsid w:val="00B70382"/>
    <w:rsid w:val="00B70AEE"/>
    <w:rsid w:val="00B716F0"/>
    <w:rsid w:val="00B71B5B"/>
    <w:rsid w:val="00B71DF7"/>
    <w:rsid w:val="00B72376"/>
    <w:rsid w:val="00B7256C"/>
    <w:rsid w:val="00B72577"/>
    <w:rsid w:val="00B727EF"/>
    <w:rsid w:val="00B728B2"/>
    <w:rsid w:val="00B72AC1"/>
    <w:rsid w:val="00B736B8"/>
    <w:rsid w:val="00B73734"/>
    <w:rsid w:val="00B73910"/>
    <w:rsid w:val="00B73AA8"/>
    <w:rsid w:val="00B73F0E"/>
    <w:rsid w:val="00B74654"/>
    <w:rsid w:val="00B74D9E"/>
    <w:rsid w:val="00B753A4"/>
    <w:rsid w:val="00B75973"/>
    <w:rsid w:val="00B75BE3"/>
    <w:rsid w:val="00B75F82"/>
    <w:rsid w:val="00B762D3"/>
    <w:rsid w:val="00B76527"/>
    <w:rsid w:val="00B765F0"/>
    <w:rsid w:val="00B76C00"/>
    <w:rsid w:val="00B7708A"/>
    <w:rsid w:val="00B77291"/>
    <w:rsid w:val="00B77D8F"/>
    <w:rsid w:val="00B80544"/>
    <w:rsid w:val="00B808F5"/>
    <w:rsid w:val="00B809D9"/>
    <w:rsid w:val="00B80B2D"/>
    <w:rsid w:val="00B81010"/>
    <w:rsid w:val="00B81197"/>
    <w:rsid w:val="00B81229"/>
    <w:rsid w:val="00B81423"/>
    <w:rsid w:val="00B8165B"/>
    <w:rsid w:val="00B81832"/>
    <w:rsid w:val="00B81A82"/>
    <w:rsid w:val="00B81F39"/>
    <w:rsid w:val="00B82859"/>
    <w:rsid w:val="00B82C02"/>
    <w:rsid w:val="00B83584"/>
    <w:rsid w:val="00B83DF6"/>
    <w:rsid w:val="00B83FC3"/>
    <w:rsid w:val="00B84500"/>
    <w:rsid w:val="00B8453D"/>
    <w:rsid w:val="00B845C7"/>
    <w:rsid w:val="00B846B8"/>
    <w:rsid w:val="00B850DF"/>
    <w:rsid w:val="00B85484"/>
    <w:rsid w:val="00B856BB"/>
    <w:rsid w:val="00B85896"/>
    <w:rsid w:val="00B858E8"/>
    <w:rsid w:val="00B85A18"/>
    <w:rsid w:val="00B85BA3"/>
    <w:rsid w:val="00B85D63"/>
    <w:rsid w:val="00B8623B"/>
    <w:rsid w:val="00B863A4"/>
    <w:rsid w:val="00B86520"/>
    <w:rsid w:val="00B8709D"/>
    <w:rsid w:val="00B87342"/>
    <w:rsid w:val="00B87D93"/>
    <w:rsid w:val="00B87DB2"/>
    <w:rsid w:val="00B901A6"/>
    <w:rsid w:val="00B920E8"/>
    <w:rsid w:val="00B9265D"/>
    <w:rsid w:val="00B931CA"/>
    <w:rsid w:val="00B932F7"/>
    <w:rsid w:val="00B9380F"/>
    <w:rsid w:val="00B93935"/>
    <w:rsid w:val="00B94594"/>
    <w:rsid w:val="00B94ECA"/>
    <w:rsid w:val="00B951F8"/>
    <w:rsid w:val="00B954A7"/>
    <w:rsid w:val="00B9595E"/>
    <w:rsid w:val="00B96694"/>
    <w:rsid w:val="00B969E1"/>
    <w:rsid w:val="00B96E02"/>
    <w:rsid w:val="00B96E56"/>
    <w:rsid w:val="00B96F96"/>
    <w:rsid w:val="00B96FCD"/>
    <w:rsid w:val="00B97014"/>
    <w:rsid w:val="00B97062"/>
    <w:rsid w:val="00B978FC"/>
    <w:rsid w:val="00B97CE3"/>
    <w:rsid w:val="00B97E6F"/>
    <w:rsid w:val="00BA0444"/>
    <w:rsid w:val="00BA0C1B"/>
    <w:rsid w:val="00BA0D4E"/>
    <w:rsid w:val="00BA17DE"/>
    <w:rsid w:val="00BA1CB1"/>
    <w:rsid w:val="00BA1FF3"/>
    <w:rsid w:val="00BA2599"/>
    <w:rsid w:val="00BA2ECF"/>
    <w:rsid w:val="00BA3AF7"/>
    <w:rsid w:val="00BA40FD"/>
    <w:rsid w:val="00BA411E"/>
    <w:rsid w:val="00BA43D8"/>
    <w:rsid w:val="00BA4553"/>
    <w:rsid w:val="00BA4923"/>
    <w:rsid w:val="00BA4B6A"/>
    <w:rsid w:val="00BA52D9"/>
    <w:rsid w:val="00BA535E"/>
    <w:rsid w:val="00BA5C5E"/>
    <w:rsid w:val="00BA5D6C"/>
    <w:rsid w:val="00BA629B"/>
    <w:rsid w:val="00BA63C6"/>
    <w:rsid w:val="00BA6A7F"/>
    <w:rsid w:val="00BA6EAD"/>
    <w:rsid w:val="00BA7270"/>
    <w:rsid w:val="00BA74F9"/>
    <w:rsid w:val="00BA7CDB"/>
    <w:rsid w:val="00BB074F"/>
    <w:rsid w:val="00BB0B2A"/>
    <w:rsid w:val="00BB0B36"/>
    <w:rsid w:val="00BB0E77"/>
    <w:rsid w:val="00BB10A7"/>
    <w:rsid w:val="00BB10EA"/>
    <w:rsid w:val="00BB1101"/>
    <w:rsid w:val="00BB1640"/>
    <w:rsid w:val="00BB1D81"/>
    <w:rsid w:val="00BB21E9"/>
    <w:rsid w:val="00BB27FF"/>
    <w:rsid w:val="00BB2A29"/>
    <w:rsid w:val="00BB2B98"/>
    <w:rsid w:val="00BB2F71"/>
    <w:rsid w:val="00BB38D0"/>
    <w:rsid w:val="00BB3E2A"/>
    <w:rsid w:val="00BB3F28"/>
    <w:rsid w:val="00BB422E"/>
    <w:rsid w:val="00BB4704"/>
    <w:rsid w:val="00BB4A28"/>
    <w:rsid w:val="00BB4DC3"/>
    <w:rsid w:val="00BB5C0E"/>
    <w:rsid w:val="00BB5FEB"/>
    <w:rsid w:val="00BB653A"/>
    <w:rsid w:val="00BB671E"/>
    <w:rsid w:val="00BB6D2A"/>
    <w:rsid w:val="00BB6DE4"/>
    <w:rsid w:val="00BB6E1A"/>
    <w:rsid w:val="00BB7615"/>
    <w:rsid w:val="00BB79D0"/>
    <w:rsid w:val="00BB7BB7"/>
    <w:rsid w:val="00BC0ED2"/>
    <w:rsid w:val="00BC1540"/>
    <w:rsid w:val="00BC17C5"/>
    <w:rsid w:val="00BC1BE1"/>
    <w:rsid w:val="00BC1F1C"/>
    <w:rsid w:val="00BC211B"/>
    <w:rsid w:val="00BC26E0"/>
    <w:rsid w:val="00BC283C"/>
    <w:rsid w:val="00BC2AE8"/>
    <w:rsid w:val="00BC4362"/>
    <w:rsid w:val="00BC4543"/>
    <w:rsid w:val="00BC4837"/>
    <w:rsid w:val="00BC48BC"/>
    <w:rsid w:val="00BC4DD1"/>
    <w:rsid w:val="00BC5079"/>
    <w:rsid w:val="00BC51D3"/>
    <w:rsid w:val="00BC5350"/>
    <w:rsid w:val="00BC5A0A"/>
    <w:rsid w:val="00BC5CF1"/>
    <w:rsid w:val="00BC5E54"/>
    <w:rsid w:val="00BC5F19"/>
    <w:rsid w:val="00BC6107"/>
    <w:rsid w:val="00BC6308"/>
    <w:rsid w:val="00BC64D0"/>
    <w:rsid w:val="00BC6A1B"/>
    <w:rsid w:val="00BC6CE0"/>
    <w:rsid w:val="00BC7686"/>
    <w:rsid w:val="00BC777F"/>
    <w:rsid w:val="00BC77EE"/>
    <w:rsid w:val="00BC7934"/>
    <w:rsid w:val="00BD02B6"/>
    <w:rsid w:val="00BD085B"/>
    <w:rsid w:val="00BD0C76"/>
    <w:rsid w:val="00BD18C2"/>
    <w:rsid w:val="00BD2421"/>
    <w:rsid w:val="00BD2CAD"/>
    <w:rsid w:val="00BD2D13"/>
    <w:rsid w:val="00BD2E50"/>
    <w:rsid w:val="00BD3094"/>
    <w:rsid w:val="00BD3634"/>
    <w:rsid w:val="00BD38F6"/>
    <w:rsid w:val="00BD39BF"/>
    <w:rsid w:val="00BD3DF0"/>
    <w:rsid w:val="00BD3F39"/>
    <w:rsid w:val="00BD488E"/>
    <w:rsid w:val="00BD50C4"/>
    <w:rsid w:val="00BD5470"/>
    <w:rsid w:val="00BD5690"/>
    <w:rsid w:val="00BD588C"/>
    <w:rsid w:val="00BD5B43"/>
    <w:rsid w:val="00BD5E1C"/>
    <w:rsid w:val="00BD5FA9"/>
    <w:rsid w:val="00BD6055"/>
    <w:rsid w:val="00BD6670"/>
    <w:rsid w:val="00BD6761"/>
    <w:rsid w:val="00BD722B"/>
    <w:rsid w:val="00BD72B4"/>
    <w:rsid w:val="00BD776B"/>
    <w:rsid w:val="00BD795E"/>
    <w:rsid w:val="00BD7B33"/>
    <w:rsid w:val="00BD7ED1"/>
    <w:rsid w:val="00BD7F12"/>
    <w:rsid w:val="00BE04C5"/>
    <w:rsid w:val="00BE0A47"/>
    <w:rsid w:val="00BE138D"/>
    <w:rsid w:val="00BE158B"/>
    <w:rsid w:val="00BE2084"/>
    <w:rsid w:val="00BE228D"/>
    <w:rsid w:val="00BE26FF"/>
    <w:rsid w:val="00BE27A9"/>
    <w:rsid w:val="00BE35F7"/>
    <w:rsid w:val="00BE39F2"/>
    <w:rsid w:val="00BE3D8A"/>
    <w:rsid w:val="00BE3FC6"/>
    <w:rsid w:val="00BE40D2"/>
    <w:rsid w:val="00BE443F"/>
    <w:rsid w:val="00BE4473"/>
    <w:rsid w:val="00BE45D0"/>
    <w:rsid w:val="00BE4951"/>
    <w:rsid w:val="00BE4D52"/>
    <w:rsid w:val="00BE4F0A"/>
    <w:rsid w:val="00BE51D3"/>
    <w:rsid w:val="00BE5577"/>
    <w:rsid w:val="00BE5A6E"/>
    <w:rsid w:val="00BE5F0A"/>
    <w:rsid w:val="00BE6337"/>
    <w:rsid w:val="00BE6941"/>
    <w:rsid w:val="00BE716C"/>
    <w:rsid w:val="00BE7229"/>
    <w:rsid w:val="00BE7436"/>
    <w:rsid w:val="00BF08BF"/>
    <w:rsid w:val="00BF0BC9"/>
    <w:rsid w:val="00BF14BE"/>
    <w:rsid w:val="00BF17E7"/>
    <w:rsid w:val="00BF18B8"/>
    <w:rsid w:val="00BF1DF2"/>
    <w:rsid w:val="00BF1F35"/>
    <w:rsid w:val="00BF20B1"/>
    <w:rsid w:val="00BF2618"/>
    <w:rsid w:val="00BF28B7"/>
    <w:rsid w:val="00BF2BAA"/>
    <w:rsid w:val="00BF2C61"/>
    <w:rsid w:val="00BF2E58"/>
    <w:rsid w:val="00BF3586"/>
    <w:rsid w:val="00BF3C66"/>
    <w:rsid w:val="00BF4473"/>
    <w:rsid w:val="00BF4635"/>
    <w:rsid w:val="00BF4BB0"/>
    <w:rsid w:val="00BF4E35"/>
    <w:rsid w:val="00BF572B"/>
    <w:rsid w:val="00BF5B02"/>
    <w:rsid w:val="00BF6132"/>
    <w:rsid w:val="00BF6612"/>
    <w:rsid w:val="00BF6643"/>
    <w:rsid w:val="00BF6887"/>
    <w:rsid w:val="00BF68C2"/>
    <w:rsid w:val="00BF7268"/>
    <w:rsid w:val="00BF7522"/>
    <w:rsid w:val="00C0054C"/>
    <w:rsid w:val="00C00B2F"/>
    <w:rsid w:val="00C00BD8"/>
    <w:rsid w:val="00C00C50"/>
    <w:rsid w:val="00C01743"/>
    <w:rsid w:val="00C01828"/>
    <w:rsid w:val="00C0190E"/>
    <w:rsid w:val="00C01E09"/>
    <w:rsid w:val="00C02E03"/>
    <w:rsid w:val="00C02F32"/>
    <w:rsid w:val="00C03112"/>
    <w:rsid w:val="00C0413A"/>
    <w:rsid w:val="00C04B19"/>
    <w:rsid w:val="00C04C05"/>
    <w:rsid w:val="00C05243"/>
    <w:rsid w:val="00C05903"/>
    <w:rsid w:val="00C061BD"/>
    <w:rsid w:val="00C065B6"/>
    <w:rsid w:val="00C06ABD"/>
    <w:rsid w:val="00C06E92"/>
    <w:rsid w:val="00C06E95"/>
    <w:rsid w:val="00C07708"/>
    <w:rsid w:val="00C07EA6"/>
    <w:rsid w:val="00C07EAF"/>
    <w:rsid w:val="00C105DE"/>
    <w:rsid w:val="00C10680"/>
    <w:rsid w:val="00C108B1"/>
    <w:rsid w:val="00C1091D"/>
    <w:rsid w:val="00C10AA8"/>
    <w:rsid w:val="00C112BF"/>
    <w:rsid w:val="00C11C94"/>
    <w:rsid w:val="00C11D10"/>
    <w:rsid w:val="00C11DDC"/>
    <w:rsid w:val="00C121A0"/>
    <w:rsid w:val="00C121E3"/>
    <w:rsid w:val="00C13826"/>
    <w:rsid w:val="00C13A5D"/>
    <w:rsid w:val="00C13AD5"/>
    <w:rsid w:val="00C13C77"/>
    <w:rsid w:val="00C1443D"/>
    <w:rsid w:val="00C1443F"/>
    <w:rsid w:val="00C1449C"/>
    <w:rsid w:val="00C14A10"/>
    <w:rsid w:val="00C14FF6"/>
    <w:rsid w:val="00C15529"/>
    <w:rsid w:val="00C15989"/>
    <w:rsid w:val="00C159E7"/>
    <w:rsid w:val="00C15FAC"/>
    <w:rsid w:val="00C1604C"/>
    <w:rsid w:val="00C161BE"/>
    <w:rsid w:val="00C1626B"/>
    <w:rsid w:val="00C16C73"/>
    <w:rsid w:val="00C16EEE"/>
    <w:rsid w:val="00C1731F"/>
    <w:rsid w:val="00C17900"/>
    <w:rsid w:val="00C17981"/>
    <w:rsid w:val="00C17C2C"/>
    <w:rsid w:val="00C17C8C"/>
    <w:rsid w:val="00C17D4F"/>
    <w:rsid w:val="00C17F8D"/>
    <w:rsid w:val="00C2038F"/>
    <w:rsid w:val="00C208E4"/>
    <w:rsid w:val="00C2138F"/>
    <w:rsid w:val="00C216A4"/>
    <w:rsid w:val="00C22044"/>
    <w:rsid w:val="00C220C5"/>
    <w:rsid w:val="00C22567"/>
    <w:rsid w:val="00C22C04"/>
    <w:rsid w:val="00C23006"/>
    <w:rsid w:val="00C234BC"/>
    <w:rsid w:val="00C23BD4"/>
    <w:rsid w:val="00C23E2A"/>
    <w:rsid w:val="00C23E98"/>
    <w:rsid w:val="00C242CB"/>
    <w:rsid w:val="00C2455B"/>
    <w:rsid w:val="00C2455D"/>
    <w:rsid w:val="00C24F87"/>
    <w:rsid w:val="00C2501D"/>
    <w:rsid w:val="00C25038"/>
    <w:rsid w:val="00C25F7E"/>
    <w:rsid w:val="00C260AD"/>
    <w:rsid w:val="00C26141"/>
    <w:rsid w:val="00C26399"/>
    <w:rsid w:val="00C264C4"/>
    <w:rsid w:val="00C26856"/>
    <w:rsid w:val="00C26BEA"/>
    <w:rsid w:val="00C272C2"/>
    <w:rsid w:val="00C27464"/>
    <w:rsid w:val="00C2781E"/>
    <w:rsid w:val="00C278E4"/>
    <w:rsid w:val="00C27A0C"/>
    <w:rsid w:val="00C27BEB"/>
    <w:rsid w:val="00C27EE7"/>
    <w:rsid w:val="00C300C9"/>
    <w:rsid w:val="00C301C3"/>
    <w:rsid w:val="00C308AD"/>
    <w:rsid w:val="00C312C6"/>
    <w:rsid w:val="00C314CB"/>
    <w:rsid w:val="00C31B16"/>
    <w:rsid w:val="00C31CCA"/>
    <w:rsid w:val="00C31FC3"/>
    <w:rsid w:val="00C324C1"/>
    <w:rsid w:val="00C326B9"/>
    <w:rsid w:val="00C32F25"/>
    <w:rsid w:val="00C33AA9"/>
    <w:rsid w:val="00C34030"/>
    <w:rsid w:val="00C3511E"/>
    <w:rsid w:val="00C3524C"/>
    <w:rsid w:val="00C35447"/>
    <w:rsid w:val="00C3589D"/>
    <w:rsid w:val="00C366C6"/>
    <w:rsid w:val="00C36983"/>
    <w:rsid w:val="00C36B23"/>
    <w:rsid w:val="00C36B88"/>
    <w:rsid w:val="00C36F7A"/>
    <w:rsid w:val="00C375EF"/>
    <w:rsid w:val="00C37C6E"/>
    <w:rsid w:val="00C37C9E"/>
    <w:rsid w:val="00C37EE9"/>
    <w:rsid w:val="00C40A07"/>
    <w:rsid w:val="00C4113A"/>
    <w:rsid w:val="00C41A7A"/>
    <w:rsid w:val="00C41AA3"/>
    <w:rsid w:val="00C41E22"/>
    <w:rsid w:val="00C42147"/>
    <w:rsid w:val="00C42252"/>
    <w:rsid w:val="00C42421"/>
    <w:rsid w:val="00C43A9C"/>
    <w:rsid w:val="00C43AEF"/>
    <w:rsid w:val="00C43B0E"/>
    <w:rsid w:val="00C43EEE"/>
    <w:rsid w:val="00C44421"/>
    <w:rsid w:val="00C44BF5"/>
    <w:rsid w:val="00C44F73"/>
    <w:rsid w:val="00C44FC4"/>
    <w:rsid w:val="00C45196"/>
    <w:rsid w:val="00C45692"/>
    <w:rsid w:val="00C45E26"/>
    <w:rsid w:val="00C462C5"/>
    <w:rsid w:val="00C46372"/>
    <w:rsid w:val="00C46416"/>
    <w:rsid w:val="00C470E2"/>
    <w:rsid w:val="00C5044C"/>
    <w:rsid w:val="00C508E2"/>
    <w:rsid w:val="00C50AE2"/>
    <w:rsid w:val="00C50DE2"/>
    <w:rsid w:val="00C50F82"/>
    <w:rsid w:val="00C517EC"/>
    <w:rsid w:val="00C51C7D"/>
    <w:rsid w:val="00C52681"/>
    <w:rsid w:val="00C532BA"/>
    <w:rsid w:val="00C536C4"/>
    <w:rsid w:val="00C5394B"/>
    <w:rsid w:val="00C53DAD"/>
    <w:rsid w:val="00C53E79"/>
    <w:rsid w:val="00C53E8A"/>
    <w:rsid w:val="00C543E9"/>
    <w:rsid w:val="00C5441A"/>
    <w:rsid w:val="00C54A49"/>
    <w:rsid w:val="00C5503E"/>
    <w:rsid w:val="00C55606"/>
    <w:rsid w:val="00C557B9"/>
    <w:rsid w:val="00C55D70"/>
    <w:rsid w:val="00C56129"/>
    <w:rsid w:val="00C561A6"/>
    <w:rsid w:val="00C565B1"/>
    <w:rsid w:val="00C56E37"/>
    <w:rsid w:val="00C5736D"/>
    <w:rsid w:val="00C575E1"/>
    <w:rsid w:val="00C577DC"/>
    <w:rsid w:val="00C57F44"/>
    <w:rsid w:val="00C603B6"/>
    <w:rsid w:val="00C6072F"/>
    <w:rsid w:val="00C61922"/>
    <w:rsid w:val="00C62273"/>
    <w:rsid w:val="00C6265C"/>
    <w:rsid w:val="00C627AB"/>
    <w:rsid w:val="00C62EFC"/>
    <w:rsid w:val="00C63114"/>
    <w:rsid w:val="00C63597"/>
    <w:rsid w:val="00C638C3"/>
    <w:rsid w:val="00C64E48"/>
    <w:rsid w:val="00C65001"/>
    <w:rsid w:val="00C651B1"/>
    <w:rsid w:val="00C65817"/>
    <w:rsid w:val="00C6591C"/>
    <w:rsid w:val="00C65AAB"/>
    <w:rsid w:val="00C65DEC"/>
    <w:rsid w:val="00C660FF"/>
    <w:rsid w:val="00C66185"/>
    <w:rsid w:val="00C6632B"/>
    <w:rsid w:val="00C668F4"/>
    <w:rsid w:val="00C6736F"/>
    <w:rsid w:val="00C6740B"/>
    <w:rsid w:val="00C701E8"/>
    <w:rsid w:val="00C70E32"/>
    <w:rsid w:val="00C70FC6"/>
    <w:rsid w:val="00C714D8"/>
    <w:rsid w:val="00C71569"/>
    <w:rsid w:val="00C7177B"/>
    <w:rsid w:val="00C71F74"/>
    <w:rsid w:val="00C72360"/>
    <w:rsid w:val="00C729FD"/>
    <w:rsid w:val="00C72B2A"/>
    <w:rsid w:val="00C73313"/>
    <w:rsid w:val="00C73379"/>
    <w:rsid w:val="00C7358C"/>
    <w:rsid w:val="00C7398F"/>
    <w:rsid w:val="00C73B19"/>
    <w:rsid w:val="00C73C95"/>
    <w:rsid w:val="00C740C9"/>
    <w:rsid w:val="00C74210"/>
    <w:rsid w:val="00C74938"/>
    <w:rsid w:val="00C74E37"/>
    <w:rsid w:val="00C75306"/>
    <w:rsid w:val="00C759FA"/>
    <w:rsid w:val="00C75AC3"/>
    <w:rsid w:val="00C76012"/>
    <w:rsid w:val="00C7672C"/>
    <w:rsid w:val="00C77303"/>
    <w:rsid w:val="00C77494"/>
    <w:rsid w:val="00C7749D"/>
    <w:rsid w:val="00C7752D"/>
    <w:rsid w:val="00C77845"/>
    <w:rsid w:val="00C778CD"/>
    <w:rsid w:val="00C77BBF"/>
    <w:rsid w:val="00C77CD0"/>
    <w:rsid w:val="00C80146"/>
    <w:rsid w:val="00C81315"/>
    <w:rsid w:val="00C82AEB"/>
    <w:rsid w:val="00C831DC"/>
    <w:rsid w:val="00C837A2"/>
    <w:rsid w:val="00C838B6"/>
    <w:rsid w:val="00C83B69"/>
    <w:rsid w:val="00C83C98"/>
    <w:rsid w:val="00C84169"/>
    <w:rsid w:val="00C84637"/>
    <w:rsid w:val="00C84732"/>
    <w:rsid w:val="00C8474E"/>
    <w:rsid w:val="00C848E7"/>
    <w:rsid w:val="00C850CD"/>
    <w:rsid w:val="00C852CC"/>
    <w:rsid w:val="00C8625E"/>
    <w:rsid w:val="00C8639C"/>
    <w:rsid w:val="00C86480"/>
    <w:rsid w:val="00C86608"/>
    <w:rsid w:val="00C8687E"/>
    <w:rsid w:val="00C86B1B"/>
    <w:rsid w:val="00C86C3D"/>
    <w:rsid w:val="00C8759E"/>
    <w:rsid w:val="00C8787C"/>
    <w:rsid w:val="00C87A02"/>
    <w:rsid w:val="00C87C84"/>
    <w:rsid w:val="00C87E62"/>
    <w:rsid w:val="00C90685"/>
    <w:rsid w:val="00C908F1"/>
    <w:rsid w:val="00C90D3A"/>
    <w:rsid w:val="00C9113F"/>
    <w:rsid w:val="00C913FB"/>
    <w:rsid w:val="00C917BB"/>
    <w:rsid w:val="00C91975"/>
    <w:rsid w:val="00C91BE3"/>
    <w:rsid w:val="00C9216E"/>
    <w:rsid w:val="00C921FD"/>
    <w:rsid w:val="00C92649"/>
    <w:rsid w:val="00C926D2"/>
    <w:rsid w:val="00C92D30"/>
    <w:rsid w:val="00C93855"/>
    <w:rsid w:val="00C93E4B"/>
    <w:rsid w:val="00C941B7"/>
    <w:rsid w:val="00C94499"/>
    <w:rsid w:val="00C947C0"/>
    <w:rsid w:val="00C94805"/>
    <w:rsid w:val="00C94A02"/>
    <w:rsid w:val="00C94D59"/>
    <w:rsid w:val="00C95A07"/>
    <w:rsid w:val="00C95D7E"/>
    <w:rsid w:val="00C95EF7"/>
    <w:rsid w:val="00C961F7"/>
    <w:rsid w:val="00C9663F"/>
    <w:rsid w:val="00C96D99"/>
    <w:rsid w:val="00C96EFA"/>
    <w:rsid w:val="00C97045"/>
    <w:rsid w:val="00C97277"/>
    <w:rsid w:val="00CA089E"/>
    <w:rsid w:val="00CA0C36"/>
    <w:rsid w:val="00CA0F10"/>
    <w:rsid w:val="00CA1B88"/>
    <w:rsid w:val="00CA1E13"/>
    <w:rsid w:val="00CA1E46"/>
    <w:rsid w:val="00CA2307"/>
    <w:rsid w:val="00CA2507"/>
    <w:rsid w:val="00CA26AA"/>
    <w:rsid w:val="00CA27EB"/>
    <w:rsid w:val="00CA2B69"/>
    <w:rsid w:val="00CA350A"/>
    <w:rsid w:val="00CA3B65"/>
    <w:rsid w:val="00CA3BEA"/>
    <w:rsid w:val="00CA3E14"/>
    <w:rsid w:val="00CA3E87"/>
    <w:rsid w:val="00CA3FBB"/>
    <w:rsid w:val="00CA43AB"/>
    <w:rsid w:val="00CA4724"/>
    <w:rsid w:val="00CA4758"/>
    <w:rsid w:val="00CA4779"/>
    <w:rsid w:val="00CA4E72"/>
    <w:rsid w:val="00CA54C1"/>
    <w:rsid w:val="00CA5B52"/>
    <w:rsid w:val="00CA5BD1"/>
    <w:rsid w:val="00CA5E27"/>
    <w:rsid w:val="00CA618E"/>
    <w:rsid w:val="00CA624E"/>
    <w:rsid w:val="00CA62B4"/>
    <w:rsid w:val="00CA6404"/>
    <w:rsid w:val="00CA6456"/>
    <w:rsid w:val="00CA67E2"/>
    <w:rsid w:val="00CA6F2C"/>
    <w:rsid w:val="00CA707B"/>
    <w:rsid w:val="00CA73E6"/>
    <w:rsid w:val="00CA7872"/>
    <w:rsid w:val="00CA79D7"/>
    <w:rsid w:val="00CA7CB2"/>
    <w:rsid w:val="00CA7D3D"/>
    <w:rsid w:val="00CA7EFB"/>
    <w:rsid w:val="00CB054C"/>
    <w:rsid w:val="00CB057F"/>
    <w:rsid w:val="00CB0C0F"/>
    <w:rsid w:val="00CB0C68"/>
    <w:rsid w:val="00CB16B7"/>
    <w:rsid w:val="00CB17BA"/>
    <w:rsid w:val="00CB1AA1"/>
    <w:rsid w:val="00CB1CA4"/>
    <w:rsid w:val="00CB24D7"/>
    <w:rsid w:val="00CB25DB"/>
    <w:rsid w:val="00CB29CF"/>
    <w:rsid w:val="00CB2B82"/>
    <w:rsid w:val="00CB37E0"/>
    <w:rsid w:val="00CB4562"/>
    <w:rsid w:val="00CB4C09"/>
    <w:rsid w:val="00CB4D24"/>
    <w:rsid w:val="00CB5005"/>
    <w:rsid w:val="00CB5D31"/>
    <w:rsid w:val="00CB5F33"/>
    <w:rsid w:val="00CB659A"/>
    <w:rsid w:val="00CB6D1A"/>
    <w:rsid w:val="00CC003F"/>
    <w:rsid w:val="00CC0D0E"/>
    <w:rsid w:val="00CC13DB"/>
    <w:rsid w:val="00CC2263"/>
    <w:rsid w:val="00CC2272"/>
    <w:rsid w:val="00CC23DF"/>
    <w:rsid w:val="00CC23EE"/>
    <w:rsid w:val="00CC3AA9"/>
    <w:rsid w:val="00CC490A"/>
    <w:rsid w:val="00CC49BB"/>
    <w:rsid w:val="00CC51FF"/>
    <w:rsid w:val="00CC54CA"/>
    <w:rsid w:val="00CC5776"/>
    <w:rsid w:val="00CC5BAD"/>
    <w:rsid w:val="00CC6026"/>
    <w:rsid w:val="00CC6B13"/>
    <w:rsid w:val="00CC6BEE"/>
    <w:rsid w:val="00CC7AE5"/>
    <w:rsid w:val="00CD04B1"/>
    <w:rsid w:val="00CD07C5"/>
    <w:rsid w:val="00CD0822"/>
    <w:rsid w:val="00CD0A0D"/>
    <w:rsid w:val="00CD0F2F"/>
    <w:rsid w:val="00CD1823"/>
    <w:rsid w:val="00CD1CF4"/>
    <w:rsid w:val="00CD1D63"/>
    <w:rsid w:val="00CD1F77"/>
    <w:rsid w:val="00CD26F2"/>
    <w:rsid w:val="00CD2A32"/>
    <w:rsid w:val="00CD2D30"/>
    <w:rsid w:val="00CD3525"/>
    <w:rsid w:val="00CD3703"/>
    <w:rsid w:val="00CD3883"/>
    <w:rsid w:val="00CD40CD"/>
    <w:rsid w:val="00CD4629"/>
    <w:rsid w:val="00CD4A34"/>
    <w:rsid w:val="00CD4B01"/>
    <w:rsid w:val="00CD53C1"/>
    <w:rsid w:val="00CD6064"/>
    <w:rsid w:val="00CD6505"/>
    <w:rsid w:val="00CD6B2B"/>
    <w:rsid w:val="00CD6E9D"/>
    <w:rsid w:val="00CE02FC"/>
    <w:rsid w:val="00CE03A6"/>
    <w:rsid w:val="00CE03C8"/>
    <w:rsid w:val="00CE0868"/>
    <w:rsid w:val="00CE0BDB"/>
    <w:rsid w:val="00CE1298"/>
    <w:rsid w:val="00CE1633"/>
    <w:rsid w:val="00CE176F"/>
    <w:rsid w:val="00CE1DF3"/>
    <w:rsid w:val="00CE270B"/>
    <w:rsid w:val="00CE39D9"/>
    <w:rsid w:val="00CE636C"/>
    <w:rsid w:val="00CE64AB"/>
    <w:rsid w:val="00CE6855"/>
    <w:rsid w:val="00CE6EE6"/>
    <w:rsid w:val="00CE750D"/>
    <w:rsid w:val="00CE757C"/>
    <w:rsid w:val="00CE7603"/>
    <w:rsid w:val="00CE783E"/>
    <w:rsid w:val="00CE796E"/>
    <w:rsid w:val="00CE79FD"/>
    <w:rsid w:val="00CE7E16"/>
    <w:rsid w:val="00CF0909"/>
    <w:rsid w:val="00CF0B0D"/>
    <w:rsid w:val="00CF0BE6"/>
    <w:rsid w:val="00CF13BE"/>
    <w:rsid w:val="00CF1482"/>
    <w:rsid w:val="00CF185D"/>
    <w:rsid w:val="00CF1E91"/>
    <w:rsid w:val="00CF2459"/>
    <w:rsid w:val="00CF2846"/>
    <w:rsid w:val="00CF2897"/>
    <w:rsid w:val="00CF2D17"/>
    <w:rsid w:val="00CF33BA"/>
    <w:rsid w:val="00CF35C0"/>
    <w:rsid w:val="00CF364D"/>
    <w:rsid w:val="00CF479A"/>
    <w:rsid w:val="00CF5223"/>
    <w:rsid w:val="00CF55F0"/>
    <w:rsid w:val="00CF590C"/>
    <w:rsid w:val="00CF593A"/>
    <w:rsid w:val="00CF5D58"/>
    <w:rsid w:val="00CF6650"/>
    <w:rsid w:val="00CF6839"/>
    <w:rsid w:val="00CF7ED5"/>
    <w:rsid w:val="00CF7F1D"/>
    <w:rsid w:val="00D009FD"/>
    <w:rsid w:val="00D00CFC"/>
    <w:rsid w:val="00D00FF9"/>
    <w:rsid w:val="00D019C3"/>
    <w:rsid w:val="00D01B10"/>
    <w:rsid w:val="00D02103"/>
    <w:rsid w:val="00D0243C"/>
    <w:rsid w:val="00D02F11"/>
    <w:rsid w:val="00D031C8"/>
    <w:rsid w:val="00D041DB"/>
    <w:rsid w:val="00D0457A"/>
    <w:rsid w:val="00D04C06"/>
    <w:rsid w:val="00D04D56"/>
    <w:rsid w:val="00D04D8C"/>
    <w:rsid w:val="00D04FC2"/>
    <w:rsid w:val="00D0520B"/>
    <w:rsid w:val="00D0522D"/>
    <w:rsid w:val="00D0523D"/>
    <w:rsid w:val="00D0534C"/>
    <w:rsid w:val="00D05842"/>
    <w:rsid w:val="00D0642F"/>
    <w:rsid w:val="00D068EC"/>
    <w:rsid w:val="00D06C11"/>
    <w:rsid w:val="00D07DD3"/>
    <w:rsid w:val="00D1019A"/>
    <w:rsid w:val="00D102A4"/>
    <w:rsid w:val="00D102E6"/>
    <w:rsid w:val="00D105D9"/>
    <w:rsid w:val="00D1067C"/>
    <w:rsid w:val="00D10E08"/>
    <w:rsid w:val="00D1120B"/>
    <w:rsid w:val="00D112D2"/>
    <w:rsid w:val="00D1133B"/>
    <w:rsid w:val="00D11C48"/>
    <w:rsid w:val="00D1232A"/>
    <w:rsid w:val="00D12374"/>
    <w:rsid w:val="00D12698"/>
    <w:rsid w:val="00D126F6"/>
    <w:rsid w:val="00D12F5D"/>
    <w:rsid w:val="00D13730"/>
    <w:rsid w:val="00D1398A"/>
    <w:rsid w:val="00D13D72"/>
    <w:rsid w:val="00D1455E"/>
    <w:rsid w:val="00D147A1"/>
    <w:rsid w:val="00D15E45"/>
    <w:rsid w:val="00D16318"/>
    <w:rsid w:val="00D16684"/>
    <w:rsid w:val="00D16DDE"/>
    <w:rsid w:val="00D174BD"/>
    <w:rsid w:val="00D175BD"/>
    <w:rsid w:val="00D2003F"/>
    <w:rsid w:val="00D208D5"/>
    <w:rsid w:val="00D20945"/>
    <w:rsid w:val="00D20A26"/>
    <w:rsid w:val="00D21072"/>
    <w:rsid w:val="00D2185C"/>
    <w:rsid w:val="00D22085"/>
    <w:rsid w:val="00D22178"/>
    <w:rsid w:val="00D22374"/>
    <w:rsid w:val="00D22453"/>
    <w:rsid w:val="00D23369"/>
    <w:rsid w:val="00D23908"/>
    <w:rsid w:val="00D23C06"/>
    <w:rsid w:val="00D24198"/>
    <w:rsid w:val="00D24FE7"/>
    <w:rsid w:val="00D261AA"/>
    <w:rsid w:val="00D264A6"/>
    <w:rsid w:val="00D268CF"/>
    <w:rsid w:val="00D26D61"/>
    <w:rsid w:val="00D27969"/>
    <w:rsid w:val="00D30FCC"/>
    <w:rsid w:val="00D30FE6"/>
    <w:rsid w:val="00D31549"/>
    <w:rsid w:val="00D31747"/>
    <w:rsid w:val="00D318B1"/>
    <w:rsid w:val="00D324B8"/>
    <w:rsid w:val="00D32559"/>
    <w:rsid w:val="00D327FE"/>
    <w:rsid w:val="00D33AE1"/>
    <w:rsid w:val="00D34FC1"/>
    <w:rsid w:val="00D362C7"/>
    <w:rsid w:val="00D36617"/>
    <w:rsid w:val="00D37369"/>
    <w:rsid w:val="00D37864"/>
    <w:rsid w:val="00D3791A"/>
    <w:rsid w:val="00D37A3B"/>
    <w:rsid w:val="00D37D15"/>
    <w:rsid w:val="00D400A1"/>
    <w:rsid w:val="00D4062E"/>
    <w:rsid w:val="00D4069E"/>
    <w:rsid w:val="00D4087B"/>
    <w:rsid w:val="00D40E35"/>
    <w:rsid w:val="00D411BF"/>
    <w:rsid w:val="00D41AAD"/>
    <w:rsid w:val="00D41ACE"/>
    <w:rsid w:val="00D41AD3"/>
    <w:rsid w:val="00D41D63"/>
    <w:rsid w:val="00D41D64"/>
    <w:rsid w:val="00D420DB"/>
    <w:rsid w:val="00D42866"/>
    <w:rsid w:val="00D42ECF"/>
    <w:rsid w:val="00D43774"/>
    <w:rsid w:val="00D440F0"/>
    <w:rsid w:val="00D44582"/>
    <w:rsid w:val="00D44C35"/>
    <w:rsid w:val="00D44F26"/>
    <w:rsid w:val="00D45430"/>
    <w:rsid w:val="00D454B8"/>
    <w:rsid w:val="00D454E5"/>
    <w:rsid w:val="00D45517"/>
    <w:rsid w:val="00D45A5E"/>
    <w:rsid w:val="00D46279"/>
    <w:rsid w:val="00D47375"/>
    <w:rsid w:val="00D50242"/>
    <w:rsid w:val="00D50864"/>
    <w:rsid w:val="00D508B1"/>
    <w:rsid w:val="00D50A45"/>
    <w:rsid w:val="00D50B92"/>
    <w:rsid w:val="00D50DE6"/>
    <w:rsid w:val="00D50FE0"/>
    <w:rsid w:val="00D50FE7"/>
    <w:rsid w:val="00D51236"/>
    <w:rsid w:val="00D51790"/>
    <w:rsid w:val="00D51BFE"/>
    <w:rsid w:val="00D52618"/>
    <w:rsid w:val="00D52627"/>
    <w:rsid w:val="00D52657"/>
    <w:rsid w:val="00D527CE"/>
    <w:rsid w:val="00D5322D"/>
    <w:rsid w:val="00D537BB"/>
    <w:rsid w:val="00D53D1C"/>
    <w:rsid w:val="00D53D83"/>
    <w:rsid w:val="00D544DB"/>
    <w:rsid w:val="00D54C9B"/>
    <w:rsid w:val="00D54F98"/>
    <w:rsid w:val="00D55515"/>
    <w:rsid w:val="00D55AF6"/>
    <w:rsid w:val="00D56264"/>
    <w:rsid w:val="00D5692F"/>
    <w:rsid w:val="00D56E39"/>
    <w:rsid w:val="00D577AE"/>
    <w:rsid w:val="00D57B1B"/>
    <w:rsid w:val="00D57C7E"/>
    <w:rsid w:val="00D6009E"/>
    <w:rsid w:val="00D600DE"/>
    <w:rsid w:val="00D60623"/>
    <w:rsid w:val="00D60C3D"/>
    <w:rsid w:val="00D611F3"/>
    <w:rsid w:val="00D61403"/>
    <w:rsid w:val="00D61648"/>
    <w:rsid w:val="00D61772"/>
    <w:rsid w:val="00D624F9"/>
    <w:rsid w:val="00D62BDC"/>
    <w:rsid w:val="00D62C5D"/>
    <w:rsid w:val="00D62D19"/>
    <w:rsid w:val="00D63496"/>
    <w:rsid w:val="00D63A06"/>
    <w:rsid w:val="00D63AA8"/>
    <w:rsid w:val="00D63B87"/>
    <w:rsid w:val="00D64275"/>
    <w:rsid w:val="00D64CEF"/>
    <w:rsid w:val="00D64E21"/>
    <w:rsid w:val="00D64E8D"/>
    <w:rsid w:val="00D6560E"/>
    <w:rsid w:val="00D66069"/>
    <w:rsid w:val="00D6622B"/>
    <w:rsid w:val="00D6696B"/>
    <w:rsid w:val="00D6705B"/>
    <w:rsid w:val="00D671C7"/>
    <w:rsid w:val="00D67849"/>
    <w:rsid w:val="00D67A76"/>
    <w:rsid w:val="00D67BDD"/>
    <w:rsid w:val="00D67FCB"/>
    <w:rsid w:val="00D70192"/>
    <w:rsid w:val="00D702AC"/>
    <w:rsid w:val="00D70533"/>
    <w:rsid w:val="00D706A7"/>
    <w:rsid w:val="00D70B7A"/>
    <w:rsid w:val="00D7157C"/>
    <w:rsid w:val="00D7165B"/>
    <w:rsid w:val="00D718C5"/>
    <w:rsid w:val="00D7256B"/>
    <w:rsid w:val="00D72902"/>
    <w:rsid w:val="00D729EA"/>
    <w:rsid w:val="00D72C10"/>
    <w:rsid w:val="00D72CB4"/>
    <w:rsid w:val="00D731DD"/>
    <w:rsid w:val="00D735F7"/>
    <w:rsid w:val="00D73B5A"/>
    <w:rsid w:val="00D74478"/>
    <w:rsid w:val="00D74BDA"/>
    <w:rsid w:val="00D751FD"/>
    <w:rsid w:val="00D752E9"/>
    <w:rsid w:val="00D7576D"/>
    <w:rsid w:val="00D75886"/>
    <w:rsid w:val="00D758B5"/>
    <w:rsid w:val="00D75ABF"/>
    <w:rsid w:val="00D764AF"/>
    <w:rsid w:val="00D76FD0"/>
    <w:rsid w:val="00D7708A"/>
    <w:rsid w:val="00D775CA"/>
    <w:rsid w:val="00D80149"/>
    <w:rsid w:val="00D808BC"/>
    <w:rsid w:val="00D809B8"/>
    <w:rsid w:val="00D80CC3"/>
    <w:rsid w:val="00D81573"/>
    <w:rsid w:val="00D8182F"/>
    <w:rsid w:val="00D81BA4"/>
    <w:rsid w:val="00D81E17"/>
    <w:rsid w:val="00D82350"/>
    <w:rsid w:val="00D828FB"/>
    <w:rsid w:val="00D82FA1"/>
    <w:rsid w:val="00D83C25"/>
    <w:rsid w:val="00D83DC7"/>
    <w:rsid w:val="00D83E6B"/>
    <w:rsid w:val="00D8438A"/>
    <w:rsid w:val="00D844B5"/>
    <w:rsid w:val="00D84B46"/>
    <w:rsid w:val="00D84C6C"/>
    <w:rsid w:val="00D852A4"/>
    <w:rsid w:val="00D852CF"/>
    <w:rsid w:val="00D853D2"/>
    <w:rsid w:val="00D8606F"/>
    <w:rsid w:val="00D864F7"/>
    <w:rsid w:val="00D86EBF"/>
    <w:rsid w:val="00D86F02"/>
    <w:rsid w:val="00D8739B"/>
    <w:rsid w:val="00D873AA"/>
    <w:rsid w:val="00D8770E"/>
    <w:rsid w:val="00D879DB"/>
    <w:rsid w:val="00D879E8"/>
    <w:rsid w:val="00D87E86"/>
    <w:rsid w:val="00D87F58"/>
    <w:rsid w:val="00D90671"/>
    <w:rsid w:val="00D90AEF"/>
    <w:rsid w:val="00D913D9"/>
    <w:rsid w:val="00D91802"/>
    <w:rsid w:val="00D92303"/>
    <w:rsid w:val="00D9230F"/>
    <w:rsid w:val="00D9248D"/>
    <w:rsid w:val="00D928B8"/>
    <w:rsid w:val="00D92CC7"/>
    <w:rsid w:val="00D92FDF"/>
    <w:rsid w:val="00D93125"/>
    <w:rsid w:val="00D933EA"/>
    <w:rsid w:val="00D93421"/>
    <w:rsid w:val="00D93684"/>
    <w:rsid w:val="00D93892"/>
    <w:rsid w:val="00D93EF7"/>
    <w:rsid w:val="00D93FA7"/>
    <w:rsid w:val="00D94A69"/>
    <w:rsid w:val="00D94C29"/>
    <w:rsid w:val="00D94E14"/>
    <w:rsid w:val="00D952E0"/>
    <w:rsid w:val="00D95BA5"/>
    <w:rsid w:val="00D95FF0"/>
    <w:rsid w:val="00D96265"/>
    <w:rsid w:val="00D97169"/>
    <w:rsid w:val="00D976F2"/>
    <w:rsid w:val="00D97D92"/>
    <w:rsid w:val="00DA008F"/>
    <w:rsid w:val="00DA0458"/>
    <w:rsid w:val="00DA0560"/>
    <w:rsid w:val="00DA05BC"/>
    <w:rsid w:val="00DA069B"/>
    <w:rsid w:val="00DA087C"/>
    <w:rsid w:val="00DA0BC0"/>
    <w:rsid w:val="00DA0F4A"/>
    <w:rsid w:val="00DA0F9A"/>
    <w:rsid w:val="00DA11CA"/>
    <w:rsid w:val="00DA1442"/>
    <w:rsid w:val="00DA1651"/>
    <w:rsid w:val="00DA1F5A"/>
    <w:rsid w:val="00DA2FCA"/>
    <w:rsid w:val="00DA3749"/>
    <w:rsid w:val="00DA37EE"/>
    <w:rsid w:val="00DA3848"/>
    <w:rsid w:val="00DA39BE"/>
    <w:rsid w:val="00DA3D36"/>
    <w:rsid w:val="00DA471B"/>
    <w:rsid w:val="00DA478E"/>
    <w:rsid w:val="00DA5468"/>
    <w:rsid w:val="00DA593F"/>
    <w:rsid w:val="00DA5AD7"/>
    <w:rsid w:val="00DA5C44"/>
    <w:rsid w:val="00DA5E54"/>
    <w:rsid w:val="00DA6542"/>
    <w:rsid w:val="00DA699C"/>
    <w:rsid w:val="00DA6E1D"/>
    <w:rsid w:val="00DA6F4D"/>
    <w:rsid w:val="00DA6FB7"/>
    <w:rsid w:val="00DA7F60"/>
    <w:rsid w:val="00DB095B"/>
    <w:rsid w:val="00DB0ABB"/>
    <w:rsid w:val="00DB0D34"/>
    <w:rsid w:val="00DB0E08"/>
    <w:rsid w:val="00DB171D"/>
    <w:rsid w:val="00DB1DF4"/>
    <w:rsid w:val="00DB20B5"/>
    <w:rsid w:val="00DB24E8"/>
    <w:rsid w:val="00DB2918"/>
    <w:rsid w:val="00DB2A4E"/>
    <w:rsid w:val="00DB2B46"/>
    <w:rsid w:val="00DB2F95"/>
    <w:rsid w:val="00DB391C"/>
    <w:rsid w:val="00DB398B"/>
    <w:rsid w:val="00DB3A4B"/>
    <w:rsid w:val="00DB3D29"/>
    <w:rsid w:val="00DB3D5A"/>
    <w:rsid w:val="00DB3D6D"/>
    <w:rsid w:val="00DB3F7F"/>
    <w:rsid w:val="00DB4339"/>
    <w:rsid w:val="00DB4B6D"/>
    <w:rsid w:val="00DB50D3"/>
    <w:rsid w:val="00DB550B"/>
    <w:rsid w:val="00DB5DC4"/>
    <w:rsid w:val="00DB5E8F"/>
    <w:rsid w:val="00DB617C"/>
    <w:rsid w:val="00DB6346"/>
    <w:rsid w:val="00DB6359"/>
    <w:rsid w:val="00DB687C"/>
    <w:rsid w:val="00DB6DC3"/>
    <w:rsid w:val="00DB704A"/>
    <w:rsid w:val="00DB7217"/>
    <w:rsid w:val="00DB7867"/>
    <w:rsid w:val="00DC0417"/>
    <w:rsid w:val="00DC06B5"/>
    <w:rsid w:val="00DC0764"/>
    <w:rsid w:val="00DC0EB6"/>
    <w:rsid w:val="00DC167A"/>
    <w:rsid w:val="00DC1793"/>
    <w:rsid w:val="00DC1A5C"/>
    <w:rsid w:val="00DC277C"/>
    <w:rsid w:val="00DC27AE"/>
    <w:rsid w:val="00DC288F"/>
    <w:rsid w:val="00DC299C"/>
    <w:rsid w:val="00DC2C1D"/>
    <w:rsid w:val="00DC2F76"/>
    <w:rsid w:val="00DC322D"/>
    <w:rsid w:val="00DC32BE"/>
    <w:rsid w:val="00DC361E"/>
    <w:rsid w:val="00DC36B9"/>
    <w:rsid w:val="00DC39A2"/>
    <w:rsid w:val="00DC4727"/>
    <w:rsid w:val="00DC49CA"/>
    <w:rsid w:val="00DC4A77"/>
    <w:rsid w:val="00DC53F8"/>
    <w:rsid w:val="00DC548F"/>
    <w:rsid w:val="00DC54E0"/>
    <w:rsid w:val="00DC5E27"/>
    <w:rsid w:val="00DC610C"/>
    <w:rsid w:val="00DC6231"/>
    <w:rsid w:val="00DC671A"/>
    <w:rsid w:val="00DC67C5"/>
    <w:rsid w:val="00DC6A08"/>
    <w:rsid w:val="00DC6DFE"/>
    <w:rsid w:val="00DC76DE"/>
    <w:rsid w:val="00DC76FE"/>
    <w:rsid w:val="00DC7B80"/>
    <w:rsid w:val="00DC7C6F"/>
    <w:rsid w:val="00DD0D71"/>
    <w:rsid w:val="00DD142B"/>
    <w:rsid w:val="00DD14C1"/>
    <w:rsid w:val="00DD14E9"/>
    <w:rsid w:val="00DD21EA"/>
    <w:rsid w:val="00DD2C8D"/>
    <w:rsid w:val="00DD31CB"/>
    <w:rsid w:val="00DD3745"/>
    <w:rsid w:val="00DD3DCB"/>
    <w:rsid w:val="00DD4233"/>
    <w:rsid w:val="00DD4865"/>
    <w:rsid w:val="00DD48DB"/>
    <w:rsid w:val="00DD4B96"/>
    <w:rsid w:val="00DD4D76"/>
    <w:rsid w:val="00DD4E5C"/>
    <w:rsid w:val="00DD52B3"/>
    <w:rsid w:val="00DD55C8"/>
    <w:rsid w:val="00DD561F"/>
    <w:rsid w:val="00DD59E8"/>
    <w:rsid w:val="00DD5A69"/>
    <w:rsid w:val="00DD6004"/>
    <w:rsid w:val="00DD69E6"/>
    <w:rsid w:val="00DD6F15"/>
    <w:rsid w:val="00DD73B4"/>
    <w:rsid w:val="00DD7FE3"/>
    <w:rsid w:val="00DE02D7"/>
    <w:rsid w:val="00DE0B9D"/>
    <w:rsid w:val="00DE0E42"/>
    <w:rsid w:val="00DE1186"/>
    <w:rsid w:val="00DE15DB"/>
    <w:rsid w:val="00DE1938"/>
    <w:rsid w:val="00DE1A4F"/>
    <w:rsid w:val="00DE264B"/>
    <w:rsid w:val="00DE29B4"/>
    <w:rsid w:val="00DE2B94"/>
    <w:rsid w:val="00DE2CBB"/>
    <w:rsid w:val="00DE2F06"/>
    <w:rsid w:val="00DE3771"/>
    <w:rsid w:val="00DE3B3A"/>
    <w:rsid w:val="00DE3BD7"/>
    <w:rsid w:val="00DE3C39"/>
    <w:rsid w:val="00DE3EEE"/>
    <w:rsid w:val="00DE4AE7"/>
    <w:rsid w:val="00DE4C50"/>
    <w:rsid w:val="00DE4FF4"/>
    <w:rsid w:val="00DE59DF"/>
    <w:rsid w:val="00DE5DE1"/>
    <w:rsid w:val="00DE5E4C"/>
    <w:rsid w:val="00DE69E0"/>
    <w:rsid w:val="00DE6AB9"/>
    <w:rsid w:val="00DE6D4B"/>
    <w:rsid w:val="00DE70A4"/>
    <w:rsid w:val="00DE79AF"/>
    <w:rsid w:val="00DE7A28"/>
    <w:rsid w:val="00DE7B11"/>
    <w:rsid w:val="00DE7B8E"/>
    <w:rsid w:val="00DE7C52"/>
    <w:rsid w:val="00DF002B"/>
    <w:rsid w:val="00DF0520"/>
    <w:rsid w:val="00DF0727"/>
    <w:rsid w:val="00DF0868"/>
    <w:rsid w:val="00DF099E"/>
    <w:rsid w:val="00DF124C"/>
    <w:rsid w:val="00DF1B65"/>
    <w:rsid w:val="00DF27BA"/>
    <w:rsid w:val="00DF2CA3"/>
    <w:rsid w:val="00DF309D"/>
    <w:rsid w:val="00DF319E"/>
    <w:rsid w:val="00DF357A"/>
    <w:rsid w:val="00DF36D7"/>
    <w:rsid w:val="00DF3C3C"/>
    <w:rsid w:val="00DF4186"/>
    <w:rsid w:val="00DF4748"/>
    <w:rsid w:val="00DF554E"/>
    <w:rsid w:val="00DF5554"/>
    <w:rsid w:val="00DF5920"/>
    <w:rsid w:val="00DF5A45"/>
    <w:rsid w:val="00DF5AA0"/>
    <w:rsid w:val="00DF5D94"/>
    <w:rsid w:val="00DF6525"/>
    <w:rsid w:val="00DF68ED"/>
    <w:rsid w:val="00DF6EE5"/>
    <w:rsid w:val="00DF70F7"/>
    <w:rsid w:val="00DF7BB7"/>
    <w:rsid w:val="00E0131E"/>
    <w:rsid w:val="00E0197B"/>
    <w:rsid w:val="00E019FB"/>
    <w:rsid w:val="00E01A9C"/>
    <w:rsid w:val="00E01D59"/>
    <w:rsid w:val="00E0299C"/>
    <w:rsid w:val="00E02BFC"/>
    <w:rsid w:val="00E02E16"/>
    <w:rsid w:val="00E03189"/>
    <w:rsid w:val="00E0338B"/>
    <w:rsid w:val="00E0338E"/>
    <w:rsid w:val="00E03DF7"/>
    <w:rsid w:val="00E03E52"/>
    <w:rsid w:val="00E04CC4"/>
    <w:rsid w:val="00E0596B"/>
    <w:rsid w:val="00E05EA9"/>
    <w:rsid w:val="00E05F92"/>
    <w:rsid w:val="00E060D0"/>
    <w:rsid w:val="00E06432"/>
    <w:rsid w:val="00E068C9"/>
    <w:rsid w:val="00E073A7"/>
    <w:rsid w:val="00E076D9"/>
    <w:rsid w:val="00E10219"/>
    <w:rsid w:val="00E1042B"/>
    <w:rsid w:val="00E1061F"/>
    <w:rsid w:val="00E10820"/>
    <w:rsid w:val="00E10E3B"/>
    <w:rsid w:val="00E10EB6"/>
    <w:rsid w:val="00E112EB"/>
    <w:rsid w:val="00E11F4C"/>
    <w:rsid w:val="00E127D2"/>
    <w:rsid w:val="00E12871"/>
    <w:rsid w:val="00E133B9"/>
    <w:rsid w:val="00E135CD"/>
    <w:rsid w:val="00E1460B"/>
    <w:rsid w:val="00E14784"/>
    <w:rsid w:val="00E14816"/>
    <w:rsid w:val="00E14EAD"/>
    <w:rsid w:val="00E152D8"/>
    <w:rsid w:val="00E1543D"/>
    <w:rsid w:val="00E15D74"/>
    <w:rsid w:val="00E15FC4"/>
    <w:rsid w:val="00E1633D"/>
    <w:rsid w:val="00E16516"/>
    <w:rsid w:val="00E16E73"/>
    <w:rsid w:val="00E16EE1"/>
    <w:rsid w:val="00E17742"/>
    <w:rsid w:val="00E2019C"/>
    <w:rsid w:val="00E207D8"/>
    <w:rsid w:val="00E20C1E"/>
    <w:rsid w:val="00E20D2C"/>
    <w:rsid w:val="00E2132F"/>
    <w:rsid w:val="00E2185B"/>
    <w:rsid w:val="00E2192C"/>
    <w:rsid w:val="00E22053"/>
    <w:rsid w:val="00E2220E"/>
    <w:rsid w:val="00E22223"/>
    <w:rsid w:val="00E22978"/>
    <w:rsid w:val="00E2326D"/>
    <w:rsid w:val="00E234DD"/>
    <w:rsid w:val="00E23692"/>
    <w:rsid w:val="00E238CC"/>
    <w:rsid w:val="00E239CE"/>
    <w:rsid w:val="00E23BA4"/>
    <w:rsid w:val="00E23C63"/>
    <w:rsid w:val="00E23CC3"/>
    <w:rsid w:val="00E23F65"/>
    <w:rsid w:val="00E24017"/>
    <w:rsid w:val="00E24140"/>
    <w:rsid w:val="00E241BC"/>
    <w:rsid w:val="00E2549B"/>
    <w:rsid w:val="00E26754"/>
    <w:rsid w:val="00E26A37"/>
    <w:rsid w:val="00E26ACC"/>
    <w:rsid w:val="00E27462"/>
    <w:rsid w:val="00E27FD3"/>
    <w:rsid w:val="00E30009"/>
    <w:rsid w:val="00E30133"/>
    <w:rsid w:val="00E30426"/>
    <w:rsid w:val="00E3067E"/>
    <w:rsid w:val="00E3085A"/>
    <w:rsid w:val="00E308DC"/>
    <w:rsid w:val="00E30A74"/>
    <w:rsid w:val="00E310DC"/>
    <w:rsid w:val="00E31B2D"/>
    <w:rsid w:val="00E3227A"/>
    <w:rsid w:val="00E323CF"/>
    <w:rsid w:val="00E32CC0"/>
    <w:rsid w:val="00E3317F"/>
    <w:rsid w:val="00E3354A"/>
    <w:rsid w:val="00E336E6"/>
    <w:rsid w:val="00E34E17"/>
    <w:rsid w:val="00E35059"/>
    <w:rsid w:val="00E35378"/>
    <w:rsid w:val="00E35629"/>
    <w:rsid w:val="00E35948"/>
    <w:rsid w:val="00E36271"/>
    <w:rsid w:val="00E3669F"/>
    <w:rsid w:val="00E36F0D"/>
    <w:rsid w:val="00E371A4"/>
    <w:rsid w:val="00E378A9"/>
    <w:rsid w:val="00E37BE6"/>
    <w:rsid w:val="00E37CFD"/>
    <w:rsid w:val="00E4006C"/>
    <w:rsid w:val="00E40BD8"/>
    <w:rsid w:val="00E411EC"/>
    <w:rsid w:val="00E41A0A"/>
    <w:rsid w:val="00E41D65"/>
    <w:rsid w:val="00E42014"/>
    <w:rsid w:val="00E421E8"/>
    <w:rsid w:val="00E42210"/>
    <w:rsid w:val="00E4284D"/>
    <w:rsid w:val="00E428D6"/>
    <w:rsid w:val="00E437DA"/>
    <w:rsid w:val="00E44D3B"/>
    <w:rsid w:val="00E44FA3"/>
    <w:rsid w:val="00E45CAD"/>
    <w:rsid w:val="00E45FE4"/>
    <w:rsid w:val="00E460CC"/>
    <w:rsid w:val="00E461B1"/>
    <w:rsid w:val="00E46245"/>
    <w:rsid w:val="00E47508"/>
    <w:rsid w:val="00E4754E"/>
    <w:rsid w:val="00E47617"/>
    <w:rsid w:val="00E4780A"/>
    <w:rsid w:val="00E479CC"/>
    <w:rsid w:val="00E47EDC"/>
    <w:rsid w:val="00E51124"/>
    <w:rsid w:val="00E51AF9"/>
    <w:rsid w:val="00E5255F"/>
    <w:rsid w:val="00E5298E"/>
    <w:rsid w:val="00E52B9A"/>
    <w:rsid w:val="00E52C34"/>
    <w:rsid w:val="00E52F99"/>
    <w:rsid w:val="00E53415"/>
    <w:rsid w:val="00E539A8"/>
    <w:rsid w:val="00E53CCA"/>
    <w:rsid w:val="00E53DEE"/>
    <w:rsid w:val="00E53E50"/>
    <w:rsid w:val="00E5406F"/>
    <w:rsid w:val="00E54469"/>
    <w:rsid w:val="00E54565"/>
    <w:rsid w:val="00E54578"/>
    <w:rsid w:val="00E549D4"/>
    <w:rsid w:val="00E55024"/>
    <w:rsid w:val="00E5502D"/>
    <w:rsid w:val="00E5549D"/>
    <w:rsid w:val="00E55A89"/>
    <w:rsid w:val="00E55F33"/>
    <w:rsid w:val="00E561DD"/>
    <w:rsid w:val="00E56537"/>
    <w:rsid w:val="00E56623"/>
    <w:rsid w:val="00E5752A"/>
    <w:rsid w:val="00E57713"/>
    <w:rsid w:val="00E6004B"/>
    <w:rsid w:val="00E60649"/>
    <w:rsid w:val="00E60A5A"/>
    <w:rsid w:val="00E60BC0"/>
    <w:rsid w:val="00E60C1B"/>
    <w:rsid w:val="00E60CAB"/>
    <w:rsid w:val="00E60FA2"/>
    <w:rsid w:val="00E610CD"/>
    <w:rsid w:val="00E617D9"/>
    <w:rsid w:val="00E623BE"/>
    <w:rsid w:val="00E62921"/>
    <w:rsid w:val="00E62CDF"/>
    <w:rsid w:val="00E6314E"/>
    <w:rsid w:val="00E63645"/>
    <w:rsid w:val="00E636A4"/>
    <w:rsid w:val="00E63A8D"/>
    <w:rsid w:val="00E6419C"/>
    <w:rsid w:val="00E64248"/>
    <w:rsid w:val="00E643DA"/>
    <w:rsid w:val="00E649E4"/>
    <w:rsid w:val="00E64E00"/>
    <w:rsid w:val="00E64FFF"/>
    <w:rsid w:val="00E650D8"/>
    <w:rsid w:val="00E650FB"/>
    <w:rsid w:val="00E65362"/>
    <w:rsid w:val="00E668DE"/>
    <w:rsid w:val="00E66ED9"/>
    <w:rsid w:val="00E6720E"/>
    <w:rsid w:val="00E67410"/>
    <w:rsid w:val="00E70178"/>
    <w:rsid w:val="00E70374"/>
    <w:rsid w:val="00E70428"/>
    <w:rsid w:val="00E70B4C"/>
    <w:rsid w:val="00E7126A"/>
    <w:rsid w:val="00E718CB"/>
    <w:rsid w:val="00E719E1"/>
    <w:rsid w:val="00E721C1"/>
    <w:rsid w:val="00E72A52"/>
    <w:rsid w:val="00E72E7E"/>
    <w:rsid w:val="00E7310E"/>
    <w:rsid w:val="00E734D7"/>
    <w:rsid w:val="00E7391C"/>
    <w:rsid w:val="00E73BC5"/>
    <w:rsid w:val="00E73F4E"/>
    <w:rsid w:val="00E743EC"/>
    <w:rsid w:val="00E7488E"/>
    <w:rsid w:val="00E74E13"/>
    <w:rsid w:val="00E74E7A"/>
    <w:rsid w:val="00E75144"/>
    <w:rsid w:val="00E7580D"/>
    <w:rsid w:val="00E75DE1"/>
    <w:rsid w:val="00E760CB"/>
    <w:rsid w:val="00E7662F"/>
    <w:rsid w:val="00E76C10"/>
    <w:rsid w:val="00E77467"/>
    <w:rsid w:val="00E7748E"/>
    <w:rsid w:val="00E77D4E"/>
    <w:rsid w:val="00E77EDD"/>
    <w:rsid w:val="00E77F85"/>
    <w:rsid w:val="00E80037"/>
    <w:rsid w:val="00E8016B"/>
    <w:rsid w:val="00E8062F"/>
    <w:rsid w:val="00E808B7"/>
    <w:rsid w:val="00E80AE7"/>
    <w:rsid w:val="00E80CDC"/>
    <w:rsid w:val="00E80DAD"/>
    <w:rsid w:val="00E80F35"/>
    <w:rsid w:val="00E812F6"/>
    <w:rsid w:val="00E81ABC"/>
    <w:rsid w:val="00E81DDC"/>
    <w:rsid w:val="00E81E75"/>
    <w:rsid w:val="00E81E89"/>
    <w:rsid w:val="00E81F57"/>
    <w:rsid w:val="00E821D2"/>
    <w:rsid w:val="00E82301"/>
    <w:rsid w:val="00E8265A"/>
    <w:rsid w:val="00E82811"/>
    <w:rsid w:val="00E8288C"/>
    <w:rsid w:val="00E829C6"/>
    <w:rsid w:val="00E829D8"/>
    <w:rsid w:val="00E82A1D"/>
    <w:rsid w:val="00E82BA4"/>
    <w:rsid w:val="00E82C08"/>
    <w:rsid w:val="00E82C7B"/>
    <w:rsid w:val="00E835D6"/>
    <w:rsid w:val="00E83889"/>
    <w:rsid w:val="00E83F0C"/>
    <w:rsid w:val="00E84EED"/>
    <w:rsid w:val="00E854D6"/>
    <w:rsid w:val="00E85B9C"/>
    <w:rsid w:val="00E8608B"/>
    <w:rsid w:val="00E8614D"/>
    <w:rsid w:val="00E861C9"/>
    <w:rsid w:val="00E864A1"/>
    <w:rsid w:val="00E87031"/>
    <w:rsid w:val="00E8750A"/>
    <w:rsid w:val="00E900DA"/>
    <w:rsid w:val="00E90605"/>
    <w:rsid w:val="00E90DE8"/>
    <w:rsid w:val="00E90E33"/>
    <w:rsid w:val="00E918F7"/>
    <w:rsid w:val="00E91C94"/>
    <w:rsid w:val="00E91FBE"/>
    <w:rsid w:val="00E92063"/>
    <w:rsid w:val="00E923A3"/>
    <w:rsid w:val="00E92423"/>
    <w:rsid w:val="00E9292D"/>
    <w:rsid w:val="00E92A27"/>
    <w:rsid w:val="00E92BD0"/>
    <w:rsid w:val="00E93D74"/>
    <w:rsid w:val="00E945CB"/>
    <w:rsid w:val="00E94A0D"/>
    <w:rsid w:val="00E94A38"/>
    <w:rsid w:val="00E9553F"/>
    <w:rsid w:val="00E95C61"/>
    <w:rsid w:val="00E96CBC"/>
    <w:rsid w:val="00E97363"/>
    <w:rsid w:val="00E9760B"/>
    <w:rsid w:val="00E97D3A"/>
    <w:rsid w:val="00EA0792"/>
    <w:rsid w:val="00EA0A7C"/>
    <w:rsid w:val="00EA0ADA"/>
    <w:rsid w:val="00EA0E96"/>
    <w:rsid w:val="00EA170E"/>
    <w:rsid w:val="00EA19D0"/>
    <w:rsid w:val="00EA1A48"/>
    <w:rsid w:val="00EA1D35"/>
    <w:rsid w:val="00EA1F55"/>
    <w:rsid w:val="00EA23FE"/>
    <w:rsid w:val="00EA27C5"/>
    <w:rsid w:val="00EA3135"/>
    <w:rsid w:val="00EA3295"/>
    <w:rsid w:val="00EA38C6"/>
    <w:rsid w:val="00EA38E7"/>
    <w:rsid w:val="00EA3A9F"/>
    <w:rsid w:val="00EA3D66"/>
    <w:rsid w:val="00EA405B"/>
    <w:rsid w:val="00EA43BA"/>
    <w:rsid w:val="00EA485D"/>
    <w:rsid w:val="00EA54A7"/>
    <w:rsid w:val="00EA5504"/>
    <w:rsid w:val="00EA5E3E"/>
    <w:rsid w:val="00EA6378"/>
    <w:rsid w:val="00EA65DA"/>
    <w:rsid w:val="00EA6A89"/>
    <w:rsid w:val="00EA79D6"/>
    <w:rsid w:val="00EA7F75"/>
    <w:rsid w:val="00EA7F7A"/>
    <w:rsid w:val="00EB09EE"/>
    <w:rsid w:val="00EB1544"/>
    <w:rsid w:val="00EB1694"/>
    <w:rsid w:val="00EB1914"/>
    <w:rsid w:val="00EB1940"/>
    <w:rsid w:val="00EB1A12"/>
    <w:rsid w:val="00EB1A26"/>
    <w:rsid w:val="00EB1BDD"/>
    <w:rsid w:val="00EB1BEE"/>
    <w:rsid w:val="00EB1D0B"/>
    <w:rsid w:val="00EB1F09"/>
    <w:rsid w:val="00EB23B9"/>
    <w:rsid w:val="00EB2A2F"/>
    <w:rsid w:val="00EB3345"/>
    <w:rsid w:val="00EB34D3"/>
    <w:rsid w:val="00EB3550"/>
    <w:rsid w:val="00EB3553"/>
    <w:rsid w:val="00EB391C"/>
    <w:rsid w:val="00EB405D"/>
    <w:rsid w:val="00EB45C8"/>
    <w:rsid w:val="00EB4DDF"/>
    <w:rsid w:val="00EB50A9"/>
    <w:rsid w:val="00EB50CC"/>
    <w:rsid w:val="00EB5DEF"/>
    <w:rsid w:val="00EB5E35"/>
    <w:rsid w:val="00EB5E44"/>
    <w:rsid w:val="00EB665C"/>
    <w:rsid w:val="00EB6A08"/>
    <w:rsid w:val="00EC057F"/>
    <w:rsid w:val="00EC0879"/>
    <w:rsid w:val="00EC0908"/>
    <w:rsid w:val="00EC0CC2"/>
    <w:rsid w:val="00EC100C"/>
    <w:rsid w:val="00EC1106"/>
    <w:rsid w:val="00EC1129"/>
    <w:rsid w:val="00EC1511"/>
    <w:rsid w:val="00EC1806"/>
    <w:rsid w:val="00EC23ED"/>
    <w:rsid w:val="00EC37F0"/>
    <w:rsid w:val="00EC3B54"/>
    <w:rsid w:val="00EC3F48"/>
    <w:rsid w:val="00EC4328"/>
    <w:rsid w:val="00EC4562"/>
    <w:rsid w:val="00EC4734"/>
    <w:rsid w:val="00EC487E"/>
    <w:rsid w:val="00EC49FB"/>
    <w:rsid w:val="00EC4D0A"/>
    <w:rsid w:val="00EC522A"/>
    <w:rsid w:val="00EC54A6"/>
    <w:rsid w:val="00EC624D"/>
    <w:rsid w:val="00EC6267"/>
    <w:rsid w:val="00EC6441"/>
    <w:rsid w:val="00EC6943"/>
    <w:rsid w:val="00EC6AA6"/>
    <w:rsid w:val="00EC6B8E"/>
    <w:rsid w:val="00EC6BA9"/>
    <w:rsid w:val="00EC71A7"/>
    <w:rsid w:val="00EC71CC"/>
    <w:rsid w:val="00EC71D8"/>
    <w:rsid w:val="00EC7352"/>
    <w:rsid w:val="00EC7593"/>
    <w:rsid w:val="00ED02C4"/>
    <w:rsid w:val="00ED10C2"/>
    <w:rsid w:val="00ED11CA"/>
    <w:rsid w:val="00ED11E9"/>
    <w:rsid w:val="00ED12E7"/>
    <w:rsid w:val="00ED18CA"/>
    <w:rsid w:val="00ED1D59"/>
    <w:rsid w:val="00ED200A"/>
    <w:rsid w:val="00ED204F"/>
    <w:rsid w:val="00ED20BF"/>
    <w:rsid w:val="00ED21CE"/>
    <w:rsid w:val="00ED2472"/>
    <w:rsid w:val="00ED2EC4"/>
    <w:rsid w:val="00ED2F18"/>
    <w:rsid w:val="00ED2FED"/>
    <w:rsid w:val="00ED3499"/>
    <w:rsid w:val="00ED352C"/>
    <w:rsid w:val="00ED36A7"/>
    <w:rsid w:val="00ED36E1"/>
    <w:rsid w:val="00ED37D5"/>
    <w:rsid w:val="00ED410C"/>
    <w:rsid w:val="00ED44F5"/>
    <w:rsid w:val="00ED487E"/>
    <w:rsid w:val="00ED490F"/>
    <w:rsid w:val="00ED4C73"/>
    <w:rsid w:val="00ED4EFA"/>
    <w:rsid w:val="00ED51DF"/>
    <w:rsid w:val="00ED5717"/>
    <w:rsid w:val="00ED5CAB"/>
    <w:rsid w:val="00ED5EB4"/>
    <w:rsid w:val="00ED6423"/>
    <w:rsid w:val="00ED66FA"/>
    <w:rsid w:val="00ED6755"/>
    <w:rsid w:val="00ED67AD"/>
    <w:rsid w:val="00ED6ACA"/>
    <w:rsid w:val="00ED6C77"/>
    <w:rsid w:val="00ED6FDD"/>
    <w:rsid w:val="00ED791A"/>
    <w:rsid w:val="00ED7B25"/>
    <w:rsid w:val="00EE09AD"/>
    <w:rsid w:val="00EE0E28"/>
    <w:rsid w:val="00EE1523"/>
    <w:rsid w:val="00EE1C82"/>
    <w:rsid w:val="00EE20CC"/>
    <w:rsid w:val="00EE275B"/>
    <w:rsid w:val="00EE2E22"/>
    <w:rsid w:val="00EE3815"/>
    <w:rsid w:val="00EE38A7"/>
    <w:rsid w:val="00EE3A68"/>
    <w:rsid w:val="00EE4909"/>
    <w:rsid w:val="00EE4C59"/>
    <w:rsid w:val="00EE51B5"/>
    <w:rsid w:val="00EE582A"/>
    <w:rsid w:val="00EE59B0"/>
    <w:rsid w:val="00EE5AB2"/>
    <w:rsid w:val="00EE6560"/>
    <w:rsid w:val="00EE688F"/>
    <w:rsid w:val="00EE695A"/>
    <w:rsid w:val="00EE6A99"/>
    <w:rsid w:val="00EE7124"/>
    <w:rsid w:val="00EE71A2"/>
    <w:rsid w:val="00EE774E"/>
    <w:rsid w:val="00EE7930"/>
    <w:rsid w:val="00EF03E4"/>
    <w:rsid w:val="00EF053F"/>
    <w:rsid w:val="00EF07C3"/>
    <w:rsid w:val="00EF08AD"/>
    <w:rsid w:val="00EF09A8"/>
    <w:rsid w:val="00EF0D4B"/>
    <w:rsid w:val="00EF1214"/>
    <w:rsid w:val="00EF156D"/>
    <w:rsid w:val="00EF161C"/>
    <w:rsid w:val="00EF1BCF"/>
    <w:rsid w:val="00EF26A9"/>
    <w:rsid w:val="00EF2D76"/>
    <w:rsid w:val="00EF33CF"/>
    <w:rsid w:val="00EF3DCA"/>
    <w:rsid w:val="00EF40B4"/>
    <w:rsid w:val="00EF5123"/>
    <w:rsid w:val="00EF514D"/>
    <w:rsid w:val="00EF66C2"/>
    <w:rsid w:val="00EF6A2B"/>
    <w:rsid w:val="00EF6B38"/>
    <w:rsid w:val="00EF6DF0"/>
    <w:rsid w:val="00EF7BFF"/>
    <w:rsid w:val="00F0094F"/>
    <w:rsid w:val="00F01A4D"/>
    <w:rsid w:val="00F01A9E"/>
    <w:rsid w:val="00F01C9A"/>
    <w:rsid w:val="00F01F7C"/>
    <w:rsid w:val="00F023BD"/>
    <w:rsid w:val="00F0343D"/>
    <w:rsid w:val="00F03475"/>
    <w:rsid w:val="00F0392A"/>
    <w:rsid w:val="00F04624"/>
    <w:rsid w:val="00F04631"/>
    <w:rsid w:val="00F04698"/>
    <w:rsid w:val="00F04D89"/>
    <w:rsid w:val="00F05877"/>
    <w:rsid w:val="00F06249"/>
    <w:rsid w:val="00F06AD3"/>
    <w:rsid w:val="00F06B40"/>
    <w:rsid w:val="00F06CF2"/>
    <w:rsid w:val="00F0733D"/>
    <w:rsid w:val="00F07500"/>
    <w:rsid w:val="00F07669"/>
    <w:rsid w:val="00F07C54"/>
    <w:rsid w:val="00F10713"/>
    <w:rsid w:val="00F10AEA"/>
    <w:rsid w:val="00F10B0E"/>
    <w:rsid w:val="00F11165"/>
    <w:rsid w:val="00F11C45"/>
    <w:rsid w:val="00F11DDA"/>
    <w:rsid w:val="00F11EFD"/>
    <w:rsid w:val="00F12262"/>
    <w:rsid w:val="00F12AB9"/>
    <w:rsid w:val="00F12F22"/>
    <w:rsid w:val="00F12FB5"/>
    <w:rsid w:val="00F132F3"/>
    <w:rsid w:val="00F13D53"/>
    <w:rsid w:val="00F14236"/>
    <w:rsid w:val="00F145BC"/>
    <w:rsid w:val="00F14729"/>
    <w:rsid w:val="00F147AC"/>
    <w:rsid w:val="00F14866"/>
    <w:rsid w:val="00F14962"/>
    <w:rsid w:val="00F14C0C"/>
    <w:rsid w:val="00F14C9C"/>
    <w:rsid w:val="00F152FB"/>
    <w:rsid w:val="00F1561E"/>
    <w:rsid w:val="00F15775"/>
    <w:rsid w:val="00F15EC7"/>
    <w:rsid w:val="00F16474"/>
    <w:rsid w:val="00F16CCE"/>
    <w:rsid w:val="00F1701A"/>
    <w:rsid w:val="00F17F78"/>
    <w:rsid w:val="00F203AE"/>
    <w:rsid w:val="00F206FB"/>
    <w:rsid w:val="00F20931"/>
    <w:rsid w:val="00F20C70"/>
    <w:rsid w:val="00F20F90"/>
    <w:rsid w:val="00F215AE"/>
    <w:rsid w:val="00F215C1"/>
    <w:rsid w:val="00F219FA"/>
    <w:rsid w:val="00F21AE0"/>
    <w:rsid w:val="00F21FED"/>
    <w:rsid w:val="00F2294E"/>
    <w:rsid w:val="00F22C9D"/>
    <w:rsid w:val="00F22E1C"/>
    <w:rsid w:val="00F2332E"/>
    <w:rsid w:val="00F233F2"/>
    <w:rsid w:val="00F23B34"/>
    <w:rsid w:val="00F23B51"/>
    <w:rsid w:val="00F23FE6"/>
    <w:rsid w:val="00F242EE"/>
    <w:rsid w:val="00F246A7"/>
    <w:rsid w:val="00F2496D"/>
    <w:rsid w:val="00F2514E"/>
    <w:rsid w:val="00F251C2"/>
    <w:rsid w:val="00F251C6"/>
    <w:rsid w:val="00F25624"/>
    <w:rsid w:val="00F25EC4"/>
    <w:rsid w:val="00F266A8"/>
    <w:rsid w:val="00F26B1A"/>
    <w:rsid w:val="00F26F20"/>
    <w:rsid w:val="00F27339"/>
    <w:rsid w:val="00F273AC"/>
    <w:rsid w:val="00F30140"/>
    <w:rsid w:val="00F3092F"/>
    <w:rsid w:val="00F30C00"/>
    <w:rsid w:val="00F311B1"/>
    <w:rsid w:val="00F31354"/>
    <w:rsid w:val="00F314AF"/>
    <w:rsid w:val="00F315A6"/>
    <w:rsid w:val="00F317C4"/>
    <w:rsid w:val="00F32962"/>
    <w:rsid w:val="00F33E38"/>
    <w:rsid w:val="00F34148"/>
    <w:rsid w:val="00F341BB"/>
    <w:rsid w:val="00F3422D"/>
    <w:rsid w:val="00F34237"/>
    <w:rsid w:val="00F34559"/>
    <w:rsid w:val="00F34721"/>
    <w:rsid w:val="00F348C2"/>
    <w:rsid w:val="00F34972"/>
    <w:rsid w:val="00F34EE3"/>
    <w:rsid w:val="00F35CA2"/>
    <w:rsid w:val="00F363C7"/>
    <w:rsid w:val="00F36A24"/>
    <w:rsid w:val="00F36B03"/>
    <w:rsid w:val="00F36D50"/>
    <w:rsid w:val="00F37144"/>
    <w:rsid w:val="00F4006D"/>
    <w:rsid w:val="00F407AC"/>
    <w:rsid w:val="00F40BF3"/>
    <w:rsid w:val="00F41001"/>
    <w:rsid w:val="00F41ABD"/>
    <w:rsid w:val="00F422E4"/>
    <w:rsid w:val="00F42A8C"/>
    <w:rsid w:val="00F42F6D"/>
    <w:rsid w:val="00F42FB2"/>
    <w:rsid w:val="00F42FD1"/>
    <w:rsid w:val="00F43010"/>
    <w:rsid w:val="00F43234"/>
    <w:rsid w:val="00F43246"/>
    <w:rsid w:val="00F43311"/>
    <w:rsid w:val="00F43473"/>
    <w:rsid w:val="00F43D8C"/>
    <w:rsid w:val="00F44664"/>
    <w:rsid w:val="00F44869"/>
    <w:rsid w:val="00F44A3E"/>
    <w:rsid w:val="00F44AA0"/>
    <w:rsid w:val="00F44C0A"/>
    <w:rsid w:val="00F4512C"/>
    <w:rsid w:val="00F45590"/>
    <w:rsid w:val="00F45796"/>
    <w:rsid w:val="00F45AA0"/>
    <w:rsid w:val="00F45FE6"/>
    <w:rsid w:val="00F4612E"/>
    <w:rsid w:val="00F466F3"/>
    <w:rsid w:val="00F46A61"/>
    <w:rsid w:val="00F46F86"/>
    <w:rsid w:val="00F4779C"/>
    <w:rsid w:val="00F50051"/>
    <w:rsid w:val="00F50730"/>
    <w:rsid w:val="00F50CEF"/>
    <w:rsid w:val="00F50EAF"/>
    <w:rsid w:val="00F51077"/>
    <w:rsid w:val="00F513FF"/>
    <w:rsid w:val="00F51884"/>
    <w:rsid w:val="00F51D60"/>
    <w:rsid w:val="00F51E73"/>
    <w:rsid w:val="00F526F4"/>
    <w:rsid w:val="00F527F5"/>
    <w:rsid w:val="00F52AD4"/>
    <w:rsid w:val="00F532AF"/>
    <w:rsid w:val="00F53478"/>
    <w:rsid w:val="00F536DC"/>
    <w:rsid w:val="00F53A4F"/>
    <w:rsid w:val="00F540A9"/>
    <w:rsid w:val="00F54330"/>
    <w:rsid w:val="00F54433"/>
    <w:rsid w:val="00F54B55"/>
    <w:rsid w:val="00F54E18"/>
    <w:rsid w:val="00F54E1C"/>
    <w:rsid w:val="00F552F5"/>
    <w:rsid w:val="00F55755"/>
    <w:rsid w:val="00F559B8"/>
    <w:rsid w:val="00F55A61"/>
    <w:rsid w:val="00F55BAC"/>
    <w:rsid w:val="00F56381"/>
    <w:rsid w:val="00F56655"/>
    <w:rsid w:val="00F56B5B"/>
    <w:rsid w:val="00F56C67"/>
    <w:rsid w:val="00F57916"/>
    <w:rsid w:val="00F57994"/>
    <w:rsid w:val="00F57E7C"/>
    <w:rsid w:val="00F6016D"/>
    <w:rsid w:val="00F602D2"/>
    <w:rsid w:val="00F6068A"/>
    <w:rsid w:val="00F61534"/>
    <w:rsid w:val="00F61D2F"/>
    <w:rsid w:val="00F6208F"/>
    <w:rsid w:val="00F62356"/>
    <w:rsid w:val="00F625E5"/>
    <w:rsid w:val="00F62889"/>
    <w:rsid w:val="00F62CA9"/>
    <w:rsid w:val="00F6309D"/>
    <w:rsid w:val="00F6339A"/>
    <w:rsid w:val="00F63936"/>
    <w:rsid w:val="00F63A93"/>
    <w:rsid w:val="00F63B17"/>
    <w:rsid w:val="00F6438F"/>
    <w:rsid w:val="00F64AE7"/>
    <w:rsid w:val="00F64B47"/>
    <w:rsid w:val="00F64B83"/>
    <w:rsid w:val="00F64C41"/>
    <w:rsid w:val="00F64CB8"/>
    <w:rsid w:val="00F656FC"/>
    <w:rsid w:val="00F6595C"/>
    <w:rsid w:val="00F65966"/>
    <w:rsid w:val="00F66242"/>
    <w:rsid w:val="00F66D01"/>
    <w:rsid w:val="00F671DC"/>
    <w:rsid w:val="00F675DB"/>
    <w:rsid w:val="00F676CC"/>
    <w:rsid w:val="00F67AC2"/>
    <w:rsid w:val="00F67EA7"/>
    <w:rsid w:val="00F7023B"/>
    <w:rsid w:val="00F70645"/>
    <w:rsid w:val="00F70659"/>
    <w:rsid w:val="00F70E12"/>
    <w:rsid w:val="00F72455"/>
    <w:rsid w:val="00F727F7"/>
    <w:rsid w:val="00F72A1F"/>
    <w:rsid w:val="00F73026"/>
    <w:rsid w:val="00F734AE"/>
    <w:rsid w:val="00F737C7"/>
    <w:rsid w:val="00F7433B"/>
    <w:rsid w:val="00F743D5"/>
    <w:rsid w:val="00F74DE2"/>
    <w:rsid w:val="00F75024"/>
    <w:rsid w:val="00F7629F"/>
    <w:rsid w:val="00F7638A"/>
    <w:rsid w:val="00F768AD"/>
    <w:rsid w:val="00F7714A"/>
    <w:rsid w:val="00F7723C"/>
    <w:rsid w:val="00F77303"/>
    <w:rsid w:val="00F778EE"/>
    <w:rsid w:val="00F77929"/>
    <w:rsid w:val="00F77E6B"/>
    <w:rsid w:val="00F80218"/>
    <w:rsid w:val="00F80227"/>
    <w:rsid w:val="00F802EA"/>
    <w:rsid w:val="00F80361"/>
    <w:rsid w:val="00F805D0"/>
    <w:rsid w:val="00F808DE"/>
    <w:rsid w:val="00F809E4"/>
    <w:rsid w:val="00F80BF1"/>
    <w:rsid w:val="00F80C92"/>
    <w:rsid w:val="00F80DB4"/>
    <w:rsid w:val="00F810DB"/>
    <w:rsid w:val="00F81669"/>
    <w:rsid w:val="00F81C62"/>
    <w:rsid w:val="00F820E1"/>
    <w:rsid w:val="00F8259F"/>
    <w:rsid w:val="00F829E8"/>
    <w:rsid w:val="00F82AC3"/>
    <w:rsid w:val="00F82BE4"/>
    <w:rsid w:val="00F82DDF"/>
    <w:rsid w:val="00F83070"/>
    <w:rsid w:val="00F830B5"/>
    <w:rsid w:val="00F832E8"/>
    <w:rsid w:val="00F84090"/>
    <w:rsid w:val="00F848F8"/>
    <w:rsid w:val="00F84A6D"/>
    <w:rsid w:val="00F8506F"/>
    <w:rsid w:val="00F855FD"/>
    <w:rsid w:val="00F85779"/>
    <w:rsid w:val="00F85F8E"/>
    <w:rsid w:val="00F868F3"/>
    <w:rsid w:val="00F86C8D"/>
    <w:rsid w:val="00F87218"/>
    <w:rsid w:val="00F87413"/>
    <w:rsid w:val="00F87872"/>
    <w:rsid w:val="00F87C38"/>
    <w:rsid w:val="00F91412"/>
    <w:rsid w:val="00F91593"/>
    <w:rsid w:val="00F927EE"/>
    <w:rsid w:val="00F92EF0"/>
    <w:rsid w:val="00F93072"/>
    <w:rsid w:val="00F935A3"/>
    <w:rsid w:val="00F9398E"/>
    <w:rsid w:val="00F93AB7"/>
    <w:rsid w:val="00F9506D"/>
    <w:rsid w:val="00F9520F"/>
    <w:rsid w:val="00F9539B"/>
    <w:rsid w:val="00F957C7"/>
    <w:rsid w:val="00F9601A"/>
    <w:rsid w:val="00F96522"/>
    <w:rsid w:val="00F9683F"/>
    <w:rsid w:val="00F969FB"/>
    <w:rsid w:val="00F96AD4"/>
    <w:rsid w:val="00F96EC4"/>
    <w:rsid w:val="00F97586"/>
    <w:rsid w:val="00F976CF"/>
    <w:rsid w:val="00F9791D"/>
    <w:rsid w:val="00F97C54"/>
    <w:rsid w:val="00FA0137"/>
    <w:rsid w:val="00FA03C6"/>
    <w:rsid w:val="00FA04E7"/>
    <w:rsid w:val="00FA0CDD"/>
    <w:rsid w:val="00FA12B3"/>
    <w:rsid w:val="00FA12F8"/>
    <w:rsid w:val="00FA132D"/>
    <w:rsid w:val="00FA1369"/>
    <w:rsid w:val="00FA1FB2"/>
    <w:rsid w:val="00FA2212"/>
    <w:rsid w:val="00FA241B"/>
    <w:rsid w:val="00FA24DB"/>
    <w:rsid w:val="00FA24E1"/>
    <w:rsid w:val="00FA2C97"/>
    <w:rsid w:val="00FA3862"/>
    <w:rsid w:val="00FA389E"/>
    <w:rsid w:val="00FA4118"/>
    <w:rsid w:val="00FA49FF"/>
    <w:rsid w:val="00FA4DBE"/>
    <w:rsid w:val="00FA4E5B"/>
    <w:rsid w:val="00FA4FF9"/>
    <w:rsid w:val="00FA56F3"/>
    <w:rsid w:val="00FA5CE9"/>
    <w:rsid w:val="00FA682C"/>
    <w:rsid w:val="00FA68DD"/>
    <w:rsid w:val="00FA72BB"/>
    <w:rsid w:val="00FA740C"/>
    <w:rsid w:val="00FA74A0"/>
    <w:rsid w:val="00FA784A"/>
    <w:rsid w:val="00FA7A20"/>
    <w:rsid w:val="00FB01DE"/>
    <w:rsid w:val="00FB089C"/>
    <w:rsid w:val="00FB09D3"/>
    <w:rsid w:val="00FB0B2E"/>
    <w:rsid w:val="00FB0CE0"/>
    <w:rsid w:val="00FB0F04"/>
    <w:rsid w:val="00FB12A8"/>
    <w:rsid w:val="00FB15E4"/>
    <w:rsid w:val="00FB1B65"/>
    <w:rsid w:val="00FB1C70"/>
    <w:rsid w:val="00FB249F"/>
    <w:rsid w:val="00FB2856"/>
    <w:rsid w:val="00FB2903"/>
    <w:rsid w:val="00FB33D7"/>
    <w:rsid w:val="00FB38CC"/>
    <w:rsid w:val="00FB412D"/>
    <w:rsid w:val="00FB4AA9"/>
    <w:rsid w:val="00FB4B4D"/>
    <w:rsid w:val="00FB501B"/>
    <w:rsid w:val="00FB509E"/>
    <w:rsid w:val="00FB50E1"/>
    <w:rsid w:val="00FB539D"/>
    <w:rsid w:val="00FB6646"/>
    <w:rsid w:val="00FB69E3"/>
    <w:rsid w:val="00FB6C5F"/>
    <w:rsid w:val="00FB6DD1"/>
    <w:rsid w:val="00FB7251"/>
    <w:rsid w:val="00FB744E"/>
    <w:rsid w:val="00FB79C8"/>
    <w:rsid w:val="00FC0503"/>
    <w:rsid w:val="00FC0D7F"/>
    <w:rsid w:val="00FC1588"/>
    <w:rsid w:val="00FC15C4"/>
    <w:rsid w:val="00FC192D"/>
    <w:rsid w:val="00FC2279"/>
    <w:rsid w:val="00FC22F6"/>
    <w:rsid w:val="00FC284E"/>
    <w:rsid w:val="00FC2F2F"/>
    <w:rsid w:val="00FC3141"/>
    <w:rsid w:val="00FC3380"/>
    <w:rsid w:val="00FC3492"/>
    <w:rsid w:val="00FC34A7"/>
    <w:rsid w:val="00FC4695"/>
    <w:rsid w:val="00FC4726"/>
    <w:rsid w:val="00FC52BE"/>
    <w:rsid w:val="00FC53EF"/>
    <w:rsid w:val="00FC544C"/>
    <w:rsid w:val="00FC59B7"/>
    <w:rsid w:val="00FC63E8"/>
    <w:rsid w:val="00FC64BF"/>
    <w:rsid w:val="00FC6BE5"/>
    <w:rsid w:val="00FC7965"/>
    <w:rsid w:val="00FC7ACE"/>
    <w:rsid w:val="00FC7B2E"/>
    <w:rsid w:val="00FD05E2"/>
    <w:rsid w:val="00FD0BB3"/>
    <w:rsid w:val="00FD0E8B"/>
    <w:rsid w:val="00FD1BB5"/>
    <w:rsid w:val="00FD1BCA"/>
    <w:rsid w:val="00FD1C36"/>
    <w:rsid w:val="00FD1F10"/>
    <w:rsid w:val="00FD28A4"/>
    <w:rsid w:val="00FD2E4B"/>
    <w:rsid w:val="00FD3462"/>
    <w:rsid w:val="00FD405F"/>
    <w:rsid w:val="00FD4219"/>
    <w:rsid w:val="00FD5BEC"/>
    <w:rsid w:val="00FD6BFB"/>
    <w:rsid w:val="00FD6D4D"/>
    <w:rsid w:val="00FD721B"/>
    <w:rsid w:val="00FD7558"/>
    <w:rsid w:val="00FD7608"/>
    <w:rsid w:val="00FD7BD7"/>
    <w:rsid w:val="00FE003F"/>
    <w:rsid w:val="00FE0051"/>
    <w:rsid w:val="00FE08C2"/>
    <w:rsid w:val="00FE0A8C"/>
    <w:rsid w:val="00FE0B15"/>
    <w:rsid w:val="00FE0B3C"/>
    <w:rsid w:val="00FE1077"/>
    <w:rsid w:val="00FE125E"/>
    <w:rsid w:val="00FE12A6"/>
    <w:rsid w:val="00FE19B4"/>
    <w:rsid w:val="00FE1A71"/>
    <w:rsid w:val="00FE204F"/>
    <w:rsid w:val="00FE20DC"/>
    <w:rsid w:val="00FE2508"/>
    <w:rsid w:val="00FE27FB"/>
    <w:rsid w:val="00FE2969"/>
    <w:rsid w:val="00FE368F"/>
    <w:rsid w:val="00FE3D6F"/>
    <w:rsid w:val="00FE4C90"/>
    <w:rsid w:val="00FE4FAD"/>
    <w:rsid w:val="00FE52CA"/>
    <w:rsid w:val="00FE595D"/>
    <w:rsid w:val="00FE6037"/>
    <w:rsid w:val="00FE67A2"/>
    <w:rsid w:val="00FE6A47"/>
    <w:rsid w:val="00FE6AFD"/>
    <w:rsid w:val="00FE6F3D"/>
    <w:rsid w:val="00FE7AFB"/>
    <w:rsid w:val="00FF0087"/>
    <w:rsid w:val="00FF046A"/>
    <w:rsid w:val="00FF0715"/>
    <w:rsid w:val="00FF0D05"/>
    <w:rsid w:val="00FF153B"/>
    <w:rsid w:val="00FF1602"/>
    <w:rsid w:val="00FF1891"/>
    <w:rsid w:val="00FF1FA9"/>
    <w:rsid w:val="00FF2853"/>
    <w:rsid w:val="00FF2AD4"/>
    <w:rsid w:val="00FF2BDE"/>
    <w:rsid w:val="00FF362B"/>
    <w:rsid w:val="00FF4135"/>
    <w:rsid w:val="00FF4485"/>
    <w:rsid w:val="00FF4742"/>
    <w:rsid w:val="00FF48FB"/>
    <w:rsid w:val="00FF5DC3"/>
    <w:rsid w:val="00FF617F"/>
    <w:rsid w:val="00FF6463"/>
    <w:rsid w:val="00FF6ADE"/>
    <w:rsid w:val="00FF6C08"/>
    <w:rsid w:val="00FF763C"/>
    <w:rsid w:val="00FF7A7C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804E57"/>
  <w15:docId w15:val="{15294E6D-061F-4766-8555-85FB1F8E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DAC"/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right="-85"/>
      <w:jc w:val="right"/>
      <w:outlineLvl w:val="0"/>
    </w:pPr>
    <w:rPr>
      <w:rFonts w:ascii="AvantGarde Bk BT" w:hAnsi="AvantGarde Bk BT"/>
      <w:sz w:val="35"/>
    </w:rPr>
  </w:style>
  <w:style w:type="paragraph" w:styleId="Heading2">
    <w:name w:val="heading 2"/>
    <w:basedOn w:val="Normal"/>
    <w:next w:val="Normal"/>
    <w:qFormat/>
    <w:pPr>
      <w:keepNext/>
      <w:ind w:right="-113"/>
      <w:outlineLvl w:val="1"/>
    </w:pPr>
    <w:rPr>
      <w:i/>
      <w:sz w:val="18"/>
      <w:lang w:val="en-US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i/>
      <w:sz w:val="17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rFonts w:ascii="Arial" w:hAnsi="Arial"/>
      <w:dstrike w:val="0"/>
      <w:color w:val="auto"/>
      <w:vertAlign w:val="baseline"/>
    </w:rPr>
  </w:style>
  <w:style w:type="character" w:styleId="Hyperlink">
    <w:name w:val="Hyperlink"/>
    <w:rPr>
      <w:color w:val="0000FF"/>
      <w:u w:val="single"/>
    </w:rPr>
  </w:style>
  <w:style w:type="paragraph" w:customStyle="1" w:styleId="Pasiteirauti">
    <w:name w:val="Pasiteirauti"/>
    <w:basedOn w:val="Normal"/>
    <w:pPr>
      <w:outlineLvl w:val="1"/>
    </w:pPr>
    <w:rPr>
      <w:sz w:val="19"/>
      <w:lang w:val="lt-LT"/>
    </w:rPr>
  </w:style>
  <w:style w:type="paragraph" w:customStyle="1" w:styleId="Nrdata">
    <w:name w:val="Nr_data"/>
    <w:basedOn w:val="Normal"/>
    <w:pPr>
      <w:jc w:val="right"/>
    </w:pPr>
    <w:rPr>
      <w:sz w:val="22"/>
    </w:rPr>
  </w:style>
  <w:style w:type="paragraph" w:customStyle="1" w:styleId="Antraste">
    <w:name w:val="Antraste"/>
    <w:basedOn w:val="Heading2"/>
    <w:pPr>
      <w:keepNext w:val="0"/>
      <w:ind w:right="0"/>
      <w:jc w:val="center"/>
    </w:pPr>
    <w:rPr>
      <w:b/>
      <w:i w:val="0"/>
      <w:caps/>
      <w:sz w:val="24"/>
    </w:rPr>
  </w:style>
  <w:style w:type="paragraph" w:customStyle="1" w:styleId="Paantraste">
    <w:name w:val="Paantraste"/>
    <w:basedOn w:val="Antraste"/>
    <w:rPr>
      <w:sz w:val="20"/>
    </w:rPr>
  </w:style>
  <w:style w:type="paragraph" w:customStyle="1" w:styleId="Galva">
    <w:name w:val="Galva"/>
    <w:basedOn w:val="Normal"/>
    <w:pPr>
      <w:spacing w:before="40" w:after="40"/>
      <w:ind w:left="-57" w:right="-57"/>
      <w:jc w:val="center"/>
    </w:pPr>
    <w:rPr>
      <w:sz w:val="19"/>
      <w:lang w:val="lt-LT"/>
    </w:rPr>
  </w:style>
  <w:style w:type="paragraph" w:styleId="BodyText2">
    <w:name w:val="Body Text 2"/>
    <w:basedOn w:val="Normal"/>
    <w:pPr>
      <w:widowControl w:val="0"/>
      <w:spacing w:before="40" w:after="20"/>
      <w:jc w:val="center"/>
    </w:pPr>
    <w:rPr>
      <w:sz w:val="22"/>
      <w:lang w:val="en-AU"/>
    </w:rPr>
  </w:style>
  <w:style w:type="paragraph" w:customStyle="1" w:styleId="0atitr">
    <w:name w:val="0_atitr"/>
    <w:basedOn w:val="Normal"/>
    <w:pPr>
      <w:spacing w:before="20" w:after="20"/>
      <w:ind w:left="113" w:hanging="113"/>
    </w:pPr>
    <w:rPr>
      <w:sz w:val="19"/>
      <w:lang w:val="lt-LT"/>
    </w:rPr>
  </w:style>
  <w:style w:type="paragraph" w:customStyle="1" w:styleId="1atitr">
    <w:name w:val="1_atitr"/>
    <w:basedOn w:val="0atitr"/>
    <w:pPr>
      <w:ind w:left="226"/>
    </w:pPr>
  </w:style>
  <w:style w:type="paragraph" w:customStyle="1" w:styleId="2atitr">
    <w:name w:val="2_atitr"/>
    <w:basedOn w:val="1atitr"/>
    <w:pPr>
      <w:ind w:left="340"/>
    </w:pPr>
  </w:style>
  <w:style w:type="paragraph" w:customStyle="1" w:styleId="skaic">
    <w:name w:val="skaic"/>
    <w:basedOn w:val="Normal"/>
    <w:pPr>
      <w:spacing w:before="20" w:after="20"/>
      <w:ind w:right="284"/>
      <w:jc w:val="right"/>
    </w:pPr>
    <w:rPr>
      <w:sz w:val="19"/>
      <w:lang w:val="lt-LT"/>
    </w:rPr>
  </w:style>
  <w:style w:type="paragraph" w:customStyle="1" w:styleId="Pagrtekstas">
    <w:name w:val="Pagr_tekstas"/>
    <w:basedOn w:val="Normal"/>
    <w:pPr>
      <w:ind w:firstLine="720"/>
      <w:jc w:val="both"/>
    </w:pPr>
  </w:style>
  <w:style w:type="paragraph" w:customStyle="1" w:styleId="Lentelespav">
    <w:name w:val="Lenteles pav"/>
    <w:basedOn w:val="Paantraste"/>
    <w:rPr>
      <w:caps w:val="0"/>
      <w:lang w:val="en-GB"/>
    </w:rPr>
  </w:style>
  <w:style w:type="paragraph" w:customStyle="1" w:styleId="Parasas">
    <w:name w:val="Parasas"/>
    <w:basedOn w:val="Normal"/>
    <w:rPr>
      <w:lang w:val="lt-LT"/>
    </w:rPr>
  </w:style>
  <w:style w:type="paragraph" w:customStyle="1" w:styleId="Pranesimas">
    <w:name w:val="Pranesimas"/>
    <w:basedOn w:val="Normal"/>
    <w:rPr>
      <w:sz w:val="12"/>
      <w:lang w:val="lt-LT"/>
    </w:rPr>
  </w:style>
  <w:style w:type="paragraph" w:styleId="BodyText">
    <w:name w:val="Body Text"/>
    <w:basedOn w:val="Normal"/>
    <w:link w:val="BodyTextChar"/>
    <w:rsid w:val="00D92FDF"/>
    <w:pPr>
      <w:spacing w:after="120"/>
    </w:pPr>
  </w:style>
  <w:style w:type="paragraph" w:customStyle="1" w:styleId="Saltinis">
    <w:name w:val="Saltinis"/>
    <w:basedOn w:val="Normal"/>
    <w:rPr>
      <w:sz w:val="18"/>
    </w:rPr>
  </w:style>
  <w:style w:type="paragraph" w:customStyle="1" w:styleId="lentpav">
    <w:name w:val="lentpav"/>
    <w:basedOn w:val="Normal"/>
    <w:rsid w:val="00D92FDF"/>
    <w:rPr>
      <w:rFonts w:cs="Arial"/>
      <w:b/>
      <w:bCs/>
      <w:snapToGrid w:val="0"/>
      <w:lang w:val="en-US"/>
    </w:rPr>
  </w:style>
  <w:style w:type="paragraph" w:styleId="BalloonText">
    <w:name w:val="Balloon Text"/>
    <w:basedOn w:val="Normal"/>
    <w:semiHidden/>
    <w:rsid w:val="00BE27A9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04698"/>
    <w:rPr>
      <w:b/>
      <w:bCs/>
    </w:rPr>
  </w:style>
  <w:style w:type="character" w:customStyle="1" w:styleId="BodyTextChar">
    <w:name w:val="Body Text Char"/>
    <w:link w:val="BodyText"/>
    <w:rsid w:val="005C1766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7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A64A7F"/>
    <w:rPr>
      <w:color w:val="800080"/>
      <w:u w:val="single"/>
    </w:rPr>
  </w:style>
  <w:style w:type="character" w:styleId="CommentReference">
    <w:name w:val="annotation reference"/>
    <w:rsid w:val="000350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50CB"/>
  </w:style>
  <w:style w:type="character" w:customStyle="1" w:styleId="CommentTextChar">
    <w:name w:val="Comment Text Char"/>
    <w:link w:val="CommentText"/>
    <w:rsid w:val="000350CB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350CB"/>
    <w:rPr>
      <w:b/>
      <w:bCs/>
    </w:rPr>
  </w:style>
  <w:style w:type="character" w:customStyle="1" w:styleId="CommentSubjectChar">
    <w:name w:val="Comment Subject Char"/>
    <w:link w:val="CommentSubject"/>
    <w:rsid w:val="000350CB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940091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112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estatistika.stat.gov.lt/skaiciuokle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.europa.eu/eurostat/documents/4031688/9394165/KS-02-18-142-LT-N.pdf/2c6787ed-aaf1-4f30-bad1-aa65bf1e964b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p.stat.gov.lt/statistiniu-rodikliu-analiz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lia.skireliene@stat.gov.lt" TargetMode="Externa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osp.stat.gov.lt/statistikos-terminu-zodynas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udrap\Local%20Settings\Temporary%20Internet%20Files\OLK8D\Pr_spaudai_lt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1666673475507378E-2"/>
          <c:y val="0.12197580645161291"/>
          <c:w val="0.95833333333333337"/>
          <c:h val="0.70974454091237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E66482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5"/>
              <c:layout>
                <c:manualLayout>
                  <c:x val="0"/>
                  <c:y val="5.040322580645161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BBD-4F00-80BE-00A54AC53DC8}"/>
                </c:ext>
              </c:extLst>
            </c:dLbl>
            <c:numFmt formatCode="0.0_ ;\–0.0\ 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Sheet1!$B$2:$N$2</c:f>
              <c:numCache>
                <c:formatCode>General</c:formatCode>
                <c:ptCount val="13"/>
                <c:pt idx="0">
                  <c:v>1</c:v>
                </c:pt>
                <c:pt idx="1">
                  <c:v>0.9</c:v>
                </c:pt>
                <c:pt idx="2">
                  <c:v>0.6</c:v>
                </c:pt>
                <c:pt idx="3">
                  <c:v>0.6</c:v>
                </c:pt>
                <c:pt idx="4">
                  <c:v>0.7</c:v>
                </c:pt>
                <c:pt idx="5">
                  <c:v>0.4</c:v>
                </c:pt>
                <c:pt idx="6">
                  <c:v>1.4</c:v>
                </c:pt>
                <c:pt idx="7">
                  <c:v>1.7</c:v>
                </c:pt>
                <c:pt idx="8">
                  <c:v>0.9</c:v>
                </c:pt>
                <c:pt idx="9">
                  <c:v>1.2</c:v>
                </c:pt>
                <c:pt idx="10">
                  <c:v>2.2000000000000002</c:v>
                </c:pt>
                <c:pt idx="11">
                  <c:v>1.8</c:v>
                </c:pt>
                <c:pt idx="12">
                  <c:v>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47-4659-BA75-98F84DE82F5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144993664"/>
        <c:axId val="147589376"/>
      </c:barChart>
      <c:catAx>
        <c:axId val="144993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4758937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47589376"/>
        <c:scaling>
          <c:orientation val="minMax"/>
        </c:scaling>
        <c:delete val="0"/>
        <c:axPos val="l"/>
        <c:numFmt formatCode="#,##0;\–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44993664"/>
        <c:crosses val="autoZero"/>
        <c:crossBetween val="between"/>
        <c:majorUnit val="1"/>
        <c:minorUnit val="0.5"/>
      </c:valAx>
      <c:spPr>
        <a:noFill/>
        <a:ln w="25402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3269230769230768E-2"/>
          <c:y val="0.12701612903225806"/>
          <c:w val="0.93499578665345862"/>
          <c:h val="0.59881508559590657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Vartojimo prekės ir paslaugos</c:v>
                </c:pt>
              </c:strCache>
            </c:strRef>
          </c:tx>
          <c:spPr>
            <a:ln w="25400">
              <a:solidFill>
                <a:srgbClr val="28286E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FFFF"/>
              </a:solidFill>
            </c:spPr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III 
2017</c:v>
                </c:pt>
                <c:pt idx="1">
                  <c:v>IV 
2017</c:v>
                </c:pt>
                <c:pt idx="2">
                  <c:v>V 
2017</c:v>
                </c:pt>
                <c:pt idx="3">
                  <c:v>VI 
2017</c:v>
                </c:pt>
                <c:pt idx="4">
                  <c:v>VII 
2017</c:v>
                </c:pt>
                <c:pt idx="5">
                  <c:v>VIII 
2017</c:v>
                </c:pt>
                <c:pt idx="6">
                  <c:v>IX 
2017</c:v>
                </c:pt>
                <c:pt idx="7">
                  <c:v>X 
2017</c:v>
                </c:pt>
                <c:pt idx="8">
                  <c:v>XI 
2017</c:v>
                </c:pt>
                <c:pt idx="9">
                  <c:v>XII 
2017</c:v>
                </c:pt>
                <c:pt idx="10">
                  <c:v>I 
2018</c:v>
                </c:pt>
                <c:pt idx="11">
                  <c:v>II 
2018</c:v>
                </c:pt>
                <c:pt idx="12">
                  <c:v>III 
2018</c:v>
                </c:pt>
                <c:pt idx="13">
                  <c:v>IV 
2018</c:v>
                </c:pt>
                <c:pt idx="14">
                  <c:v>V 
2018</c:v>
                </c:pt>
                <c:pt idx="15">
                  <c:v>VI 
2018</c:v>
                </c:pt>
                <c:pt idx="16">
                  <c:v>VII 
2018</c:v>
                </c:pt>
                <c:pt idx="17">
                  <c:v>VIII 
2018</c:v>
                </c:pt>
                <c:pt idx="18">
                  <c:v>IX 
2018</c:v>
                </c:pt>
                <c:pt idx="19">
                  <c:v>X 
2018</c:v>
                </c:pt>
                <c:pt idx="20">
                  <c:v>XI 
2018</c:v>
                </c:pt>
                <c:pt idx="21">
                  <c:v>XII 
2018</c:v>
                </c:pt>
                <c:pt idx="22">
                  <c:v>I 
2019</c:v>
                </c:pt>
                <c:pt idx="23">
                  <c:v>II 
2019</c:v>
                </c:pt>
                <c:pt idx="24">
                  <c:v>III 
2019</c:v>
                </c:pt>
                <c:pt idx="25">
                  <c:v>IV 
2019</c:v>
                </c:pt>
                <c:pt idx="26">
                  <c:v>V 
2019</c:v>
                </c:pt>
                <c:pt idx="27">
                  <c:v>VI 
2019</c:v>
                </c:pt>
                <c:pt idx="28">
                  <c:v>VII 
2019</c:v>
                </c:pt>
                <c:pt idx="29">
                  <c:v>VIII 
2019</c:v>
                </c:pt>
                <c:pt idx="30">
                  <c:v>IX 
2019</c:v>
                </c:pt>
                <c:pt idx="31">
                  <c:v>X 
2019</c:v>
                </c:pt>
                <c:pt idx="32">
                  <c:v>XI 
2019</c:v>
                </c:pt>
                <c:pt idx="33">
                  <c:v>XII 
2019</c:v>
                </c:pt>
                <c:pt idx="34">
                  <c:v>I 
2020</c:v>
                </c:pt>
                <c:pt idx="35">
                  <c:v>II 
2020</c:v>
                </c:pt>
                <c:pt idx="36">
                  <c:v>III 
2020</c:v>
                </c:pt>
                <c:pt idx="37">
                  <c:v>IV 
2020</c:v>
                </c:pt>
                <c:pt idx="38">
                  <c:v>V 
2020</c:v>
                </c:pt>
                <c:pt idx="39">
                  <c:v>VI 
2020</c:v>
                </c:pt>
                <c:pt idx="40">
                  <c:v>VII 
2020</c:v>
                </c:pt>
                <c:pt idx="41">
                  <c:v>VIII 
2020</c:v>
                </c:pt>
                <c:pt idx="42">
                  <c:v>IX 
2020</c:v>
                </c:pt>
                <c:pt idx="43">
                  <c:v>X 
2020</c:v>
                </c:pt>
                <c:pt idx="44">
                  <c:v>XI 
2020</c:v>
                </c:pt>
                <c:pt idx="45">
                  <c:v>XII
2020</c:v>
                </c:pt>
                <c:pt idx="46">
                  <c:v>I
2021</c:v>
                </c:pt>
                <c:pt idx="47">
                  <c:v>II
2021</c:v>
                </c:pt>
                <c:pt idx="48">
                  <c:v>III
2021</c:v>
                </c:pt>
                <c:pt idx="49">
                  <c:v>IV
2021</c:v>
                </c:pt>
                <c:pt idx="50">
                  <c:v>V
2021</c:v>
                </c:pt>
                <c:pt idx="51">
                  <c:v>VI
2021</c:v>
                </c:pt>
                <c:pt idx="52">
                  <c:v>VII
2021</c:v>
                </c:pt>
                <c:pt idx="53">
                  <c:v>VIII
2021</c:v>
                </c:pt>
                <c:pt idx="54">
                  <c:v>IX
2021</c:v>
                </c:pt>
                <c:pt idx="55">
                  <c:v>X
2021</c:v>
                </c:pt>
                <c:pt idx="56">
                  <c:v>XI
2021</c:v>
                </c:pt>
                <c:pt idx="57">
                  <c:v>XII
2021</c:v>
                </c:pt>
                <c:pt idx="58">
                  <c:v>I
2022</c:v>
                </c:pt>
                <c:pt idx="59">
                  <c:v>II
2022</c:v>
                </c:pt>
                <c:pt idx="60">
                  <c:v>III
2022</c:v>
                </c:pt>
              </c:strCache>
            </c:strRef>
          </c:cat>
          <c:val>
            <c:numRef>
              <c:f>Sheet1!$B$2:$B$62</c:f>
              <c:numCache>
                <c:formatCode>0.0</c:formatCode>
                <c:ptCount val="61"/>
                <c:pt idx="0">
                  <c:v>3.1</c:v>
                </c:pt>
                <c:pt idx="1">
                  <c:v>3.5</c:v>
                </c:pt>
                <c:pt idx="2">
                  <c:v>3.4</c:v>
                </c:pt>
                <c:pt idx="3">
                  <c:v>3.6</c:v>
                </c:pt>
                <c:pt idx="4">
                  <c:v>3.9</c:v>
                </c:pt>
                <c:pt idx="5">
                  <c:v>4.4000000000000004</c:v>
                </c:pt>
                <c:pt idx="6">
                  <c:v>4.8</c:v>
                </c:pt>
                <c:pt idx="7">
                  <c:v>4.4000000000000004</c:v>
                </c:pt>
                <c:pt idx="8">
                  <c:v>4.4000000000000004</c:v>
                </c:pt>
                <c:pt idx="9">
                  <c:v>3.9</c:v>
                </c:pt>
                <c:pt idx="10">
                  <c:v>4</c:v>
                </c:pt>
                <c:pt idx="11">
                  <c:v>3.5</c:v>
                </c:pt>
                <c:pt idx="12">
                  <c:v>2.7</c:v>
                </c:pt>
                <c:pt idx="13">
                  <c:v>2.2999999999999998</c:v>
                </c:pt>
                <c:pt idx="14">
                  <c:v>2.9</c:v>
                </c:pt>
                <c:pt idx="15">
                  <c:v>2.6</c:v>
                </c:pt>
                <c:pt idx="16">
                  <c:v>2.5</c:v>
                </c:pt>
                <c:pt idx="17">
                  <c:v>2.1</c:v>
                </c:pt>
                <c:pt idx="18">
                  <c:v>2.4</c:v>
                </c:pt>
                <c:pt idx="19">
                  <c:v>2.9</c:v>
                </c:pt>
                <c:pt idx="20">
                  <c:v>2.5</c:v>
                </c:pt>
                <c:pt idx="21">
                  <c:v>1.9</c:v>
                </c:pt>
                <c:pt idx="22">
                  <c:v>1.7</c:v>
                </c:pt>
                <c:pt idx="23">
                  <c:v>2.1</c:v>
                </c:pt>
                <c:pt idx="24">
                  <c:v>2.6</c:v>
                </c:pt>
                <c:pt idx="25">
                  <c:v>2.8</c:v>
                </c:pt>
                <c:pt idx="26">
                  <c:v>2.7</c:v>
                </c:pt>
                <c:pt idx="27">
                  <c:v>2.5</c:v>
                </c:pt>
                <c:pt idx="28">
                  <c:v>2.7</c:v>
                </c:pt>
                <c:pt idx="29">
                  <c:v>2.6</c:v>
                </c:pt>
                <c:pt idx="30">
                  <c:v>2.2000000000000002</c:v>
                </c:pt>
                <c:pt idx="31">
                  <c:v>1.6</c:v>
                </c:pt>
                <c:pt idx="32">
                  <c:v>1.7</c:v>
                </c:pt>
                <c:pt idx="33">
                  <c:v>2.7</c:v>
                </c:pt>
                <c:pt idx="34">
                  <c:v>3</c:v>
                </c:pt>
                <c:pt idx="35">
                  <c:v>2.8</c:v>
                </c:pt>
                <c:pt idx="36">
                  <c:v>1.8</c:v>
                </c:pt>
                <c:pt idx="37">
                  <c:v>1</c:v>
                </c:pt>
                <c:pt idx="38">
                  <c:v>0.3</c:v>
                </c:pt>
                <c:pt idx="39">
                  <c:v>1</c:v>
                </c:pt>
                <c:pt idx="40">
                  <c:v>1</c:v>
                </c:pt>
                <c:pt idx="41">
                  <c:v>1.3</c:v>
                </c:pt>
                <c:pt idx="42">
                  <c:v>0.7</c:v>
                </c:pt>
                <c:pt idx="43">
                  <c:v>0.7</c:v>
                </c:pt>
                <c:pt idx="44">
                  <c:v>0.6</c:v>
                </c:pt>
                <c:pt idx="45">
                  <c:v>0.2</c:v>
                </c:pt>
                <c:pt idx="46">
                  <c:v>0.3</c:v>
                </c:pt>
                <c:pt idx="47">
                  <c:v>0.6</c:v>
                </c:pt>
                <c:pt idx="48">
                  <c:v>1.6</c:v>
                </c:pt>
                <c:pt idx="49">
                  <c:v>2.5</c:v>
                </c:pt>
                <c:pt idx="50">
                  <c:v>3.6</c:v>
                </c:pt>
                <c:pt idx="51">
                  <c:v>3.6</c:v>
                </c:pt>
                <c:pt idx="52">
                  <c:v>4.7</c:v>
                </c:pt>
                <c:pt idx="53">
                  <c:v>5.3</c:v>
                </c:pt>
                <c:pt idx="54">
                  <c:v>6.3</c:v>
                </c:pt>
                <c:pt idx="55">
                  <c:v>8</c:v>
                </c:pt>
                <c:pt idx="56">
                  <c:v>9.1999999999999993</c:v>
                </c:pt>
                <c:pt idx="57">
                  <c:v>10.6</c:v>
                </c:pt>
                <c:pt idx="58">
                  <c:v>12.4</c:v>
                </c:pt>
                <c:pt idx="59">
                  <c:v>14.2</c:v>
                </c:pt>
                <c:pt idx="60">
                  <c:v>15.7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D10-421E-A7D6-F00A98D0DF0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Prekės</c:v>
                </c:pt>
              </c:strCache>
            </c:strRef>
          </c:tx>
          <c:spPr>
            <a:ln w="25400">
              <a:solidFill>
                <a:srgbClr val="E66482"/>
              </a:solidFill>
            </a:ln>
          </c:spPr>
          <c:marker>
            <c:symbol val="none"/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III 
2017</c:v>
                </c:pt>
                <c:pt idx="1">
                  <c:v>IV 
2017</c:v>
                </c:pt>
                <c:pt idx="2">
                  <c:v>V 
2017</c:v>
                </c:pt>
                <c:pt idx="3">
                  <c:v>VI 
2017</c:v>
                </c:pt>
                <c:pt idx="4">
                  <c:v>VII 
2017</c:v>
                </c:pt>
                <c:pt idx="5">
                  <c:v>VIII 
2017</c:v>
                </c:pt>
                <c:pt idx="6">
                  <c:v>IX 
2017</c:v>
                </c:pt>
                <c:pt idx="7">
                  <c:v>X 
2017</c:v>
                </c:pt>
                <c:pt idx="8">
                  <c:v>XI 
2017</c:v>
                </c:pt>
                <c:pt idx="9">
                  <c:v>XII 
2017</c:v>
                </c:pt>
                <c:pt idx="10">
                  <c:v>I 
2018</c:v>
                </c:pt>
                <c:pt idx="11">
                  <c:v>II 
2018</c:v>
                </c:pt>
                <c:pt idx="12">
                  <c:v>III 
2018</c:v>
                </c:pt>
                <c:pt idx="13">
                  <c:v>IV 
2018</c:v>
                </c:pt>
                <c:pt idx="14">
                  <c:v>V 
2018</c:v>
                </c:pt>
                <c:pt idx="15">
                  <c:v>VI 
2018</c:v>
                </c:pt>
                <c:pt idx="16">
                  <c:v>VII 
2018</c:v>
                </c:pt>
                <c:pt idx="17">
                  <c:v>VIII 
2018</c:v>
                </c:pt>
                <c:pt idx="18">
                  <c:v>IX 
2018</c:v>
                </c:pt>
                <c:pt idx="19">
                  <c:v>X 
2018</c:v>
                </c:pt>
                <c:pt idx="20">
                  <c:v>XI 
2018</c:v>
                </c:pt>
                <c:pt idx="21">
                  <c:v>XII 
2018</c:v>
                </c:pt>
                <c:pt idx="22">
                  <c:v>I 
2019</c:v>
                </c:pt>
                <c:pt idx="23">
                  <c:v>II 
2019</c:v>
                </c:pt>
                <c:pt idx="24">
                  <c:v>III 
2019</c:v>
                </c:pt>
                <c:pt idx="25">
                  <c:v>IV 
2019</c:v>
                </c:pt>
                <c:pt idx="26">
                  <c:v>V 
2019</c:v>
                </c:pt>
                <c:pt idx="27">
                  <c:v>VI 
2019</c:v>
                </c:pt>
                <c:pt idx="28">
                  <c:v>VII 
2019</c:v>
                </c:pt>
                <c:pt idx="29">
                  <c:v>VIII 
2019</c:v>
                </c:pt>
                <c:pt idx="30">
                  <c:v>IX 
2019</c:v>
                </c:pt>
                <c:pt idx="31">
                  <c:v>X 
2019</c:v>
                </c:pt>
                <c:pt idx="32">
                  <c:v>XI 
2019</c:v>
                </c:pt>
                <c:pt idx="33">
                  <c:v>XII 
2019</c:v>
                </c:pt>
                <c:pt idx="34">
                  <c:v>I 
2020</c:v>
                </c:pt>
                <c:pt idx="35">
                  <c:v>II 
2020</c:v>
                </c:pt>
                <c:pt idx="36">
                  <c:v>III 
2020</c:v>
                </c:pt>
                <c:pt idx="37">
                  <c:v>IV 
2020</c:v>
                </c:pt>
                <c:pt idx="38">
                  <c:v>V 
2020</c:v>
                </c:pt>
                <c:pt idx="39">
                  <c:v>VI 
2020</c:v>
                </c:pt>
                <c:pt idx="40">
                  <c:v>VII 
2020</c:v>
                </c:pt>
                <c:pt idx="41">
                  <c:v>VIII 
2020</c:v>
                </c:pt>
                <c:pt idx="42">
                  <c:v>IX 
2020</c:v>
                </c:pt>
                <c:pt idx="43">
                  <c:v>X 
2020</c:v>
                </c:pt>
                <c:pt idx="44">
                  <c:v>XI 
2020</c:v>
                </c:pt>
                <c:pt idx="45">
                  <c:v>XII
2020</c:v>
                </c:pt>
                <c:pt idx="46">
                  <c:v>I
2021</c:v>
                </c:pt>
                <c:pt idx="47">
                  <c:v>II
2021</c:v>
                </c:pt>
                <c:pt idx="48">
                  <c:v>III
2021</c:v>
                </c:pt>
                <c:pt idx="49">
                  <c:v>IV
2021</c:v>
                </c:pt>
                <c:pt idx="50">
                  <c:v>V
2021</c:v>
                </c:pt>
                <c:pt idx="51">
                  <c:v>VI
2021</c:v>
                </c:pt>
                <c:pt idx="52">
                  <c:v>VII
2021</c:v>
                </c:pt>
                <c:pt idx="53">
                  <c:v>VIII
2021</c:v>
                </c:pt>
                <c:pt idx="54">
                  <c:v>IX
2021</c:v>
                </c:pt>
                <c:pt idx="55">
                  <c:v>X
2021</c:v>
                </c:pt>
                <c:pt idx="56">
                  <c:v>XI
2021</c:v>
                </c:pt>
                <c:pt idx="57">
                  <c:v>XII
2021</c:v>
                </c:pt>
                <c:pt idx="58">
                  <c:v>I
2022</c:v>
                </c:pt>
                <c:pt idx="59">
                  <c:v>II
2022</c:v>
                </c:pt>
                <c:pt idx="60">
                  <c:v>III
2022</c:v>
                </c:pt>
              </c:strCache>
            </c:strRef>
          </c:cat>
          <c:val>
            <c:numRef>
              <c:f>Sheet1!$C$2:$C$62</c:f>
              <c:numCache>
                <c:formatCode>0.0</c:formatCode>
                <c:ptCount val="61"/>
                <c:pt idx="0">
                  <c:v>3.3</c:v>
                </c:pt>
                <c:pt idx="1">
                  <c:v>3.3</c:v>
                </c:pt>
                <c:pt idx="2">
                  <c:v>3</c:v>
                </c:pt>
                <c:pt idx="3">
                  <c:v>3</c:v>
                </c:pt>
                <c:pt idx="4">
                  <c:v>3.3</c:v>
                </c:pt>
                <c:pt idx="5">
                  <c:v>3.8</c:v>
                </c:pt>
                <c:pt idx="6">
                  <c:v>4.4000000000000004</c:v>
                </c:pt>
                <c:pt idx="7">
                  <c:v>4</c:v>
                </c:pt>
                <c:pt idx="8">
                  <c:v>4</c:v>
                </c:pt>
                <c:pt idx="9">
                  <c:v>3.4</c:v>
                </c:pt>
                <c:pt idx="10">
                  <c:v>3.6</c:v>
                </c:pt>
                <c:pt idx="11">
                  <c:v>2.9</c:v>
                </c:pt>
                <c:pt idx="12">
                  <c:v>1.8</c:v>
                </c:pt>
                <c:pt idx="13">
                  <c:v>1.5</c:v>
                </c:pt>
                <c:pt idx="14">
                  <c:v>2.2999999999999998</c:v>
                </c:pt>
                <c:pt idx="15">
                  <c:v>2.1</c:v>
                </c:pt>
                <c:pt idx="16">
                  <c:v>2.1</c:v>
                </c:pt>
                <c:pt idx="17">
                  <c:v>1.6</c:v>
                </c:pt>
                <c:pt idx="18">
                  <c:v>1.8</c:v>
                </c:pt>
                <c:pt idx="19">
                  <c:v>2.5</c:v>
                </c:pt>
                <c:pt idx="20">
                  <c:v>1.9</c:v>
                </c:pt>
                <c:pt idx="21">
                  <c:v>1</c:v>
                </c:pt>
                <c:pt idx="22">
                  <c:v>0.9</c:v>
                </c:pt>
                <c:pt idx="23">
                  <c:v>1.2</c:v>
                </c:pt>
                <c:pt idx="24">
                  <c:v>2</c:v>
                </c:pt>
                <c:pt idx="25">
                  <c:v>2.2000000000000002</c:v>
                </c:pt>
                <c:pt idx="26">
                  <c:v>2.1</c:v>
                </c:pt>
                <c:pt idx="27">
                  <c:v>1.8</c:v>
                </c:pt>
                <c:pt idx="28">
                  <c:v>1.9</c:v>
                </c:pt>
                <c:pt idx="29">
                  <c:v>1.8</c:v>
                </c:pt>
                <c:pt idx="30">
                  <c:v>1.2</c:v>
                </c:pt>
                <c:pt idx="31">
                  <c:v>0.4</c:v>
                </c:pt>
                <c:pt idx="32">
                  <c:v>0.7</c:v>
                </c:pt>
                <c:pt idx="33">
                  <c:v>1.8</c:v>
                </c:pt>
                <c:pt idx="34">
                  <c:v>2</c:v>
                </c:pt>
                <c:pt idx="35">
                  <c:v>1.7</c:v>
                </c:pt>
                <c:pt idx="36">
                  <c:v>0.5</c:v>
                </c:pt>
                <c:pt idx="37">
                  <c:v>-0.4</c:v>
                </c:pt>
                <c:pt idx="38">
                  <c:v>-1.6</c:v>
                </c:pt>
                <c:pt idx="39">
                  <c:v>-0.9</c:v>
                </c:pt>
                <c:pt idx="40">
                  <c:v>-0.6</c:v>
                </c:pt>
                <c:pt idx="41">
                  <c:v>-0.3</c:v>
                </c:pt>
                <c:pt idx="42">
                  <c:v>-0.9</c:v>
                </c:pt>
                <c:pt idx="43">
                  <c:v>-0.8</c:v>
                </c:pt>
                <c:pt idx="44">
                  <c:v>-1</c:v>
                </c:pt>
                <c:pt idx="45">
                  <c:v>-1.3</c:v>
                </c:pt>
                <c:pt idx="46">
                  <c:v>-1.2</c:v>
                </c:pt>
                <c:pt idx="47">
                  <c:v>-0.7</c:v>
                </c:pt>
                <c:pt idx="48">
                  <c:v>0.6</c:v>
                </c:pt>
                <c:pt idx="49">
                  <c:v>1.7</c:v>
                </c:pt>
                <c:pt idx="50">
                  <c:v>3.1</c:v>
                </c:pt>
                <c:pt idx="51">
                  <c:v>3.5</c:v>
                </c:pt>
                <c:pt idx="52">
                  <c:v>4.8</c:v>
                </c:pt>
                <c:pt idx="53">
                  <c:v>5.6</c:v>
                </c:pt>
                <c:pt idx="54">
                  <c:v>6.5</c:v>
                </c:pt>
                <c:pt idx="55">
                  <c:v>8.5</c:v>
                </c:pt>
                <c:pt idx="56">
                  <c:v>9.9</c:v>
                </c:pt>
                <c:pt idx="57">
                  <c:v>11.7</c:v>
                </c:pt>
                <c:pt idx="58">
                  <c:v>13.8</c:v>
                </c:pt>
                <c:pt idx="59">
                  <c:v>15.8</c:v>
                </c:pt>
                <c:pt idx="60">
                  <c:v>17.899999999999999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D10-421E-A7D6-F00A98D0DF0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Paslaugos</c:v>
                </c:pt>
              </c:strCache>
            </c:strRef>
          </c:tx>
          <c:spPr>
            <a:ln w="25400">
              <a:solidFill>
                <a:srgbClr val="FABEC3"/>
              </a:solidFill>
            </a:ln>
          </c:spPr>
          <c:marker>
            <c:symbol val="none"/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III 
2017</c:v>
                </c:pt>
                <c:pt idx="1">
                  <c:v>IV 
2017</c:v>
                </c:pt>
                <c:pt idx="2">
                  <c:v>V 
2017</c:v>
                </c:pt>
                <c:pt idx="3">
                  <c:v>VI 
2017</c:v>
                </c:pt>
                <c:pt idx="4">
                  <c:v>VII 
2017</c:v>
                </c:pt>
                <c:pt idx="5">
                  <c:v>VIII 
2017</c:v>
                </c:pt>
                <c:pt idx="6">
                  <c:v>IX 
2017</c:v>
                </c:pt>
                <c:pt idx="7">
                  <c:v>X 
2017</c:v>
                </c:pt>
                <c:pt idx="8">
                  <c:v>XI 
2017</c:v>
                </c:pt>
                <c:pt idx="9">
                  <c:v>XII 
2017</c:v>
                </c:pt>
                <c:pt idx="10">
                  <c:v>I 
2018</c:v>
                </c:pt>
                <c:pt idx="11">
                  <c:v>II 
2018</c:v>
                </c:pt>
                <c:pt idx="12">
                  <c:v>III 
2018</c:v>
                </c:pt>
                <c:pt idx="13">
                  <c:v>IV 
2018</c:v>
                </c:pt>
                <c:pt idx="14">
                  <c:v>V 
2018</c:v>
                </c:pt>
                <c:pt idx="15">
                  <c:v>VI 
2018</c:v>
                </c:pt>
                <c:pt idx="16">
                  <c:v>VII 
2018</c:v>
                </c:pt>
                <c:pt idx="17">
                  <c:v>VIII 
2018</c:v>
                </c:pt>
                <c:pt idx="18">
                  <c:v>IX 
2018</c:v>
                </c:pt>
                <c:pt idx="19">
                  <c:v>X 
2018</c:v>
                </c:pt>
                <c:pt idx="20">
                  <c:v>XI 
2018</c:v>
                </c:pt>
                <c:pt idx="21">
                  <c:v>XII 
2018</c:v>
                </c:pt>
                <c:pt idx="22">
                  <c:v>I 
2019</c:v>
                </c:pt>
                <c:pt idx="23">
                  <c:v>II 
2019</c:v>
                </c:pt>
                <c:pt idx="24">
                  <c:v>III 
2019</c:v>
                </c:pt>
                <c:pt idx="25">
                  <c:v>IV 
2019</c:v>
                </c:pt>
                <c:pt idx="26">
                  <c:v>V 
2019</c:v>
                </c:pt>
                <c:pt idx="27">
                  <c:v>VI 
2019</c:v>
                </c:pt>
                <c:pt idx="28">
                  <c:v>VII 
2019</c:v>
                </c:pt>
                <c:pt idx="29">
                  <c:v>VIII 
2019</c:v>
                </c:pt>
                <c:pt idx="30">
                  <c:v>IX 
2019</c:v>
                </c:pt>
                <c:pt idx="31">
                  <c:v>X 
2019</c:v>
                </c:pt>
                <c:pt idx="32">
                  <c:v>XI 
2019</c:v>
                </c:pt>
                <c:pt idx="33">
                  <c:v>XII 
2019</c:v>
                </c:pt>
                <c:pt idx="34">
                  <c:v>I 
2020</c:v>
                </c:pt>
                <c:pt idx="35">
                  <c:v>II 
2020</c:v>
                </c:pt>
                <c:pt idx="36">
                  <c:v>III 
2020</c:v>
                </c:pt>
                <c:pt idx="37">
                  <c:v>IV 
2020</c:v>
                </c:pt>
                <c:pt idx="38">
                  <c:v>V 
2020</c:v>
                </c:pt>
                <c:pt idx="39">
                  <c:v>VI 
2020</c:v>
                </c:pt>
                <c:pt idx="40">
                  <c:v>VII 
2020</c:v>
                </c:pt>
                <c:pt idx="41">
                  <c:v>VIII 
2020</c:v>
                </c:pt>
                <c:pt idx="42">
                  <c:v>IX 
2020</c:v>
                </c:pt>
                <c:pt idx="43">
                  <c:v>X 
2020</c:v>
                </c:pt>
                <c:pt idx="44">
                  <c:v>XI 
2020</c:v>
                </c:pt>
                <c:pt idx="45">
                  <c:v>XII
2020</c:v>
                </c:pt>
                <c:pt idx="46">
                  <c:v>I
2021</c:v>
                </c:pt>
                <c:pt idx="47">
                  <c:v>II
2021</c:v>
                </c:pt>
                <c:pt idx="48">
                  <c:v>III
2021</c:v>
                </c:pt>
                <c:pt idx="49">
                  <c:v>IV
2021</c:v>
                </c:pt>
                <c:pt idx="50">
                  <c:v>V
2021</c:v>
                </c:pt>
                <c:pt idx="51">
                  <c:v>VI
2021</c:v>
                </c:pt>
                <c:pt idx="52">
                  <c:v>VII
2021</c:v>
                </c:pt>
                <c:pt idx="53">
                  <c:v>VIII
2021</c:v>
                </c:pt>
                <c:pt idx="54">
                  <c:v>IX
2021</c:v>
                </c:pt>
                <c:pt idx="55">
                  <c:v>X
2021</c:v>
                </c:pt>
                <c:pt idx="56">
                  <c:v>XI
2021</c:v>
                </c:pt>
                <c:pt idx="57">
                  <c:v>XII
2021</c:v>
                </c:pt>
                <c:pt idx="58">
                  <c:v>I
2022</c:v>
                </c:pt>
                <c:pt idx="59">
                  <c:v>II
2022</c:v>
                </c:pt>
                <c:pt idx="60">
                  <c:v>III
2022</c:v>
                </c:pt>
              </c:strCache>
            </c:strRef>
          </c:cat>
          <c:val>
            <c:numRef>
              <c:f>Sheet1!$D$2:$D$62</c:f>
              <c:numCache>
                <c:formatCode>0.0</c:formatCode>
                <c:ptCount val="61"/>
                <c:pt idx="0">
                  <c:v>2.7</c:v>
                </c:pt>
                <c:pt idx="1">
                  <c:v>4.2</c:v>
                </c:pt>
                <c:pt idx="2">
                  <c:v>4.8</c:v>
                </c:pt>
                <c:pt idx="3">
                  <c:v>5.2</c:v>
                </c:pt>
                <c:pt idx="4">
                  <c:v>5.5</c:v>
                </c:pt>
                <c:pt idx="5">
                  <c:v>6</c:v>
                </c:pt>
                <c:pt idx="6">
                  <c:v>6</c:v>
                </c:pt>
                <c:pt idx="7">
                  <c:v>5.7</c:v>
                </c:pt>
                <c:pt idx="8">
                  <c:v>5.5</c:v>
                </c:pt>
                <c:pt idx="9">
                  <c:v>5.3</c:v>
                </c:pt>
                <c:pt idx="10">
                  <c:v>5.3</c:v>
                </c:pt>
                <c:pt idx="11">
                  <c:v>5.0999999999999996</c:v>
                </c:pt>
                <c:pt idx="12">
                  <c:v>5.2</c:v>
                </c:pt>
                <c:pt idx="13">
                  <c:v>4.7</c:v>
                </c:pt>
                <c:pt idx="14">
                  <c:v>4.5999999999999996</c:v>
                </c:pt>
                <c:pt idx="15">
                  <c:v>4.0999999999999996</c:v>
                </c:pt>
                <c:pt idx="16">
                  <c:v>3.4</c:v>
                </c:pt>
                <c:pt idx="17">
                  <c:v>3.3</c:v>
                </c:pt>
                <c:pt idx="18">
                  <c:v>4</c:v>
                </c:pt>
                <c:pt idx="19">
                  <c:v>4.0999999999999996</c:v>
                </c:pt>
                <c:pt idx="20">
                  <c:v>4.3</c:v>
                </c:pt>
                <c:pt idx="21">
                  <c:v>4.3</c:v>
                </c:pt>
                <c:pt idx="22">
                  <c:v>4.0999999999999996</c:v>
                </c:pt>
                <c:pt idx="23">
                  <c:v>4.4000000000000004</c:v>
                </c:pt>
                <c:pt idx="24">
                  <c:v>4.3</c:v>
                </c:pt>
                <c:pt idx="25">
                  <c:v>4.5999999999999996</c:v>
                </c:pt>
                <c:pt idx="26">
                  <c:v>4.3</c:v>
                </c:pt>
                <c:pt idx="27">
                  <c:v>4.2</c:v>
                </c:pt>
                <c:pt idx="28">
                  <c:v>4.5</c:v>
                </c:pt>
                <c:pt idx="29">
                  <c:v>4.5</c:v>
                </c:pt>
                <c:pt idx="30">
                  <c:v>4.8</c:v>
                </c:pt>
                <c:pt idx="31">
                  <c:v>4.8</c:v>
                </c:pt>
                <c:pt idx="32">
                  <c:v>4.3</c:v>
                </c:pt>
                <c:pt idx="33">
                  <c:v>4.8</c:v>
                </c:pt>
                <c:pt idx="34">
                  <c:v>5.3</c:v>
                </c:pt>
                <c:pt idx="35">
                  <c:v>5.3</c:v>
                </c:pt>
                <c:pt idx="36">
                  <c:v>4.8</c:v>
                </c:pt>
                <c:pt idx="37">
                  <c:v>4.5</c:v>
                </c:pt>
                <c:pt idx="38">
                  <c:v>4.8</c:v>
                </c:pt>
                <c:pt idx="39">
                  <c:v>5.5</c:v>
                </c:pt>
                <c:pt idx="40">
                  <c:v>4.9000000000000004</c:v>
                </c:pt>
                <c:pt idx="41">
                  <c:v>4.7</c:v>
                </c:pt>
                <c:pt idx="42">
                  <c:v>4.5</c:v>
                </c:pt>
                <c:pt idx="43">
                  <c:v>4.3</c:v>
                </c:pt>
                <c:pt idx="44">
                  <c:v>4.4000000000000004</c:v>
                </c:pt>
                <c:pt idx="45">
                  <c:v>3.9</c:v>
                </c:pt>
                <c:pt idx="46">
                  <c:v>3.7</c:v>
                </c:pt>
                <c:pt idx="47">
                  <c:v>3.4</c:v>
                </c:pt>
                <c:pt idx="48">
                  <c:v>4</c:v>
                </c:pt>
                <c:pt idx="49">
                  <c:v>4.2</c:v>
                </c:pt>
                <c:pt idx="50">
                  <c:v>4.5999999999999996</c:v>
                </c:pt>
                <c:pt idx="51">
                  <c:v>3.8</c:v>
                </c:pt>
                <c:pt idx="52">
                  <c:v>4.3</c:v>
                </c:pt>
                <c:pt idx="53">
                  <c:v>4.5</c:v>
                </c:pt>
                <c:pt idx="54">
                  <c:v>5.8</c:v>
                </c:pt>
                <c:pt idx="55">
                  <c:v>6.8</c:v>
                </c:pt>
                <c:pt idx="56">
                  <c:v>7.4</c:v>
                </c:pt>
                <c:pt idx="57">
                  <c:v>7.8</c:v>
                </c:pt>
                <c:pt idx="58">
                  <c:v>9.1</c:v>
                </c:pt>
                <c:pt idx="59">
                  <c:v>10.3</c:v>
                </c:pt>
                <c:pt idx="60">
                  <c:v>10.5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D10-421E-A7D6-F00A98D0DF0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8290176"/>
        <c:axId val="148291968"/>
      </c:lineChart>
      <c:catAx>
        <c:axId val="148290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48291968"/>
        <c:crosses val="autoZero"/>
        <c:auto val="0"/>
        <c:lblAlgn val="ctr"/>
        <c:lblOffset val="100"/>
        <c:tickLblSkip val="12"/>
        <c:tickMarkSkip val="1"/>
        <c:noMultiLvlLbl val="0"/>
      </c:catAx>
      <c:valAx>
        <c:axId val="148291968"/>
        <c:scaling>
          <c:orientation val="minMax"/>
        </c:scaling>
        <c:delete val="0"/>
        <c:axPos val="l"/>
        <c:numFmt formatCode="#,##0;\–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48290176"/>
        <c:crosses val="autoZero"/>
        <c:crossBetween val="between"/>
      </c:valAx>
      <c:spPr>
        <a:noFill/>
        <a:ln w="25402">
          <a:noFill/>
        </a:ln>
      </c:spPr>
    </c:plotArea>
    <c:legend>
      <c:legendPos val="b"/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3269230769230768E-2"/>
          <c:y val="0.12701612903225806"/>
          <c:w val="0.93499578665345862"/>
          <c:h val="0.66663077118185887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Vidutinė metinė infliacija</c:v>
                </c:pt>
              </c:strCache>
            </c:strRef>
          </c:tx>
          <c:spPr>
            <a:ln w="25400">
              <a:solidFill>
                <a:srgbClr val="DC506E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III 
2017</c:v>
                </c:pt>
                <c:pt idx="1">
                  <c:v>IV 
2017</c:v>
                </c:pt>
                <c:pt idx="2">
                  <c:v>V 
2017</c:v>
                </c:pt>
                <c:pt idx="3">
                  <c:v>VI 
2017</c:v>
                </c:pt>
                <c:pt idx="4">
                  <c:v>VII 
2017</c:v>
                </c:pt>
                <c:pt idx="5">
                  <c:v>VIII 
2017</c:v>
                </c:pt>
                <c:pt idx="6">
                  <c:v>IX 
2017</c:v>
                </c:pt>
                <c:pt idx="7">
                  <c:v>X 
2017</c:v>
                </c:pt>
                <c:pt idx="8">
                  <c:v>XI 
2017</c:v>
                </c:pt>
                <c:pt idx="9">
                  <c:v>XII 
2017</c:v>
                </c:pt>
                <c:pt idx="10">
                  <c:v>I 
2018</c:v>
                </c:pt>
                <c:pt idx="11">
                  <c:v>II 
2018</c:v>
                </c:pt>
                <c:pt idx="12">
                  <c:v>III 
2018</c:v>
                </c:pt>
                <c:pt idx="13">
                  <c:v>IV 
2018</c:v>
                </c:pt>
                <c:pt idx="14">
                  <c:v>V 
2018</c:v>
                </c:pt>
                <c:pt idx="15">
                  <c:v>VI 
2018</c:v>
                </c:pt>
                <c:pt idx="16">
                  <c:v>VII 
2018</c:v>
                </c:pt>
                <c:pt idx="17">
                  <c:v>VIII 
2018</c:v>
                </c:pt>
                <c:pt idx="18">
                  <c:v>IX 
2018</c:v>
                </c:pt>
                <c:pt idx="19">
                  <c:v>X 
2018</c:v>
                </c:pt>
                <c:pt idx="20">
                  <c:v>XI 
2018</c:v>
                </c:pt>
                <c:pt idx="21">
                  <c:v>XII 
2018</c:v>
                </c:pt>
                <c:pt idx="22">
                  <c:v>I 
2019</c:v>
                </c:pt>
                <c:pt idx="23">
                  <c:v>II 
2019</c:v>
                </c:pt>
                <c:pt idx="24">
                  <c:v>III 
2019</c:v>
                </c:pt>
                <c:pt idx="25">
                  <c:v>IV 
2019</c:v>
                </c:pt>
                <c:pt idx="26">
                  <c:v>V 
2019</c:v>
                </c:pt>
                <c:pt idx="27">
                  <c:v>VI 
2019</c:v>
                </c:pt>
                <c:pt idx="28">
                  <c:v>VII 
2019</c:v>
                </c:pt>
                <c:pt idx="29">
                  <c:v>VIII 
2019</c:v>
                </c:pt>
                <c:pt idx="30">
                  <c:v>IX 
2019</c:v>
                </c:pt>
                <c:pt idx="31">
                  <c:v>X 
2019</c:v>
                </c:pt>
                <c:pt idx="32">
                  <c:v>XI 
2019</c:v>
                </c:pt>
                <c:pt idx="33">
                  <c:v>XII 
2019</c:v>
                </c:pt>
                <c:pt idx="34">
                  <c:v>I 
2020</c:v>
                </c:pt>
                <c:pt idx="35">
                  <c:v>II 
2020</c:v>
                </c:pt>
                <c:pt idx="36">
                  <c:v>III 
2020</c:v>
                </c:pt>
                <c:pt idx="37">
                  <c:v>IV 
2020</c:v>
                </c:pt>
                <c:pt idx="38">
                  <c:v>V 
2020</c:v>
                </c:pt>
                <c:pt idx="39">
                  <c:v>VI 
2020</c:v>
                </c:pt>
                <c:pt idx="40">
                  <c:v>VII 
2020</c:v>
                </c:pt>
                <c:pt idx="41">
                  <c:v>VIII 
2020</c:v>
                </c:pt>
                <c:pt idx="42">
                  <c:v>IX 
2020</c:v>
                </c:pt>
                <c:pt idx="43">
                  <c:v>X 
2020</c:v>
                </c:pt>
                <c:pt idx="44">
                  <c:v>XI
2020</c:v>
                </c:pt>
                <c:pt idx="45">
                  <c:v>XII
2020</c:v>
                </c:pt>
                <c:pt idx="46">
                  <c:v>I
2021</c:v>
                </c:pt>
                <c:pt idx="47">
                  <c:v>II
2021</c:v>
                </c:pt>
                <c:pt idx="48">
                  <c:v>III
2021</c:v>
                </c:pt>
                <c:pt idx="49">
                  <c:v>IV
2021</c:v>
                </c:pt>
                <c:pt idx="50">
                  <c:v>V
2021</c:v>
                </c:pt>
                <c:pt idx="51">
                  <c:v>VI
2021</c:v>
                </c:pt>
                <c:pt idx="52">
                  <c:v>VII
2021</c:v>
                </c:pt>
                <c:pt idx="53">
                  <c:v>VIII
2021</c:v>
                </c:pt>
                <c:pt idx="54">
                  <c:v>IX
2021</c:v>
                </c:pt>
                <c:pt idx="55">
                  <c:v>X
2021</c:v>
                </c:pt>
                <c:pt idx="56">
                  <c:v>XI
2021</c:v>
                </c:pt>
                <c:pt idx="57">
                  <c:v>XII
2021</c:v>
                </c:pt>
                <c:pt idx="58">
                  <c:v>I
2022</c:v>
                </c:pt>
                <c:pt idx="59">
                  <c:v>II
2022</c:v>
                </c:pt>
                <c:pt idx="60">
                  <c:v>III
2022</c:v>
                </c:pt>
              </c:strCache>
            </c:strRef>
          </c:cat>
          <c:val>
            <c:numRef>
              <c:f>Sheet1!$B$2:$B$62</c:f>
              <c:numCache>
                <c:formatCode>General</c:formatCode>
                <c:ptCount val="61"/>
                <c:pt idx="0">
                  <c:v>1.4</c:v>
                </c:pt>
                <c:pt idx="1">
                  <c:v>1.6</c:v>
                </c:pt>
                <c:pt idx="2">
                  <c:v>1.8</c:v>
                </c:pt>
                <c:pt idx="3">
                  <c:v>2.1</c:v>
                </c:pt>
                <c:pt idx="4">
                  <c:v>2.2999999999999998</c:v>
                </c:pt>
                <c:pt idx="5">
                  <c:v>2.6</c:v>
                </c:pt>
                <c:pt idx="6">
                  <c:v>3</c:v>
                </c:pt>
                <c:pt idx="7">
                  <c:v>3.3</c:v>
                </c:pt>
                <c:pt idx="8">
                  <c:v>3.5</c:v>
                </c:pt>
                <c:pt idx="9">
                  <c:v>3.7</c:v>
                </c:pt>
                <c:pt idx="10">
                  <c:v>3.9</c:v>
                </c:pt>
                <c:pt idx="11">
                  <c:v>3.9</c:v>
                </c:pt>
                <c:pt idx="12">
                  <c:v>3.9</c:v>
                </c:pt>
                <c:pt idx="13">
                  <c:v>3.8</c:v>
                </c:pt>
                <c:pt idx="14">
                  <c:v>3.7</c:v>
                </c:pt>
                <c:pt idx="15">
                  <c:v>3.6</c:v>
                </c:pt>
                <c:pt idx="16">
                  <c:v>3.5</c:v>
                </c:pt>
                <c:pt idx="17">
                  <c:v>3.3</c:v>
                </c:pt>
                <c:pt idx="18">
                  <c:v>3.1</c:v>
                </c:pt>
                <c:pt idx="19">
                  <c:v>3</c:v>
                </c:pt>
                <c:pt idx="20">
                  <c:v>2.9</c:v>
                </c:pt>
                <c:pt idx="21">
                  <c:v>2.7</c:v>
                </c:pt>
                <c:pt idx="22">
                  <c:v>2.5</c:v>
                </c:pt>
                <c:pt idx="23">
                  <c:v>2.4</c:v>
                </c:pt>
                <c:pt idx="24">
                  <c:v>2.4</c:v>
                </c:pt>
                <c:pt idx="25">
                  <c:v>2.4</c:v>
                </c:pt>
                <c:pt idx="26">
                  <c:v>2.4</c:v>
                </c:pt>
                <c:pt idx="27">
                  <c:v>2.4</c:v>
                </c:pt>
                <c:pt idx="28">
                  <c:v>2.4</c:v>
                </c:pt>
                <c:pt idx="29">
                  <c:v>2.5</c:v>
                </c:pt>
                <c:pt idx="30">
                  <c:v>2.4</c:v>
                </c:pt>
                <c:pt idx="31">
                  <c:v>2.2999999999999998</c:v>
                </c:pt>
                <c:pt idx="32">
                  <c:v>2.2999999999999998</c:v>
                </c:pt>
                <c:pt idx="33">
                  <c:v>2.2999999999999998</c:v>
                </c:pt>
                <c:pt idx="34">
                  <c:v>2.4</c:v>
                </c:pt>
                <c:pt idx="35">
                  <c:v>2.5</c:v>
                </c:pt>
                <c:pt idx="36">
                  <c:v>2.4</c:v>
                </c:pt>
                <c:pt idx="37">
                  <c:v>2.2999999999999998</c:v>
                </c:pt>
                <c:pt idx="38">
                  <c:v>2.1</c:v>
                </c:pt>
                <c:pt idx="39">
                  <c:v>1.9</c:v>
                </c:pt>
                <c:pt idx="40">
                  <c:v>1.8</c:v>
                </c:pt>
                <c:pt idx="41">
                  <c:v>1.7</c:v>
                </c:pt>
                <c:pt idx="42">
                  <c:v>1.6</c:v>
                </c:pt>
                <c:pt idx="43">
                  <c:v>1.5</c:v>
                </c:pt>
                <c:pt idx="44">
                  <c:v>1.4</c:v>
                </c:pt>
                <c:pt idx="45">
                  <c:v>1.2</c:v>
                </c:pt>
                <c:pt idx="46">
                  <c:v>1</c:v>
                </c:pt>
                <c:pt idx="47">
                  <c:v>0.8</c:v>
                </c:pt>
                <c:pt idx="48">
                  <c:v>0.8</c:v>
                </c:pt>
                <c:pt idx="49">
                  <c:v>0.9</c:v>
                </c:pt>
                <c:pt idx="50">
                  <c:v>1.2</c:v>
                </c:pt>
                <c:pt idx="51">
                  <c:v>1.4</c:v>
                </c:pt>
                <c:pt idx="52">
                  <c:v>1.7</c:v>
                </c:pt>
                <c:pt idx="53">
                  <c:v>2</c:v>
                </c:pt>
                <c:pt idx="54">
                  <c:v>2.5</c:v>
                </c:pt>
                <c:pt idx="55">
                  <c:v>3.1</c:v>
                </c:pt>
                <c:pt idx="56">
                  <c:v>3.8</c:v>
                </c:pt>
                <c:pt idx="57">
                  <c:v>4.7</c:v>
                </c:pt>
                <c:pt idx="58">
                  <c:v>5.7</c:v>
                </c:pt>
                <c:pt idx="59">
                  <c:v>6.8</c:v>
                </c:pt>
                <c:pt idx="60">
                  <c:v>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E0B-4028-8943-1E4B3633467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ln w="25400">
              <a:solidFill>
                <a:srgbClr val="E66482"/>
              </a:solidFill>
            </a:ln>
          </c:spPr>
          <c:marker>
            <c:symbol val="none"/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III 
2017</c:v>
                </c:pt>
                <c:pt idx="1">
                  <c:v>IV 
2017</c:v>
                </c:pt>
                <c:pt idx="2">
                  <c:v>V 
2017</c:v>
                </c:pt>
                <c:pt idx="3">
                  <c:v>VI 
2017</c:v>
                </c:pt>
                <c:pt idx="4">
                  <c:v>VII 
2017</c:v>
                </c:pt>
                <c:pt idx="5">
                  <c:v>VIII 
2017</c:v>
                </c:pt>
                <c:pt idx="6">
                  <c:v>IX 
2017</c:v>
                </c:pt>
                <c:pt idx="7">
                  <c:v>X 
2017</c:v>
                </c:pt>
                <c:pt idx="8">
                  <c:v>XI 
2017</c:v>
                </c:pt>
                <c:pt idx="9">
                  <c:v>XII 
2017</c:v>
                </c:pt>
                <c:pt idx="10">
                  <c:v>I 
2018</c:v>
                </c:pt>
                <c:pt idx="11">
                  <c:v>II 
2018</c:v>
                </c:pt>
                <c:pt idx="12">
                  <c:v>III 
2018</c:v>
                </c:pt>
                <c:pt idx="13">
                  <c:v>IV 
2018</c:v>
                </c:pt>
                <c:pt idx="14">
                  <c:v>V 
2018</c:v>
                </c:pt>
                <c:pt idx="15">
                  <c:v>VI 
2018</c:v>
                </c:pt>
                <c:pt idx="16">
                  <c:v>VII 
2018</c:v>
                </c:pt>
                <c:pt idx="17">
                  <c:v>VIII 
2018</c:v>
                </c:pt>
                <c:pt idx="18">
                  <c:v>IX 
2018</c:v>
                </c:pt>
                <c:pt idx="19">
                  <c:v>X 
2018</c:v>
                </c:pt>
                <c:pt idx="20">
                  <c:v>XI 
2018</c:v>
                </c:pt>
                <c:pt idx="21">
                  <c:v>XII 
2018</c:v>
                </c:pt>
                <c:pt idx="22">
                  <c:v>I 
2019</c:v>
                </c:pt>
                <c:pt idx="23">
                  <c:v>II 
2019</c:v>
                </c:pt>
                <c:pt idx="24">
                  <c:v>III 
2019</c:v>
                </c:pt>
                <c:pt idx="25">
                  <c:v>IV 
2019</c:v>
                </c:pt>
                <c:pt idx="26">
                  <c:v>V 
2019</c:v>
                </c:pt>
                <c:pt idx="27">
                  <c:v>VI 
2019</c:v>
                </c:pt>
                <c:pt idx="28">
                  <c:v>VII 
2019</c:v>
                </c:pt>
                <c:pt idx="29">
                  <c:v>VIII 
2019</c:v>
                </c:pt>
                <c:pt idx="30">
                  <c:v>IX 
2019</c:v>
                </c:pt>
                <c:pt idx="31">
                  <c:v>X 
2019</c:v>
                </c:pt>
                <c:pt idx="32">
                  <c:v>XI 
2019</c:v>
                </c:pt>
                <c:pt idx="33">
                  <c:v>XII 
2019</c:v>
                </c:pt>
                <c:pt idx="34">
                  <c:v>I 
2020</c:v>
                </c:pt>
                <c:pt idx="35">
                  <c:v>II 
2020</c:v>
                </c:pt>
                <c:pt idx="36">
                  <c:v>III 
2020</c:v>
                </c:pt>
                <c:pt idx="37">
                  <c:v>IV 
2020</c:v>
                </c:pt>
                <c:pt idx="38">
                  <c:v>V 
2020</c:v>
                </c:pt>
                <c:pt idx="39">
                  <c:v>VI 
2020</c:v>
                </c:pt>
                <c:pt idx="40">
                  <c:v>VII 
2020</c:v>
                </c:pt>
                <c:pt idx="41">
                  <c:v>VIII 
2020</c:v>
                </c:pt>
                <c:pt idx="42">
                  <c:v>IX 
2020</c:v>
                </c:pt>
                <c:pt idx="43">
                  <c:v>X 
2020</c:v>
                </c:pt>
                <c:pt idx="44">
                  <c:v>XI
2020</c:v>
                </c:pt>
                <c:pt idx="45">
                  <c:v>XII
2020</c:v>
                </c:pt>
                <c:pt idx="46">
                  <c:v>I
2021</c:v>
                </c:pt>
                <c:pt idx="47">
                  <c:v>II
2021</c:v>
                </c:pt>
                <c:pt idx="48">
                  <c:v>III
2021</c:v>
                </c:pt>
                <c:pt idx="49">
                  <c:v>IV
2021</c:v>
                </c:pt>
                <c:pt idx="50">
                  <c:v>V
2021</c:v>
                </c:pt>
                <c:pt idx="51">
                  <c:v>VI
2021</c:v>
                </c:pt>
                <c:pt idx="52">
                  <c:v>VII
2021</c:v>
                </c:pt>
                <c:pt idx="53">
                  <c:v>VIII
2021</c:v>
                </c:pt>
                <c:pt idx="54">
                  <c:v>IX
2021</c:v>
                </c:pt>
                <c:pt idx="55">
                  <c:v>X
2021</c:v>
                </c:pt>
                <c:pt idx="56">
                  <c:v>XI
2021</c:v>
                </c:pt>
                <c:pt idx="57">
                  <c:v>XII
2021</c:v>
                </c:pt>
                <c:pt idx="58">
                  <c:v>I
2022</c:v>
                </c:pt>
                <c:pt idx="59">
                  <c:v>II
2022</c:v>
                </c:pt>
                <c:pt idx="60">
                  <c:v>III
2022</c:v>
                </c:pt>
              </c:strCache>
            </c:strRef>
          </c:cat>
          <c:val>
            <c:numRef>
              <c:f>Sheet1!$C$2:$C$62</c:f>
              <c:numCache>
                <c:formatCode>General</c:formatCode>
                <c:ptCount val="61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E0B-4028-8943-1E4B3633467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ln w="25400">
              <a:solidFill>
                <a:srgbClr val="FABEC3"/>
              </a:solidFill>
            </a:ln>
          </c:spPr>
          <c:marker>
            <c:symbol val="none"/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III 
2017</c:v>
                </c:pt>
                <c:pt idx="1">
                  <c:v>IV 
2017</c:v>
                </c:pt>
                <c:pt idx="2">
                  <c:v>V 
2017</c:v>
                </c:pt>
                <c:pt idx="3">
                  <c:v>VI 
2017</c:v>
                </c:pt>
                <c:pt idx="4">
                  <c:v>VII 
2017</c:v>
                </c:pt>
                <c:pt idx="5">
                  <c:v>VIII 
2017</c:v>
                </c:pt>
                <c:pt idx="6">
                  <c:v>IX 
2017</c:v>
                </c:pt>
                <c:pt idx="7">
                  <c:v>X 
2017</c:v>
                </c:pt>
                <c:pt idx="8">
                  <c:v>XI 
2017</c:v>
                </c:pt>
                <c:pt idx="9">
                  <c:v>XII 
2017</c:v>
                </c:pt>
                <c:pt idx="10">
                  <c:v>I 
2018</c:v>
                </c:pt>
                <c:pt idx="11">
                  <c:v>II 
2018</c:v>
                </c:pt>
                <c:pt idx="12">
                  <c:v>III 
2018</c:v>
                </c:pt>
                <c:pt idx="13">
                  <c:v>IV 
2018</c:v>
                </c:pt>
                <c:pt idx="14">
                  <c:v>V 
2018</c:v>
                </c:pt>
                <c:pt idx="15">
                  <c:v>VI 
2018</c:v>
                </c:pt>
                <c:pt idx="16">
                  <c:v>VII 
2018</c:v>
                </c:pt>
                <c:pt idx="17">
                  <c:v>VIII 
2018</c:v>
                </c:pt>
                <c:pt idx="18">
                  <c:v>IX 
2018</c:v>
                </c:pt>
                <c:pt idx="19">
                  <c:v>X 
2018</c:v>
                </c:pt>
                <c:pt idx="20">
                  <c:v>XI 
2018</c:v>
                </c:pt>
                <c:pt idx="21">
                  <c:v>XII 
2018</c:v>
                </c:pt>
                <c:pt idx="22">
                  <c:v>I 
2019</c:v>
                </c:pt>
                <c:pt idx="23">
                  <c:v>II 
2019</c:v>
                </c:pt>
                <c:pt idx="24">
                  <c:v>III 
2019</c:v>
                </c:pt>
                <c:pt idx="25">
                  <c:v>IV 
2019</c:v>
                </c:pt>
                <c:pt idx="26">
                  <c:v>V 
2019</c:v>
                </c:pt>
                <c:pt idx="27">
                  <c:v>VI 
2019</c:v>
                </c:pt>
                <c:pt idx="28">
                  <c:v>VII 
2019</c:v>
                </c:pt>
                <c:pt idx="29">
                  <c:v>VIII 
2019</c:v>
                </c:pt>
                <c:pt idx="30">
                  <c:v>IX 
2019</c:v>
                </c:pt>
                <c:pt idx="31">
                  <c:v>X 
2019</c:v>
                </c:pt>
                <c:pt idx="32">
                  <c:v>XI 
2019</c:v>
                </c:pt>
                <c:pt idx="33">
                  <c:v>XII 
2019</c:v>
                </c:pt>
                <c:pt idx="34">
                  <c:v>I 
2020</c:v>
                </c:pt>
                <c:pt idx="35">
                  <c:v>II 
2020</c:v>
                </c:pt>
                <c:pt idx="36">
                  <c:v>III 
2020</c:v>
                </c:pt>
                <c:pt idx="37">
                  <c:v>IV 
2020</c:v>
                </c:pt>
                <c:pt idx="38">
                  <c:v>V 
2020</c:v>
                </c:pt>
                <c:pt idx="39">
                  <c:v>VI 
2020</c:v>
                </c:pt>
                <c:pt idx="40">
                  <c:v>VII 
2020</c:v>
                </c:pt>
                <c:pt idx="41">
                  <c:v>VIII 
2020</c:v>
                </c:pt>
                <c:pt idx="42">
                  <c:v>IX 
2020</c:v>
                </c:pt>
                <c:pt idx="43">
                  <c:v>X 
2020</c:v>
                </c:pt>
                <c:pt idx="44">
                  <c:v>XI
2020</c:v>
                </c:pt>
                <c:pt idx="45">
                  <c:v>XII
2020</c:v>
                </c:pt>
                <c:pt idx="46">
                  <c:v>I
2021</c:v>
                </c:pt>
                <c:pt idx="47">
                  <c:v>II
2021</c:v>
                </c:pt>
                <c:pt idx="48">
                  <c:v>III
2021</c:v>
                </c:pt>
                <c:pt idx="49">
                  <c:v>IV
2021</c:v>
                </c:pt>
                <c:pt idx="50">
                  <c:v>V
2021</c:v>
                </c:pt>
                <c:pt idx="51">
                  <c:v>VI
2021</c:v>
                </c:pt>
                <c:pt idx="52">
                  <c:v>VII
2021</c:v>
                </c:pt>
                <c:pt idx="53">
                  <c:v>VIII
2021</c:v>
                </c:pt>
                <c:pt idx="54">
                  <c:v>IX
2021</c:v>
                </c:pt>
                <c:pt idx="55">
                  <c:v>X
2021</c:v>
                </c:pt>
                <c:pt idx="56">
                  <c:v>XI
2021</c:v>
                </c:pt>
                <c:pt idx="57">
                  <c:v>XII
2021</c:v>
                </c:pt>
                <c:pt idx="58">
                  <c:v>I
2022</c:v>
                </c:pt>
                <c:pt idx="59">
                  <c:v>II
2022</c:v>
                </c:pt>
                <c:pt idx="60">
                  <c:v>III
2022</c:v>
                </c:pt>
              </c:strCache>
            </c:strRef>
          </c:cat>
          <c:val>
            <c:numRef>
              <c:f>Sheet1!$D$2:$D$62</c:f>
              <c:numCache>
                <c:formatCode>General</c:formatCode>
                <c:ptCount val="61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E0B-4028-8943-1E4B363346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48036608"/>
        <c:axId val="148038400"/>
      </c:lineChart>
      <c:catAx>
        <c:axId val="148036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48038400"/>
        <c:crosses val="autoZero"/>
        <c:auto val="0"/>
        <c:lblAlgn val="ctr"/>
        <c:lblOffset val="100"/>
        <c:tickLblSkip val="12"/>
        <c:tickMarkSkip val="1"/>
        <c:noMultiLvlLbl val="0"/>
      </c:catAx>
      <c:valAx>
        <c:axId val="148038400"/>
        <c:scaling>
          <c:orientation val="minMax"/>
          <c:min val="-2"/>
        </c:scaling>
        <c:delete val="0"/>
        <c:axPos val="l"/>
        <c:numFmt formatCode="#,##0;\–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48036608"/>
        <c:crosses val="autoZero"/>
        <c:crossBetween val="between"/>
      </c:valAx>
      <c:spPr>
        <a:noFill/>
        <a:ln w="25402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0.1145</cdr:x>
      <cdr:y>0.9085</cdr:y>
    </cdr:from>
    <cdr:to>
      <cdr:x>0.1995</cdr:x>
      <cdr:y>1</cdr:y>
    </cdr:to>
    <cdr:sp macro="" textlink="">
      <cdr:nvSpPr>
        <cdr:cNvPr id="1026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80542" y="1628146"/>
          <a:ext cx="505206" cy="16210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18288" tIns="0" rIns="0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lt-LT"/>
        </a:p>
      </cdr:txBody>
    </cdr:sp>
  </cdr:relSizeAnchor>
  <cdr:relSizeAnchor xmlns:cdr="http://schemas.openxmlformats.org/drawingml/2006/chartDrawing">
    <cdr:from>
      <cdr:x>0.01225</cdr:x>
      <cdr:y>0.00375</cdr:y>
    </cdr:from>
    <cdr:to>
      <cdr:x>0.1195</cdr:x>
      <cdr:y>0.11125</cdr:y>
    </cdr:to>
    <cdr:sp macro="" textlink="">
      <cdr:nvSpPr>
        <cdr:cNvPr id="1031" name="Text Box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2809" y="6644"/>
          <a:ext cx="637451" cy="1904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lt-LT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Procentai</a:t>
          </a:r>
        </a:p>
      </cdr:txBody>
    </cdr:sp>
  </cdr:relSizeAnchor>
  <cdr:relSizeAnchor xmlns:cdr="http://schemas.openxmlformats.org/drawingml/2006/chartDrawing">
    <cdr:from>
      <cdr:x>0.77795</cdr:x>
      <cdr:y>0.89529</cdr:y>
    </cdr:from>
    <cdr:to>
      <cdr:x>0.84729</cdr:x>
      <cdr:y>0.98534</cdr:y>
    </cdr:to>
    <cdr:sp macro="" textlink="">
      <cdr:nvSpPr>
        <cdr:cNvPr id="1032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60691" y="2255844"/>
          <a:ext cx="424326" cy="22689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lt-LT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2022</a:t>
          </a:r>
        </a:p>
        <a:p xmlns:a="http://schemas.openxmlformats.org/drawingml/2006/main">
          <a:pPr algn="ctr" rtl="0">
            <a:defRPr sz="1000"/>
          </a:pPr>
          <a:endParaRPr lang="lt-LT" sz="900" b="0" i="0" u="none" strike="noStrike" baseline="0">
            <a:solidFill>
              <a:srgbClr val="000000"/>
            </a:solidFill>
            <a:latin typeface="Arial"/>
            <a:cs typeface="Arial"/>
          </a:endParaRPr>
        </a:p>
      </cdr:txBody>
    </cdr:sp>
  </cdr:relSizeAnchor>
  <cdr:relSizeAnchor xmlns:cdr="http://schemas.openxmlformats.org/drawingml/2006/chartDrawing">
    <cdr:from>
      <cdr:x>0.0443</cdr:x>
      <cdr:y>0.88839</cdr:y>
    </cdr:from>
    <cdr:to>
      <cdr:x>0.10312</cdr:x>
      <cdr:y>0.95983</cdr:y>
    </cdr:to>
    <cdr:sp macro="" textlink="">
      <cdr:nvSpPr>
        <cdr:cNvPr id="1033" name="Text Box 9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1065" y="2238459"/>
          <a:ext cx="360000" cy="1800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lt-LT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2021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0.10725</cdr:x>
      <cdr:y>0.1075</cdr:y>
    </cdr:to>
    <cdr:sp macro="" textlink="">
      <cdr:nvSpPr>
        <cdr:cNvPr id="1031" name="Text Box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0"/>
          <a:ext cx="656316" cy="27086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lt-LT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Procentai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0.10725</cdr:x>
      <cdr:y>0.1075</cdr:y>
    </cdr:to>
    <cdr:sp macro="" textlink="">
      <cdr:nvSpPr>
        <cdr:cNvPr id="1031" name="Text Box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0"/>
          <a:ext cx="656316" cy="27086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9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lt-LT" sz="900" b="0" i="0" u="none" strike="noStrike" baseline="0">
              <a:solidFill>
                <a:srgbClr val="000000"/>
              </a:solidFill>
              <a:latin typeface="Arial"/>
              <a:cs typeface="Arial"/>
            </a:rPr>
            <a:t>Procentai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A2850-6017-4642-89DD-3619B4AA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Pr_spaudai_lt.dot</Template>
  <TotalTime>6</TotalTime>
  <Pages>1</Pages>
  <Words>4801</Words>
  <Characters>2737</Characters>
  <Application>Microsoft Office Word</Application>
  <DocSecurity>0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Pranešimas spaudai</vt:lpstr>
      <vt:lpstr>Pranešimas spaudai</vt:lpstr>
    </vt:vector>
  </TitlesOfParts>
  <Company>Hewlett-Packard Company</Company>
  <LinksUpToDate>false</LinksUpToDate>
  <CharactersWithSpaces>7523</CharactersWithSpaces>
  <SharedDoc>false</SharedDoc>
  <HLinks>
    <vt:vector size="12" baseType="variant">
      <vt:variant>
        <vt:i4>655396</vt:i4>
      </vt:variant>
      <vt:variant>
        <vt:i4>15</vt:i4>
      </vt:variant>
      <vt:variant>
        <vt:i4>0</vt:i4>
      </vt:variant>
      <vt:variant>
        <vt:i4>5</vt:i4>
      </vt:variant>
      <vt:variant>
        <vt:lpwstr>mailto:nadiezda.alejeva@stat.gov.lt</vt:lpwstr>
      </vt:variant>
      <vt:variant>
        <vt:lpwstr/>
      </vt:variant>
      <vt:variant>
        <vt:i4>5439532</vt:i4>
      </vt:variant>
      <vt:variant>
        <vt:i4>12</vt:i4>
      </vt:variant>
      <vt:variant>
        <vt:i4>0</vt:i4>
      </vt:variant>
      <vt:variant>
        <vt:i4>5</vt:i4>
      </vt:variant>
      <vt:variant>
        <vt:lpwstr>https://osp.stat.gov.lt/statistiniu-rodikliu-analize</vt:lpwstr>
      </vt:variant>
      <vt:variant>
        <vt:lpwstr>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Pranešimas spaudai</dc:title>
  <dc:creator>std</dc:creator>
  <cp:lastModifiedBy>Dalia Skirelienė</cp:lastModifiedBy>
  <cp:revision>5</cp:revision>
  <cp:lastPrinted>2020-08-07T06:59:00Z</cp:lastPrinted>
  <dcterms:created xsi:type="dcterms:W3CDTF">2022-04-06T13:44:00Z</dcterms:created>
  <dcterms:modified xsi:type="dcterms:W3CDTF">2022-04-07T12:01:00Z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">
    <vt:lpwstr>2011-06-09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std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">
    <vt:lpwstr>Dokumentas</vt:lpwstr>
  </property>
  <property fmtid="{D5CDD505-2E9C-101B-9397-08002B2CF9AE}" pid="12" name="ContentTypeId">
    <vt:lpwstr>0x010100746C7306863D1846938E13771A1E3FD6</vt:lpwstr>
  </property>
  <property fmtid="{D5CDD505-2E9C-101B-9397-08002B2CF9AE}" pid="13" name="Grupė">
    <vt:lpwstr>Vidaus dokumentų blankai</vt:lpwstr>
  </property>
</Properties>
</file>