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D3" w:rsidRPr="00D6560E" w:rsidRDefault="00BC51D3" w:rsidP="007F5CC6">
      <w:pPr>
        <w:pStyle w:val="Nrdata"/>
        <w:spacing w:before="120"/>
        <w:rPr>
          <w:lang w:val="lt-LT"/>
        </w:rPr>
      </w:pPr>
      <w:r w:rsidRPr="00D6560E">
        <w:rPr>
          <w:lang w:val="lt-LT"/>
        </w:rPr>
        <w:t>20</w:t>
      </w:r>
      <w:r w:rsidR="00943185">
        <w:rPr>
          <w:lang w:val="lt-LT"/>
        </w:rPr>
        <w:t>2</w:t>
      </w:r>
      <w:r w:rsidR="00212D6D">
        <w:rPr>
          <w:lang w:val="lt-LT"/>
        </w:rPr>
        <w:t>1</w:t>
      </w:r>
      <w:r w:rsidRPr="00D6560E">
        <w:rPr>
          <w:lang w:val="lt-LT"/>
        </w:rPr>
        <w:t xml:space="preserve"> m. </w:t>
      </w:r>
      <w:r w:rsidR="00386B57">
        <w:rPr>
          <w:lang w:val="lt-LT"/>
        </w:rPr>
        <w:t>birželio</w:t>
      </w:r>
      <w:r w:rsidR="00A006A6">
        <w:rPr>
          <w:lang w:val="lt-LT"/>
        </w:rPr>
        <w:t xml:space="preserve"> </w:t>
      </w:r>
      <w:r w:rsidR="00986449">
        <w:rPr>
          <w:lang w:val="lt-LT"/>
        </w:rPr>
        <w:t>8</w:t>
      </w:r>
      <w:r w:rsidRPr="00D6560E">
        <w:rPr>
          <w:lang w:val="lt-LT"/>
        </w:rPr>
        <w:t xml:space="preserve"> d., Vilnius</w:t>
      </w:r>
    </w:p>
    <w:p w:rsidR="004E0041" w:rsidRPr="00D6560E" w:rsidRDefault="00543244" w:rsidP="004E0041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CF33E83" wp14:editId="6AB1DA77">
            <wp:extent cx="660400" cy="780067"/>
            <wp:effectExtent l="0" t="0" r="6350" b="127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-s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997" cy="78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041" w:rsidRDefault="004E0041" w:rsidP="004E0041">
      <w:pPr>
        <w:rPr>
          <w:lang w:val="lt-LT"/>
        </w:rPr>
      </w:pPr>
    </w:p>
    <w:p w:rsidR="0075756C" w:rsidRPr="00D6560E" w:rsidRDefault="0075756C" w:rsidP="004E0041">
      <w:pPr>
        <w:rPr>
          <w:lang w:val="lt-LT"/>
        </w:rPr>
      </w:pPr>
    </w:p>
    <w:p w:rsidR="00D92FDF" w:rsidRPr="00D6560E" w:rsidRDefault="00D92FDF" w:rsidP="00192889">
      <w:pPr>
        <w:pStyle w:val="Antraste"/>
        <w:jc w:val="left"/>
        <w:rPr>
          <w:lang w:val="lt-LT"/>
        </w:rPr>
      </w:pPr>
      <w:r w:rsidRPr="00D6560E">
        <w:rPr>
          <w:lang w:val="lt-LT"/>
        </w:rPr>
        <w:t>VARTOJIMO PREKIŲ IR PASLAUGŲ KAINŲ POKYČIAI</w:t>
      </w:r>
    </w:p>
    <w:p w:rsidR="00F97C54" w:rsidRDefault="00F97C54" w:rsidP="00F251C2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0316C1" w:rsidRDefault="000316C1" w:rsidP="00F251C2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A17966" w:rsidRDefault="00933262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A17966">
        <w:rPr>
          <w:b/>
          <w:lang w:val="lt-LT"/>
        </w:rPr>
        <w:t>202</w:t>
      </w:r>
      <w:r w:rsidR="00A17966" w:rsidRPr="00A17966">
        <w:rPr>
          <w:b/>
          <w:lang w:val="lt-LT"/>
        </w:rPr>
        <w:t>1</w:t>
      </w:r>
      <w:r w:rsidRPr="00A17966">
        <w:rPr>
          <w:b/>
          <w:lang w:val="lt-LT"/>
        </w:rPr>
        <w:t xml:space="preserve"> </w:t>
      </w:r>
      <w:r w:rsidR="00B05E40" w:rsidRPr="00A17966">
        <w:rPr>
          <w:b/>
          <w:lang w:val="lt-LT"/>
        </w:rPr>
        <w:t xml:space="preserve">m. </w:t>
      </w:r>
      <w:r w:rsidR="00986449">
        <w:rPr>
          <w:b/>
          <w:lang w:val="lt-LT"/>
        </w:rPr>
        <w:t>gegužę</w:t>
      </w:r>
      <w:r w:rsidRPr="00A17966">
        <w:rPr>
          <w:b/>
          <w:lang w:val="lt-LT"/>
        </w:rPr>
        <w:t xml:space="preserve">, palyginti su </w:t>
      </w:r>
      <w:r w:rsidR="00986449">
        <w:rPr>
          <w:b/>
          <w:lang w:val="lt-LT"/>
        </w:rPr>
        <w:t>balandžiu</w:t>
      </w:r>
      <w:r w:rsidRPr="00A17966">
        <w:rPr>
          <w:b/>
          <w:lang w:val="lt-LT"/>
        </w:rPr>
        <w:t>, vartojimo prekių ir paslaugų kain</w:t>
      </w:r>
      <w:r w:rsidR="00A17966" w:rsidRPr="00A17966">
        <w:rPr>
          <w:b/>
          <w:lang w:val="lt-LT"/>
        </w:rPr>
        <w:t xml:space="preserve">os padidėjo </w:t>
      </w:r>
      <w:r w:rsidR="00A55E6C">
        <w:rPr>
          <w:b/>
          <w:lang w:val="lt-LT"/>
        </w:rPr>
        <w:t>0,</w:t>
      </w:r>
      <w:r w:rsidR="00986449">
        <w:rPr>
          <w:b/>
          <w:lang w:val="lt-LT"/>
        </w:rPr>
        <w:t>6</w:t>
      </w:r>
      <w:r w:rsidR="006A383F">
        <w:rPr>
          <w:b/>
          <w:lang w:val="lt-LT"/>
        </w:rPr>
        <w:t> </w:t>
      </w:r>
      <w:r w:rsidR="00A17966" w:rsidRPr="00A17966">
        <w:rPr>
          <w:b/>
          <w:lang w:val="lt-LT"/>
        </w:rPr>
        <w:t>proc.</w:t>
      </w:r>
      <w:r w:rsidR="00ED2FED" w:rsidRPr="00A17966">
        <w:rPr>
          <w:b/>
          <w:lang w:val="lt-LT"/>
        </w:rPr>
        <w:t xml:space="preserve"> </w:t>
      </w:r>
      <w:r w:rsidRPr="00A17966">
        <w:rPr>
          <w:lang w:val="lt-LT"/>
        </w:rPr>
        <w:t>D</w:t>
      </w:r>
      <w:r w:rsidRPr="00CC2263">
        <w:rPr>
          <w:lang w:val="lt-LT"/>
        </w:rPr>
        <w:t>augiausi</w:t>
      </w:r>
      <w:r w:rsidRPr="00A17966">
        <w:rPr>
          <w:lang w:val="lt-LT"/>
        </w:rPr>
        <w:t xml:space="preserve">a tam įtakos turėjo </w:t>
      </w:r>
      <w:r w:rsidR="00D3791A">
        <w:rPr>
          <w:lang w:val="lt-LT"/>
        </w:rPr>
        <w:t>drabužių</w:t>
      </w:r>
      <w:r w:rsidR="004E62BD">
        <w:rPr>
          <w:lang w:val="lt-LT"/>
        </w:rPr>
        <w:t xml:space="preserve"> ir avalynės</w:t>
      </w:r>
      <w:r w:rsidR="00D3791A">
        <w:rPr>
          <w:lang w:val="lt-LT"/>
        </w:rPr>
        <w:t>,</w:t>
      </w:r>
      <w:r w:rsidR="00A17966" w:rsidRPr="00A17966">
        <w:rPr>
          <w:lang w:val="lt-LT"/>
        </w:rPr>
        <w:t xml:space="preserve"> </w:t>
      </w:r>
      <w:r w:rsidR="006B55C6">
        <w:rPr>
          <w:lang w:val="lt-LT"/>
        </w:rPr>
        <w:t>spirituotų gėrimų, restoranų, kavinių ir panašių įstaigų viešojo maitinimo paslaugų, degalų ir tepalų, duonos ir grūdų produktų</w:t>
      </w:r>
      <w:r w:rsidR="00AA2955">
        <w:rPr>
          <w:lang w:val="lt-LT"/>
        </w:rPr>
        <w:t>, asmeninių transporto priemonių techninė</w:t>
      </w:r>
      <w:r w:rsidR="00736CCF">
        <w:rPr>
          <w:lang w:val="lt-LT"/>
        </w:rPr>
        <w:t>s</w:t>
      </w:r>
      <w:r w:rsidR="00AA2955">
        <w:rPr>
          <w:lang w:val="lt-LT"/>
        </w:rPr>
        <w:t xml:space="preserve"> priežiūr</w:t>
      </w:r>
      <w:r w:rsidR="00736CCF">
        <w:rPr>
          <w:lang w:val="lt-LT"/>
        </w:rPr>
        <w:t>os</w:t>
      </w:r>
      <w:r w:rsidR="00AA2955">
        <w:rPr>
          <w:lang w:val="lt-LT"/>
        </w:rPr>
        <w:t xml:space="preserve"> ir remont</w:t>
      </w:r>
      <w:r w:rsidR="00736CCF">
        <w:rPr>
          <w:lang w:val="lt-LT"/>
        </w:rPr>
        <w:t>o paslaugų</w:t>
      </w:r>
      <w:r w:rsidR="00AA2955">
        <w:rPr>
          <w:lang w:val="lt-LT"/>
        </w:rPr>
        <w:t xml:space="preserve"> </w:t>
      </w:r>
      <w:r w:rsidR="006178F1" w:rsidRPr="00A17966">
        <w:rPr>
          <w:lang w:val="lt-LT"/>
        </w:rPr>
        <w:t xml:space="preserve">kainų </w:t>
      </w:r>
      <w:r w:rsidR="00A17966" w:rsidRPr="00A17966">
        <w:rPr>
          <w:lang w:val="lt-LT"/>
        </w:rPr>
        <w:t>padid</w:t>
      </w:r>
      <w:r w:rsidR="001D3FF7" w:rsidRPr="00A17966">
        <w:rPr>
          <w:lang w:val="lt-LT"/>
        </w:rPr>
        <w:t xml:space="preserve">ėjimas </w:t>
      </w:r>
      <w:r w:rsidR="001D3FF7" w:rsidRPr="00461142">
        <w:rPr>
          <w:lang w:val="lt-LT"/>
        </w:rPr>
        <w:t>bei</w:t>
      </w:r>
      <w:r w:rsidR="00CC2263" w:rsidRPr="00CC2263">
        <w:rPr>
          <w:lang w:val="lt-LT"/>
        </w:rPr>
        <w:t xml:space="preserve"> </w:t>
      </w:r>
      <w:r w:rsidR="00AA2955">
        <w:rPr>
          <w:lang w:val="lt-LT"/>
        </w:rPr>
        <w:t>šilumos energijos,</w:t>
      </w:r>
      <w:r w:rsidR="006B55C6" w:rsidRPr="006B55C6">
        <w:rPr>
          <w:lang w:val="lt-LT"/>
        </w:rPr>
        <w:t xml:space="preserve"> </w:t>
      </w:r>
      <w:r w:rsidR="006B55C6" w:rsidRPr="00A17966">
        <w:rPr>
          <w:lang w:val="lt-LT"/>
        </w:rPr>
        <w:t>kitų asmens priežiūros prietaisų, reikmenų ir priemonių</w:t>
      </w:r>
      <w:r w:rsidR="00AA2955" w:rsidRPr="00AA2955">
        <w:rPr>
          <w:lang w:val="lt-LT"/>
        </w:rPr>
        <w:t xml:space="preserve"> </w:t>
      </w:r>
      <w:r w:rsidR="00AA2955" w:rsidRPr="00A17966">
        <w:rPr>
          <w:lang w:val="lt-LT"/>
        </w:rPr>
        <w:t>kainų sumažėjimas</w:t>
      </w:r>
      <w:r w:rsidR="00AA2955">
        <w:rPr>
          <w:lang w:val="lt-LT"/>
        </w:rPr>
        <w:t>.</w:t>
      </w:r>
    </w:p>
    <w:p w:rsidR="00933262" w:rsidRPr="00A17966" w:rsidRDefault="00933262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A17966">
        <w:rPr>
          <w:lang w:val="lt-LT"/>
        </w:rPr>
        <w:t xml:space="preserve">Vartojimo prekių kainos per mėnesį </w:t>
      </w:r>
      <w:r w:rsidR="00A17966">
        <w:rPr>
          <w:lang w:val="lt-LT"/>
        </w:rPr>
        <w:t>padidė</w:t>
      </w:r>
      <w:r w:rsidR="00DE2CBB" w:rsidRPr="00A17966">
        <w:rPr>
          <w:lang w:val="lt-LT"/>
        </w:rPr>
        <w:t>jo</w:t>
      </w:r>
      <w:r w:rsidR="00EA1F55" w:rsidRPr="00A17966">
        <w:rPr>
          <w:lang w:val="lt-LT"/>
        </w:rPr>
        <w:t xml:space="preserve"> </w:t>
      </w:r>
      <w:r w:rsidR="008F6C7E">
        <w:rPr>
          <w:lang w:val="lt-LT"/>
        </w:rPr>
        <w:t>0,6</w:t>
      </w:r>
      <w:r w:rsidR="00556CE2">
        <w:rPr>
          <w:lang w:val="lt-LT"/>
        </w:rPr>
        <w:t> </w:t>
      </w:r>
      <w:r w:rsidR="000453EE" w:rsidRPr="00A17966">
        <w:rPr>
          <w:lang w:val="lt-LT"/>
        </w:rPr>
        <w:t>proc.</w:t>
      </w:r>
      <w:r w:rsidRPr="00A17966">
        <w:rPr>
          <w:lang w:val="lt-LT"/>
        </w:rPr>
        <w:t xml:space="preserve">, paslaugų – </w:t>
      </w:r>
      <w:r w:rsidR="000453EE" w:rsidRPr="00A17966">
        <w:rPr>
          <w:lang w:val="lt-LT"/>
        </w:rPr>
        <w:t>0</w:t>
      </w:r>
      <w:r w:rsidRPr="00A17966">
        <w:rPr>
          <w:lang w:val="lt-LT"/>
        </w:rPr>
        <w:t>,</w:t>
      </w:r>
      <w:r w:rsidR="008F6C7E">
        <w:rPr>
          <w:lang w:val="lt-LT"/>
        </w:rPr>
        <w:t>5</w:t>
      </w:r>
      <w:r w:rsidR="00556CE2">
        <w:rPr>
          <w:lang w:val="lt-LT"/>
        </w:rPr>
        <w:t> </w:t>
      </w:r>
      <w:r w:rsidRPr="00A17966">
        <w:rPr>
          <w:lang w:val="lt-LT"/>
        </w:rPr>
        <w:t>proc.</w:t>
      </w:r>
      <w:r w:rsidR="00C27EE7">
        <w:rPr>
          <w:lang w:val="lt-LT"/>
        </w:rPr>
        <w:t xml:space="preserve"> </w:t>
      </w:r>
    </w:p>
    <w:p w:rsidR="000453D3" w:rsidRPr="00E378A9" w:rsidRDefault="00C02F32" w:rsidP="00C6740B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B4050B">
        <w:rPr>
          <w:lang w:val="lt-LT"/>
        </w:rPr>
        <w:t xml:space="preserve">Valstybės ir </w:t>
      </w:r>
      <w:r w:rsidRPr="003C70C0">
        <w:rPr>
          <w:lang w:val="lt-LT"/>
        </w:rPr>
        <w:t>sa</w:t>
      </w:r>
      <w:r w:rsidRPr="009C1845">
        <w:rPr>
          <w:lang w:val="lt-LT"/>
        </w:rPr>
        <w:t>vivaldybių</w:t>
      </w:r>
      <w:r w:rsidRPr="003C70C0">
        <w:rPr>
          <w:lang w:val="lt-LT"/>
        </w:rPr>
        <w:t xml:space="preserve"> institucijų</w:t>
      </w:r>
      <w:r w:rsidRPr="00B4050B">
        <w:rPr>
          <w:lang w:val="lt-LT"/>
        </w:rPr>
        <w:t xml:space="preserve"> </w:t>
      </w:r>
      <w:r w:rsidR="006D6A67" w:rsidRPr="00B4050B">
        <w:rPr>
          <w:lang w:val="lt-LT"/>
        </w:rPr>
        <w:t>administruojamos</w:t>
      </w:r>
      <w:r w:rsidR="007568CE">
        <w:rPr>
          <w:lang w:val="lt-LT"/>
        </w:rPr>
        <w:t xml:space="preserve"> vartojimo </w:t>
      </w:r>
      <w:r w:rsidRPr="00B4050B">
        <w:rPr>
          <w:lang w:val="lt-LT"/>
        </w:rPr>
        <w:t>prekių ir paslaugų</w:t>
      </w:r>
      <w:r w:rsidR="009C1845">
        <w:rPr>
          <w:lang w:val="lt-LT"/>
        </w:rPr>
        <w:t xml:space="preserve"> kainos </w:t>
      </w:r>
      <w:r w:rsidR="00A55E6C">
        <w:rPr>
          <w:lang w:val="lt-LT"/>
        </w:rPr>
        <w:t>sumaž</w:t>
      </w:r>
      <w:r w:rsidR="007F1050">
        <w:rPr>
          <w:lang w:val="lt-LT"/>
        </w:rPr>
        <w:t xml:space="preserve">ėjo </w:t>
      </w:r>
      <w:r w:rsidR="00B85D63">
        <w:rPr>
          <w:lang w:val="lt-LT"/>
        </w:rPr>
        <w:t>0,</w:t>
      </w:r>
      <w:r w:rsidR="008F6C7E">
        <w:rPr>
          <w:lang w:val="lt-LT"/>
        </w:rPr>
        <w:t>8</w:t>
      </w:r>
      <w:r w:rsidR="00675707">
        <w:rPr>
          <w:b/>
          <w:lang w:val="lt-LT"/>
        </w:rPr>
        <w:t> </w:t>
      </w:r>
      <w:r w:rsidR="007F1050">
        <w:rPr>
          <w:lang w:val="lt-LT"/>
        </w:rPr>
        <w:t>proc.,</w:t>
      </w:r>
      <w:r w:rsidR="00E10E3B">
        <w:rPr>
          <w:lang w:val="lt-LT"/>
        </w:rPr>
        <w:t xml:space="preserve"> rinkos </w:t>
      </w:r>
      <w:r w:rsidR="004E62BD">
        <w:rPr>
          <w:lang w:val="lt-LT"/>
        </w:rPr>
        <w:t xml:space="preserve">– </w:t>
      </w:r>
      <w:r w:rsidR="00A55E6C">
        <w:rPr>
          <w:lang w:val="lt-LT"/>
        </w:rPr>
        <w:t>padidėjo</w:t>
      </w:r>
      <w:r w:rsidR="000453EE">
        <w:rPr>
          <w:lang w:val="lt-LT"/>
        </w:rPr>
        <w:t xml:space="preserve"> </w:t>
      </w:r>
      <w:r w:rsidR="008F6C7E">
        <w:rPr>
          <w:lang w:val="lt-LT"/>
        </w:rPr>
        <w:t>0,8</w:t>
      </w:r>
      <w:r w:rsidR="00556CE2">
        <w:rPr>
          <w:lang w:val="lt-LT"/>
        </w:rPr>
        <w:t> </w:t>
      </w:r>
      <w:r w:rsidR="00ED6C77">
        <w:rPr>
          <w:lang w:val="lt-LT"/>
        </w:rPr>
        <w:t>proc.</w:t>
      </w:r>
    </w:p>
    <w:p w:rsidR="00C6740B" w:rsidRDefault="00C6740B" w:rsidP="00C6740B">
      <w:pPr>
        <w:pStyle w:val="BodyText"/>
        <w:ind w:left="709"/>
        <w:jc w:val="both"/>
        <w:rPr>
          <w:b/>
          <w:lang w:val="lt-LT"/>
        </w:rPr>
      </w:pPr>
    </w:p>
    <w:p w:rsidR="00266C98" w:rsidRPr="00D6560E" w:rsidRDefault="00266C98" w:rsidP="00266C98">
      <w:pPr>
        <w:outlineLvl w:val="1"/>
        <w:rPr>
          <w:b/>
          <w:lang w:val="lt-LT"/>
        </w:rPr>
      </w:pPr>
      <w:r w:rsidRPr="00D6560E">
        <w:rPr>
          <w:b/>
          <w:lang w:val="lt-LT"/>
        </w:rPr>
        <w:t>1 pav. Vartojimo</w:t>
      </w:r>
      <w:r w:rsidR="00C850CD">
        <w:rPr>
          <w:b/>
          <w:lang w:val="lt-LT"/>
        </w:rPr>
        <w:t xml:space="preserve"> </w:t>
      </w:r>
      <w:r w:rsidRPr="00D6560E">
        <w:rPr>
          <w:b/>
          <w:lang w:val="lt-LT"/>
        </w:rPr>
        <w:t>prekių ir paslaugų kainų pokyčiai per mėnesį</w:t>
      </w:r>
    </w:p>
    <w:p w:rsidR="00266C98" w:rsidRPr="00D6560E" w:rsidRDefault="00266C98" w:rsidP="00266C98">
      <w:pPr>
        <w:jc w:val="both"/>
        <w:rPr>
          <w:lang w:val="lt-LT"/>
        </w:rPr>
      </w:pPr>
      <w:r w:rsidRPr="00D6560E">
        <w:rPr>
          <w:lang w:val="lt-LT"/>
        </w:rPr>
        <w:t>Palyginti su ankstesniu mėnesiu</w:t>
      </w:r>
    </w:p>
    <w:p w:rsidR="00F6438F" w:rsidRPr="00D6560E" w:rsidRDefault="00F6438F" w:rsidP="00266C98">
      <w:pPr>
        <w:rPr>
          <w:lang w:val="lt-LT"/>
        </w:rPr>
      </w:pPr>
    </w:p>
    <w:p w:rsidR="00266C98" w:rsidRPr="00D6560E" w:rsidRDefault="0027283F" w:rsidP="00266C98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77C8E88" wp14:editId="1683144E">
            <wp:extent cx="6120000" cy="25200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17FD" w:rsidRDefault="000417FD" w:rsidP="00D44F26">
      <w:pPr>
        <w:rPr>
          <w:lang w:val="lt-LT"/>
        </w:rPr>
      </w:pPr>
    </w:p>
    <w:p w:rsidR="00964771" w:rsidRDefault="00964771" w:rsidP="00D44F26">
      <w:pPr>
        <w:rPr>
          <w:lang w:val="lt-LT"/>
        </w:rPr>
      </w:pPr>
    </w:p>
    <w:p w:rsidR="00AA1B72" w:rsidRDefault="008E64EA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lang w:val="lt-LT"/>
        </w:rPr>
        <w:t>2021 m</w:t>
      </w:r>
      <w:r w:rsidRPr="00EC7593">
        <w:rPr>
          <w:lang w:val="lt-LT"/>
        </w:rPr>
        <w:t xml:space="preserve">. </w:t>
      </w:r>
      <w:r w:rsidR="00E623BE" w:rsidRPr="00E623BE">
        <w:rPr>
          <w:lang w:val="lt-LT"/>
        </w:rPr>
        <w:t>gegužę</w:t>
      </w:r>
      <w:r w:rsidRPr="00E623BE">
        <w:rPr>
          <w:lang w:val="lt-LT"/>
        </w:rPr>
        <w:t>, palyginti su</w:t>
      </w:r>
      <w:r w:rsidRPr="0080172A">
        <w:rPr>
          <w:lang w:val="lt-LT"/>
        </w:rPr>
        <w:t xml:space="preserve"> </w:t>
      </w:r>
      <w:r w:rsidR="00E623BE">
        <w:rPr>
          <w:lang w:val="lt-LT"/>
        </w:rPr>
        <w:t>balandžiu</w:t>
      </w:r>
      <w:r w:rsidRPr="0080172A">
        <w:rPr>
          <w:lang w:val="lt-LT"/>
        </w:rPr>
        <w:t xml:space="preserve">, </w:t>
      </w:r>
      <w:r>
        <w:rPr>
          <w:lang w:val="lt-LT"/>
        </w:rPr>
        <w:t>d</w:t>
      </w:r>
      <w:r w:rsidR="005A1388" w:rsidRPr="009A0D53">
        <w:rPr>
          <w:lang w:val="lt-LT"/>
        </w:rPr>
        <w:t xml:space="preserve">ėl naujų </w:t>
      </w:r>
      <w:r w:rsidR="003442B4">
        <w:rPr>
          <w:lang w:val="lt-LT"/>
        </w:rPr>
        <w:t xml:space="preserve">vasaros </w:t>
      </w:r>
      <w:r w:rsidR="005A1388" w:rsidRPr="009A0D53">
        <w:rPr>
          <w:lang w:val="lt-LT"/>
        </w:rPr>
        <w:t xml:space="preserve">sezono kolekcijų drabužių ir avalynės kainos padidėjo </w:t>
      </w:r>
      <w:r w:rsidR="00E623BE">
        <w:rPr>
          <w:lang w:val="lt-LT"/>
        </w:rPr>
        <w:t>4,4</w:t>
      </w:r>
      <w:r w:rsidR="005A1388">
        <w:t> </w:t>
      </w:r>
      <w:r w:rsidR="005A1388" w:rsidRPr="009A0D53">
        <w:rPr>
          <w:lang w:val="lt-LT"/>
        </w:rPr>
        <w:t xml:space="preserve">proc. </w:t>
      </w:r>
      <w:r w:rsidR="00E623BE">
        <w:rPr>
          <w:lang w:val="lt-LT"/>
        </w:rPr>
        <w:t>A</w:t>
      </w:r>
      <w:r w:rsidR="00E623BE" w:rsidRPr="009A0D53">
        <w:rPr>
          <w:lang w:val="lt-LT"/>
        </w:rPr>
        <w:t>valynė</w:t>
      </w:r>
      <w:r w:rsidR="00E623BE">
        <w:rPr>
          <w:lang w:val="lt-LT"/>
        </w:rPr>
        <w:t xml:space="preserve"> </w:t>
      </w:r>
      <w:r w:rsidR="003442B4" w:rsidRPr="009A0D53">
        <w:rPr>
          <w:lang w:val="lt-LT"/>
        </w:rPr>
        <w:t xml:space="preserve">pabrango </w:t>
      </w:r>
      <w:r w:rsidR="00E623BE">
        <w:rPr>
          <w:lang w:val="lt-LT"/>
        </w:rPr>
        <w:t>4</w:t>
      </w:r>
      <w:r w:rsidR="003442B4">
        <w:rPr>
          <w:lang w:val="lt-LT"/>
        </w:rPr>
        <w:t>,</w:t>
      </w:r>
      <w:r w:rsidR="00E623BE">
        <w:rPr>
          <w:lang w:val="lt-LT"/>
        </w:rPr>
        <w:t>9</w:t>
      </w:r>
      <w:r w:rsidR="003442B4">
        <w:rPr>
          <w:lang w:val="lt-LT"/>
        </w:rPr>
        <w:t> </w:t>
      </w:r>
      <w:r w:rsidR="003442B4" w:rsidRPr="009A0D53">
        <w:rPr>
          <w:lang w:val="lt-LT"/>
        </w:rPr>
        <w:t>proc.</w:t>
      </w:r>
      <w:r w:rsidR="003442B4">
        <w:rPr>
          <w:lang w:val="lt-LT"/>
        </w:rPr>
        <w:t xml:space="preserve">, </w:t>
      </w:r>
      <w:r w:rsidR="00E623BE">
        <w:rPr>
          <w:lang w:val="lt-LT"/>
        </w:rPr>
        <w:t>d</w:t>
      </w:r>
      <w:r w:rsidR="00E623BE" w:rsidRPr="009A0D53">
        <w:rPr>
          <w:lang w:val="lt-LT"/>
        </w:rPr>
        <w:t>rabužiai</w:t>
      </w:r>
      <w:r w:rsidR="00E623BE">
        <w:rPr>
          <w:lang w:val="lt-LT"/>
        </w:rPr>
        <w:t xml:space="preserve"> </w:t>
      </w:r>
      <w:r w:rsidR="003442B4">
        <w:rPr>
          <w:lang w:val="lt-LT"/>
        </w:rPr>
        <w:t>–</w:t>
      </w:r>
      <w:r w:rsidR="005A1388" w:rsidRPr="009A0D53">
        <w:rPr>
          <w:lang w:val="lt-LT"/>
        </w:rPr>
        <w:t xml:space="preserve"> </w:t>
      </w:r>
      <w:r w:rsidR="00E623BE">
        <w:rPr>
          <w:lang w:val="lt-LT"/>
        </w:rPr>
        <w:t>4</w:t>
      </w:r>
      <w:r w:rsidR="005A1388">
        <w:rPr>
          <w:lang w:val="lt-LT"/>
        </w:rPr>
        <w:t>,</w:t>
      </w:r>
      <w:r w:rsidR="00E623BE">
        <w:rPr>
          <w:lang w:val="lt-LT"/>
        </w:rPr>
        <w:t>3</w:t>
      </w:r>
      <w:r w:rsidR="005A1388">
        <w:t> </w:t>
      </w:r>
      <w:r w:rsidR="005A1388" w:rsidRPr="009A0D53">
        <w:rPr>
          <w:lang w:val="lt-LT"/>
        </w:rPr>
        <w:t xml:space="preserve">proc. </w:t>
      </w:r>
    </w:p>
    <w:p w:rsidR="003442B4" w:rsidRDefault="003442B4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lang w:val="lt-LT"/>
        </w:rPr>
        <w:t>M</w:t>
      </w:r>
      <w:r w:rsidRPr="00465E13">
        <w:rPr>
          <w:lang w:val="lt-LT"/>
        </w:rPr>
        <w:t xml:space="preserve">aisto produktų ir nealkoholinių gėrimų kainos </w:t>
      </w:r>
      <w:r>
        <w:rPr>
          <w:lang w:val="lt-LT"/>
        </w:rPr>
        <w:t xml:space="preserve">padidėjo </w:t>
      </w:r>
      <w:r w:rsidR="00E623BE">
        <w:rPr>
          <w:lang w:val="lt-LT"/>
        </w:rPr>
        <w:t>0</w:t>
      </w:r>
      <w:r>
        <w:rPr>
          <w:lang w:val="lt-LT"/>
        </w:rPr>
        <w:t>,</w:t>
      </w:r>
      <w:r w:rsidR="00E623BE">
        <w:rPr>
          <w:lang w:val="lt-LT"/>
        </w:rPr>
        <w:t>6</w:t>
      </w:r>
      <w:r>
        <w:rPr>
          <w:lang w:val="lt-LT"/>
        </w:rPr>
        <w:t> proc</w:t>
      </w:r>
      <w:r w:rsidRPr="00465E13">
        <w:rPr>
          <w:lang w:val="lt-LT"/>
        </w:rPr>
        <w:t xml:space="preserve">. Labiausiai kito kai kurių šviežių vaisių ir daržovių kainos: daugiausia </w:t>
      </w:r>
      <w:r>
        <w:rPr>
          <w:lang w:val="lt-LT"/>
        </w:rPr>
        <w:t xml:space="preserve">padidėjo </w:t>
      </w:r>
      <w:r w:rsidR="00E623BE">
        <w:rPr>
          <w:lang w:val="lt-LT"/>
        </w:rPr>
        <w:t xml:space="preserve">morkų, kivių, burokėlių, mandarinų, kriaušių </w:t>
      </w:r>
      <w:r>
        <w:rPr>
          <w:lang w:val="lt-LT"/>
        </w:rPr>
        <w:t xml:space="preserve">kainos, bet sumažėjo </w:t>
      </w:r>
      <w:r w:rsidR="00E623BE">
        <w:rPr>
          <w:lang w:val="lt-LT"/>
        </w:rPr>
        <w:t xml:space="preserve">trumpavaisių agurkų, saldžiųjų paprikų, </w:t>
      </w:r>
      <w:r>
        <w:rPr>
          <w:lang w:val="lt-LT"/>
        </w:rPr>
        <w:t>avokadų,</w:t>
      </w:r>
      <w:r w:rsidR="00E623BE">
        <w:rPr>
          <w:lang w:val="lt-LT"/>
        </w:rPr>
        <w:t xml:space="preserve"> špinatų</w:t>
      </w:r>
      <w:r>
        <w:rPr>
          <w:lang w:val="lt-LT"/>
        </w:rPr>
        <w:t xml:space="preserve"> kainos.</w:t>
      </w:r>
    </w:p>
    <w:p w:rsidR="00A01B05" w:rsidRPr="0032035E" w:rsidRDefault="00A01B05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32035E">
        <w:rPr>
          <w:lang w:val="lt-LT"/>
        </w:rPr>
        <w:t>Alkoholinių gėrimų ir tabako gaminių bendrą kainų pokytį (</w:t>
      </w:r>
      <w:r w:rsidR="006022E1" w:rsidRPr="0032035E">
        <w:rPr>
          <w:lang w:val="lt-LT"/>
        </w:rPr>
        <w:t xml:space="preserve">kainos padidėjo </w:t>
      </w:r>
      <w:r w:rsidRPr="0032035E">
        <w:rPr>
          <w:lang w:val="lt-LT"/>
        </w:rPr>
        <w:t>1 proc.) nulėmė spirituotų gėrimų (3,7</w:t>
      </w:r>
      <w:r w:rsidR="006022E1" w:rsidRPr="0032035E">
        <w:rPr>
          <w:lang w:val="lt-LT"/>
        </w:rPr>
        <w:t> </w:t>
      </w:r>
      <w:r w:rsidRPr="0032035E">
        <w:rPr>
          <w:lang w:val="lt-LT"/>
        </w:rPr>
        <w:t>proc.)</w:t>
      </w:r>
      <w:r w:rsidR="00410CBE" w:rsidRPr="0032035E">
        <w:rPr>
          <w:lang w:val="lt-LT"/>
        </w:rPr>
        <w:t>,</w:t>
      </w:r>
      <w:r w:rsidRPr="0032035E">
        <w:rPr>
          <w:lang w:val="lt-LT"/>
        </w:rPr>
        <w:t xml:space="preserve"> tabako gaminių (0,1 proc.) kainų padidėjimas.</w:t>
      </w:r>
    </w:p>
    <w:p w:rsidR="005A1388" w:rsidRPr="0032035E" w:rsidRDefault="00410CBE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32035E">
        <w:rPr>
          <w:lang w:val="lt-LT"/>
        </w:rPr>
        <w:t>Būsto, vandens, elektros, dujų ir kito kuro grupės prekių ir paslaugų kainų pokytį (kainos sumažėjo 1 proc.) nulėmė šilumos energijos (6,8 proc.), suskystintų dujų maistui gaminti (1,3 proc.) kainų sumažėjima</w:t>
      </w:r>
      <w:r w:rsidR="005A1388" w:rsidRPr="0032035E">
        <w:rPr>
          <w:lang w:val="lt-LT"/>
        </w:rPr>
        <w:t>s.</w:t>
      </w:r>
    </w:p>
    <w:p w:rsidR="00964771" w:rsidRDefault="00964771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410CBE" w:rsidRDefault="00410CBE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2A15A2" w:rsidRDefault="002A15A2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2A15A2" w:rsidRDefault="002A15A2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2A15A2" w:rsidRPr="00A86E6A" w:rsidRDefault="002A15A2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F6438F" w:rsidRPr="00D52627" w:rsidRDefault="00F6438F" w:rsidP="00F6438F">
      <w:pPr>
        <w:pStyle w:val="Lentelespav"/>
        <w:jc w:val="left"/>
        <w:rPr>
          <w:lang w:val="lt-LT"/>
        </w:rPr>
      </w:pPr>
      <w:r w:rsidRPr="006B12E8">
        <w:rPr>
          <w:lang w:val="lt-LT"/>
        </w:rPr>
        <w:t xml:space="preserve">1 lentelė. </w:t>
      </w:r>
      <w:r w:rsidR="00E5406F" w:rsidRPr="00D52627">
        <w:rPr>
          <w:lang w:val="lt-LT"/>
        </w:rPr>
        <w:t xml:space="preserve">Didžiausi </w:t>
      </w:r>
      <w:r w:rsidR="00E5406F" w:rsidRPr="009435A1">
        <w:rPr>
          <w:lang w:val="lt-LT"/>
        </w:rPr>
        <w:t>v</w:t>
      </w:r>
      <w:r w:rsidRPr="009435A1">
        <w:rPr>
          <w:lang w:val="lt-LT"/>
        </w:rPr>
        <w:t>artojimo prekių ir</w:t>
      </w:r>
      <w:r w:rsidRPr="00D52627">
        <w:rPr>
          <w:lang w:val="lt-LT"/>
        </w:rPr>
        <w:t xml:space="preserve"> paslaugų kainų pokyčiai </w:t>
      </w:r>
      <w:r w:rsidR="00E5406F" w:rsidRPr="00D52627">
        <w:rPr>
          <w:lang w:val="lt-LT"/>
        </w:rPr>
        <w:t>per mėnesį</w:t>
      </w:r>
    </w:p>
    <w:p w:rsidR="00E5406F" w:rsidRPr="006B12E8" w:rsidRDefault="00AA099E" w:rsidP="005A0256">
      <w:pPr>
        <w:spacing w:before="40" w:after="120"/>
        <w:jc w:val="both"/>
        <w:rPr>
          <w:lang w:val="lt-LT"/>
        </w:rPr>
      </w:pPr>
      <w:r w:rsidRPr="00D52627">
        <w:rPr>
          <w:lang w:val="lt-LT"/>
        </w:rPr>
        <w:t>20</w:t>
      </w:r>
      <w:r w:rsidR="00E77EDD">
        <w:rPr>
          <w:lang w:val="lt-LT"/>
        </w:rPr>
        <w:t>2</w:t>
      </w:r>
      <w:r w:rsidR="007B55E3">
        <w:rPr>
          <w:lang w:val="lt-LT"/>
        </w:rPr>
        <w:t>1</w:t>
      </w:r>
      <w:r w:rsidRPr="00D52627">
        <w:rPr>
          <w:lang w:val="lt-LT"/>
        </w:rPr>
        <w:t xml:space="preserve"> m. </w:t>
      </w:r>
      <w:r w:rsidR="007A09D3">
        <w:rPr>
          <w:lang w:val="lt-LT"/>
        </w:rPr>
        <w:t>gegužės</w:t>
      </w:r>
      <w:r w:rsidRPr="00D52627">
        <w:rPr>
          <w:lang w:val="lt-LT"/>
        </w:rPr>
        <w:t xml:space="preserve"> mėn., palyginti su </w:t>
      </w:r>
      <w:r w:rsidR="007A09D3">
        <w:rPr>
          <w:lang w:val="lt-LT"/>
        </w:rPr>
        <w:t>balandžio</w:t>
      </w:r>
      <w:r w:rsidRPr="00D52627">
        <w:rPr>
          <w:lang w:val="lt-LT"/>
        </w:rPr>
        <w:t xml:space="preserve"> mėn.</w:t>
      </w:r>
    </w:p>
    <w:p w:rsidR="00F6438F" w:rsidRPr="006B12E8" w:rsidRDefault="00F6438F" w:rsidP="00771C4B">
      <w:pPr>
        <w:spacing w:before="60" w:after="60"/>
        <w:rPr>
          <w:sz w:val="18"/>
          <w:szCs w:val="18"/>
          <w:lang w:val="lt-LT"/>
        </w:rPr>
      </w:pPr>
      <w:r w:rsidRPr="006B12E8">
        <w:rPr>
          <w:sz w:val="18"/>
          <w:szCs w:val="18"/>
          <w:lang w:val="lt-LT"/>
        </w:rPr>
        <w:t>Procentais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1245"/>
        <w:gridCol w:w="3050"/>
        <w:gridCol w:w="1635"/>
      </w:tblGrid>
      <w:tr w:rsidR="00264BF6" w:rsidRPr="006B12E8" w:rsidTr="00612AC8">
        <w:trPr>
          <w:tblHeader/>
        </w:trPr>
        <w:tc>
          <w:tcPr>
            <w:tcW w:w="1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Prekių ir paslaugų pavadinimas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left="-57"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Kainų padidėjimas, proc.</w:t>
            </w:r>
          </w:p>
        </w:tc>
        <w:tc>
          <w:tcPr>
            <w:tcW w:w="1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Prekių ir paslaugų pavadinimas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left="-57"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Kainų sumažėjimas (–), proc.</w:t>
            </w:r>
          </w:p>
        </w:tc>
      </w:tr>
      <w:tr w:rsidR="00976E53" w:rsidRPr="006B12E8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976E53" w:rsidRPr="006B12E8" w:rsidRDefault="00976E53" w:rsidP="00264BF6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Švieži vaisiai ir daržovės</w:t>
            </w:r>
          </w:p>
        </w:tc>
      </w:tr>
      <w:tr w:rsidR="00C74E37" w:rsidRPr="0012099D" w:rsidTr="00612AC8"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:rsidR="00C74E37" w:rsidRPr="0015299C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Morkos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27,8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Trumpavaisiai</w:t>
            </w:r>
            <w:r w:rsidRPr="009A7AC6">
              <w:rPr>
                <w:rFonts w:cs="Arial"/>
                <w:sz w:val="19"/>
                <w:szCs w:val="19"/>
                <w:lang w:val="lt-LT"/>
              </w:rPr>
              <w:t xml:space="preserve"> agurkai</w:t>
            </w:r>
          </w:p>
        </w:tc>
        <w:tc>
          <w:tcPr>
            <w:tcW w:w="836" w:type="pct"/>
            <w:tcBorders>
              <w:top w:val="single" w:sz="4" w:space="0" w:color="auto"/>
            </w:tcBorders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–22,2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Pr="0015299C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Kiviai</w:t>
            </w:r>
          </w:p>
        </w:tc>
        <w:tc>
          <w:tcPr>
            <w:tcW w:w="637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16,3</w:t>
            </w:r>
          </w:p>
        </w:tc>
        <w:tc>
          <w:tcPr>
            <w:tcW w:w="1560" w:type="pct"/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Saldžiosios paprikos</w:t>
            </w:r>
          </w:p>
        </w:tc>
        <w:tc>
          <w:tcPr>
            <w:tcW w:w="836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–13,9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Burokėliai</w:t>
            </w:r>
          </w:p>
        </w:tc>
        <w:tc>
          <w:tcPr>
            <w:tcW w:w="637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10,5</w:t>
            </w:r>
          </w:p>
        </w:tc>
        <w:tc>
          <w:tcPr>
            <w:tcW w:w="1560" w:type="pct"/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Avokadai</w:t>
            </w:r>
          </w:p>
        </w:tc>
        <w:tc>
          <w:tcPr>
            <w:tcW w:w="836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–11,9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Mandarinai </w:t>
            </w:r>
          </w:p>
        </w:tc>
        <w:tc>
          <w:tcPr>
            <w:tcW w:w="637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9,6</w:t>
            </w:r>
          </w:p>
        </w:tc>
        <w:tc>
          <w:tcPr>
            <w:tcW w:w="1560" w:type="pct"/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9A7AC6">
              <w:rPr>
                <w:rFonts w:cs="Arial"/>
                <w:sz w:val="19"/>
                <w:szCs w:val="19"/>
                <w:lang w:val="lt-LT"/>
              </w:rPr>
              <w:t>Špinatai</w:t>
            </w:r>
          </w:p>
        </w:tc>
        <w:tc>
          <w:tcPr>
            <w:tcW w:w="836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–5,0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Kriaušės</w:t>
            </w:r>
          </w:p>
        </w:tc>
        <w:tc>
          <w:tcPr>
            <w:tcW w:w="637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8,8</w:t>
            </w:r>
          </w:p>
        </w:tc>
        <w:tc>
          <w:tcPr>
            <w:tcW w:w="1560" w:type="pct"/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9A7AC6">
              <w:rPr>
                <w:rFonts w:cs="Arial"/>
                <w:sz w:val="19"/>
                <w:szCs w:val="19"/>
                <w:lang w:val="lt-LT"/>
              </w:rPr>
              <w:t>Melionai</w:t>
            </w:r>
          </w:p>
        </w:tc>
        <w:tc>
          <w:tcPr>
            <w:tcW w:w="836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–2,3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Pr="00021E64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Anktyvieji b</w:t>
            </w:r>
            <w:r w:rsidRPr="00021E64">
              <w:rPr>
                <w:rFonts w:cs="Arial"/>
                <w:sz w:val="19"/>
                <w:szCs w:val="19"/>
                <w:lang w:val="lt-LT"/>
              </w:rPr>
              <w:t xml:space="preserve">altagūžiai </w:t>
            </w:r>
            <w:r>
              <w:rPr>
                <w:rFonts w:cs="Arial"/>
                <w:sz w:val="19"/>
                <w:szCs w:val="19"/>
                <w:lang w:val="lt-LT"/>
              </w:rPr>
              <w:t>kopūstai</w:t>
            </w:r>
          </w:p>
        </w:tc>
        <w:tc>
          <w:tcPr>
            <w:tcW w:w="637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8,6</w:t>
            </w:r>
          </w:p>
        </w:tc>
        <w:tc>
          <w:tcPr>
            <w:tcW w:w="1560" w:type="pct"/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9A7AC6">
              <w:rPr>
                <w:rFonts w:cs="Arial"/>
                <w:sz w:val="19"/>
                <w:szCs w:val="19"/>
                <w:lang w:val="lt-LT"/>
              </w:rPr>
              <w:t>Žiediniai kopūstai</w:t>
            </w:r>
          </w:p>
        </w:tc>
        <w:tc>
          <w:tcPr>
            <w:tcW w:w="836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–2,1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Pr="00021E64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Citrinos</w:t>
            </w:r>
          </w:p>
        </w:tc>
        <w:tc>
          <w:tcPr>
            <w:tcW w:w="637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6,3</w:t>
            </w:r>
          </w:p>
        </w:tc>
        <w:tc>
          <w:tcPr>
            <w:tcW w:w="1560" w:type="pct"/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Bananai</w:t>
            </w:r>
          </w:p>
        </w:tc>
        <w:tc>
          <w:tcPr>
            <w:tcW w:w="836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–1,7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Pr="00021E64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Kininiai kopūstai</w:t>
            </w:r>
          </w:p>
        </w:tc>
        <w:tc>
          <w:tcPr>
            <w:tcW w:w="637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5,6</w:t>
            </w:r>
          </w:p>
        </w:tc>
        <w:tc>
          <w:tcPr>
            <w:tcW w:w="1560" w:type="pct"/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Šilauogės</w:t>
            </w:r>
          </w:p>
        </w:tc>
        <w:tc>
          <w:tcPr>
            <w:tcW w:w="836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–1,6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Greipfrutai</w:t>
            </w:r>
          </w:p>
        </w:tc>
        <w:tc>
          <w:tcPr>
            <w:tcW w:w="637" w:type="pct"/>
            <w:shd w:val="clear" w:color="auto" w:fill="auto"/>
          </w:tcPr>
          <w:p w:rsidR="00C74E37" w:rsidRPr="00C74E37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5,3</w:t>
            </w:r>
          </w:p>
        </w:tc>
        <w:tc>
          <w:tcPr>
            <w:tcW w:w="1560" w:type="pct"/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Vynuogės</w:t>
            </w:r>
          </w:p>
        </w:tc>
        <w:tc>
          <w:tcPr>
            <w:tcW w:w="637" w:type="pct"/>
            <w:shd w:val="clear" w:color="auto" w:fill="auto"/>
          </w:tcPr>
          <w:p w:rsidR="00C74E37" w:rsidRPr="00C74E37" w:rsidRDefault="00C74E37" w:rsidP="006022E1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C74E37">
              <w:rPr>
                <w:rFonts w:cs="Arial"/>
                <w:sz w:val="19"/>
                <w:szCs w:val="19"/>
                <w:lang w:val="lt-LT"/>
              </w:rPr>
              <w:t>5,</w:t>
            </w:r>
            <w:r w:rsidR="006022E1">
              <w:rPr>
                <w:rFonts w:cs="Arial"/>
                <w:sz w:val="19"/>
                <w:szCs w:val="19"/>
                <w:lang w:val="lt-LT"/>
              </w:rPr>
              <w:t>2</w:t>
            </w:r>
          </w:p>
        </w:tc>
        <w:tc>
          <w:tcPr>
            <w:tcW w:w="1560" w:type="pct"/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74E37" w:rsidRPr="009A7AC6" w:rsidRDefault="00C74E37" w:rsidP="00C74E37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74E37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C74E37" w:rsidRPr="0012099D" w:rsidRDefault="00C74E37" w:rsidP="00C74E37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Maisto produktai ir nealkoholiniai gėrimai</w:t>
            </w:r>
          </w:p>
        </w:tc>
      </w:tr>
      <w:tr w:rsidR="00C74E37" w:rsidRPr="0012099D" w:rsidTr="00612AC8"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:rsidR="00C74E37" w:rsidRPr="00481817" w:rsidRDefault="00F341BB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Kava 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</w:tcPr>
          <w:p w:rsidR="00C74E37" w:rsidRPr="00481817" w:rsidRDefault="00F341BB" w:rsidP="00C74E3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3,8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shd w:val="clear" w:color="auto" w:fill="auto"/>
          </w:tcPr>
          <w:p w:rsidR="00C74E37" w:rsidRDefault="00F341BB" w:rsidP="00F341BB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Už</w:t>
            </w:r>
            <w:r w:rsidRPr="002B5318">
              <w:rPr>
                <w:rFonts w:cs="Arial"/>
                <w:sz w:val="19"/>
                <w:szCs w:val="19"/>
                <w:lang w:val="lt-LT"/>
              </w:rPr>
              <w:t>šaldyt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os jūros gėrybės </w:t>
            </w:r>
          </w:p>
        </w:tc>
        <w:tc>
          <w:tcPr>
            <w:tcW w:w="836" w:type="pct"/>
            <w:tcBorders>
              <w:top w:val="single" w:sz="4" w:space="0" w:color="auto"/>
            </w:tcBorders>
            <w:shd w:val="clear" w:color="auto" w:fill="auto"/>
          </w:tcPr>
          <w:p w:rsidR="00C74E37" w:rsidRPr="005C56AB" w:rsidRDefault="00C74E37" w:rsidP="00F341BB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C56AB">
              <w:rPr>
                <w:rFonts w:cs="Arial"/>
                <w:sz w:val="19"/>
                <w:szCs w:val="19"/>
                <w:lang w:val="lt-LT"/>
              </w:rPr>
              <w:t>–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3</w:t>
            </w:r>
            <w:r w:rsidRPr="005C56AB">
              <w:rPr>
                <w:rFonts w:cs="Arial"/>
                <w:sz w:val="19"/>
                <w:szCs w:val="19"/>
                <w:lang w:val="lt-LT"/>
              </w:rPr>
              <w:t>,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7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Pr="00481817" w:rsidRDefault="00F341BB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F341BB">
              <w:rPr>
                <w:rFonts w:cs="Arial"/>
                <w:sz w:val="19"/>
                <w:szCs w:val="19"/>
                <w:lang w:val="lt-LT"/>
              </w:rPr>
              <w:t>Konservuotos ir paruoštos daržovės ir daržovių produktai</w:t>
            </w:r>
          </w:p>
        </w:tc>
        <w:tc>
          <w:tcPr>
            <w:tcW w:w="637" w:type="pct"/>
            <w:shd w:val="clear" w:color="auto" w:fill="auto"/>
          </w:tcPr>
          <w:p w:rsidR="00C74E37" w:rsidRPr="00481817" w:rsidRDefault="00F341BB" w:rsidP="00C74E3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3,3</w:t>
            </w:r>
          </w:p>
        </w:tc>
        <w:tc>
          <w:tcPr>
            <w:tcW w:w="1560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Valgomieji subproduktai</w:t>
            </w:r>
          </w:p>
        </w:tc>
        <w:tc>
          <w:tcPr>
            <w:tcW w:w="836" w:type="pct"/>
            <w:shd w:val="clear" w:color="auto" w:fill="auto"/>
          </w:tcPr>
          <w:p w:rsidR="00C74E37" w:rsidRPr="005C56AB" w:rsidRDefault="00C74E37" w:rsidP="00F341BB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C56AB">
              <w:rPr>
                <w:rFonts w:cs="Arial"/>
                <w:sz w:val="19"/>
                <w:szCs w:val="19"/>
                <w:lang w:val="lt-LT"/>
              </w:rPr>
              <w:t>–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2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0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Kiaušiniai</w:t>
            </w:r>
            <w:r w:rsidR="00C74E37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3,2</w:t>
            </w:r>
          </w:p>
        </w:tc>
        <w:tc>
          <w:tcPr>
            <w:tcW w:w="1560" w:type="pct"/>
            <w:shd w:val="clear" w:color="auto" w:fill="auto"/>
          </w:tcPr>
          <w:p w:rsidR="00C74E37" w:rsidRDefault="00C74E37" w:rsidP="00F341BB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onservuota žuvis</w:t>
            </w:r>
          </w:p>
        </w:tc>
        <w:tc>
          <w:tcPr>
            <w:tcW w:w="836" w:type="pct"/>
            <w:shd w:val="clear" w:color="auto" w:fill="auto"/>
          </w:tcPr>
          <w:p w:rsidR="00C74E37" w:rsidRPr="005C56AB" w:rsidRDefault="00C74E37" w:rsidP="00F341BB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,4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Sviestas</w:t>
            </w:r>
          </w:p>
        </w:tc>
        <w:tc>
          <w:tcPr>
            <w:tcW w:w="637" w:type="pct"/>
            <w:shd w:val="clear" w:color="auto" w:fill="auto"/>
          </w:tcPr>
          <w:p w:rsidR="00C74E37" w:rsidRDefault="00C74E37" w:rsidP="00F341BB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0</w:t>
            </w:r>
          </w:p>
        </w:tc>
        <w:tc>
          <w:tcPr>
            <w:tcW w:w="1560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Džiovinti vaisiai</w:t>
            </w:r>
          </w:p>
        </w:tc>
        <w:tc>
          <w:tcPr>
            <w:tcW w:w="836" w:type="pct"/>
            <w:shd w:val="clear" w:color="auto" w:fill="auto"/>
          </w:tcPr>
          <w:p w:rsidR="00C74E37" w:rsidRPr="005C56AB" w:rsidRDefault="00C74E37" w:rsidP="00F341BB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2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Ledai</w:t>
            </w:r>
          </w:p>
        </w:tc>
        <w:tc>
          <w:tcPr>
            <w:tcW w:w="637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2,9</w:t>
            </w:r>
          </w:p>
        </w:tc>
        <w:tc>
          <w:tcPr>
            <w:tcW w:w="1560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Rūkyti mėsos gaminiai</w:t>
            </w:r>
          </w:p>
        </w:tc>
        <w:tc>
          <w:tcPr>
            <w:tcW w:w="836" w:type="pct"/>
            <w:shd w:val="clear" w:color="auto" w:fill="auto"/>
          </w:tcPr>
          <w:p w:rsidR="00C74E37" w:rsidRPr="005C56AB" w:rsidRDefault="00C74E37" w:rsidP="00F341BB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2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Šokoladas</w:t>
            </w:r>
            <w:r w:rsidR="00C74E37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2,8</w:t>
            </w:r>
          </w:p>
        </w:tc>
        <w:tc>
          <w:tcPr>
            <w:tcW w:w="1560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Kefyras</w:t>
            </w:r>
            <w:r w:rsidR="00C74E37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836" w:type="pct"/>
            <w:shd w:val="clear" w:color="auto" w:fill="auto"/>
          </w:tcPr>
          <w:p w:rsidR="00C74E37" w:rsidRPr="005C56AB" w:rsidRDefault="00C74E37" w:rsidP="00F341BB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0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Default="00F341BB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Šviežia ir atšaldyta žuvis </w:t>
            </w:r>
          </w:p>
        </w:tc>
        <w:tc>
          <w:tcPr>
            <w:tcW w:w="637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2,8</w:t>
            </w:r>
          </w:p>
        </w:tc>
        <w:tc>
          <w:tcPr>
            <w:tcW w:w="1560" w:type="pct"/>
            <w:shd w:val="clear" w:color="auto" w:fill="auto"/>
          </w:tcPr>
          <w:p w:rsidR="00C74E37" w:rsidRDefault="00B76527" w:rsidP="00C74E3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Vaisių ir daržovių sultys</w:t>
            </w:r>
          </w:p>
        </w:tc>
        <w:tc>
          <w:tcPr>
            <w:tcW w:w="836" w:type="pct"/>
            <w:shd w:val="clear" w:color="auto" w:fill="auto"/>
          </w:tcPr>
          <w:p w:rsidR="00C74E37" w:rsidRDefault="00C74E37" w:rsidP="00B7652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B76527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B76527">
              <w:rPr>
                <w:rFonts w:cs="Arial"/>
                <w:sz w:val="19"/>
                <w:szCs w:val="19"/>
                <w:lang w:val="lt-LT"/>
              </w:rPr>
              <w:t>0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Jautiena ir veršiena</w:t>
            </w:r>
          </w:p>
        </w:tc>
        <w:tc>
          <w:tcPr>
            <w:tcW w:w="637" w:type="pct"/>
            <w:shd w:val="clear" w:color="auto" w:fill="auto"/>
          </w:tcPr>
          <w:p w:rsidR="00C74E37" w:rsidRDefault="00F341BB" w:rsidP="00C74E3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2,6</w:t>
            </w:r>
          </w:p>
        </w:tc>
        <w:tc>
          <w:tcPr>
            <w:tcW w:w="1560" w:type="pct"/>
            <w:shd w:val="clear" w:color="auto" w:fill="auto"/>
          </w:tcPr>
          <w:p w:rsidR="00C74E37" w:rsidRDefault="00B76527" w:rsidP="00C74E3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Ryžiai</w:t>
            </w:r>
          </w:p>
        </w:tc>
        <w:tc>
          <w:tcPr>
            <w:tcW w:w="836" w:type="pct"/>
            <w:shd w:val="clear" w:color="auto" w:fill="auto"/>
          </w:tcPr>
          <w:p w:rsidR="00C74E37" w:rsidRDefault="00C74E37" w:rsidP="00B7652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B76527">
              <w:rPr>
                <w:rFonts w:cs="Arial"/>
                <w:sz w:val="19"/>
                <w:szCs w:val="19"/>
                <w:lang w:val="lt-LT"/>
              </w:rPr>
              <w:t>0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B76527">
              <w:rPr>
                <w:rFonts w:cs="Arial"/>
                <w:sz w:val="19"/>
                <w:szCs w:val="19"/>
                <w:lang w:val="lt-LT"/>
              </w:rPr>
              <w:t>9</w:t>
            </w:r>
          </w:p>
        </w:tc>
      </w:tr>
      <w:tr w:rsidR="00C74E37" w:rsidRPr="0012099D" w:rsidTr="00612AC8">
        <w:tc>
          <w:tcPr>
            <w:tcW w:w="1967" w:type="pct"/>
            <w:shd w:val="clear" w:color="auto" w:fill="auto"/>
          </w:tcPr>
          <w:p w:rsidR="00C74E37" w:rsidRPr="00481817" w:rsidRDefault="00F341BB" w:rsidP="00C74E3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Miltai</w:t>
            </w:r>
          </w:p>
        </w:tc>
        <w:tc>
          <w:tcPr>
            <w:tcW w:w="637" w:type="pct"/>
            <w:shd w:val="clear" w:color="auto" w:fill="auto"/>
          </w:tcPr>
          <w:p w:rsidR="00C74E37" w:rsidRPr="00481817" w:rsidRDefault="00C74E37" w:rsidP="00F341BB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</w:t>
            </w:r>
            <w:r w:rsidR="00F341BB">
              <w:rPr>
                <w:rFonts w:cs="Arial"/>
                <w:sz w:val="19"/>
                <w:szCs w:val="19"/>
                <w:lang w:val="lt-LT"/>
              </w:rPr>
              <w:t>4</w:t>
            </w:r>
          </w:p>
        </w:tc>
        <w:tc>
          <w:tcPr>
            <w:tcW w:w="1560" w:type="pct"/>
            <w:shd w:val="clear" w:color="auto" w:fill="auto"/>
          </w:tcPr>
          <w:p w:rsidR="00C74E37" w:rsidRDefault="00B76527" w:rsidP="00C74E3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Margarinas</w:t>
            </w:r>
          </w:p>
        </w:tc>
        <w:tc>
          <w:tcPr>
            <w:tcW w:w="836" w:type="pct"/>
            <w:shd w:val="clear" w:color="auto" w:fill="auto"/>
          </w:tcPr>
          <w:p w:rsidR="00C74E37" w:rsidRPr="005C56AB" w:rsidRDefault="00C74E37" w:rsidP="00B7652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C56AB">
              <w:rPr>
                <w:rFonts w:cs="Arial"/>
                <w:sz w:val="19"/>
                <w:szCs w:val="19"/>
                <w:lang w:val="lt-LT"/>
              </w:rPr>
              <w:t>–</w:t>
            </w:r>
            <w:r w:rsidR="00B76527">
              <w:rPr>
                <w:rFonts w:cs="Arial"/>
                <w:sz w:val="19"/>
                <w:szCs w:val="19"/>
                <w:lang w:val="lt-LT"/>
              </w:rPr>
              <w:t>0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B76527">
              <w:rPr>
                <w:rFonts w:cs="Arial"/>
                <w:sz w:val="19"/>
                <w:szCs w:val="19"/>
                <w:lang w:val="lt-LT"/>
              </w:rPr>
              <w:t>9</w:t>
            </w:r>
          </w:p>
        </w:tc>
      </w:tr>
      <w:tr w:rsidR="00C74E37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C74E37" w:rsidRPr="0012099D" w:rsidRDefault="00C74E37" w:rsidP="00C74E37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Alkoholiniai gėrimai ir tabako gaminiai</w:t>
            </w:r>
          </w:p>
        </w:tc>
      </w:tr>
      <w:tr w:rsidR="00F15EC7" w:rsidRPr="0012099D" w:rsidTr="00612AC8">
        <w:tc>
          <w:tcPr>
            <w:tcW w:w="1967" w:type="pct"/>
            <w:shd w:val="clear" w:color="auto" w:fill="auto"/>
          </w:tcPr>
          <w:p w:rsidR="00F15EC7" w:rsidRPr="0012099D" w:rsidRDefault="00F15EC7" w:rsidP="00F15EC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Spirituoti gėrimai</w:t>
            </w:r>
          </w:p>
        </w:tc>
        <w:tc>
          <w:tcPr>
            <w:tcW w:w="637" w:type="pct"/>
            <w:shd w:val="clear" w:color="auto" w:fill="auto"/>
          </w:tcPr>
          <w:p w:rsidR="00F15EC7" w:rsidRPr="007708BA" w:rsidRDefault="00F15EC7" w:rsidP="00F15EC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3,7</w:t>
            </w:r>
          </w:p>
        </w:tc>
        <w:tc>
          <w:tcPr>
            <w:tcW w:w="1560" w:type="pct"/>
            <w:shd w:val="clear" w:color="auto" w:fill="auto"/>
          </w:tcPr>
          <w:p w:rsidR="00F15EC7" w:rsidRPr="007708BA" w:rsidRDefault="00F15EC7" w:rsidP="00F15EC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F15EC7" w:rsidRPr="005A7DB7" w:rsidRDefault="00F15EC7" w:rsidP="00F15EC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F15EC7" w:rsidRPr="0012099D" w:rsidTr="00612AC8">
        <w:tc>
          <w:tcPr>
            <w:tcW w:w="1967" w:type="pct"/>
            <w:shd w:val="clear" w:color="auto" w:fill="auto"/>
          </w:tcPr>
          <w:p w:rsidR="00F15EC7" w:rsidRDefault="00F15EC7" w:rsidP="00F15EC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Tabako gaminiai</w:t>
            </w:r>
          </w:p>
        </w:tc>
        <w:tc>
          <w:tcPr>
            <w:tcW w:w="637" w:type="pct"/>
            <w:shd w:val="clear" w:color="auto" w:fill="auto"/>
          </w:tcPr>
          <w:p w:rsidR="00F15EC7" w:rsidRDefault="00F15EC7" w:rsidP="00F15EC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0,1</w:t>
            </w:r>
          </w:p>
        </w:tc>
        <w:tc>
          <w:tcPr>
            <w:tcW w:w="1560" w:type="pct"/>
            <w:shd w:val="clear" w:color="auto" w:fill="auto"/>
          </w:tcPr>
          <w:p w:rsidR="00F15EC7" w:rsidRPr="00453E87" w:rsidRDefault="00F15EC7" w:rsidP="00F15EC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F15EC7" w:rsidRDefault="00F15EC7" w:rsidP="00F15EC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F15EC7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F15EC7" w:rsidRPr="0012099D" w:rsidRDefault="00F15EC7" w:rsidP="00F15EC7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Ne maisto prekės</w:t>
            </w:r>
          </w:p>
        </w:tc>
      </w:tr>
      <w:tr w:rsidR="00F15EC7" w:rsidRPr="0012099D" w:rsidTr="00612AC8"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:rsidR="00F15EC7" w:rsidRPr="0012099D" w:rsidRDefault="00F63936" w:rsidP="00DF1B65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Avalynė 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</w:tcPr>
          <w:p w:rsidR="00F15EC7" w:rsidRPr="00F07500" w:rsidRDefault="00F63936" w:rsidP="00F15EC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4,9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shd w:val="clear" w:color="auto" w:fill="auto"/>
          </w:tcPr>
          <w:p w:rsidR="00F15EC7" w:rsidRPr="000332E0" w:rsidRDefault="00F63936" w:rsidP="00F63936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460ECF">
              <w:rPr>
                <w:rFonts w:cs="Arial"/>
                <w:sz w:val="19"/>
                <w:szCs w:val="19"/>
                <w:lang w:val="lt-LT"/>
              </w:rPr>
              <w:t>Kosmetikos pr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iemonės </w:t>
            </w:r>
          </w:p>
        </w:tc>
        <w:tc>
          <w:tcPr>
            <w:tcW w:w="836" w:type="pct"/>
            <w:tcBorders>
              <w:top w:val="single" w:sz="4" w:space="0" w:color="auto"/>
            </w:tcBorders>
            <w:shd w:val="clear" w:color="auto" w:fill="auto"/>
          </w:tcPr>
          <w:p w:rsidR="00F15EC7" w:rsidRPr="000332E0" w:rsidRDefault="00F15EC7" w:rsidP="00DF1B65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–2,</w:t>
            </w:r>
            <w:r w:rsidR="00DF1B65">
              <w:rPr>
                <w:rFonts w:cs="Arial"/>
                <w:sz w:val="19"/>
                <w:szCs w:val="19"/>
                <w:lang w:val="lt-LT"/>
              </w:rPr>
              <w:t>8</w:t>
            </w:r>
          </w:p>
        </w:tc>
      </w:tr>
      <w:tr w:rsidR="00F15EC7" w:rsidRPr="0012099D" w:rsidTr="00612AC8">
        <w:tc>
          <w:tcPr>
            <w:tcW w:w="1967" w:type="pct"/>
            <w:shd w:val="clear" w:color="auto" w:fill="auto"/>
          </w:tcPr>
          <w:p w:rsidR="00F15EC7" w:rsidRDefault="00F63936" w:rsidP="00F63936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Informacijos apdorojimo įrenginių reikmenys </w:t>
            </w:r>
          </w:p>
        </w:tc>
        <w:tc>
          <w:tcPr>
            <w:tcW w:w="637" w:type="pct"/>
            <w:shd w:val="clear" w:color="auto" w:fill="auto"/>
          </w:tcPr>
          <w:p w:rsidR="00F15EC7" w:rsidRDefault="00F63936" w:rsidP="00F15EC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</w:t>
            </w:r>
            <w:r w:rsidR="00F15EC7">
              <w:rPr>
                <w:rFonts w:cs="Arial"/>
                <w:sz w:val="19"/>
                <w:szCs w:val="19"/>
                <w:lang w:val="lt-LT"/>
              </w:rPr>
              <w:t>,6</w:t>
            </w:r>
          </w:p>
        </w:tc>
        <w:tc>
          <w:tcPr>
            <w:tcW w:w="1560" w:type="pct"/>
            <w:shd w:val="clear" w:color="auto" w:fill="auto"/>
          </w:tcPr>
          <w:p w:rsidR="00F15EC7" w:rsidRDefault="00F63936" w:rsidP="00F15EC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Kitos asmens priežiūros prekės</w:t>
            </w:r>
          </w:p>
        </w:tc>
        <w:tc>
          <w:tcPr>
            <w:tcW w:w="836" w:type="pct"/>
            <w:shd w:val="clear" w:color="auto" w:fill="auto"/>
          </w:tcPr>
          <w:p w:rsidR="00F15EC7" w:rsidRDefault="00F15EC7" w:rsidP="00DF1B65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–2,</w:t>
            </w:r>
            <w:r w:rsidR="00DF1B65">
              <w:rPr>
                <w:rFonts w:cs="Arial"/>
                <w:sz w:val="19"/>
                <w:szCs w:val="19"/>
                <w:lang w:val="lt-LT"/>
              </w:rPr>
              <w:t>7</w:t>
            </w:r>
          </w:p>
        </w:tc>
      </w:tr>
      <w:tr w:rsidR="00F15EC7" w:rsidRPr="0012099D" w:rsidTr="00612AC8">
        <w:tc>
          <w:tcPr>
            <w:tcW w:w="1967" w:type="pct"/>
            <w:shd w:val="clear" w:color="auto" w:fill="auto"/>
          </w:tcPr>
          <w:p w:rsidR="00F15EC7" w:rsidRDefault="00F15EC7" w:rsidP="00F15EC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Drabužiai</w:t>
            </w:r>
          </w:p>
        </w:tc>
        <w:tc>
          <w:tcPr>
            <w:tcW w:w="637" w:type="pct"/>
            <w:shd w:val="clear" w:color="auto" w:fill="auto"/>
          </w:tcPr>
          <w:p w:rsidR="00F15EC7" w:rsidRDefault="00F63936" w:rsidP="00F15EC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4,3</w:t>
            </w:r>
          </w:p>
        </w:tc>
        <w:tc>
          <w:tcPr>
            <w:tcW w:w="1560" w:type="pct"/>
            <w:shd w:val="clear" w:color="auto" w:fill="auto"/>
          </w:tcPr>
          <w:p w:rsidR="00F15EC7" w:rsidRPr="000332E0" w:rsidRDefault="00F63936" w:rsidP="00F63936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Asmens higienos reikmenys </w:t>
            </w:r>
          </w:p>
        </w:tc>
        <w:tc>
          <w:tcPr>
            <w:tcW w:w="836" w:type="pct"/>
            <w:shd w:val="clear" w:color="auto" w:fill="auto"/>
          </w:tcPr>
          <w:p w:rsidR="00F15EC7" w:rsidRPr="000332E0" w:rsidRDefault="00F15EC7" w:rsidP="00DF1B65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F1B65">
              <w:rPr>
                <w:rFonts w:cs="Arial"/>
                <w:sz w:val="19"/>
                <w:szCs w:val="19"/>
                <w:lang w:val="lt-LT"/>
              </w:rPr>
              <w:t>2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DF1B65">
              <w:rPr>
                <w:rFonts w:cs="Arial"/>
                <w:sz w:val="19"/>
                <w:szCs w:val="19"/>
                <w:lang w:val="lt-LT"/>
              </w:rPr>
              <w:t>0</w:t>
            </w:r>
          </w:p>
        </w:tc>
      </w:tr>
      <w:tr w:rsidR="00F15EC7" w:rsidRPr="0012099D" w:rsidTr="00612AC8">
        <w:tc>
          <w:tcPr>
            <w:tcW w:w="1967" w:type="pct"/>
            <w:shd w:val="clear" w:color="auto" w:fill="auto"/>
          </w:tcPr>
          <w:p w:rsidR="00F15EC7" w:rsidRDefault="00F63936" w:rsidP="00F15EC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Apšvietimo įranga</w:t>
            </w:r>
            <w:r w:rsidR="00F15EC7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F15EC7" w:rsidRDefault="00F63936" w:rsidP="00F15EC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3,8</w:t>
            </w:r>
          </w:p>
        </w:tc>
        <w:tc>
          <w:tcPr>
            <w:tcW w:w="1560" w:type="pct"/>
            <w:shd w:val="clear" w:color="auto" w:fill="auto"/>
          </w:tcPr>
          <w:p w:rsidR="00F15EC7" w:rsidRDefault="00F63936" w:rsidP="00F15EC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Korekciniai akiniai ir kontaktiniai lęšiai</w:t>
            </w:r>
          </w:p>
        </w:tc>
        <w:tc>
          <w:tcPr>
            <w:tcW w:w="836" w:type="pct"/>
            <w:shd w:val="clear" w:color="auto" w:fill="auto"/>
          </w:tcPr>
          <w:p w:rsidR="00F15EC7" w:rsidRDefault="00F15EC7" w:rsidP="00F63936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F63936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F63936">
              <w:rPr>
                <w:rFonts w:cs="Arial"/>
                <w:sz w:val="19"/>
                <w:szCs w:val="19"/>
                <w:lang w:val="lt-LT"/>
              </w:rPr>
              <w:t>4</w:t>
            </w:r>
          </w:p>
        </w:tc>
      </w:tr>
      <w:tr w:rsidR="00F15EC7" w:rsidRPr="0012099D" w:rsidTr="00612AC8">
        <w:tc>
          <w:tcPr>
            <w:tcW w:w="1967" w:type="pct"/>
            <w:shd w:val="clear" w:color="auto" w:fill="auto"/>
          </w:tcPr>
          <w:p w:rsidR="00F15EC7" w:rsidRDefault="00F63936" w:rsidP="00DF1B65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Elektriniai asmens priežiūro</w:t>
            </w:r>
            <w:r w:rsidR="00A748CD">
              <w:rPr>
                <w:rFonts w:cs="Arial"/>
                <w:sz w:val="19"/>
                <w:szCs w:val="19"/>
                <w:lang w:val="lt-LT"/>
              </w:rPr>
              <w:t>s</w:t>
            </w:r>
            <w:r w:rsidR="006022E1">
              <w:rPr>
                <w:rFonts w:cs="Arial"/>
                <w:sz w:val="19"/>
                <w:szCs w:val="19"/>
                <w:lang w:val="lt-LT"/>
              </w:rPr>
              <w:t xml:space="preserve"> 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prietaisai </w:t>
            </w:r>
          </w:p>
        </w:tc>
        <w:tc>
          <w:tcPr>
            <w:tcW w:w="637" w:type="pct"/>
            <w:shd w:val="clear" w:color="auto" w:fill="auto"/>
          </w:tcPr>
          <w:p w:rsidR="00F15EC7" w:rsidRDefault="00F63936" w:rsidP="00F15EC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3,5</w:t>
            </w:r>
          </w:p>
        </w:tc>
        <w:tc>
          <w:tcPr>
            <w:tcW w:w="1560" w:type="pct"/>
            <w:shd w:val="clear" w:color="auto" w:fill="auto"/>
          </w:tcPr>
          <w:p w:rsidR="00F15EC7" w:rsidRPr="00344B0C" w:rsidRDefault="00F63936" w:rsidP="00F15EC7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Knygos</w:t>
            </w:r>
          </w:p>
        </w:tc>
        <w:tc>
          <w:tcPr>
            <w:tcW w:w="836" w:type="pct"/>
            <w:shd w:val="clear" w:color="auto" w:fill="auto"/>
          </w:tcPr>
          <w:p w:rsidR="00F15EC7" w:rsidRDefault="00F15EC7" w:rsidP="00F63936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F63936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F63936">
              <w:rPr>
                <w:rFonts w:cs="Arial"/>
                <w:sz w:val="19"/>
                <w:szCs w:val="19"/>
                <w:lang w:val="lt-LT"/>
              </w:rPr>
              <w:t>4</w:t>
            </w:r>
          </w:p>
        </w:tc>
      </w:tr>
      <w:tr w:rsidR="00F15EC7" w:rsidRPr="0012099D" w:rsidTr="00612AC8">
        <w:tc>
          <w:tcPr>
            <w:tcW w:w="1967" w:type="pct"/>
            <w:shd w:val="clear" w:color="auto" w:fill="auto"/>
          </w:tcPr>
          <w:p w:rsidR="00F15EC7" w:rsidRDefault="00F63936" w:rsidP="00F63936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Stalo ir vonios kambario skalbiniai </w:t>
            </w:r>
          </w:p>
        </w:tc>
        <w:tc>
          <w:tcPr>
            <w:tcW w:w="637" w:type="pct"/>
            <w:shd w:val="clear" w:color="auto" w:fill="auto"/>
          </w:tcPr>
          <w:p w:rsidR="00F15EC7" w:rsidRDefault="00F63936" w:rsidP="00F15EC7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3,3</w:t>
            </w:r>
          </w:p>
        </w:tc>
        <w:tc>
          <w:tcPr>
            <w:tcW w:w="1560" w:type="pct"/>
            <w:shd w:val="clear" w:color="auto" w:fill="auto"/>
          </w:tcPr>
          <w:p w:rsidR="00F15EC7" w:rsidRPr="00344B0C" w:rsidRDefault="00DF1B65" w:rsidP="00DF1B65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Sodo produktai</w:t>
            </w:r>
            <w:r w:rsidR="00F15EC7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836" w:type="pct"/>
            <w:shd w:val="clear" w:color="auto" w:fill="auto"/>
          </w:tcPr>
          <w:p w:rsidR="00F15EC7" w:rsidRDefault="00F15EC7" w:rsidP="00DF1B65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F1B65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DF1B65">
              <w:rPr>
                <w:rFonts w:cs="Arial"/>
                <w:sz w:val="19"/>
                <w:szCs w:val="19"/>
                <w:lang w:val="lt-LT"/>
              </w:rPr>
              <w:t>3</w:t>
            </w:r>
          </w:p>
        </w:tc>
      </w:tr>
      <w:tr w:rsidR="006022E1" w:rsidRPr="0012099D" w:rsidTr="00612AC8">
        <w:tc>
          <w:tcPr>
            <w:tcW w:w="1967" w:type="pct"/>
            <w:shd w:val="clear" w:color="auto" w:fill="auto"/>
          </w:tcPr>
          <w:p w:rsidR="006022E1" w:rsidRDefault="006022E1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Kūdikiams skirti reikmenys</w:t>
            </w:r>
            <w:r w:rsidRPr="00460ECF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6022E1" w:rsidRDefault="006022E1" w:rsidP="006022E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2,9</w:t>
            </w:r>
          </w:p>
        </w:tc>
        <w:tc>
          <w:tcPr>
            <w:tcW w:w="1560" w:type="pct"/>
            <w:shd w:val="clear" w:color="auto" w:fill="auto"/>
          </w:tcPr>
          <w:p w:rsidR="006022E1" w:rsidRPr="00344B0C" w:rsidRDefault="006022E1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Naudoti automobiliai</w:t>
            </w:r>
          </w:p>
        </w:tc>
        <w:tc>
          <w:tcPr>
            <w:tcW w:w="836" w:type="pct"/>
            <w:shd w:val="clear" w:color="auto" w:fill="auto"/>
          </w:tcPr>
          <w:p w:rsidR="006022E1" w:rsidRDefault="006022E1" w:rsidP="006022E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–1,1</w:t>
            </w:r>
          </w:p>
        </w:tc>
      </w:tr>
      <w:tr w:rsidR="006022E1" w:rsidRPr="0012099D" w:rsidTr="00612AC8">
        <w:tc>
          <w:tcPr>
            <w:tcW w:w="196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22E1" w:rsidRDefault="006022E1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Kilimai ir kilimėliai </w:t>
            </w:r>
          </w:p>
        </w:tc>
        <w:tc>
          <w:tcPr>
            <w:tcW w:w="63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22E1" w:rsidRDefault="006022E1" w:rsidP="006022E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2,7</w:t>
            </w:r>
          </w:p>
        </w:tc>
        <w:tc>
          <w:tcPr>
            <w:tcW w:w="15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22E1" w:rsidRDefault="006022E1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Patalynė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22E1" w:rsidRPr="000332E0" w:rsidRDefault="006022E1" w:rsidP="006022E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–1,0</w:t>
            </w:r>
          </w:p>
        </w:tc>
      </w:tr>
      <w:tr w:rsidR="006022E1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6022E1" w:rsidRPr="0012099D" w:rsidRDefault="006022E1" w:rsidP="006022E1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Energetinės prekės</w:t>
            </w:r>
          </w:p>
        </w:tc>
      </w:tr>
      <w:tr w:rsidR="006022E1" w:rsidRPr="0012099D" w:rsidTr="00612AC8">
        <w:tc>
          <w:tcPr>
            <w:tcW w:w="1967" w:type="pct"/>
            <w:shd w:val="clear" w:color="auto" w:fill="auto"/>
          </w:tcPr>
          <w:p w:rsidR="006022E1" w:rsidRPr="0012099D" w:rsidRDefault="006022E1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Sky</w:t>
            </w:r>
            <w:r w:rsidRPr="00E7310E">
              <w:rPr>
                <w:rFonts w:cs="Arial"/>
                <w:sz w:val="19"/>
                <w:szCs w:val="19"/>
                <w:lang w:val="lt-LT"/>
              </w:rPr>
              <w:t>stasi</w:t>
            </w:r>
            <w:r w:rsidRPr="0012099D">
              <w:rPr>
                <w:rFonts w:cs="Arial"/>
                <w:sz w:val="19"/>
                <w:szCs w:val="19"/>
                <w:lang w:val="lt-LT"/>
              </w:rPr>
              <w:t>s kuras</w:t>
            </w:r>
          </w:p>
        </w:tc>
        <w:tc>
          <w:tcPr>
            <w:tcW w:w="637" w:type="pct"/>
            <w:shd w:val="clear" w:color="auto" w:fill="auto"/>
          </w:tcPr>
          <w:p w:rsidR="006022E1" w:rsidRPr="00FD7558" w:rsidRDefault="006022E1" w:rsidP="006022E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3,8</w:t>
            </w:r>
          </w:p>
        </w:tc>
        <w:tc>
          <w:tcPr>
            <w:tcW w:w="1560" w:type="pct"/>
            <w:shd w:val="clear" w:color="auto" w:fill="auto"/>
          </w:tcPr>
          <w:p w:rsidR="006022E1" w:rsidRPr="0012099D" w:rsidRDefault="006022E1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015E7F">
              <w:rPr>
                <w:rFonts w:cs="Arial"/>
                <w:sz w:val="19"/>
                <w:szCs w:val="19"/>
                <w:lang w:val="lt-LT"/>
              </w:rPr>
              <w:t>Šilumos energija</w:t>
            </w:r>
          </w:p>
        </w:tc>
        <w:tc>
          <w:tcPr>
            <w:tcW w:w="836" w:type="pct"/>
            <w:shd w:val="clear" w:color="auto" w:fill="auto"/>
          </w:tcPr>
          <w:p w:rsidR="006022E1" w:rsidRPr="00DC32BE" w:rsidRDefault="006022E1" w:rsidP="006022E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–6,8</w:t>
            </w:r>
          </w:p>
        </w:tc>
      </w:tr>
      <w:tr w:rsidR="006022E1" w:rsidRPr="0012099D" w:rsidTr="00612AC8">
        <w:tc>
          <w:tcPr>
            <w:tcW w:w="1967" w:type="pct"/>
            <w:shd w:val="clear" w:color="auto" w:fill="auto"/>
          </w:tcPr>
          <w:p w:rsidR="006022E1" w:rsidRPr="005A7DB7" w:rsidRDefault="006022E1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5A7DB7">
              <w:rPr>
                <w:rFonts w:cs="Arial"/>
                <w:sz w:val="19"/>
                <w:szCs w:val="19"/>
                <w:lang w:val="lt-LT"/>
              </w:rPr>
              <w:t>Benzinas</w:t>
            </w:r>
          </w:p>
        </w:tc>
        <w:tc>
          <w:tcPr>
            <w:tcW w:w="637" w:type="pct"/>
            <w:shd w:val="clear" w:color="auto" w:fill="auto"/>
          </w:tcPr>
          <w:p w:rsidR="006022E1" w:rsidRPr="00FD7558" w:rsidRDefault="006022E1" w:rsidP="006022E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1,1</w:t>
            </w:r>
          </w:p>
        </w:tc>
        <w:tc>
          <w:tcPr>
            <w:tcW w:w="1560" w:type="pct"/>
            <w:shd w:val="clear" w:color="auto" w:fill="auto"/>
          </w:tcPr>
          <w:p w:rsidR="006022E1" w:rsidRPr="005A7DB7" w:rsidRDefault="006022E1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C3609">
              <w:rPr>
                <w:rFonts w:cs="Arial"/>
                <w:sz w:val="19"/>
                <w:szCs w:val="19"/>
                <w:lang w:val="lt-LT"/>
              </w:rPr>
              <w:t>Suskystintos automobilinės dujos</w:t>
            </w:r>
          </w:p>
        </w:tc>
        <w:tc>
          <w:tcPr>
            <w:tcW w:w="836" w:type="pct"/>
            <w:shd w:val="clear" w:color="auto" w:fill="auto"/>
          </w:tcPr>
          <w:p w:rsidR="006022E1" w:rsidRPr="00DC32BE" w:rsidRDefault="006022E1" w:rsidP="00BF4635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–2,</w:t>
            </w:r>
            <w:r w:rsidR="00BF4635">
              <w:rPr>
                <w:rFonts w:cs="Arial"/>
                <w:sz w:val="19"/>
                <w:szCs w:val="19"/>
                <w:lang w:val="lt-LT"/>
              </w:rPr>
              <w:t>2</w:t>
            </w:r>
          </w:p>
        </w:tc>
      </w:tr>
      <w:tr w:rsidR="006022E1" w:rsidRPr="0012099D" w:rsidTr="00612AC8">
        <w:tc>
          <w:tcPr>
            <w:tcW w:w="1967" w:type="pct"/>
            <w:shd w:val="clear" w:color="auto" w:fill="auto"/>
          </w:tcPr>
          <w:p w:rsidR="006022E1" w:rsidRDefault="006022E1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5A7DB7">
              <w:rPr>
                <w:rFonts w:cs="Arial"/>
                <w:sz w:val="19"/>
                <w:szCs w:val="19"/>
                <w:lang w:val="lt-LT"/>
              </w:rPr>
              <w:t>Dyzeliniai degalai</w:t>
            </w:r>
          </w:p>
        </w:tc>
        <w:tc>
          <w:tcPr>
            <w:tcW w:w="637" w:type="pct"/>
            <w:shd w:val="clear" w:color="auto" w:fill="auto"/>
          </w:tcPr>
          <w:p w:rsidR="006022E1" w:rsidRPr="00FD7558" w:rsidRDefault="006022E1" w:rsidP="006022E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1,0</w:t>
            </w:r>
          </w:p>
        </w:tc>
        <w:tc>
          <w:tcPr>
            <w:tcW w:w="1560" w:type="pct"/>
            <w:shd w:val="clear" w:color="auto" w:fill="auto"/>
          </w:tcPr>
          <w:p w:rsidR="006022E1" w:rsidRPr="001C3609" w:rsidRDefault="006022E1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Suskystintos dujos maistui gaminti</w:t>
            </w:r>
          </w:p>
        </w:tc>
        <w:tc>
          <w:tcPr>
            <w:tcW w:w="836" w:type="pct"/>
            <w:shd w:val="clear" w:color="auto" w:fill="auto"/>
          </w:tcPr>
          <w:p w:rsidR="006022E1" w:rsidRDefault="006022E1" w:rsidP="006022E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–1,3</w:t>
            </w:r>
          </w:p>
        </w:tc>
      </w:tr>
      <w:tr w:rsidR="006022E1" w:rsidRPr="0012099D" w:rsidTr="00612AC8">
        <w:tc>
          <w:tcPr>
            <w:tcW w:w="1967" w:type="pct"/>
            <w:shd w:val="clear" w:color="auto" w:fill="auto"/>
          </w:tcPr>
          <w:p w:rsidR="006022E1" w:rsidRPr="0012099D" w:rsidRDefault="006022E1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Kietasis kuras</w:t>
            </w:r>
          </w:p>
        </w:tc>
        <w:tc>
          <w:tcPr>
            <w:tcW w:w="637" w:type="pct"/>
            <w:shd w:val="clear" w:color="auto" w:fill="auto"/>
          </w:tcPr>
          <w:p w:rsidR="006022E1" w:rsidRPr="00E6720E" w:rsidRDefault="006022E1" w:rsidP="006022E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D7558">
              <w:rPr>
                <w:rFonts w:cs="Arial"/>
                <w:sz w:val="19"/>
                <w:szCs w:val="19"/>
                <w:lang w:val="lt-LT"/>
              </w:rPr>
              <w:t>0,</w:t>
            </w:r>
            <w:r>
              <w:rPr>
                <w:rFonts w:cs="Arial"/>
                <w:sz w:val="19"/>
                <w:szCs w:val="19"/>
                <w:lang w:val="lt-LT"/>
              </w:rPr>
              <w:t>5</w:t>
            </w:r>
          </w:p>
        </w:tc>
        <w:tc>
          <w:tcPr>
            <w:tcW w:w="1560" w:type="pct"/>
            <w:shd w:val="clear" w:color="auto" w:fill="auto"/>
          </w:tcPr>
          <w:p w:rsidR="006022E1" w:rsidRPr="005A7DB7" w:rsidRDefault="006022E1" w:rsidP="006022E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6022E1" w:rsidRPr="00DC32BE" w:rsidRDefault="006022E1" w:rsidP="006022E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6022E1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6022E1" w:rsidRPr="0012099D" w:rsidRDefault="006022E1" w:rsidP="006022E1">
            <w:pPr>
              <w:pStyle w:val="BodyText"/>
              <w:keepNext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Paslaugos</w:t>
            </w:r>
          </w:p>
        </w:tc>
      </w:tr>
      <w:tr w:rsidR="006022E1" w:rsidRPr="0012099D" w:rsidTr="00612AC8">
        <w:tc>
          <w:tcPr>
            <w:tcW w:w="1967" w:type="pct"/>
            <w:shd w:val="clear" w:color="auto" w:fill="auto"/>
          </w:tcPr>
          <w:p w:rsidR="006022E1" w:rsidRPr="00F671DC" w:rsidRDefault="006022E1" w:rsidP="006022E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Poilsio namų</w:t>
            </w:r>
          </w:p>
        </w:tc>
        <w:tc>
          <w:tcPr>
            <w:tcW w:w="637" w:type="pct"/>
            <w:shd w:val="clear" w:color="auto" w:fill="auto"/>
          </w:tcPr>
          <w:p w:rsidR="006022E1" w:rsidRPr="00154C78" w:rsidRDefault="006022E1" w:rsidP="006022E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7,9</w:t>
            </w:r>
          </w:p>
        </w:tc>
        <w:tc>
          <w:tcPr>
            <w:tcW w:w="1560" w:type="pct"/>
            <w:shd w:val="clear" w:color="auto" w:fill="auto"/>
          </w:tcPr>
          <w:p w:rsidR="006022E1" w:rsidRPr="006C453D" w:rsidRDefault="006022E1" w:rsidP="006022E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 w:rsidRPr="00F656FC">
              <w:rPr>
                <w:rFonts w:cs="Arial"/>
                <w:sz w:val="19"/>
                <w:szCs w:val="19"/>
                <w:lang w:val="lt-LT"/>
              </w:rPr>
              <w:t>Keleivių vežimo oro tr</w:t>
            </w:r>
            <w:r w:rsidRPr="006237F4">
              <w:rPr>
                <w:rFonts w:cs="Arial"/>
                <w:sz w:val="19"/>
                <w:szCs w:val="19"/>
                <w:lang w:val="lt-LT"/>
              </w:rPr>
              <w:t>ansportu</w:t>
            </w:r>
            <w:r w:rsidRPr="00F656FC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836" w:type="pct"/>
            <w:shd w:val="clear" w:color="auto" w:fill="auto"/>
          </w:tcPr>
          <w:p w:rsidR="006022E1" w:rsidRPr="00154C78" w:rsidRDefault="006022E1" w:rsidP="006022E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54C78">
              <w:rPr>
                <w:rFonts w:cs="Arial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sz w:val="19"/>
                <w:szCs w:val="19"/>
                <w:lang w:val="lt-LT"/>
              </w:rPr>
              <w:t>2</w:t>
            </w:r>
            <w:r w:rsidRPr="00154C7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5</w:t>
            </w:r>
          </w:p>
        </w:tc>
      </w:tr>
      <w:tr w:rsidR="006022E1" w:rsidRPr="0012099D" w:rsidTr="00612AC8">
        <w:tc>
          <w:tcPr>
            <w:tcW w:w="1967" w:type="pct"/>
            <w:shd w:val="clear" w:color="auto" w:fill="auto"/>
          </w:tcPr>
          <w:p w:rsidR="006022E1" w:rsidRPr="00F671DC" w:rsidRDefault="006022E1" w:rsidP="006022E1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Keleivių vežimo jūra</w:t>
            </w:r>
          </w:p>
        </w:tc>
        <w:tc>
          <w:tcPr>
            <w:tcW w:w="637" w:type="pct"/>
            <w:shd w:val="clear" w:color="auto" w:fill="auto"/>
          </w:tcPr>
          <w:p w:rsidR="006022E1" w:rsidRPr="00154C78" w:rsidRDefault="006022E1" w:rsidP="006022E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4,6</w:t>
            </w:r>
          </w:p>
        </w:tc>
        <w:tc>
          <w:tcPr>
            <w:tcW w:w="1560" w:type="pct"/>
            <w:shd w:val="clear" w:color="auto" w:fill="auto"/>
          </w:tcPr>
          <w:p w:rsidR="006022E1" w:rsidRDefault="006022E1" w:rsidP="006022E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6022E1" w:rsidRPr="00154C78" w:rsidRDefault="006022E1" w:rsidP="006022E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6022E1" w:rsidRPr="0012099D" w:rsidTr="00612AC8">
        <w:tc>
          <w:tcPr>
            <w:tcW w:w="1967" w:type="pct"/>
            <w:shd w:val="clear" w:color="auto" w:fill="auto"/>
          </w:tcPr>
          <w:p w:rsidR="006022E1" w:rsidRDefault="006022E1" w:rsidP="006022E1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Sanatorijų </w:t>
            </w:r>
          </w:p>
        </w:tc>
        <w:tc>
          <w:tcPr>
            <w:tcW w:w="637" w:type="pct"/>
            <w:shd w:val="clear" w:color="auto" w:fill="auto"/>
          </w:tcPr>
          <w:p w:rsidR="006022E1" w:rsidRPr="00154C78" w:rsidRDefault="006022E1" w:rsidP="006022E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2,8</w:t>
            </w:r>
          </w:p>
        </w:tc>
        <w:tc>
          <w:tcPr>
            <w:tcW w:w="1560" w:type="pct"/>
            <w:shd w:val="clear" w:color="auto" w:fill="auto"/>
          </w:tcPr>
          <w:p w:rsidR="006022E1" w:rsidRDefault="006022E1" w:rsidP="006022E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6022E1" w:rsidRPr="00154C78" w:rsidRDefault="006022E1" w:rsidP="006022E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6022E1" w:rsidRPr="0012099D" w:rsidTr="00612AC8">
        <w:tc>
          <w:tcPr>
            <w:tcW w:w="1967" w:type="pct"/>
            <w:shd w:val="clear" w:color="auto" w:fill="auto"/>
          </w:tcPr>
          <w:p w:rsidR="006022E1" w:rsidRPr="005A0B16" w:rsidRDefault="006022E1" w:rsidP="006022E1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Asmens priežiūros procedurų</w:t>
            </w:r>
          </w:p>
        </w:tc>
        <w:tc>
          <w:tcPr>
            <w:tcW w:w="637" w:type="pct"/>
            <w:shd w:val="clear" w:color="auto" w:fill="auto"/>
          </w:tcPr>
          <w:p w:rsidR="006022E1" w:rsidRPr="005A0B16" w:rsidRDefault="006022E1" w:rsidP="006022E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1,5</w:t>
            </w:r>
          </w:p>
        </w:tc>
        <w:tc>
          <w:tcPr>
            <w:tcW w:w="1560" w:type="pct"/>
            <w:shd w:val="clear" w:color="auto" w:fill="auto"/>
          </w:tcPr>
          <w:p w:rsidR="006022E1" w:rsidRDefault="006022E1" w:rsidP="006022E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6022E1" w:rsidRPr="00154C78" w:rsidRDefault="006022E1" w:rsidP="006022E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BF4635" w:rsidRPr="0012099D" w:rsidTr="00612AC8">
        <w:tc>
          <w:tcPr>
            <w:tcW w:w="1967" w:type="pct"/>
            <w:shd w:val="clear" w:color="auto" w:fill="auto"/>
          </w:tcPr>
          <w:p w:rsidR="00BF4635" w:rsidRPr="005A0B16" w:rsidRDefault="00BF4635" w:rsidP="00BF4635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</w:t>
            </w:r>
            <w:r w:rsidRPr="006237F4">
              <w:rPr>
                <w:rFonts w:cs="Arial"/>
                <w:sz w:val="19"/>
                <w:szCs w:val="19"/>
                <w:lang w:val="lt-LT"/>
              </w:rPr>
              <w:t>iešojo maitinimo</w:t>
            </w:r>
          </w:p>
        </w:tc>
        <w:tc>
          <w:tcPr>
            <w:tcW w:w="637" w:type="pct"/>
            <w:shd w:val="clear" w:color="auto" w:fill="auto"/>
          </w:tcPr>
          <w:p w:rsidR="00BF4635" w:rsidRPr="005A0B16" w:rsidRDefault="00BF4635" w:rsidP="00BF4635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1,3</w:t>
            </w:r>
          </w:p>
        </w:tc>
        <w:tc>
          <w:tcPr>
            <w:tcW w:w="1560" w:type="pct"/>
            <w:shd w:val="clear" w:color="auto" w:fill="auto"/>
          </w:tcPr>
          <w:p w:rsidR="00BF4635" w:rsidRDefault="00BF4635" w:rsidP="00BF4635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BF4635" w:rsidRPr="00154C78" w:rsidRDefault="00BF4635" w:rsidP="00BF4635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BF4635" w:rsidRPr="0012099D" w:rsidTr="00612AC8">
        <w:tc>
          <w:tcPr>
            <w:tcW w:w="1967" w:type="pct"/>
            <w:shd w:val="clear" w:color="auto" w:fill="auto"/>
          </w:tcPr>
          <w:p w:rsidR="00BF4635" w:rsidRDefault="00BF4635" w:rsidP="00BF4635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Būsto priežiūros ir remonto </w:t>
            </w:r>
          </w:p>
        </w:tc>
        <w:tc>
          <w:tcPr>
            <w:tcW w:w="637" w:type="pct"/>
            <w:shd w:val="clear" w:color="auto" w:fill="auto"/>
          </w:tcPr>
          <w:p w:rsidR="00BF4635" w:rsidRDefault="00BF4635" w:rsidP="00BF4635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1,3</w:t>
            </w:r>
          </w:p>
        </w:tc>
        <w:tc>
          <w:tcPr>
            <w:tcW w:w="1560" w:type="pct"/>
            <w:shd w:val="clear" w:color="auto" w:fill="auto"/>
          </w:tcPr>
          <w:p w:rsidR="00BF4635" w:rsidRDefault="00BF4635" w:rsidP="00BF4635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BF4635" w:rsidRPr="00154C78" w:rsidRDefault="00BF4635" w:rsidP="00BF4635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BF4635" w:rsidRPr="0012099D" w:rsidTr="00612AC8">
        <w:tc>
          <w:tcPr>
            <w:tcW w:w="1967" w:type="pct"/>
            <w:shd w:val="clear" w:color="auto" w:fill="auto"/>
          </w:tcPr>
          <w:p w:rsidR="00BF4635" w:rsidRPr="005A0B16" w:rsidRDefault="00BF4635" w:rsidP="00BF4635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Asmeninių transporto priemonių techninės priežiūros ir remonto</w:t>
            </w:r>
          </w:p>
        </w:tc>
        <w:tc>
          <w:tcPr>
            <w:tcW w:w="637" w:type="pct"/>
            <w:shd w:val="clear" w:color="auto" w:fill="auto"/>
          </w:tcPr>
          <w:p w:rsidR="00BF4635" w:rsidRPr="005A0B16" w:rsidRDefault="00BF4635" w:rsidP="00BF4635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1,3</w:t>
            </w:r>
          </w:p>
        </w:tc>
        <w:tc>
          <w:tcPr>
            <w:tcW w:w="1560" w:type="pct"/>
            <w:shd w:val="clear" w:color="auto" w:fill="auto"/>
          </w:tcPr>
          <w:p w:rsidR="00BF4635" w:rsidRDefault="00BF4635" w:rsidP="00BF4635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BF4635" w:rsidRDefault="00BF4635" w:rsidP="00BF4635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</w:tbl>
    <w:p w:rsidR="00A976AC" w:rsidRPr="009A7C00" w:rsidRDefault="00A976AC" w:rsidP="009A7C00">
      <w:pPr>
        <w:pStyle w:val="BodyText"/>
        <w:ind w:left="709"/>
        <w:jc w:val="both"/>
        <w:rPr>
          <w:lang w:val="lt-LT"/>
        </w:rPr>
      </w:pPr>
    </w:p>
    <w:p w:rsidR="00033784" w:rsidRPr="00E5406F" w:rsidRDefault="00033784" w:rsidP="00A976AC">
      <w:pPr>
        <w:pStyle w:val="BodyText"/>
        <w:numPr>
          <w:ilvl w:val="0"/>
          <w:numId w:val="1"/>
        </w:numPr>
        <w:ind w:left="709"/>
        <w:jc w:val="both"/>
        <w:rPr>
          <w:lang w:val="lt-LT"/>
        </w:rPr>
      </w:pPr>
      <w:r w:rsidRPr="006B12E8">
        <w:rPr>
          <w:b/>
          <w:lang w:val="lt-LT"/>
        </w:rPr>
        <w:t>20</w:t>
      </w:r>
      <w:r w:rsidR="007C588E">
        <w:rPr>
          <w:b/>
          <w:lang w:val="lt-LT"/>
        </w:rPr>
        <w:t>2</w:t>
      </w:r>
      <w:r w:rsidR="000600DA">
        <w:rPr>
          <w:b/>
          <w:lang w:val="lt-LT"/>
        </w:rPr>
        <w:t>1</w:t>
      </w:r>
      <w:r w:rsidRPr="006B12E8">
        <w:rPr>
          <w:b/>
          <w:lang w:val="lt-LT"/>
        </w:rPr>
        <w:t xml:space="preserve"> m. </w:t>
      </w:r>
      <w:r w:rsidR="00695F90">
        <w:rPr>
          <w:b/>
          <w:lang w:val="lt-LT"/>
        </w:rPr>
        <w:t>gegužės</w:t>
      </w:r>
      <w:r w:rsidRPr="006B12E8">
        <w:rPr>
          <w:b/>
          <w:lang w:val="lt-LT"/>
        </w:rPr>
        <w:t xml:space="preserve"> </w:t>
      </w:r>
      <w:r w:rsidRPr="00A54AF8">
        <w:rPr>
          <w:b/>
          <w:color w:val="9BBB59" w:themeColor="accent3"/>
          <w:lang w:val="lt-LT"/>
        </w:rPr>
        <w:t>metinė</w:t>
      </w:r>
      <w:r w:rsidRPr="006B12E8">
        <w:rPr>
          <w:b/>
          <w:lang w:val="lt-LT"/>
        </w:rPr>
        <w:t xml:space="preserve"> (20</w:t>
      </w:r>
      <w:r w:rsidR="007C588E">
        <w:rPr>
          <w:b/>
          <w:lang w:val="lt-LT"/>
        </w:rPr>
        <w:t>2</w:t>
      </w:r>
      <w:r w:rsidR="000600DA">
        <w:rPr>
          <w:b/>
          <w:lang w:val="lt-LT"/>
        </w:rPr>
        <w:t>1</w:t>
      </w:r>
      <w:r w:rsidR="00264FD8" w:rsidRPr="006B12E8">
        <w:rPr>
          <w:b/>
          <w:lang w:val="lt-LT"/>
        </w:rPr>
        <w:t> </w:t>
      </w:r>
      <w:r w:rsidRPr="006B12E8">
        <w:rPr>
          <w:b/>
          <w:lang w:val="lt-LT"/>
        </w:rPr>
        <w:t xml:space="preserve">m. </w:t>
      </w:r>
      <w:r w:rsidR="00695F90">
        <w:rPr>
          <w:b/>
          <w:lang w:val="lt-LT"/>
        </w:rPr>
        <w:t>gegužę</w:t>
      </w:r>
      <w:r w:rsidRPr="006B12E8">
        <w:rPr>
          <w:b/>
          <w:lang w:val="lt-LT"/>
        </w:rPr>
        <w:t>, palyginti su 20</w:t>
      </w:r>
      <w:r w:rsidR="000600DA">
        <w:rPr>
          <w:b/>
          <w:lang w:val="lt-LT"/>
        </w:rPr>
        <w:t>20</w:t>
      </w:r>
      <w:r w:rsidRPr="006B12E8">
        <w:rPr>
          <w:b/>
          <w:lang w:val="lt-LT"/>
        </w:rPr>
        <w:t xml:space="preserve"> m. </w:t>
      </w:r>
      <w:r w:rsidR="00695F90">
        <w:rPr>
          <w:b/>
          <w:lang w:val="lt-LT"/>
        </w:rPr>
        <w:t>geguže</w:t>
      </w:r>
      <w:r w:rsidRPr="006B12E8">
        <w:rPr>
          <w:b/>
          <w:lang w:val="lt-LT"/>
        </w:rPr>
        <w:t xml:space="preserve">) </w:t>
      </w:r>
      <w:r w:rsidR="00D74478" w:rsidRPr="00A54AF8">
        <w:rPr>
          <w:b/>
          <w:color w:val="9BBB59" w:themeColor="accent3"/>
          <w:lang w:val="lt-LT"/>
        </w:rPr>
        <w:t>in</w:t>
      </w:r>
      <w:r w:rsidRPr="00A54AF8">
        <w:rPr>
          <w:b/>
          <w:color w:val="9BBB59" w:themeColor="accent3"/>
          <w:lang w:val="lt-LT"/>
        </w:rPr>
        <w:t>fliacija</w:t>
      </w:r>
      <w:r w:rsidR="00E539A8" w:rsidRPr="006B12E8">
        <w:rPr>
          <w:b/>
          <w:lang w:val="lt-LT"/>
        </w:rPr>
        <w:t xml:space="preserve"> </w:t>
      </w:r>
      <w:r w:rsidRPr="006B12E8">
        <w:rPr>
          <w:b/>
          <w:lang w:val="lt-LT"/>
        </w:rPr>
        <w:t>sudar</w:t>
      </w:r>
      <w:r w:rsidR="006958F0" w:rsidRPr="006B12E8">
        <w:rPr>
          <w:b/>
          <w:lang w:val="lt-LT"/>
        </w:rPr>
        <w:t>ė</w:t>
      </w:r>
      <w:r w:rsidRPr="006B12E8">
        <w:rPr>
          <w:b/>
          <w:lang w:val="lt-LT"/>
        </w:rPr>
        <w:t xml:space="preserve"> </w:t>
      </w:r>
      <w:r w:rsidR="00695F90">
        <w:rPr>
          <w:b/>
          <w:lang w:val="lt-LT"/>
        </w:rPr>
        <w:t>3,6</w:t>
      </w:r>
      <w:r w:rsidR="00313691" w:rsidRPr="009C1845">
        <w:rPr>
          <w:b/>
          <w:lang w:val="lt-LT"/>
        </w:rPr>
        <w:t> </w:t>
      </w:r>
      <w:r w:rsidRPr="009C1845">
        <w:rPr>
          <w:b/>
          <w:lang w:val="lt-LT"/>
        </w:rPr>
        <w:t>proc</w:t>
      </w:r>
      <w:r w:rsidR="002B28ED" w:rsidRPr="006B12E8">
        <w:rPr>
          <w:b/>
          <w:lang w:val="lt-LT"/>
        </w:rPr>
        <w:t>.</w:t>
      </w:r>
      <w:r w:rsidR="00E5406F">
        <w:rPr>
          <w:lang w:val="lt-LT"/>
        </w:rPr>
        <w:t> </w:t>
      </w:r>
      <w:r w:rsidR="00BC211B" w:rsidRPr="00970FEB">
        <w:rPr>
          <w:lang w:val="lt-LT"/>
        </w:rPr>
        <w:t>Me</w:t>
      </w:r>
      <w:r w:rsidR="00BC211B" w:rsidRPr="0072496D">
        <w:rPr>
          <w:lang w:val="lt-LT"/>
        </w:rPr>
        <w:t>tinei</w:t>
      </w:r>
      <w:r w:rsidR="00BC211B" w:rsidRPr="00970FEB">
        <w:rPr>
          <w:lang w:val="lt-LT"/>
        </w:rPr>
        <w:t xml:space="preserve"> </w:t>
      </w:r>
      <w:r w:rsidR="00E539A8" w:rsidRPr="00FE19B4">
        <w:rPr>
          <w:lang w:val="lt-LT"/>
        </w:rPr>
        <w:t>in</w:t>
      </w:r>
      <w:r w:rsidR="00BC211B" w:rsidRPr="00FE19B4">
        <w:rPr>
          <w:lang w:val="lt-LT"/>
        </w:rPr>
        <w:t>fliacijai</w:t>
      </w:r>
      <w:r w:rsidR="00356A6A" w:rsidRPr="00FE19B4">
        <w:rPr>
          <w:lang w:val="lt-LT"/>
        </w:rPr>
        <w:t xml:space="preserve"> daugiausia</w:t>
      </w:r>
      <w:r w:rsidR="00BC211B" w:rsidRPr="00ED7B25">
        <w:rPr>
          <w:lang w:val="lt-LT"/>
        </w:rPr>
        <w:t xml:space="preserve"> </w:t>
      </w:r>
      <w:r w:rsidR="008420E8" w:rsidRPr="00ED7B25">
        <w:rPr>
          <w:lang w:val="lt-LT"/>
        </w:rPr>
        <w:t>įtakos</w:t>
      </w:r>
      <w:r w:rsidR="008420E8" w:rsidRPr="00BB3E2A">
        <w:rPr>
          <w:lang w:val="lt-LT"/>
        </w:rPr>
        <w:t xml:space="preserve"> </w:t>
      </w:r>
      <w:r w:rsidR="00BC211B" w:rsidRPr="00BB3E2A">
        <w:rPr>
          <w:lang w:val="lt-LT"/>
        </w:rPr>
        <w:t>turėjo</w:t>
      </w:r>
      <w:r w:rsidR="00BB3E2A" w:rsidRPr="00BB3E2A">
        <w:rPr>
          <w:lang w:val="lt-LT"/>
        </w:rPr>
        <w:t xml:space="preserve"> </w:t>
      </w:r>
      <w:r w:rsidR="00C22567">
        <w:rPr>
          <w:lang w:val="lt-LT"/>
        </w:rPr>
        <w:t xml:space="preserve">degalų ir tepalų, </w:t>
      </w:r>
      <w:r w:rsidR="00FE19B4">
        <w:rPr>
          <w:lang w:val="lt-LT"/>
        </w:rPr>
        <w:t xml:space="preserve">drabužių, </w:t>
      </w:r>
      <w:r w:rsidR="0072496D" w:rsidRPr="00644F6F">
        <w:rPr>
          <w:lang w:val="lt-LT"/>
        </w:rPr>
        <w:t>azartinių lošimų (loterijos bilietų),</w:t>
      </w:r>
      <w:r w:rsidR="0072496D">
        <w:rPr>
          <w:lang w:val="lt-LT"/>
        </w:rPr>
        <w:t xml:space="preserve"> </w:t>
      </w:r>
      <w:r w:rsidR="001729AF">
        <w:rPr>
          <w:lang w:val="lt-LT"/>
        </w:rPr>
        <w:t xml:space="preserve">odontologų paslaugų, tabako gaminių, </w:t>
      </w:r>
      <w:r w:rsidR="00FE19B4">
        <w:rPr>
          <w:lang w:val="lt-LT"/>
        </w:rPr>
        <w:t xml:space="preserve">daržovių, </w:t>
      </w:r>
      <w:r w:rsidR="0072496D">
        <w:rPr>
          <w:lang w:val="lt-LT"/>
        </w:rPr>
        <w:t>šilumos energijos</w:t>
      </w:r>
      <w:r w:rsidR="00C22567">
        <w:rPr>
          <w:lang w:val="lt-LT"/>
        </w:rPr>
        <w:t>, medicinos paslaugų</w:t>
      </w:r>
      <w:r w:rsidR="00E5502D">
        <w:rPr>
          <w:lang w:val="lt-LT"/>
        </w:rPr>
        <w:t xml:space="preserve">, </w:t>
      </w:r>
      <w:r w:rsidR="00FE19B4">
        <w:rPr>
          <w:lang w:val="lt-LT"/>
        </w:rPr>
        <w:t>asmeninių transpor</w:t>
      </w:r>
      <w:r w:rsidR="00A748CD">
        <w:rPr>
          <w:lang w:val="lt-LT"/>
        </w:rPr>
        <w:t>t</w:t>
      </w:r>
      <w:r w:rsidR="00FE19B4">
        <w:rPr>
          <w:lang w:val="lt-LT"/>
        </w:rPr>
        <w:t>o priemonių techninė</w:t>
      </w:r>
      <w:r w:rsidR="007F1DB7">
        <w:rPr>
          <w:lang w:val="lt-LT"/>
        </w:rPr>
        <w:t>s</w:t>
      </w:r>
      <w:r w:rsidR="00FE19B4">
        <w:rPr>
          <w:lang w:val="lt-LT"/>
        </w:rPr>
        <w:t xml:space="preserve"> priežiūros ir remonto</w:t>
      </w:r>
      <w:r w:rsidR="00964771">
        <w:rPr>
          <w:lang w:val="lt-LT"/>
        </w:rPr>
        <w:t xml:space="preserve"> </w:t>
      </w:r>
      <w:r w:rsidR="00E5502D" w:rsidRPr="00E5502D">
        <w:rPr>
          <w:lang w:val="lt-LT"/>
        </w:rPr>
        <w:t>paslaug</w:t>
      </w:r>
      <w:r w:rsidR="00E5502D">
        <w:rPr>
          <w:lang w:val="lt-LT"/>
        </w:rPr>
        <w:t>ų</w:t>
      </w:r>
      <w:r w:rsidR="00E5502D" w:rsidRPr="00E5406F">
        <w:rPr>
          <w:lang w:val="lt-LT"/>
        </w:rPr>
        <w:t xml:space="preserve"> </w:t>
      </w:r>
      <w:r w:rsidR="0087620C" w:rsidRPr="00E5406F">
        <w:rPr>
          <w:lang w:val="lt-LT"/>
        </w:rPr>
        <w:t xml:space="preserve">kainų </w:t>
      </w:r>
      <w:r w:rsidR="00890E0E" w:rsidRPr="00E5406F">
        <w:rPr>
          <w:lang w:val="lt-LT"/>
        </w:rPr>
        <w:t xml:space="preserve">padidėjimas bei </w:t>
      </w:r>
      <w:r w:rsidR="00C22567">
        <w:rPr>
          <w:lang w:val="lt-LT"/>
        </w:rPr>
        <w:t>elektros energijos, mėsos ir jos produktų</w:t>
      </w:r>
      <w:r w:rsidR="0067364C">
        <w:rPr>
          <w:lang w:val="lt-LT"/>
        </w:rPr>
        <w:t xml:space="preserve">, </w:t>
      </w:r>
      <w:r w:rsidR="0072496D">
        <w:rPr>
          <w:lang w:val="lt-LT"/>
        </w:rPr>
        <w:t xml:space="preserve">transporto draudimo </w:t>
      </w:r>
      <w:r w:rsidR="00BC211B" w:rsidRPr="00E5406F">
        <w:rPr>
          <w:lang w:val="lt-LT"/>
        </w:rPr>
        <w:t>kain</w:t>
      </w:r>
      <w:r w:rsidR="00DA478E" w:rsidRPr="00E5406F">
        <w:rPr>
          <w:lang w:val="lt-LT"/>
        </w:rPr>
        <w:t>ų sumažėjimas</w:t>
      </w:r>
      <w:r w:rsidR="00691049" w:rsidRPr="00E5406F">
        <w:rPr>
          <w:lang w:val="lt-LT"/>
        </w:rPr>
        <w:t>.</w:t>
      </w:r>
      <w:r w:rsidR="007E0ADF" w:rsidRPr="007E0ADF">
        <w:rPr>
          <w:lang w:val="lt-LT"/>
        </w:rPr>
        <w:t xml:space="preserve"> </w:t>
      </w:r>
    </w:p>
    <w:p w:rsidR="00033784" w:rsidRPr="006B12E8" w:rsidRDefault="00033784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9C1845">
        <w:rPr>
          <w:lang w:val="lt-LT"/>
        </w:rPr>
        <w:t>Vartojimo p</w:t>
      </w:r>
      <w:r w:rsidRPr="006B12E8">
        <w:rPr>
          <w:lang w:val="lt-LT"/>
        </w:rPr>
        <w:t xml:space="preserve">rekių kainos per metus </w:t>
      </w:r>
      <w:r w:rsidR="00C22567" w:rsidRPr="006B12E8">
        <w:rPr>
          <w:lang w:val="lt-LT"/>
        </w:rPr>
        <w:t>padidėjo</w:t>
      </w:r>
      <w:r w:rsidR="00C22567">
        <w:rPr>
          <w:lang w:val="lt-LT"/>
        </w:rPr>
        <w:t xml:space="preserve"> </w:t>
      </w:r>
      <w:r w:rsidR="00695F90">
        <w:rPr>
          <w:lang w:val="lt-LT"/>
        </w:rPr>
        <w:t>3,1</w:t>
      </w:r>
      <w:r w:rsidR="003B0693">
        <w:rPr>
          <w:lang w:val="lt-LT"/>
        </w:rPr>
        <w:t> </w:t>
      </w:r>
      <w:r w:rsidRPr="006B12E8">
        <w:rPr>
          <w:lang w:val="lt-LT"/>
        </w:rPr>
        <w:t>proc</w:t>
      </w:r>
      <w:r w:rsidR="002B28ED" w:rsidRPr="006B12E8">
        <w:rPr>
          <w:lang w:val="lt-LT"/>
        </w:rPr>
        <w:t>.</w:t>
      </w:r>
      <w:r w:rsidRPr="006B12E8">
        <w:rPr>
          <w:lang w:val="lt-LT"/>
        </w:rPr>
        <w:t xml:space="preserve">, paslaugų </w:t>
      </w:r>
      <w:r w:rsidR="005E7237" w:rsidRPr="006B12E8">
        <w:rPr>
          <w:lang w:val="lt-LT"/>
        </w:rPr>
        <w:t>–</w:t>
      </w:r>
      <w:r w:rsidR="00C22567">
        <w:rPr>
          <w:lang w:val="lt-LT"/>
        </w:rPr>
        <w:t xml:space="preserve"> </w:t>
      </w:r>
      <w:r w:rsidR="008025E7">
        <w:rPr>
          <w:lang w:val="lt-LT"/>
        </w:rPr>
        <w:t>4</w:t>
      </w:r>
      <w:r w:rsidR="00A55E6C">
        <w:rPr>
          <w:lang w:val="lt-LT"/>
        </w:rPr>
        <w:t>,</w:t>
      </w:r>
      <w:r w:rsidR="00695F90">
        <w:rPr>
          <w:lang w:val="lt-LT"/>
        </w:rPr>
        <w:t>6</w:t>
      </w:r>
      <w:r w:rsidR="00556CE2">
        <w:rPr>
          <w:lang w:val="lt-LT"/>
        </w:rPr>
        <w:t> </w:t>
      </w:r>
      <w:r w:rsidRPr="006B12E8">
        <w:rPr>
          <w:lang w:val="lt-LT"/>
        </w:rPr>
        <w:t xml:space="preserve">proc. </w:t>
      </w:r>
    </w:p>
    <w:p w:rsidR="006065B0" w:rsidRDefault="00E5406F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9C1845">
        <w:rPr>
          <w:lang w:val="lt-LT"/>
        </w:rPr>
        <w:t>V</w:t>
      </w:r>
      <w:r w:rsidR="00033784" w:rsidRPr="009C1845">
        <w:rPr>
          <w:lang w:val="lt-LT"/>
        </w:rPr>
        <w:t>alstybės ir savivaldybių</w:t>
      </w:r>
      <w:r w:rsidR="00033784" w:rsidRPr="006B12E8">
        <w:rPr>
          <w:lang w:val="lt-LT"/>
        </w:rPr>
        <w:t xml:space="preserve"> institucijų </w:t>
      </w:r>
      <w:r w:rsidR="006D6A67" w:rsidRPr="006B12E8">
        <w:rPr>
          <w:lang w:val="lt-LT"/>
        </w:rPr>
        <w:t>administruojamos</w:t>
      </w:r>
      <w:r w:rsidR="00033784" w:rsidRPr="006B12E8">
        <w:rPr>
          <w:lang w:val="lt-LT"/>
        </w:rPr>
        <w:t xml:space="preserve"> kainos </w:t>
      </w:r>
      <w:r>
        <w:rPr>
          <w:lang w:val="lt-LT"/>
        </w:rPr>
        <w:t xml:space="preserve">per metus </w:t>
      </w:r>
      <w:r w:rsidR="00C22567">
        <w:rPr>
          <w:lang w:val="lt-LT"/>
        </w:rPr>
        <w:t xml:space="preserve">padidėjo </w:t>
      </w:r>
      <w:r w:rsidR="00A55E6C">
        <w:rPr>
          <w:lang w:val="lt-LT"/>
        </w:rPr>
        <w:t>1,</w:t>
      </w:r>
      <w:r w:rsidR="00FE19B4">
        <w:rPr>
          <w:lang w:val="lt-LT"/>
        </w:rPr>
        <w:t>4</w:t>
      </w:r>
      <w:r w:rsidR="00556CE2">
        <w:rPr>
          <w:lang w:val="lt-LT"/>
        </w:rPr>
        <w:t> </w:t>
      </w:r>
      <w:r w:rsidR="00033784" w:rsidRPr="006B12E8">
        <w:rPr>
          <w:lang w:val="lt-LT"/>
        </w:rPr>
        <w:t>proc</w:t>
      </w:r>
      <w:r w:rsidR="00D22085" w:rsidRPr="006B12E8">
        <w:rPr>
          <w:lang w:val="lt-LT"/>
        </w:rPr>
        <w:t>.</w:t>
      </w:r>
      <w:r w:rsidR="00033784" w:rsidRPr="006B12E8">
        <w:rPr>
          <w:lang w:val="lt-LT"/>
        </w:rPr>
        <w:t xml:space="preserve">, </w:t>
      </w:r>
      <w:r w:rsidR="00033784" w:rsidRPr="006F02CB">
        <w:rPr>
          <w:lang w:val="lt-LT"/>
        </w:rPr>
        <w:t>rinkos</w:t>
      </w:r>
      <w:r w:rsidR="00556CE2">
        <w:rPr>
          <w:lang w:val="lt-LT"/>
        </w:rPr>
        <w:t> </w:t>
      </w:r>
      <w:r w:rsidR="00411029">
        <w:rPr>
          <w:lang w:val="lt-LT"/>
        </w:rPr>
        <w:t>–</w:t>
      </w:r>
      <w:r w:rsidR="00FE19B4">
        <w:rPr>
          <w:lang w:val="lt-LT"/>
        </w:rPr>
        <w:t>3,9</w:t>
      </w:r>
      <w:r w:rsidR="00556CE2">
        <w:rPr>
          <w:lang w:val="lt-LT"/>
        </w:rPr>
        <w:t> </w:t>
      </w:r>
      <w:r w:rsidR="000600DA">
        <w:rPr>
          <w:lang w:val="lt-LT"/>
        </w:rPr>
        <w:t>proc.</w:t>
      </w:r>
    </w:p>
    <w:p w:rsidR="003C2B2A" w:rsidRDefault="003C2B2A" w:rsidP="003C2B2A">
      <w:pPr>
        <w:pStyle w:val="BodyText"/>
        <w:jc w:val="both"/>
        <w:rPr>
          <w:lang w:val="lt-LT"/>
        </w:rPr>
      </w:pPr>
    </w:p>
    <w:p w:rsidR="003C2B2A" w:rsidRPr="005A0256" w:rsidRDefault="003C2B2A" w:rsidP="003C2B2A">
      <w:pPr>
        <w:pStyle w:val="Lentelespav"/>
        <w:jc w:val="left"/>
        <w:rPr>
          <w:sz w:val="16"/>
          <w:szCs w:val="16"/>
          <w:lang w:val="lt-LT"/>
        </w:rPr>
      </w:pPr>
    </w:p>
    <w:p w:rsidR="003C2B2A" w:rsidRDefault="003C2B2A" w:rsidP="003C2B2A">
      <w:pPr>
        <w:pStyle w:val="Lentelespav"/>
        <w:jc w:val="left"/>
        <w:rPr>
          <w:lang w:val="lt-LT"/>
        </w:rPr>
      </w:pPr>
      <w:r>
        <w:rPr>
          <w:lang w:val="lt-LT"/>
        </w:rPr>
        <w:t>2</w:t>
      </w:r>
      <w:r w:rsidRPr="0075445C">
        <w:rPr>
          <w:lang w:val="lt-LT"/>
        </w:rPr>
        <w:t xml:space="preserve"> pav. Metinė infliacija 201</w:t>
      </w:r>
      <w:r>
        <w:rPr>
          <w:lang w:val="lt-LT"/>
        </w:rPr>
        <w:t>6</w:t>
      </w:r>
      <w:r w:rsidRPr="0075445C">
        <w:rPr>
          <w:lang w:val="lt-LT"/>
        </w:rPr>
        <w:t>–202</w:t>
      </w:r>
      <w:r>
        <w:rPr>
          <w:lang w:val="lt-LT"/>
        </w:rPr>
        <w:t>1</w:t>
      </w:r>
      <w:r w:rsidRPr="0075445C">
        <w:rPr>
          <w:lang w:val="lt-LT"/>
        </w:rPr>
        <w:t xml:space="preserve"> m. </w:t>
      </w:r>
      <w:r w:rsidR="00F57E7C">
        <w:rPr>
          <w:lang w:val="lt-LT"/>
        </w:rPr>
        <w:t>gegužės</w:t>
      </w:r>
      <w:r w:rsidRPr="006E2608">
        <w:rPr>
          <w:lang w:val="lt-LT"/>
        </w:rPr>
        <w:t xml:space="preserve"> mė</w:t>
      </w:r>
      <w:r w:rsidRPr="0075445C">
        <w:rPr>
          <w:lang w:val="lt-LT"/>
        </w:rPr>
        <w:t>n.</w:t>
      </w:r>
    </w:p>
    <w:p w:rsidR="003C2B2A" w:rsidRDefault="003C2B2A" w:rsidP="003C2B2A">
      <w:pPr>
        <w:pStyle w:val="Lentelespav"/>
        <w:jc w:val="left"/>
        <w:rPr>
          <w:sz w:val="16"/>
          <w:szCs w:val="16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581EF363" wp14:editId="1EB8B0FD">
            <wp:extent cx="6120000" cy="2520000"/>
            <wp:effectExtent l="0" t="0" r="0" b="0"/>
            <wp:docPr id="4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C2B2A" w:rsidRDefault="003C2B2A" w:rsidP="0035509F">
      <w:pPr>
        <w:pStyle w:val="Lentelespav"/>
        <w:jc w:val="left"/>
        <w:rPr>
          <w:sz w:val="16"/>
          <w:szCs w:val="16"/>
          <w:lang w:val="lt-LT"/>
        </w:rPr>
      </w:pPr>
    </w:p>
    <w:p w:rsidR="00964771" w:rsidRDefault="00964771" w:rsidP="0035509F">
      <w:pPr>
        <w:pStyle w:val="Lentelespav"/>
        <w:jc w:val="left"/>
        <w:rPr>
          <w:sz w:val="16"/>
          <w:szCs w:val="16"/>
          <w:lang w:val="lt-LT"/>
        </w:rPr>
      </w:pPr>
    </w:p>
    <w:p w:rsidR="00A84A2C" w:rsidRDefault="00A84A2C" w:rsidP="00A84A2C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AD0BAB">
        <w:rPr>
          <w:b/>
          <w:lang w:val="lt-LT"/>
        </w:rPr>
        <w:t>20</w:t>
      </w:r>
      <w:r>
        <w:rPr>
          <w:b/>
          <w:lang w:val="lt-LT"/>
        </w:rPr>
        <w:t>2</w:t>
      </w:r>
      <w:r w:rsidR="00F6595C">
        <w:rPr>
          <w:b/>
          <w:lang w:val="lt-LT"/>
        </w:rPr>
        <w:t>1</w:t>
      </w:r>
      <w:r w:rsidRPr="00AD0BAB">
        <w:rPr>
          <w:b/>
          <w:lang w:val="lt-LT"/>
        </w:rPr>
        <w:t xml:space="preserve"> m. </w:t>
      </w:r>
      <w:r w:rsidR="00F57E7C">
        <w:rPr>
          <w:b/>
          <w:lang w:val="lt-LT"/>
        </w:rPr>
        <w:t>gegužę</w:t>
      </w:r>
      <w:r w:rsidRPr="006B12E8">
        <w:rPr>
          <w:b/>
          <w:lang w:val="lt-LT"/>
        </w:rPr>
        <w:t xml:space="preserve"> </w:t>
      </w:r>
      <w:r w:rsidRPr="00D93FA7">
        <w:rPr>
          <w:b/>
          <w:color w:val="9BBB59" w:themeColor="accent3"/>
          <w:lang w:val="lt-LT"/>
        </w:rPr>
        <w:t xml:space="preserve">vidutinė metinė infliacija </w:t>
      </w:r>
      <w:r w:rsidRPr="006B12E8">
        <w:rPr>
          <w:b/>
          <w:lang w:val="lt-LT"/>
        </w:rPr>
        <w:t xml:space="preserve">sudarė </w:t>
      </w:r>
      <w:r w:rsidR="00F57E7C">
        <w:rPr>
          <w:b/>
          <w:lang w:val="lt-LT"/>
        </w:rPr>
        <w:t>1,2</w:t>
      </w:r>
      <w:r w:rsidRPr="006B12E8">
        <w:rPr>
          <w:b/>
          <w:lang w:val="lt-LT"/>
        </w:rPr>
        <w:t xml:space="preserve"> proc.</w:t>
      </w:r>
      <w:r w:rsidRPr="006B12E8">
        <w:rPr>
          <w:lang w:val="lt-LT"/>
        </w:rPr>
        <w:t xml:space="preserve"> </w:t>
      </w:r>
    </w:p>
    <w:p w:rsidR="00A84A2C" w:rsidRPr="006B12E8" w:rsidRDefault="00A84A2C" w:rsidP="005A0256">
      <w:pPr>
        <w:widowControl w:val="0"/>
        <w:spacing w:before="240"/>
        <w:outlineLvl w:val="1"/>
        <w:rPr>
          <w:b/>
          <w:lang w:val="lt-LT"/>
        </w:rPr>
      </w:pPr>
      <w:r>
        <w:rPr>
          <w:b/>
          <w:lang w:val="lt-LT"/>
        </w:rPr>
        <w:t>3</w:t>
      </w:r>
      <w:r w:rsidRPr="006B12E8">
        <w:rPr>
          <w:b/>
          <w:lang w:val="lt-LT"/>
        </w:rPr>
        <w:t xml:space="preserve"> pav. Vidutinė metinė infliacija </w:t>
      </w:r>
      <w:r w:rsidR="00827769" w:rsidRPr="00827769">
        <w:rPr>
          <w:b/>
          <w:lang w:val="lt-LT"/>
        </w:rPr>
        <w:t>201</w:t>
      </w:r>
      <w:r w:rsidR="00F6595C">
        <w:rPr>
          <w:b/>
          <w:lang w:val="lt-LT"/>
        </w:rPr>
        <w:t>6</w:t>
      </w:r>
      <w:r w:rsidR="00827769" w:rsidRPr="00827769">
        <w:rPr>
          <w:b/>
          <w:lang w:val="lt-LT"/>
        </w:rPr>
        <w:t>–202</w:t>
      </w:r>
      <w:r w:rsidR="00F6595C">
        <w:rPr>
          <w:b/>
          <w:lang w:val="lt-LT"/>
        </w:rPr>
        <w:t>1</w:t>
      </w:r>
      <w:r w:rsidR="00827769" w:rsidRPr="00827769">
        <w:rPr>
          <w:b/>
          <w:lang w:val="lt-LT"/>
        </w:rPr>
        <w:t xml:space="preserve"> m. </w:t>
      </w:r>
      <w:r w:rsidR="007F1DB7">
        <w:rPr>
          <w:b/>
          <w:lang w:val="lt-LT"/>
        </w:rPr>
        <w:t>gegužės</w:t>
      </w:r>
      <w:r w:rsidR="00827769" w:rsidRPr="00827769">
        <w:rPr>
          <w:b/>
          <w:lang w:val="lt-LT"/>
        </w:rPr>
        <w:t xml:space="preserve"> mėn.</w:t>
      </w:r>
    </w:p>
    <w:p w:rsidR="00A84A2C" w:rsidRPr="00D6560E" w:rsidRDefault="00681204" w:rsidP="00A84A2C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2CA258A" wp14:editId="0861D732">
            <wp:extent cx="6089650" cy="2237055"/>
            <wp:effectExtent l="0" t="0" r="0" b="0"/>
            <wp:docPr id="3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83BB7" w:rsidRDefault="00283BB7" w:rsidP="0035509F">
      <w:pPr>
        <w:pStyle w:val="Lentelespav"/>
        <w:jc w:val="left"/>
        <w:rPr>
          <w:lang w:val="lt-LT"/>
        </w:rPr>
      </w:pPr>
    </w:p>
    <w:p w:rsidR="00343AFE" w:rsidRDefault="00343AFE" w:rsidP="00343AFE">
      <w:pPr>
        <w:pStyle w:val="Lentelespav"/>
        <w:jc w:val="left"/>
        <w:rPr>
          <w:lang w:val="lt-LT"/>
        </w:rPr>
      </w:pPr>
      <w:r w:rsidRPr="006B12E8">
        <w:rPr>
          <w:lang w:val="lt-LT"/>
        </w:rPr>
        <w:t>2 lentelė. Vartojimo prekių ir paslaugų kainų pokyčiai 20</w:t>
      </w:r>
      <w:r>
        <w:rPr>
          <w:lang w:val="lt-LT"/>
        </w:rPr>
        <w:t>21</w:t>
      </w:r>
      <w:r w:rsidRPr="006B12E8">
        <w:rPr>
          <w:lang w:val="lt-LT"/>
        </w:rPr>
        <w:t xml:space="preserve"> m. </w:t>
      </w:r>
      <w:r w:rsidR="00ED5717">
        <w:rPr>
          <w:lang w:val="lt-LT"/>
        </w:rPr>
        <w:t>gegužės</w:t>
      </w:r>
      <w:r w:rsidRPr="006B12E8">
        <w:rPr>
          <w:lang w:val="lt-LT"/>
        </w:rPr>
        <w:t xml:space="preserve"> mėn.</w:t>
      </w:r>
    </w:p>
    <w:p w:rsidR="00343AFE" w:rsidRPr="00187B9D" w:rsidRDefault="00343AFE" w:rsidP="00343AFE">
      <w:pPr>
        <w:spacing w:before="60" w:after="60"/>
        <w:rPr>
          <w:sz w:val="18"/>
          <w:szCs w:val="18"/>
          <w:lang w:val="lt-LT"/>
        </w:rPr>
      </w:pPr>
      <w:r w:rsidRPr="00187B9D">
        <w:rPr>
          <w:sz w:val="18"/>
          <w:szCs w:val="18"/>
          <w:lang w:val="lt-LT"/>
        </w:rPr>
        <w:t>Procentais</w:t>
      </w:r>
    </w:p>
    <w:tbl>
      <w:tblPr>
        <w:tblW w:w="5151" w:type="pct"/>
        <w:tblBorders>
          <w:top w:val="single" w:sz="12" w:space="0" w:color="auto"/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2618"/>
        <w:gridCol w:w="1315"/>
        <w:gridCol w:w="1030"/>
        <w:gridCol w:w="1118"/>
        <w:gridCol w:w="1021"/>
        <w:gridCol w:w="2817"/>
      </w:tblGrid>
      <w:tr w:rsidR="00343AFE" w:rsidRPr="00187B9D" w:rsidTr="00A447A8">
        <w:trPr>
          <w:cantSplit/>
          <w:tblHeader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 xml:space="preserve">Vartojimo prekių ir paslaugų skyriai pagal COICOP </w:t>
            </w:r>
            <w:r>
              <w:rPr>
                <w:rFonts w:cs="Arial"/>
                <w:sz w:val="19"/>
                <w:szCs w:val="19"/>
                <w:lang w:val="lt-LT"/>
              </w:rPr>
              <w:t>1999</w:t>
            </w:r>
            <w:r w:rsidRPr="00296EFB">
              <w:rPr>
                <w:rFonts w:cs="Arial"/>
                <w:sz w:val="19"/>
                <w:szCs w:val="19"/>
                <w:vertAlign w:val="superscript"/>
                <w:lang w:val="lt-LT"/>
              </w:rPr>
              <w:t>1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Vartojimo išlaidų lyginam</w:t>
            </w:r>
            <w:r>
              <w:rPr>
                <w:rFonts w:cs="Arial"/>
                <w:sz w:val="19"/>
                <w:szCs w:val="19"/>
                <w:lang w:val="lt-LT"/>
              </w:rPr>
              <w:t>osios dalys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 xml:space="preserve"> bendrose vartojimo išlaidose</w:t>
            </w:r>
          </w:p>
        </w:tc>
        <w:tc>
          <w:tcPr>
            <w:tcW w:w="3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Kainų padidėjimas, sumažėjimas (–)</w:t>
            </w:r>
          </w:p>
        </w:tc>
      </w:tr>
      <w:tr w:rsidR="00343AFE" w:rsidRPr="00187B9D" w:rsidTr="00A447A8">
        <w:trPr>
          <w:cantSplit/>
          <w:tblHeader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21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> m</w:t>
            </w:r>
            <w:r w:rsidR="00ED5717">
              <w:rPr>
                <w:rFonts w:cs="Arial"/>
                <w:sz w:val="19"/>
                <w:szCs w:val="19"/>
                <w:lang w:val="lt-LT"/>
              </w:rPr>
              <w:t>. gegužės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mėn., palyginti su</w:t>
            </w:r>
          </w:p>
        </w:tc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vidutinis metinis</w:t>
            </w:r>
          </w:p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t>20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>–20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t>21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 xml:space="preserve"> m. </w:t>
            </w:r>
            <w:r w:rsidR="00ED5717">
              <w:rPr>
                <w:rFonts w:cs="Arial"/>
                <w:sz w:val="19"/>
                <w:szCs w:val="19"/>
                <w:u w:val="single"/>
                <w:lang w:val="lt-LT"/>
              </w:rPr>
              <w:t>gegužės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 xml:space="preserve"> mėn.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br/>
            </w:r>
            <w:r w:rsidRPr="00187B9D">
              <w:rPr>
                <w:rFonts w:cs="Arial"/>
                <w:sz w:val="19"/>
                <w:szCs w:val="19"/>
                <w:lang w:val="lt-LT"/>
              </w:rPr>
              <w:t>201</w:t>
            </w:r>
            <w:r>
              <w:rPr>
                <w:rFonts w:cs="Arial"/>
                <w:sz w:val="19"/>
                <w:szCs w:val="19"/>
                <w:lang w:val="lt-LT"/>
              </w:rPr>
              <w:t>9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>–20</w:t>
            </w:r>
            <w:r>
              <w:rPr>
                <w:rFonts w:cs="Arial"/>
                <w:sz w:val="19"/>
                <w:szCs w:val="19"/>
                <w:lang w:val="lt-LT"/>
              </w:rPr>
              <w:t>20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="00ED5717">
              <w:rPr>
                <w:rFonts w:cs="Arial"/>
                <w:sz w:val="19"/>
                <w:szCs w:val="19"/>
                <w:lang w:val="lt-LT"/>
              </w:rPr>
              <w:t>gegužės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</w:tr>
      <w:tr w:rsidR="00343AFE" w:rsidRPr="00187B9D" w:rsidTr="00A447A8">
        <w:trPr>
          <w:cantSplit/>
          <w:trHeight w:val="335"/>
          <w:tblHeader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21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br/>
            </w:r>
            <w:r w:rsidR="00ED5717">
              <w:rPr>
                <w:rFonts w:cs="Arial"/>
                <w:sz w:val="19"/>
                <w:szCs w:val="19"/>
                <w:lang w:val="lt-LT"/>
              </w:rPr>
              <w:t>balandžio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343AFE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20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br/>
            </w:r>
          </w:p>
        </w:tc>
        <w:tc>
          <w:tcPr>
            <w:tcW w:w="1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43AFE" w:rsidRPr="00187B9D" w:rsidTr="00A447A8">
        <w:trPr>
          <w:cantSplit/>
          <w:trHeight w:val="334"/>
          <w:tblHeader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gruodži</w:t>
            </w:r>
            <w:r w:rsidRPr="00283BB7">
              <w:rPr>
                <w:rFonts w:cs="Arial"/>
                <w:sz w:val="19"/>
                <w:szCs w:val="19"/>
                <w:lang w:val="lt-LT"/>
              </w:rPr>
              <w:t>o mėn.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ED5717" w:rsidP="006F5A2B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gegužės</w:t>
            </w:r>
            <w:r w:rsidR="00343AFE" w:rsidRPr="00283BB7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  <w:tc>
          <w:tcPr>
            <w:tcW w:w="1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prekės ir paslaugos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100,0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343AFE" w:rsidRPr="006B12E8" w:rsidRDefault="002835E2" w:rsidP="00ED5717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0,</w:t>
            </w:r>
            <w:r w:rsidR="00ED5717">
              <w:rPr>
                <w:rFonts w:cs="Arial"/>
                <w:b/>
                <w:sz w:val="19"/>
                <w:szCs w:val="19"/>
                <w:lang w:val="lt-LT"/>
              </w:rPr>
              <w:t>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343AFE" w:rsidRPr="00187B9D" w:rsidRDefault="00ED5717" w:rsidP="002835E2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3,2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3,6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343AFE" w:rsidRPr="00187B9D" w:rsidRDefault="00ED5717" w:rsidP="002835E2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1,2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343AFE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Maisto produktai ir nealkoholiniai gėrimai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2</w:t>
            </w:r>
            <w:r>
              <w:rPr>
                <w:rFonts w:cs="Arial"/>
                <w:sz w:val="19"/>
                <w:szCs w:val="19"/>
                <w:lang w:val="lt-LT"/>
              </w:rPr>
              <w:t>1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66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ED571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0,6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3,7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0,7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0,7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343AFE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Alkoholiniai gėrimai ir tabako gaminiai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ED571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1,0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5502D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1,9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1,5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2,6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343AFE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Drabužiai ir avalynė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66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ED571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4,4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6,4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3,9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3AFE" w:rsidRPr="00187B9D" w:rsidRDefault="0089543F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ED5717">
              <w:rPr>
                <w:rFonts w:cs="Arial"/>
                <w:sz w:val="19"/>
                <w:szCs w:val="19"/>
                <w:lang w:val="lt-LT"/>
              </w:rPr>
              <w:t>0,3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343AFE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Būstas, vanduo, elektra, dujos ir kitas kuras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1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71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89543F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ED5717">
              <w:rPr>
                <w:rFonts w:cs="Arial"/>
                <w:sz w:val="19"/>
                <w:szCs w:val="19"/>
                <w:lang w:val="lt-LT"/>
              </w:rPr>
              <w:t>1,0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1,9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1,1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3AFE" w:rsidRPr="00187B9D" w:rsidRDefault="0089543F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ED5717">
              <w:rPr>
                <w:rFonts w:cs="Arial"/>
                <w:sz w:val="19"/>
                <w:szCs w:val="19"/>
                <w:lang w:val="lt-LT"/>
              </w:rPr>
              <w:t>2,7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343AFE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Būsto apstatymas, namų apyvokos įranga ir kasdienė būsto priežiūra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5,</w:t>
            </w:r>
            <w:r>
              <w:rPr>
                <w:rFonts w:cs="Arial"/>
                <w:sz w:val="19"/>
                <w:szCs w:val="19"/>
                <w:lang w:val="lt-LT"/>
              </w:rPr>
              <w:t>40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ED571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0,7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1,9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2,6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2,6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343AFE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Sveikatos priežiūra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98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ED571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0,4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6,2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6,9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343AFE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Transportas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3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25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ED571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0,4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6,0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10,5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3AFE" w:rsidRPr="00187B9D" w:rsidRDefault="0089543F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ED5717">
              <w:rPr>
                <w:rFonts w:cs="Arial"/>
                <w:sz w:val="19"/>
                <w:szCs w:val="19"/>
                <w:lang w:val="lt-LT"/>
              </w:rPr>
              <w:t>1,3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343AFE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Ryšiai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24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ED571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0,3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2,3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2,3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343AFE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Poilsis ir kultūra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75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ED571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0,3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4,3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4,4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1,4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343AFE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Švietimas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1,</w:t>
            </w:r>
            <w:r>
              <w:rPr>
                <w:rFonts w:cs="Arial"/>
                <w:sz w:val="19"/>
                <w:szCs w:val="19"/>
                <w:lang w:val="lt-LT"/>
              </w:rPr>
              <w:t>93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ED571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0,0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0,2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89543F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5,7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6,8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343AFE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Viešbučiai, kavinės ir restoranai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43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ED571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1,3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1,7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89543F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3,0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3AFE" w:rsidRPr="00187B9D" w:rsidRDefault="00ED5717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3,8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343AFE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Įvairios prekės ir paslaugos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6B12E8" w:rsidRDefault="0089543F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ED5717">
              <w:rPr>
                <w:rFonts w:cs="Arial"/>
                <w:sz w:val="19"/>
                <w:szCs w:val="19"/>
                <w:lang w:val="lt-LT"/>
              </w:rPr>
              <w:t>0,7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ED571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2,8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3AFE" w:rsidRPr="00187B9D" w:rsidRDefault="0089543F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3,1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43AFE" w:rsidRPr="00187B9D" w:rsidRDefault="00ED5717" w:rsidP="00ED5717">
            <w:pPr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2,2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prekės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70</w:t>
            </w: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b/>
                <w:sz w:val="19"/>
                <w:szCs w:val="19"/>
                <w:lang w:val="lt-LT"/>
              </w:rPr>
              <w:t>52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343AFE" w:rsidRPr="00D61403" w:rsidRDefault="0089543F" w:rsidP="0099380C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0,6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343AFE" w:rsidRPr="00187B9D" w:rsidRDefault="0099380C" w:rsidP="0089543F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3,</w:t>
            </w:r>
            <w:r w:rsidR="0089543F">
              <w:rPr>
                <w:rFonts w:cs="Arial"/>
                <w:b/>
                <w:sz w:val="19"/>
                <w:szCs w:val="19"/>
                <w:lang w:val="lt-LT"/>
              </w:rPr>
              <w:t>6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343AFE" w:rsidRPr="00187B9D" w:rsidRDefault="0089543F" w:rsidP="0099380C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3,1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343AFE" w:rsidRPr="00187B9D" w:rsidRDefault="00E11F4C" w:rsidP="0089543F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–</w:t>
            </w:r>
            <w:r w:rsidR="009E04E3">
              <w:rPr>
                <w:rFonts w:cs="Arial"/>
                <w:b/>
                <w:sz w:val="19"/>
                <w:szCs w:val="19"/>
                <w:lang w:val="lt-LT"/>
              </w:rPr>
              <w:t>0,</w:t>
            </w:r>
            <w:r w:rsidR="0089543F">
              <w:rPr>
                <w:rFonts w:cs="Arial"/>
                <w:b/>
                <w:sz w:val="19"/>
                <w:szCs w:val="19"/>
                <w:lang w:val="lt-LT"/>
              </w:rPr>
              <w:t>2</w:t>
            </w:r>
          </w:p>
        </w:tc>
      </w:tr>
      <w:tr w:rsidR="00343AFE" w:rsidRPr="00187B9D" w:rsidTr="00A447A8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paslaugos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343AFE" w:rsidRPr="006B12E8" w:rsidRDefault="00343AFE" w:rsidP="00ED5717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29</w:t>
            </w: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b/>
                <w:sz w:val="19"/>
                <w:szCs w:val="19"/>
                <w:lang w:val="lt-LT"/>
              </w:rPr>
              <w:t>48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343AFE" w:rsidRPr="00D61403" w:rsidRDefault="009E04E3" w:rsidP="0089543F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0,</w:t>
            </w:r>
            <w:r w:rsidR="0089543F">
              <w:rPr>
                <w:rFonts w:cs="Arial"/>
                <w:b/>
                <w:sz w:val="19"/>
                <w:szCs w:val="19"/>
                <w:lang w:val="lt-LT"/>
              </w:rPr>
              <w:t>5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343AFE" w:rsidRPr="00187B9D" w:rsidRDefault="007F1DB7" w:rsidP="0099380C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2,5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343AFE" w:rsidRPr="00187B9D" w:rsidRDefault="007F1DB7" w:rsidP="0089543F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4,6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343AFE" w:rsidRPr="00187B9D" w:rsidRDefault="009E04E3" w:rsidP="0089543F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4,</w:t>
            </w:r>
            <w:r w:rsidR="0089543F">
              <w:rPr>
                <w:rFonts w:cs="Arial"/>
                <w:b/>
                <w:sz w:val="19"/>
                <w:szCs w:val="19"/>
                <w:lang w:val="lt-LT"/>
              </w:rPr>
              <w:t>3</w:t>
            </w:r>
          </w:p>
        </w:tc>
      </w:tr>
    </w:tbl>
    <w:p w:rsidR="002B4CEF" w:rsidRPr="00D6560E" w:rsidRDefault="002B4CEF" w:rsidP="002B4CEF">
      <w:pPr>
        <w:rPr>
          <w:lang w:val="lt-LT"/>
        </w:rPr>
      </w:pPr>
      <w:r w:rsidRPr="00D6560E">
        <w:rPr>
          <w:lang w:val="lt-LT"/>
        </w:rPr>
        <w:separator/>
      </w:r>
    </w:p>
    <w:p w:rsidR="002B4CEF" w:rsidRDefault="002B4CEF" w:rsidP="002B4CEF">
      <w:pPr>
        <w:pStyle w:val="BodyText"/>
        <w:spacing w:after="0"/>
        <w:jc w:val="both"/>
        <w:rPr>
          <w:sz w:val="18"/>
          <w:szCs w:val="18"/>
          <w:lang w:val="lt-LT"/>
        </w:rPr>
      </w:pPr>
      <w:r w:rsidRPr="00D6560E">
        <w:rPr>
          <w:vertAlign w:val="superscript"/>
          <w:lang w:val="lt-LT"/>
        </w:rPr>
        <w:footnoteRef/>
      </w:r>
      <w:r w:rsidRPr="00D6560E">
        <w:rPr>
          <w:lang w:val="lt-LT"/>
        </w:rPr>
        <w:t xml:space="preserve"> </w:t>
      </w:r>
      <w:r w:rsidRPr="00D6560E">
        <w:rPr>
          <w:sz w:val="18"/>
          <w:szCs w:val="18"/>
          <w:lang w:val="lt-LT"/>
        </w:rPr>
        <w:t xml:space="preserve">Individualaus vartojimo išlaidų pagal paskirtį klasifikatorius (angl. </w:t>
      </w:r>
      <w:r w:rsidRPr="00D6560E">
        <w:rPr>
          <w:i/>
          <w:sz w:val="18"/>
          <w:szCs w:val="18"/>
          <w:lang w:val="lt-LT"/>
        </w:rPr>
        <w:t>Classification of Individual Consumption by Purpose</w:t>
      </w:r>
      <w:r w:rsidR="00556CE2">
        <w:rPr>
          <w:sz w:val="18"/>
          <w:szCs w:val="18"/>
          <w:lang w:val="lt-LT"/>
        </w:rPr>
        <w:t> </w:t>
      </w:r>
      <w:r w:rsidRPr="00D6560E">
        <w:rPr>
          <w:sz w:val="18"/>
          <w:szCs w:val="18"/>
          <w:lang w:val="lt-LT"/>
        </w:rPr>
        <w:t>– COICOP</w:t>
      </w:r>
      <w:r>
        <w:rPr>
          <w:sz w:val="18"/>
          <w:szCs w:val="18"/>
          <w:lang w:val="lt-LT"/>
        </w:rPr>
        <w:t xml:space="preserve"> 1999</w:t>
      </w:r>
      <w:r w:rsidRPr="00D6560E">
        <w:rPr>
          <w:sz w:val="18"/>
          <w:szCs w:val="18"/>
          <w:lang w:val="lt-LT"/>
        </w:rPr>
        <w:t>).</w:t>
      </w:r>
    </w:p>
    <w:p w:rsidR="006600EB" w:rsidRDefault="006600EB" w:rsidP="002B4CEF">
      <w:pPr>
        <w:pStyle w:val="BodyText"/>
        <w:spacing w:after="0"/>
        <w:jc w:val="both"/>
        <w:rPr>
          <w:sz w:val="18"/>
          <w:szCs w:val="18"/>
          <w:lang w:val="lt-LT"/>
        </w:rPr>
      </w:pPr>
    </w:p>
    <w:p w:rsidR="00482F11" w:rsidRDefault="00482F11" w:rsidP="002B4CEF">
      <w:pPr>
        <w:pStyle w:val="BodyText"/>
        <w:spacing w:after="0"/>
        <w:jc w:val="both"/>
        <w:rPr>
          <w:sz w:val="18"/>
          <w:szCs w:val="18"/>
          <w:lang w:val="lt-LT"/>
        </w:rPr>
      </w:pPr>
    </w:p>
    <w:p w:rsidR="0081707E" w:rsidRDefault="0081707E" w:rsidP="00155C33">
      <w:pPr>
        <w:pStyle w:val="lentpav"/>
        <w:spacing w:after="120"/>
        <w:jc w:val="both"/>
        <w:rPr>
          <w:b w:val="0"/>
          <w:lang w:val="lt-LT"/>
        </w:rPr>
      </w:pPr>
    </w:p>
    <w:p w:rsidR="00706BF3" w:rsidRPr="0081707E" w:rsidRDefault="00706BF3" w:rsidP="00E378A9">
      <w:pPr>
        <w:pStyle w:val="lentpav"/>
        <w:spacing w:after="120"/>
        <w:ind w:firstLine="709"/>
        <w:jc w:val="both"/>
        <w:rPr>
          <w:b w:val="0"/>
          <w:lang w:val="lt-LT"/>
        </w:rPr>
      </w:pPr>
      <w:r w:rsidRPr="0081707E">
        <w:rPr>
          <w:lang w:val="lt-LT"/>
        </w:rPr>
        <w:t>Vartotojų kainų indekso sudarymas COVID</w:t>
      </w:r>
      <w:r w:rsidR="006439D8">
        <w:rPr>
          <w:lang w:val="lt-LT"/>
        </w:rPr>
        <w:t>-</w:t>
      </w:r>
      <w:r w:rsidRPr="0081707E">
        <w:rPr>
          <w:lang w:val="lt-LT"/>
        </w:rPr>
        <w:t>19 pandemijos sąlygomis</w:t>
      </w:r>
    </w:p>
    <w:p w:rsidR="00706BF3" w:rsidRDefault="00706BF3">
      <w:pPr>
        <w:pStyle w:val="lentpav"/>
        <w:spacing w:after="120"/>
        <w:ind w:firstLine="709"/>
        <w:jc w:val="both"/>
        <w:rPr>
          <w:b w:val="0"/>
          <w:lang w:val="lt-LT"/>
        </w:rPr>
      </w:pPr>
      <w:r>
        <w:rPr>
          <w:b w:val="0"/>
          <w:lang w:val="lt-LT"/>
        </w:rPr>
        <w:t>D</w:t>
      </w:r>
      <w:r w:rsidRPr="00BE45D0">
        <w:rPr>
          <w:b w:val="0"/>
          <w:lang w:val="lt-LT"/>
        </w:rPr>
        <w:t xml:space="preserve">ėl karantino </w:t>
      </w:r>
      <w:r w:rsidR="007F1DB7">
        <w:rPr>
          <w:b w:val="0"/>
          <w:lang w:val="lt-LT"/>
        </w:rPr>
        <w:t>gegužę</w:t>
      </w:r>
      <w:r>
        <w:rPr>
          <w:b w:val="0"/>
          <w:lang w:val="lt-LT"/>
        </w:rPr>
        <w:t xml:space="preserve"> </w:t>
      </w:r>
      <w:r w:rsidRPr="00644F6F">
        <w:rPr>
          <w:b w:val="0"/>
          <w:lang w:val="lt-LT"/>
        </w:rPr>
        <w:t xml:space="preserve">nesurinkta </w:t>
      </w:r>
      <w:r w:rsidRPr="00A748CD">
        <w:rPr>
          <w:b w:val="0"/>
          <w:lang w:val="lt-LT"/>
        </w:rPr>
        <w:t xml:space="preserve">apie </w:t>
      </w:r>
      <w:r w:rsidR="00691330" w:rsidRPr="00A748CD">
        <w:rPr>
          <w:b w:val="0"/>
          <w:lang w:val="lt-LT"/>
        </w:rPr>
        <w:t>1</w:t>
      </w:r>
      <w:r w:rsidR="00556CE2" w:rsidRPr="00A748CD">
        <w:rPr>
          <w:b w:val="0"/>
          <w:lang w:val="lt-LT"/>
        </w:rPr>
        <w:t> </w:t>
      </w:r>
      <w:r w:rsidRPr="00A748CD">
        <w:rPr>
          <w:b w:val="0"/>
          <w:lang w:val="lt-LT"/>
        </w:rPr>
        <w:t>proc. kainų</w:t>
      </w:r>
      <w:r>
        <w:rPr>
          <w:b w:val="0"/>
          <w:lang w:val="lt-LT"/>
        </w:rPr>
        <w:t xml:space="preserve">. Atostogų išvykų, </w:t>
      </w:r>
      <w:r w:rsidR="00A748CD">
        <w:rPr>
          <w:b w:val="0"/>
          <w:lang w:val="lt-LT"/>
        </w:rPr>
        <w:t xml:space="preserve">poilsio ir </w:t>
      </w:r>
      <w:r>
        <w:rPr>
          <w:b w:val="0"/>
          <w:lang w:val="lt-LT"/>
        </w:rPr>
        <w:t>sporto paslaugų</w:t>
      </w:r>
      <w:r w:rsidR="00236D23">
        <w:rPr>
          <w:b w:val="0"/>
          <w:lang w:val="lt-LT"/>
        </w:rPr>
        <w:t xml:space="preserve"> trūkstamos </w:t>
      </w:r>
      <w:r>
        <w:rPr>
          <w:b w:val="0"/>
          <w:lang w:val="lt-LT"/>
        </w:rPr>
        <w:t xml:space="preserve">kainos buvo įvertintos, atsižvelgus į </w:t>
      </w:r>
      <w:r w:rsidR="00C23BD4">
        <w:rPr>
          <w:b w:val="0"/>
          <w:lang w:val="lt-LT"/>
        </w:rPr>
        <w:t xml:space="preserve">prekių ir </w:t>
      </w:r>
      <w:r>
        <w:rPr>
          <w:b w:val="0"/>
          <w:lang w:val="lt-LT"/>
        </w:rPr>
        <w:t>paslaugų specifiškumą bei taikant atitinkamus kainų vertinimo metodus (vadovaujantis Eurostato pateiktomis rekomendacijomis).</w:t>
      </w:r>
    </w:p>
    <w:p w:rsidR="00706BF3" w:rsidRPr="0081707E" w:rsidRDefault="002A5F2B">
      <w:pPr>
        <w:pStyle w:val="lentpav"/>
        <w:spacing w:after="120"/>
        <w:ind w:firstLine="709"/>
        <w:jc w:val="both"/>
        <w:rPr>
          <w:b w:val="0"/>
          <w:lang w:val="lt-LT"/>
        </w:rPr>
      </w:pPr>
      <w:r w:rsidRPr="00776585">
        <w:rPr>
          <w:b w:val="0"/>
          <w:lang w:val="lt-LT"/>
        </w:rPr>
        <w:t xml:space="preserve">Dėl karantino apribojimų statistinio vertinimo tikslumas </w:t>
      </w:r>
      <w:r w:rsidR="0037730C" w:rsidRPr="00776585">
        <w:rPr>
          <w:b w:val="0"/>
          <w:lang w:val="lt-LT"/>
        </w:rPr>
        <w:t xml:space="preserve">laikomas </w:t>
      </w:r>
      <w:r w:rsidRPr="00776585">
        <w:rPr>
          <w:b w:val="0"/>
          <w:lang w:val="lt-LT"/>
        </w:rPr>
        <w:t>nepakankam</w:t>
      </w:r>
      <w:r w:rsidR="0037730C">
        <w:rPr>
          <w:b w:val="0"/>
          <w:lang w:val="lt-LT"/>
        </w:rPr>
        <w:t>u,</w:t>
      </w:r>
      <w:r w:rsidRPr="00776585">
        <w:rPr>
          <w:b w:val="0"/>
          <w:lang w:val="lt-LT"/>
        </w:rPr>
        <w:t xml:space="preserve"> kai surinkta mažiau nei 50</w:t>
      </w:r>
      <w:r w:rsidR="00556CE2">
        <w:rPr>
          <w:b w:val="0"/>
          <w:lang w:val="lt-LT"/>
        </w:rPr>
        <w:t> </w:t>
      </w:r>
      <w:r w:rsidRPr="00776585">
        <w:rPr>
          <w:b w:val="0"/>
          <w:lang w:val="lt-LT"/>
        </w:rPr>
        <w:t>proc. kainų.</w:t>
      </w:r>
      <w:r w:rsidRPr="002A5F2B">
        <w:rPr>
          <w:b w:val="0"/>
          <w:lang w:val="lt-LT"/>
        </w:rPr>
        <w:t xml:space="preserve"> </w:t>
      </w:r>
      <w:r w:rsidR="00706BF3">
        <w:rPr>
          <w:b w:val="0"/>
          <w:lang w:val="lt-LT"/>
        </w:rPr>
        <w:t>Prekių ir paslaugų grupės, kurių kainų indeksai ir pokyčiai yra žemesnio patikimumo, Rodiklių duomenų bazėje bus pažymėtos atitinkamu ženklu.</w:t>
      </w:r>
    </w:p>
    <w:p w:rsidR="00706BF3" w:rsidRPr="0081707E" w:rsidRDefault="00706BF3" w:rsidP="00155C33">
      <w:pPr>
        <w:pStyle w:val="lentpav"/>
        <w:spacing w:after="120"/>
        <w:jc w:val="both"/>
        <w:rPr>
          <w:b w:val="0"/>
          <w:lang w:val="lt-LT"/>
        </w:rPr>
      </w:pPr>
    </w:p>
    <w:p w:rsidR="008A2084" w:rsidRPr="006B12E8" w:rsidRDefault="008A2084" w:rsidP="00B2341E">
      <w:pPr>
        <w:pStyle w:val="lentpav"/>
        <w:spacing w:after="120"/>
        <w:ind w:firstLine="709"/>
        <w:rPr>
          <w:lang w:val="lt-LT"/>
        </w:rPr>
      </w:pPr>
      <w:r>
        <w:rPr>
          <w:lang w:val="lt-LT"/>
        </w:rPr>
        <w:t>Į</w:t>
      </w:r>
      <w:r w:rsidRPr="00CA200D">
        <w:rPr>
          <w:lang w:val="lt-LT"/>
        </w:rPr>
        <w:t>tak</w:t>
      </w:r>
      <w:r>
        <w:rPr>
          <w:lang w:val="lt-LT"/>
        </w:rPr>
        <w:t>a</w:t>
      </w:r>
      <w:r w:rsidRPr="00CA200D">
        <w:rPr>
          <w:lang w:val="lt-LT"/>
        </w:rPr>
        <w:t xml:space="preserve"> bendram vartotojų kainų pokyčiui</w:t>
      </w:r>
    </w:p>
    <w:p w:rsidR="00296EFB" w:rsidRPr="00CA200D" w:rsidRDefault="00296EFB" w:rsidP="00B2341E">
      <w:pPr>
        <w:ind w:firstLine="709"/>
        <w:rPr>
          <w:b/>
          <w:lang w:val="lt-LT"/>
        </w:rPr>
      </w:pPr>
      <w:r w:rsidRPr="00CA200D">
        <w:rPr>
          <w:lang w:val="lt-LT"/>
        </w:rPr>
        <w:t>Detalesnė informacija apie didžiausią įtaką bendram vartotojų kainų pokyčiui pateikiama lentelėse:</w:t>
      </w:r>
    </w:p>
    <w:p w:rsidR="00296EFB" w:rsidRPr="00112A5B" w:rsidRDefault="00296EFB" w:rsidP="006370F2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rPr>
          <w:lang w:val="lt-LT"/>
        </w:rPr>
      </w:pPr>
      <w:r w:rsidRPr="00112A5B">
        <w:rPr>
          <w:lang w:val="lt-LT"/>
        </w:rPr>
        <w:t>Įtaka mėnesiniam vartojimo prekių ir paslaugų kainų pokyčiui.</w:t>
      </w:r>
    </w:p>
    <w:p w:rsidR="00966461" w:rsidRPr="00112A5B" w:rsidRDefault="00296EFB" w:rsidP="00B2341E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lt-LT"/>
        </w:rPr>
      </w:pPr>
      <w:r w:rsidRPr="00845577">
        <w:rPr>
          <w:lang w:val="lt-LT"/>
        </w:rPr>
        <w:t xml:space="preserve">Didžiausia </w:t>
      </w:r>
      <w:r w:rsidR="00845577" w:rsidRPr="00845577">
        <w:rPr>
          <w:lang w:val="lt-LT"/>
        </w:rPr>
        <w:t xml:space="preserve">teigiama ir neigiama (–) </w:t>
      </w:r>
      <w:r w:rsidRPr="00845577">
        <w:rPr>
          <w:lang w:val="lt-LT"/>
        </w:rPr>
        <w:t>įtak</w:t>
      </w:r>
      <w:r w:rsidR="00845577" w:rsidRPr="00845577">
        <w:rPr>
          <w:lang w:val="lt-LT"/>
        </w:rPr>
        <w:t>os</w:t>
      </w:r>
      <w:r w:rsidRPr="00845577">
        <w:rPr>
          <w:lang w:val="lt-LT"/>
        </w:rPr>
        <w:t xml:space="preserve"> bendram</w:t>
      </w:r>
      <w:r w:rsidRPr="00112A5B">
        <w:rPr>
          <w:lang w:val="lt-LT"/>
        </w:rPr>
        <w:t xml:space="preserve"> vartotojų kainų pokyčiui pagal COICOP</w:t>
      </w:r>
      <w:r w:rsidR="00593969">
        <w:rPr>
          <w:lang w:val="lt-LT"/>
        </w:rPr>
        <w:t> </w:t>
      </w:r>
      <w:r w:rsidRPr="00112A5B">
        <w:rPr>
          <w:lang w:val="lt-LT"/>
        </w:rPr>
        <w:t xml:space="preserve">1999 vartojimo prekių ir paslaugų </w:t>
      </w:r>
      <w:r w:rsidR="0058392D">
        <w:rPr>
          <w:lang w:val="lt-LT"/>
        </w:rPr>
        <w:t>kategorija</w:t>
      </w:r>
      <w:r w:rsidRPr="00112A5B">
        <w:rPr>
          <w:lang w:val="lt-LT"/>
        </w:rPr>
        <w:t>s.</w:t>
      </w:r>
    </w:p>
    <w:p w:rsidR="00906E59" w:rsidRDefault="00906E59" w:rsidP="00B2341E">
      <w:pPr>
        <w:ind w:firstLine="709"/>
        <w:rPr>
          <w:b/>
          <w:lang w:val="lt-LT"/>
        </w:rPr>
      </w:pPr>
    </w:p>
    <w:p w:rsidR="0021569D" w:rsidRDefault="0021569D" w:rsidP="00BC777F">
      <w:pPr>
        <w:rPr>
          <w:b/>
          <w:lang w:val="lt-LT"/>
        </w:rPr>
      </w:pPr>
    </w:p>
    <w:p w:rsidR="0021569D" w:rsidRDefault="0021569D" w:rsidP="00BC777F">
      <w:pPr>
        <w:rPr>
          <w:b/>
          <w:lang w:val="lt-LT"/>
        </w:rPr>
      </w:pPr>
    </w:p>
    <w:p w:rsidR="0021569D" w:rsidRDefault="0021569D" w:rsidP="00BC777F">
      <w:pPr>
        <w:rPr>
          <w:b/>
          <w:lang w:val="lt-LT"/>
        </w:rPr>
      </w:pPr>
    </w:p>
    <w:p w:rsidR="00F04D89" w:rsidRPr="00556CE2" w:rsidRDefault="00AA099E" w:rsidP="004E6021">
      <w:pPr>
        <w:jc w:val="both"/>
        <w:rPr>
          <w:lang w:val="lt-LT"/>
        </w:rPr>
      </w:pPr>
      <w:r w:rsidRPr="00556CE2">
        <w:rPr>
          <w:lang w:val="lt-LT"/>
        </w:rPr>
        <w:t>V</w:t>
      </w:r>
      <w:r w:rsidR="00F04D89" w:rsidRPr="00556CE2">
        <w:rPr>
          <w:lang w:val="lt-LT"/>
        </w:rPr>
        <w:t xml:space="preserve">artojimo prekių ir paslaugų kainų pokyčius </w:t>
      </w:r>
      <w:r w:rsidRPr="00556CE2">
        <w:rPr>
          <w:lang w:val="lt-LT"/>
        </w:rPr>
        <w:t>20</w:t>
      </w:r>
      <w:r w:rsidR="009104F7" w:rsidRPr="00556CE2">
        <w:rPr>
          <w:lang w:val="lt-LT"/>
        </w:rPr>
        <w:t>2</w:t>
      </w:r>
      <w:r w:rsidR="00960E27" w:rsidRPr="00556CE2">
        <w:rPr>
          <w:lang w:val="lt-LT"/>
        </w:rPr>
        <w:t>1</w:t>
      </w:r>
      <w:r w:rsidRPr="00556CE2">
        <w:rPr>
          <w:lang w:val="lt-LT"/>
        </w:rPr>
        <w:t xml:space="preserve"> m. </w:t>
      </w:r>
      <w:r w:rsidR="00C26BEA">
        <w:rPr>
          <w:lang w:val="lt-LT"/>
        </w:rPr>
        <w:t>birželį</w:t>
      </w:r>
      <w:r w:rsidRPr="00556CE2">
        <w:rPr>
          <w:lang w:val="lt-LT"/>
        </w:rPr>
        <w:t xml:space="preserve"> </w:t>
      </w:r>
      <w:r w:rsidR="00F04D89" w:rsidRPr="00556CE2">
        <w:rPr>
          <w:lang w:val="lt-LT"/>
        </w:rPr>
        <w:t xml:space="preserve">skelbsime </w:t>
      </w:r>
      <w:r w:rsidR="00C26BEA">
        <w:rPr>
          <w:lang w:val="lt-LT"/>
        </w:rPr>
        <w:t>liepos</w:t>
      </w:r>
      <w:r w:rsidR="00F04D89" w:rsidRPr="00556CE2">
        <w:rPr>
          <w:lang w:val="lt-LT"/>
        </w:rPr>
        <w:t> </w:t>
      </w:r>
      <w:r w:rsidR="00C26BEA">
        <w:rPr>
          <w:lang w:val="lt-LT"/>
        </w:rPr>
        <w:t>9</w:t>
      </w:r>
      <w:r w:rsidR="00F04D89" w:rsidRPr="00556CE2">
        <w:rPr>
          <w:lang w:val="lt-LT"/>
        </w:rPr>
        <w:t> d.</w:t>
      </w:r>
    </w:p>
    <w:p w:rsidR="00DF0520" w:rsidRPr="00B2341E" w:rsidRDefault="00DF0520" w:rsidP="00F04D89">
      <w:pPr>
        <w:jc w:val="both"/>
        <w:rPr>
          <w:lang w:val="lt-LT"/>
        </w:rPr>
      </w:pPr>
    </w:p>
    <w:p w:rsidR="005071D3" w:rsidRPr="00556CE2" w:rsidRDefault="00F04D89" w:rsidP="004E6021">
      <w:pPr>
        <w:jc w:val="both"/>
        <w:rPr>
          <w:rFonts w:ascii="OpenSans-Regular" w:hAnsi="OpenSans-Regular"/>
          <w:color w:val="555555"/>
          <w:shd w:val="clear" w:color="auto" w:fill="FFFFFF"/>
          <w:lang w:val="lt-LT"/>
        </w:rPr>
      </w:pPr>
      <w:r w:rsidRPr="00556CE2">
        <w:rPr>
          <w:lang w:val="lt-LT"/>
        </w:rPr>
        <w:t>Daugiau informacijos šia tema rasite</w:t>
      </w:r>
      <w:r w:rsidR="003C71B3" w:rsidRPr="00556CE2">
        <w:rPr>
          <w:lang w:val="lt-LT"/>
        </w:rPr>
        <w:t xml:space="preserve"> </w:t>
      </w:r>
      <w:hyperlink r:id="rId12" w:anchor="/" w:tgtFrame="_blank" w:history="1">
        <w:r w:rsidR="003C71B3" w:rsidRPr="00556CE2">
          <w:rPr>
            <w:rStyle w:val="Hyperlink"/>
            <w:lang w:val="lt-LT"/>
          </w:rPr>
          <w:t>Rodiklių duomenų bazėje</w:t>
        </w:r>
      </w:hyperlink>
      <w:r w:rsidR="003C71B3" w:rsidRPr="00556CE2">
        <w:rPr>
          <w:rFonts w:ascii="OpenSans-Regular" w:hAnsi="OpenSans-Regular"/>
          <w:color w:val="555555"/>
          <w:shd w:val="clear" w:color="auto" w:fill="FFFFFF"/>
          <w:lang w:val="lt-LT"/>
        </w:rPr>
        <w:t>.</w:t>
      </w:r>
    </w:p>
    <w:p w:rsidR="00F04D89" w:rsidRPr="00556CE2" w:rsidRDefault="00F04D89" w:rsidP="009A7F8D">
      <w:pPr>
        <w:ind w:firstLine="709"/>
        <w:jc w:val="both"/>
        <w:rPr>
          <w:lang w:val="lt-LT"/>
        </w:rPr>
      </w:pPr>
    </w:p>
    <w:p w:rsidR="005071D3" w:rsidRPr="00556CE2" w:rsidRDefault="005071D3" w:rsidP="004E6021">
      <w:pPr>
        <w:rPr>
          <w:lang w:val="lt-LT"/>
        </w:rPr>
      </w:pPr>
      <w:r w:rsidRPr="00556CE2">
        <w:rPr>
          <w:lang w:val="lt-LT"/>
        </w:rPr>
        <w:t xml:space="preserve">Statistinė informacija rengiama ir skleidžiama vadovaujantis </w:t>
      </w:r>
      <w:hyperlink r:id="rId13" w:history="1">
        <w:r w:rsidRPr="00E378A9">
          <w:rPr>
            <w:rStyle w:val="Hyperlink"/>
            <w:lang w:val="lt-LT"/>
          </w:rPr>
          <w:t>Europos statistikos praktikos kodeksu</w:t>
        </w:r>
      </w:hyperlink>
      <w:r w:rsidRPr="00556CE2">
        <w:rPr>
          <w:lang w:val="lt-LT"/>
        </w:rPr>
        <w:t>.</w:t>
      </w:r>
    </w:p>
    <w:p w:rsidR="009D21EA" w:rsidRPr="00556CE2" w:rsidRDefault="009D21EA" w:rsidP="00112A5B">
      <w:pPr>
        <w:ind w:firstLine="709"/>
        <w:rPr>
          <w:color w:val="1F497D"/>
          <w:lang w:val="lt-LT"/>
        </w:rPr>
      </w:pPr>
    </w:p>
    <w:p w:rsidR="002A30E7" w:rsidRPr="00B2341E" w:rsidRDefault="002A30E7" w:rsidP="002A30E7">
      <w:pPr>
        <w:rPr>
          <w:rFonts w:eastAsia="Calibri" w:cs="Arial"/>
          <w:lang w:val="lt-LT" w:eastAsia="lt-LT"/>
        </w:rPr>
      </w:pPr>
      <w:r w:rsidRPr="00B2341E">
        <w:rPr>
          <w:rFonts w:cs="Arial"/>
          <w:lang w:val="lt-LT"/>
        </w:rPr>
        <w:t xml:space="preserve">Kaip keitėsi kainos nuo bet kurio </w:t>
      </w:r>
      <w:r w:rsidR="009D6E50" w:rsidRPr="00B2341E">
        <w:rPr>
          <w:rFonts w:cs="Arial"/>
          <w:lang w:val="lt-LT"/>
        </w:rPr>
        <w:t>J</w:t>
      </w:r>
      <w:r w:rsidRPr="00B2341E">
        <w:rPr>
          <w:rFonts w:cs="Arial"/>
          <w:lang w:val="lt-LT"/>
        </w:rPr>
        <w:t>us dominančio laikotarpio, galite pasiskaičiuoti infliacijos skaičiuoklėje:</w:t>
      </w:r>
      <w:r w:rsidRPr="00B2341E">
        <w:rPr>
          <w:rFonts w:eastAsia="Calibri" w:cs="Arial"/>
          <w:color w:val="1F497D"/>
          <w:lang w:val="lt-LT" w:eastAsia="lt-LT"/>
        </w:rPr>
        <w:t xml:space="preserve"> </w:t>
      </w:r>
      <w:hyperlink r:id="rId14" w:history="1">
        <w:r w:rsidRPr="00B2341E">
          <w:rPr>
            <w:rFonts w:eastAsia="Calibri" w:cs="Arial"/>
            <w:color w:val="0000FF"/>
            <w:u w:val="single"/>
            <w:lang w:val="lt-LT" w:eastAsia="lt-LT"/>
          </w:rPr>
          <w:t>http://estatistika.stat.gov.lt/skaiciuokle/</w:t>
        </w:r>
      </w:hyperlink>
    </w:p>
    <w:p w:rsidR="00962793" w:rsidRPr="00B2341E" w:rsidRDefault="00962793" w:rsidP="00F04D89">
      <w:pPr>
        <w:pStyle w:val="Pasiteirauti"/>
        <w:rPr>
          <w:sz w:val="20"/>
        </w:rPr>
      </w:pPr>
    </w:p>
    <w:p w:rsidR="00BD776B" w:rsidRPr="00B2341E" w:rsidRDefault="00BD776B" w:rsidP="00BD776B">
      <w:pPr>
        <w:jc w:val="both"/>
        <w:rPr>
          <w:lang w:val="lt-LT"/>
        </w:rPr>
      </w:pPr>
      <w:r w:rsidRPr="00B2341E">
        <w:rPr>
          <w:lang w:val="lt-LT"/>
        </w:rPr>
        <w:t xml:space="preserve">Daugiau susijusių terminų ir paaiškinimų ieškokite </w:t>
      </w:r>
      <w:hyperlink r:id="rId15" w:history="1">
        <w:r w:rsidRPr="00B2341E">
          <w:rPr>
            <w:rStyle w:val="Hyperlink"/>
            <w:lang w:val="lt-LT"/>
          </w:rPr>
          <w:t>Statistikos terminų žodyne</w:t>
        </w:r>
      </w:hyperlink>
      <w:r w:rsidRPr="00B2341E">
        <w:rPr>
          <w:lang w:val="lt-LT"/>
        </w:rPr>
        <w:t xml:space="preserve">. </w:t>
      </w:r>
    </w:p>
    <w:p w:rsidR="00BD776B" w:rsidRPr="006B12E8" w:rsidRDefault="00BD776B" w:rsidP="00BD776B">
      <w:pPr>
        <w:jc w:val="both"/>
        <w:rPr>
          <w:sz w:val="19"/>
          <w:lang w:val="lt-LT"/>
        </w:rPr>
      </w:pPr>
    </w:p>
    <w:p w:rsidR="006600EB" w:rsidRDefault="006600EB" w:rsidP="00F04D89">
      <w:pPr>
        <w:pStyle w:val="Pasiteirauti"/>
        <w:rPr>
          <w:szCs w:val="19"/>
        </w:rPr>
      </w:pPr>
    </w:p>
    <w:p w:rsidR="006600EB" w:rsidRPr="006B12E8" w:rsidRDefault="006600EB" w:rsidP="00B2341E">
      <w:pPr>
        <w:pStyle w:val="Pasiteirauti"/>
        <w:ind w:firstLine="709"/>
        <w:rPr>
          <w:szCs w:val="19"/>
        </w:rPr>
      </w:pPr>
    </w:p>
    <w:p w:rsidR="009D21EA" w:rsidRPr="006B12E8" w:rsidRDefault="009D21EA" w:rsidP="00B2341E">
      <w:pPr>
        <w:pStyle w:val="lentpav"/>
        <w:spacing w:after="120"/>
        <w:ind w:firstLine="709"/>
        <w:rPr>
          <w:lang w:val="lt-LT"/>
        </w:rPr>
      </w:pPr>
      <w:r>
        <w:rPr>
          <w:lang w:val="lt-LT"/>
        </w:rPr>
        <w:t>Paaiškinimai</w:t>
      </w:r>
    </w:p>
    <w:p w:rsidR="009D21EA" w:rsidRPr="006B12E8" w:rsidRDefault="009D21EA" w:rsidP="00B2341E">
      <w:pPr>
        <w:ind w:firstLine="709"/>
        <w:jc w:val="both"/>
        <w:rPr>
          <w:lang w:val="lt-LT"/>
        </w:rPr>
      </w:pPr>
      <w:r w:rsidRPr="006B12E8">
        <w:rPr>
          <w:b/>
          <w:lang w:val="lt-LT"/>
        </w:rPr>
        <w:t>Metinė infliacija</w:t>
      </w:r>
      <w:r w:rsidRPr="006B12E8">
        <w:rPr>
          <w:lang w:val="lt-LT"/>
        </w:rPr>
        <w:t xml:space="preserve"> – ataskaitinio mėnesio ir </w:t>
      </w:r>
      <w:r>
        <w:rPr>
          <w:lang w:val="lt-LT"/>
        </w:rPr>
        <w:t>ankstesn</w:t>
      </w:r>
      <w:r w:rsidRPr="006B12E8">
        <w:rPr>
          <w:lang w:val="lt-LT"/>
        </w:rPr>
        <w:t>ių metų atitinkamo mėnesio vidutinio kainų lygio santykinis pokytis.</w:t>
      </w:r>
    </w:p>
    <w:p w:rsidR="009D21EA" w:rsidRPr="006B12E8" w:rsidRDefault="009D21EA" w:rsidP="00B2341E">
      <w:pPr>
        <w:ind w:firstLine="709"/>
        <w:jc w:val="both"/>
        <w:rPr>
          <w:lang w:val="lt-LT"/>
        </w:rPr>
      </w:pPr>
      <w:r w:rsidRPr="007A034D">
        <w:rPr>
          <w:b/>
          <w:lang w:val="lt-LT"/>
        </w:rPr>
        <w:t>Vidutinė metinė infliacija</w:t>
      </w:r>
      <w:r w:rsidRPr="007A034D">
        <w:rPr>
          <w:lang w:val="lt-LT"/>
        </w:rPr>
        <w:t xml:space="preserve"> – dvylikos paskutinių mėnesių</w:t>
      </w:r>
      <w:r w:rsidRPr="006B12E8">
        <w:rPr>
          <w:lang w:val="lt-LT"/>
        </w:rPr>
        <w:t xml:space="preserve"> ir atitinkamų ankstesnių dvylikos mėnesių vidutinio kainų lygio santykinis pokytis.</w:t>
      </w:r>
    </w:p>
    <w:p w:rsidR="009D21EA" w:rsidRPr="008D5699" w:rsidRDefault="009D21EA" w:rsidP="008D5699">
      <w:pPr>
        <w:pStyle w:val="Pasiteirauti"/>
        <w:rPr>
          <w:szCs w:val="19"/>
        </w:rPr>
      </w:pPr>
    </w:p>
    <w:p w:rsidR="008D5699" w:rsidRPr="008D5699" w:rsidRDefault="008D5699" w:rsidP="008D5699">
      <w:pPr>
        <w:pStyle w:val="Pasiteirauti"/>
        <w:rPr>
          <w:szCs w:val="19"/>
        </w:rPr>
      </w:pPr>
    </w:p>
    <w:p w:rsidR="00E4284D" w:rsidRPr="006B12E8" w:rsidRDefault="009934E8" w:rsidP="00E378A9">
      <w:pPr>
        <w:pStyle w:val="Pasiteirauti"/>
        <w:keepNext/>
        <w:keepLines/>
        <w:spacing w:after="120"/>
        <w:rPr>
          <w:szCs w:val="19"/>
        </w:rPr>
      </w:pPr>
      <w:r>
        <w:rPr>
          <w:szCs w:val="19"/>
        </w:rPr>
        <w:t>Kontaktinė informacija</w:t>
      </w:r>
      <w:r w:rsidR="00F04D89" w:rsidRPr="006B12E8">
        <w:rPr>
          <w:szCs w:val="19"/>
        </w:rPr>
        <w:t xml:space="preserve"> </w:t>
      </w:r>
    </w:p>
    <w:p w:rsidR="00E4284D" w:rsidRPr="006B12E8" w:rsidRDefault="00434B09" w:rsidP="008D5699">
      <w:pPr>
        <w:pStyle w:val="Pasiteirauti"/>
        <w:keepNext/>
        <w:keepLines/>
        <w:rPr>
          <w:szCs w:val="19"/>
        </w:rPr>
      </w:pPr>
      <w:r>
        <w:rPr>
          <w:szCs w:val="19"/>
        </w:rPr>
        <w:t>Dalia</w:t>
      </w:r>
      <w:r w:rsidR="00C01828">
        <w:rPr>
          <w:szCs w:val="19"/>
        </w:rPr>
        <w:t xml:space="preserve"> </w:t>
      </w:r>
      <w:r>
        <w:rPr>
          <w:szCs w:val="19"/>
        </w:rPr>
        <w:t>Skirelienė</w:t>
      </w:r>
      <w:r w:rsidR="008C1213">
        <w:rPr>
          <w:szCs w:val="19"/>
        </w:rPr>
        <w:t xml:space="preserve"> </w:t>
      </w:r>
    </w:p>
    <w:p w:rsidR="00E4284D" w:rsidRPr="006B12E8" w:rsidRDefault="00E4284D" w:rsidP="008D5699">
      <w:pPr>
        <w:pStyle w:val="Pasiteirauti"/>
        <w:keepNext/>
        <w:keepLines/>
        <w:rPr>
          <w:szCs w:val="19"/>
        </w:rPr>
      </w:pPr>
      <w:r w:rsidRPr="006B12E8">
        <w:rPr>
          <w:szCs w:val="19"/>
        </w:rPr>
        <w:t xml:space="preserve">Kainų statistikos skyriaus </w:t>
      </w:r>
      <w:r w:rsidR="00434B09">
        <w:rPr>
          <w:szCs w:val="19"/>
        </w:rPr>
        <w:t>vyriausioji specialistė</w:t>
      </w:r>
    </w:p>
    <w:p w:rsidR="00E4284D" w:rsidRPr="006B12E8" w:rsidRDefault="00E4284D" w:rsidP="008D5699">
      <w:pPr>
        <w:pStyle w:val="Pasiteirauti"/>
        <w:keepNext/>
        <w:keepLines/>
        <w:rPr>
          <w:szCs w:val="19"/>
        </w:rPr>
      </w:pPr>
      <w:r w:rsidRPr="006B12E8">
        <w:rPr>
          <w:szCs w:val="19"/>
        </w:rPr>
        <w:t>Tel. (8 5)  236 47</w:t>
      </w:r>
      <w:r w:rsidR="00434B09">
        <w:rPr>
          <w:szCs w:val="19"/>
        </w:rPr>
        <w:t>4</w:t>
      </w:r>
      <w:r w:rsidR="00C01828">
        <w:rPr>
          <w:szCs w:val="19"/>
        </w:rPr>
        <w:t>1</w:t>
      </w:r>
    </w:p>
    <w:p w:rsidR="00E4284D" w:rsidRDefault="00E4284D" w:rsidP="008D5699">
      <w:pPr>
        <w:pStyle w:val="Pasiteirauti"/>
        <w:keepNext/>
        <w:keepLines/>
        <w:rPr>
          <w:szCs w:val="19"/>
          <w:lang w:val="en-US"/>
        </w:rPr>
      </w:pPr>
      <w:r w:rsidRPr="006B12E8">
        <w:rPr>
          <w:szCs w:val="19"/>
        </w:rPr>
        <w:t xml:space="preserve">El. p. </w:t>
      </w:r>
      <w:hyperlink r:id="rId16" w:history="1">
        <w:r w:rsidR="0031708B" w:rsidRPr="00DC3563">
          <w:rPr>
            <w:rStyle w:val="Hyperlink"/>
            <w:szCs w:val="19"/>
          </w:rPr>
          <w:t>dalia.skireliene</w:t>
        </w:r>
        <w:r w:rsidR="0031708B" w:rsidRPr="00DC3563">
          <w:rPr>
            <w:rStyle w:val="Hyperlink"/>
            <w:szCs w:val="19"/>
            <w:lang w:val="en-US"/>
          </w:rPr>
          <w:t>@</w:t>
        </w:r>
        <w:proofErr w:type="spellStart"/>
        <w:r w:rsidR="0031708B" w:rsidRPr="00DC3563">
          <w:rPr>
            <w:rStyle w:val="Hyperlink"/>
            <w:szCs w:val="19"/>
            <w:lang w:val="en-US"/>
          </w:rPr>
          <w:t>stat.gov.lt</w:t>
        </w:r>
        <w:proofErr w:type="spellEnd"/>
      </w:hyperlink>
    </w:p>
    <w:p w:rsidR="00E4284D" w:rsidRPr="006B12E8" w:rsidRDefault="00E4284D" w:rsidP="00E4284D">
      <w:pPr>
        <w:pStyle w:val="Pasiteirauti"/>
        <w:rPr>
          <w:szCs w:val="19"/>
        </w:rPr>
      </w:pPr>
    </w:p>
    <w:p w:rsidR="00F04D89" w:rsidRPr="006B12E8" w:rsidRDefault="00F04D89" w:rsidP="00F04D89">
      <w:pPr>
        <w:pStyle w:val="Pasiteirauti"/>
        <w:rPr>
          <w:szCs w:val="19"/>
        </w:rPr>
      </w:pPr>
    </w:p>
    <w:p w:rsidR="00F04D89" w:rsidRPr="006B12E8" w:rsidRDefault="00F04D89" w:rsidP="00F04D89">
      <w:pPr>
        <w:pStyle w:val="Pasiteirauti"/>
        <w:rPr>
          <w:szCs w:val="19"/>
        </w:rPr>
      </w:pPr>
      <w:r w:rsidRPr="006B12E8">
        <w:rPr>
          <w:color w:val="000000"/>
          <w:szCs w:val="19"/>
        </w:rPr>
        <w:t>© Lietuvos s</w:t>
      </w:r>
      <w:r w:rsidRPr="006B12E8">
        <w:rPr>
          <w:szCs w:val="19"/>
        </w:rPr>
        <w:t>tatistikos departamentas</w:t>
      </w:r>
    </w:p>
    <w:p w:rsidR="00F04D89" w:rsidRPr="006B12E8" w:rsidRDefault="00F04D89" w:rsidP="00CB6D1A">
      <w:pPr>
        <w:jc w:val="both"/>
        <w:rPr>
          <w:sz w:val="19"/>
          <w:szCs w:val="19"/>
          <w:lang w:val="lt-LT"/>
        </w:rPr>
      </w:pPr>
      <w:r w:rsidRPr="006B12E8">
        <w:rPr>
          <w:sz w:val="19"/>
          <w:szCs w:val="19"/>
          <w:lang w:val="lt-LT"/>
        </w:rPr>
        <w:t>Naudojant Lietuvos statistikos departamento duomenis, būtina nurodyti šaltinį.</w:t>
      </w:r>
    </w:p>
    <w:p w:rsidR="00432A8D" w:rsidRPr="006B12E8" w:rsidRDefault="00432A8D" w:rsidP="00CB6D1A">
      <w:pPr>
        <w:jc w:val="both"/>
        <w:rPr>
          <w:sz w:val="19"/>
          <w:szCs w:val="19"/>
          <w:lang w:val="lt-LT"/>
        </w:rPr>
      </w:pPr>
    </w:p>
    <w:p w:rsidR="00EA170E" w:rsidRPr="006B12E8" w:rsidRDefault="00432A8D" w:rsidP="00CB6D1A">
      <w:pPr>
        <w:jc w:val="both"/>
        <w:rPr>
          <w:sz w:val="19"/>
          <w:szCs w:val="19"/>
          <w:lang w:val="lt-LT"/>
        </w:rPr>
      </w:pPr>
      <w:r w:rsidRPr="006B12E8">
        <w:rPr>
          <w:sz w:val="19"/>
          <w:szCs w:val="19"/>
          <w:lang w:val="lt-LT"/>
        </w:rPr>
        <w:t>Žymos:</w:t>
      </w:r>
      <w:r w:rsidR="008A409E" w:rsidRPr="006B12E8">
        <w:rPr>
          <w:sz w:val="19"/>
          <w:szCs w:val="19"/>
          <w:lang w:val="lt-LT"/>
        </w:rPr>
        <w:t xml:space="preserve"> VKI,</w:t>
      </w:r>
      <w:r w:rsidRPr="006B12E8">
        <w:rPr>
          <w:sz w:val="19"/>
          <w:szCs w:val="19"/>
          <w:lang w:val="lt-LT"/>
        </w:rPr>
        <w:t xml:space="preserve"> </w:t>
      </w:r>
      <w:r w:rsidR="008A409E" w:rsidRPr="006B12E8">
        <w:rPr>
          <w:sz w:val="19"/>
          <w:szCs w:val="19"/>
          <w:lang w:val="lt-LT"/>
        </w:rPr>
        <w:t>infliacija,</w:t>
      </w:r>
      <w:r w:rsidR="000855A8" w:rsidRPr="006B12E8">
        <w:rPr>
          <w:sz w:val="19"/>
          <w:szCs w:val="19"/>
          <w:lang w:val="lt-LT"/>
        </w:rPr>
        <w:t xml:space="preserve"> </w:t>
      </w:r>
      <w:r w:rsidR="008A409E" w:rsidRPr="006B12E8">
        <w:rPr>
          <w:sz w:val="19"/>
          <w:szCs w:val="19"/>
          <w:lang w:val="lt-LT"/>
        </w:rPr>
        <w:t>kainos</w:t>
      </w:r>
      <w:r w:rsidR="000855A8" w:rsidRPr="006B12E8">
        <w:rPr>
          <w:sz w:val="19"/>
          <w:szCs w:val="19"/>
          <w:lang w:val="lt-LT"/>
        </w:rPr>
        <w:t>,</w:t>
      </w:r>
      <w:r w:rsidR="008A409E" w:rsidRPr="006B12E8">
        <w:rPr>
          <w:sz w:val="19"/>
          <w:szCs w:val="19"/>
          <w:lang w:val="lt-LT"/>
        </w:rPr>
        <w:t xml:space="preserve"> </w:t>
      </w:r>
      <w:r w:rsidR="000855A8" w:rsidRPr="006B12E8">
        <w:rPr>
          <w:sz w:val="19"/>
          <w:szCs w:val="19"/>
          <w:lang w:val="lt-LT"/>
        </w:rPr>
        <w:t>vartojimo prekės ir paslaugos</w:t>
      </w:r>
      <w:r w:rsidR="00B10A35" w:rsidRPr="006B12E8">
        <w:rPr>
          <w:sz w:val="19"/>
          <w:szCs w:val="19"/>
          <w:lang w:val="lt-LT"/>
        </w:rPr>
        <w:t>.</w:t>
      </w:r>
    </w:p>
    <w:sectPr w:rsidR="00EA170E" w:rsidRPr="006B12E8" w:rsidSect="00976DA7">
      <w:headerReference w:type="even" r:id="rId17"/>
      <w:headerReference w:type="default" r:id="rId18"/>
      <w:headerReference w:type="first" r:id="rId19"/>
      <w:pgSz w:w="11906" w:h="16838" w:code="9"/>
      <w:pgMar w:top="1276" w:right="567" w:bottom="851" w:left="1701" w:header="851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001" w:rsidRDefault="001C2001">
      <w:r>
        <w:separator/>
      </w:r>
    </w:p>
  </w:endnote>
  <w:endnote w:type="continuationSeparator" w:id="0">
    <w:p w:rsidR="001C2001" w:rsidRDefault="001C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ans-Regular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001" w:rsidRDefault="001C2001">
      <w:r>
        <w:separator/>
      </w:r>
    </w:p>
  </w:footnote>
  <w:footnote w:type="continuationSeparator" w:id="0">
    <w:p w:rsidR="001C2001" w:rsidRDefault="001C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17" w:rsidRDefault="00ED57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5717" w:rsidRDefault="00ED57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17" w:rsidRPr="00317478" w:rsidRDefault="00ED5717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317478">
      <w:rPr>
        <w:rStyle w:val="PageNumber"/>
        <w:sz w:val="18"/>
        <w:szCs w:val="18"/>
      </w:rPr>
      <w:fldChar w:fldCharType="begin"/>
    </w:r>
    <w:r w:rsidRPr="00317478">
      <w:rPr>
        <w:rStyle w:val="PageNumber"/>
        <w:sz w:val="18"/>
        <w:szCs w:val="18"/>
      </w:rPr>
      <w:instrText xml:space="preserve">PAGE  </w:instrText>
    </w:r>
    <w:r w:rsidRPr="00317478">
      <w:rPr>
        <w:rStyle w:val="PageNumber"/>
        <w:sz w:val="18"/>
        <w:szCs w:val="18"/>
      </w:rPr>
      <w:fldChar w:fldCharType="separate"/>
    </w:r>
    <w:r w:rsidR="00FD706D">
      <w:rPr>
        <w:rStyle w:val="PageNumber"/>
        <w:noProof/>
        <w:sz w:val="18"/>
        <w:szCs w:val="18"/>
      </w:rPr>
      <w:t>5</w:t>
    </w:r>
    <w:r w:rsidRPr="00317478">
      <w:rPr>
        <w:rStyle w:val="PageNumber"/>
        <w:sz w:val="18"/>
        <w:szCs w:val="18"/>
      </w:rPr>
      <w:fldChar w:fldCharType="end"/>
    </w:r>
  </w:p>
  <w:p w:rsidR="00ED5717" w:rsidRPr="00317478" w:rsidRDefault="00ED5717" w:rsidP="00F251C2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ED5717">
      <w:tc>
        <w:tcPr>
          <w:tcW w:w="4927" w:type="dxa"/>
          <w:vAlign w:val="center"/>
        </w:tcPr>
        <w:p w:rsidR="00ED5717" w:rsidRDefault="00ED5717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516DEA25" wp14:editId="00BC7778">
                <wp:extent cx="1358900" cy="429260"/>
                <wp:effectExtent l="0" t="0" r="0" b="8890"/>
                <wp:docPr id="7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center"/>
        </w:tcPr>
        <w:p w:rsidR="00ED5717" w:rsidRDefault="00ED5717">
          <w:pPr>
            <w:pStyle w:val="Header"/>
            <w:spacing w:after="60"/>
            <w:jc w:val="right"/>
          </w:pPr>
          <w:r>
            <w:rPr>
              <w:noProof/>
              <w:lang w:val="lt-LT" w:eastAsia="lt-LT"/>
            </w:rPr>
            <w:drawing>
              <wp:inline distT="0" distB="0" distL="0" distR="0" wp14:anchorId="593FEAE4" wp14:editId="042324CB">
                <wp:extent cx="1338580" cy="434340"/>
                <wp:effectExtent l="0" t="0" r="0" b="3810"/>
                <wp:docPr id="8" name="Picture 10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D5717" w:rsidRDefault="00ED5717">
    <w:pPr>
      <w:pStyle w:val="Header"/>
      <w:pBdr>
        <w:bottom w:val="double" w:sz="6" w:space="1" w:color="auto"/>
      </w:pBdr>
      <w:rPr>
        <w:sz w:val="16"/>
      </w:rPr>
    </w:pPr>
  </w:p>
  <w:p w:rsidR="00ED5717" w:rsidRDefault="00ED5717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3CB"/>
    <w:multiLevelType w:val="hybridMultilevel"/>
    <w:tmpl w:val="886E5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3738"/>
    <w:multiLevelType w:val="hybridMultilevel"/>
    <w:tmpl w:val="477250D8"/>
    <w:lvl w:ilvl="0" w:tplc="0427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CE"/>
    <w:rsid w:val="00000003"/>
    <w:rsid w:val="000005F3"/>
    <w:rsid w:val="00000921"/>
    <w:rsid w:val="00000D5B"/>
    <w:rsid w:val="0000126E"/>
    <w:rsid w:val="000014E4"/>
    <w:rsid w:val="00001C1D"/>
    <w:rsid w:val="0000205E"/>
    <w:rsid w:val="00003F38"/>
    <w:rsid w:val="000042D2"/>
    <w:rsid w:val="000045A8"/>
    <w:rsid w:val="0000608B"/>
    <w:rsid w:val="0000636C"/>
    <w:rsid w:val="000068A9"/>
    <w:rsid w:val="000068C3"/>
    <w:rsid w:val="00006FEE"/>
    <w:rsid w:val="00007120"/>
    <w:rsid w:val="000074D8"/>
    <w:rsid w:val="000104E4"/>
    <w:rsid w:val="000107CF"/>
    <w:rsid w:val="00010974"/>
    <w:rsid w:val="0001174D"/>
    <w:rsid w:val="0001234D"/>
    <w:rsid w:val="000130EA"/>
    <w:rsid w:val="00013747"/>
    <w:rsid w:val="00013944"/>
    <w:rsid w:val="00013996"/>
    <w:rsid w:val="00013E9B"/>
    <w:rsid w:val="0001496B"/>
    <w:rsid w:val="00014A09"/>
    <w:rsid w:val="00015102"/>
    <w:rsid w:val="0001515A"/>
    <w:rsid w:val="000155A9"/>
    <w:rsid w:val="00015E7F"/>
    <w:rsid w:val="00016206"/>
    <w:rsid w:val="0001630A"/>
    <w:rsid w:val="0001697C"/>
    <w:rsid w:val="000169DD"/>
    <w:rsid w:val="00016EA8"/>
    <w:rsid w:val="0001702B"/>
    <w:rsid w:val="00017499"/>
    <w:rsid w:val="000202E4"/>
    <w:rsid w:val="00020F21"/>
    <w:rsid w:val="00021234"/>
    <w:rsid w:val="00021312"/>
    <w:rsid w:val="000219C2"/>
    <w:rsid w:val="00021B43"/>
    <w:rsid w:val="00021E05"/>
    <w:rsid w:val="00021E64"/>
    <w:rsid w:val="000220D9"/>
    <w:rsid w:val="0002250A"/>
    <w:rsid w:val="000227C1"/>
    <w:rsid w:val="00022EFA"/>
    <w:rsid w:val="00023AB8"/>
    <w:rsid w:val="00023E8B"/>
    <w:rsid w:val="000244BF"/>
    <w:rsid w:val="00025076"/>
    <w:rsid w:val="00025477"/>
    <w:rsid w:val="00025D93"/>
    <w:rsid w:val="00026203"/>
    <w:rsid w:val="0002687C"/>
    <w:rsid w:val="000268FD"/>
    <w:rsid w:val="00026B4B"/>
    <w:rsid w:val="000301CB"/>
    <w:rsid w:val="00030207"/>
    <w:rsid w:val="00030F63"/>
    <w:rsid w:val="00031063"/>
    <w:rsid w:val="000316C1"/>
    <w:rsid w:val="00031897"/>
    <w:rsid w:val="00031BA7"/>
    <w:rsid w:val="0003210A"/>
    <w:rsid w:val="00032B75"/>
    <w:rsid w:val="00032CC8"/>
    <w:rsid w:val="0003313D"/>
    <w:rsid w:val="000332E0"/>
    <w:rsid w:val="00033784"/>
    <w:rsid w:val="0003384B"/>
    <w:rsid w:val="0003458C"/>
    <w:rsid w:val="00034F36"/>
    <w:rsid w:val="00035014"/>
    <w:rsid w:val="000350CB"/>
    <w:rsid w:val="0003560B"/>
    <w:rsid w:val="00036012"/>
    <w:rsid w:val="0003673A"/>
    <w:rsid w:val="000368F2"/>
    <w:rsid w:val="000369D2"/>
    <w:rsid w:val="00036AC4"/>
    <w:rsid w:val="00036B03"/>
    <w:rsid w:val="00036C31"/>
    <w:rsid w:val="0003720B"/>
    <w:rsid w:val="0003732D"/>
    <w:rsid w:val="00037409"/>
    <w:rsid w:val="00037661"/>
    <w:rsid w:val="000378D7"/>
    <w:rsid w:val="0003798D"/>
    <w:rsid w:val="00037A6D"/>
    <w:rsid w:val="00037FC6"/>
    <w:rsid w:val="00040032"/>
    <w:rsid w:val="0004043E"/>
    <w:rsid w:val="000409D1"/>
    <w:rsid w:val="00040C43"/>
    <w:rsid w:val="00041306"/>
    <w:rsid w:val="000417FD"/>
    <w:rsid w:val="00041A9B"/>
    <w:rsid w:val="00042531"/>
    <w:rsid w:val="00042CF7"/>
    <w:rsid w:val="0004317C"/>
    <w:rsid w:val="000440C5"/>
    <w:rsid w:val="0004418D"/>
    <w:rsid w:val="00044398"/>
    <w:rsid w:val="000443AB"/>
    <w:rsid w:val="00044EF9"/>
    <w:rsid w:val="000453D3"/>
    <w:rsid w:val="000453EE"/>
    <w:rsid w:val="000455B6"/>
    <w:rsid w:val="00046030"/>
    <w:rsid w:val="000461FF"/>
    <w:rsid w:val="00047149"/>
    <w:rsid w:val="00047769"/>
    <w:rsid w:val="00047C75"/>
    <w:rsid w:val="00047DBE"/>
    <w:rsid w:val="0005006B"/>
    <w:rsid w:val="00050089"/>
    <w:rsid w:val="000500B9"/>
    <w:rsid w:val="000501FF"/>
    <w:rsid w:val="00050463"/>
    <w:rsid w:val="00050599"/>
    <w:rsid w:val="000505A3"/>
    <w:rsid w:val="000505FA"/>
    <w:rsid w:val="000507A8"/>
    <w:rsid w:val="00050F71"/>
    <w:rsid w:val="0005100B"/>
    <w:rsid w:val="00051458"/>
    <w:rsid w:val="00051B8C"/>
    <w:rsid w:val="00051CB0"/>
    <w:rsid w:val="00051CE3"/>
    <w:rsid w:val="0005231B"/>
    <w:rsid w:val="0005392C"/>
    <w:rsid w:val="00053D07"/>
    <w:rsid w:val="000547B4"/>
    <w:rsid w:val="000549B8"/>
    <w:rsid w:val="00054C5D"/>
    <w:rsid w:val="00054E06"/>
    <w:rsid w:val="00054E89"/>
    <w:rsid w:val="000550A4"/>
    <w:rsid w:val="00055115"/>
    <w:rsid w:val="000551C1"/>
    <w:rsid w:val="000556A2"/>
    <w:rsid w:val="000558CD"/>
    <w:rsid w:val="00056698"/>
    <w:rsid w:val="0005688B"/>
    <w:rsid w:val="00056BCE"/>
    <w:rsid w:val="00056FA6"/>
    <w:rsid w:val="0005721D"/>
    <w:rsid w:val="000574E1"/>
    <w:rsid w:val="00057952"/>
    <w:rsid w:val="000579C8"/>
    <w:rsid w:val="00057F8A"/>
    <w:rsid w:val="000600DA"/>
    <w:rsid w:val="000606EC"/>
    <w:rsid w:val="00060E25"/>
    <w:rsid w:val="000610D6"/>
    <w:rsid w:val="000615AB"/>
    <w:rsid w:val="00061AE5"/>
    <w:rsid w:val="0006298F"/>
    <w:rsid w:val="0006343D"/>
    <w:rsid w:val="0006367D"/>
    <w:rsid w:val="00063E7B"/>
    <w:rsid w:val="000650AD"/>
    <w:rsid w:val="00065454"/>
    <w:rsid w:val="0006560B"/>
    <w:rsid w:val="000661D3"/>
    <w:rsid w:val="00066656"/>
    <w:rsid w:val="0006671F"/>
    <w:rsid w:val="00066D48"/>
    <w:rsid w:val="0006787C"/>
    <w:rsid w:val="00067A4F"/>
    <w:rsid w:val="00067C53"/>
    <w:rsid w:val="00070047"/>
    <w:rsid w:val="0007029A"/>
    <w:rsid w:val="00070685"/>
    <w:rsid w:val="000706D5"/>
    <w:rsid w:val="000706DA"/>
    <w:rsid w:val="0007074A"/>
    <w:rsid w:val="00070972"/>
    <w:rsid w:val="0007116E"/>
    <w:rsid w:val="000713C6"/>
    <w:rsid w:val="00071430"/>
    <w:rsid w:val="00071496"/>
    <w:rsid w:val="000715E5"/>
    <w:rsid w:val="00072030"/>
    <w:rsid w:val="00072334"/>
    <w:rsid w:val="000723D9"/>
    <w:rsid w:val="0007251B"/>
    <w:rsid w:val="000728A8"/>
    <w:rsid w:val="00072990"/>
    <w:rsid w:val="00072A3B"/>
    <w:rsid w:val="00072E1C"/>
    <w:rsid w:val="00073129"/>
    <w:rsid w:val="0007351E"/>
    <w:rsid w:val="000737EF"/>
    <w:rsid w:val="00073AC6"/>
    <w:rsid w:val="00073B41"/>
    <w:rsid w:val="00074212"/>
    <w:rsid w:val="0007438F"/>
    <w:rsid w:val="00074D8A"/>
    <w:rsid w:val="00074DAC"/>
    <w:rsid w:val="00075885"/>
    <w:rsid w:val="00075D01"/>
    <w:rsid w:val="00075F99"/>
    <w:rsid w:val="000763F3"/>
    <w:rsid w:val="00076AF1"/>
    <w:rsid w:val="00076B56"/>
    <w:rsid w:val="00080147"/>
    <w:rsid w:val="00080253"/>
    <w:rsid w:val="00080312"/>
    <w:rsid w:val="00080683"/>
    <w:rsid w:val="00080909"/>
    <w:rsid w:val="0008092C"/>
    <w:rsid w:val="000814C3"/>
    <w:rsid w:val="000814E4"/>
    <w:rsid w:val="000818CF"/>
    <w:rsid w:val="0008223E"/>
    <w:rsid w:val="0008268F"/>
    <w:rsid w:val="0008370D"/>
    <w:rsid w:val="000837E6"/>
    <w:rsid w:val="00083C82"/>
    <w:rsid w:val="000840A7"/>
    <w:rsid w:val="00084CC6"/>
    <w:rsid w:val="00084EDE"/>
    <w:rsid w:val="00085443"/>
    <w:rsid w:val="000855A8"/>
    <w:rsid w:val="00085E4E"/>
    <w:rsid w:val="00086092"/>
    <w:rsid w:val="000865A9"/>
    <w:rsid w:val="00086D02"/>
    <w:rsid w:val="00087258"/>
    <w:rsid w:val="00087601"/>
    <w:rsid w:val="000877D3"/>
    <w:rsid w:val="00087D28"/>
    <w:rsid w:val="00087E9A"/>
    <w:rsid w:val="00090C81"/>
    <w:rsid w:val="0009117D"/>
    <w:rsid w:val="0009157D"/>
    <w:rsid w:val="000915C8"/>
    <w:rsid w:val="000916A2"/>
    <w:rsid w:val="00091ABB"/>
    <w:rsid w:val="00092C17"/>
    <w:rsid w:val="00093500"/>
    <w:rsid w:val="00093878"/>
    <w:rsid w:val="000938F0"/>
    <w:rsid w:val="00093A49"/>
    <w:rsid w:val="00094814"/>
    <w:rsid w:val="00094965"/>
    <w:rsid w:val="00094F00"/>
    <w:rsid w:val="00095083"/>
    <w:rsid w:val="000953A9"/>
    <w:rsid w:val="00095BE4"/>
    <w:rsid w:val="00095E0A"/>
    <w:rsid w:val="00095F9D"/>
    <w:rsid w:val="00095FB3"/>
    <w:rsid w:val="000961F5"/>
    <w:rsid w:val="000969C4"/>
    <w:rsid w:val="00096D9E"/>
    <w:rsid w:val="00096F38"/>
    <w:rsid w:val="000970A1"/>
    <w:rsid w:val="00097548"/>
    <w:rsid w:val="00097B54"/>
    <w:rsid w:val="00097BC4"/>
    <w:rsid w:val="00097DD0"/>
    <w:rsid w:val="000A035E"/>
    <w:rsid w:val="000A0765"/>
    <w:rsid w:val="000A0931"/>
    <w:rsid w:val="000A0A7E"/>
    <w:rsid w:val="000A0D0C"/>
    <w:rsid w:val="000A0EBC"/>
    <w:rsid w:val="000A1077"/>
    <w:rsid w:val="000A127A"/>
    <w:rsid w:val="000A1AE8"/>
    <w:rsid w:val="000A1FD9"/>
    <w:rsid w:val="000A23AE"/>
    <w:rsid w:val="000A3568"/>
    <w:rsid w:val="000A380B"/>
    <w:rsid w:val="000A3909"/>
    <w:rsid w:val="000A3973"/>
    <w:rsid w:val="000A397E"/>
    <w:rsid w:val="000A3F15"/>
    <w:rsid w:val="000A4156"/>
    <w:rsid w:val="000A5127"/>
    <w:rsid w:val="000A56EE"/>
    <w:rsid w:val="000A6A0A"/>
    <w:rsid w:val="000A6D36"/>
    <w:rsid w:val="000A714B"/>
    <w:rsid w:val="000A733E"/>
    <w:rsid w:val="000A7478"/>
    <w:rsid w:val="000A7788"/>
    <w:rsid w:val="000B03F9"/>
    <w:rsid w:val="000B0C65"/>
    <w:rsid w:val="000B0CE6"/>
    <w:rsid w:val="000B1DDE"/>
    <w:rsid w:val="000B1EEE"/>
    <w:rsid w:val="000B24DA"/>
    <w:rsid w:val="000B2B62"/>
    <w:rsid w:val="000B2E35"/>
    <w:rsid w:val="000B333C"/>
    <w:rsid w:val="000B3D1A"/>
    <w:rsid w:val="000B4B44"/>
    <w:rsid w:val="000B50ED"/>
    <w:rsid w:val="000B5150"/>
    <w:rsid w:val="000B6BEB"/>
    <w:rsid w:val="000B6E22"/>
    <w:rsid w:val="000B76A9"/>
    <w:rsid w:val="000B79BA"/>
    <w:rsid w:val="000B7C92"/>
    <w:rsid w:val="000C052B"/>
    <w:rsid w:val="000C078B"/>
    <w:rsid w:val="000C07FF"/>
    <w:rsid w:val="000C080D"/>
    <w:rsid w:val="000C0A8F"/>
    <w:rsid w:val="000C12EA"/>
    <w:rsid w:val="000C1707"/>
    <w:rsid w:val="000C1710"/>
    <w:rsid w:val="000C17EA"/>
    <w:rsid w:val="000C19F2"/>
    <w:rsid w:val="000C1B4E"/>
    <w:rsid w:val="000C2952"/>
    <w:rsid w:val="000C35EB"/>
    <w:rsid w:val="000C3712"/>
    <w:rsid w:val="000C3884"/>
    <w:rsid w:val="000C3993"/>
    <w:rsid w:val="000C3C05"/>
    <w:rsid w:val="000C48A8"/>
    <w:rsid w:val="000C4B5A"/>
    <w:rsid w:val="000C4C9D"/>
    <w:rsid w:val="000C56F0"/>
    <w:rsid w:val="000C5716"/>
    <w:rsid w:val="000C5B8C"/>
    <w:rsid w:val="000C6196"/>
    <w:rsid w:val="000C6772"/>
    <w:rsid w:val="000C6E24"/>
    <w:rsid w:val="000C712B"/>
    <w:rsid w:val="000C717A"/>
    <w:rsid w:val="000D0054"/>
    <w:rsid w:val="000D0055"/>
    <w:rsid w:val="000D0460"/>
    <w:rsid w:val="000D0A48"/>
    <w:rsid w:val="000D0D33"/>
    <w:rsid w:val="000D0D88"/>
    <w:rsid w:val="000D0DEB"/>
    <w:rsid w:val="000D13D2"/>
    <w:rsid w:val="000D16A4"/>
    <w:rsid w:val="000D16C6"/>
    <w:rsid w:val="000D18E3"/>
    <w:rsid w:val="000D1F92"/>
    <w:rsid w:val="000D2702"/>
    <w:rsid w:val="000D2D56"/>
    <w:rsid w:val="000D3083"/>
    <w:rsid w:val="000D31FA"/>
    <w:rsid w:val="000D3FDA"/>
    <w:rsid w:val="000D426B"/>
    <w:rsid w:val="000D490D"/>
    <w:rsid w:val="000D49A5"/>
    <w:rsid w:val="000D4D16"/>
    <w:rsid w:val="000D5892"/>
    <w:rsid w:val="000D60E9"/>
    <w:rsid w:val="000D680A"/>
    <w:rsid w:val="000D6CF3"/>
    <w:rsid w:val="000D70CE"/>
    <w:rsid w:val="000D7563"/>
    <w:rsid w:val="000D7912"/>
    <w:rsid w:val="000E0772"/>
    <w:rsid w:val="000E0DB1"/>
    <w:rsid w:val="000E149B"/>
    <w:rsid w:val="000E1763"/>
    <w:rsid w:val="000E242B"/>
    <w:rsid w:val="000E24C9"/>
    <w:rsid w:val="000E2535"/>
    <w:rsid w:val="000E2B4A"/>
    <w:rsid w:val="000E3123"/>
    <w:rsid w:val="000E3456"/>
    <w:rsid w:val="000E3498"/>
    <w:rsid w:val="000E3F35"/>
    <w:rsid w:val="000E475B"/>
    <w:rsid w:val="000E4A20"/>
    <w:rsid w:val="000E511F"/>
    <w:rsid w:val="000E54C4"/>
    <w:rsid w:val="000E59CC"/>
    <w:rsid w:val="000E5F57"/>
    <w:rsid w:val="000E600A"/>
    <w:rsid w:val="000E75FF"/>
    <w:rsid w:val="000E7776"/>
    <w:rsid w:val="000E7D9E"/>
    <w:rsid w:val="000E7DBA"/>
    <w:rsid w:val="000E7FC4"/>
    <w:rsid w:val="000F0423"/>
    <w:rsid w:val="000F066C"/>
    <w:rsid w:val="000F0A13"/>
    <w:rsid w:val="000F0C15"/>
    <w:rsid w:val="000F113C"/>
    <w:rsid w:val="000F17EF"/>
    <w:rsid w:val="000F1E70"/>
    <w:rsid w:val="000F260A"/>
    <w:rsid w:val="000F2A28"/>
    <w:rsid w:val="000F347E"/>
    <w:rsid w:val="000F3763"/>
    <w:rsid w:val="000F4598"/>
    <w:rsid w:val="000F4FEF"/>
    <w:rsid w:val="000F660B"/>
    <w:rsid w:val="000F671F"/>
    <w:rsid w:val="000F7541"/>
    <w:rsid w:val="000F7C9E"/>
    <w:rsid w:val="0010050E"/>
    <w:rsid w:val="00100620"/>
    <w:rsid w:val="001007BE"/>
    <w:rsid w:val="00100B8F"/>
    <w:rsid w:val="00101138"/>
    <w:rsid w:val="00101190"/>
    <w:rsid w:val="0010137C"/>
    <w:rsid w:val="00101795"/>
    <w:rsid w:val="0010198D"/>
    <w:rsid w:val="001019BB"/>
    <w:rsid w:val="00101C66"/>
    <w:rsid w:val="00102764"/>
    <w:rsid w:val="00102780"/>
    <w:rsid w:val="001032E0"/>
    <w:rsid w:val="00103C79"/>
    <w:rsid w:val="00103DBE"/>
    <w:rsid w:val="001044E0"/>
    <w:rsid w:val="00104706"/>
    <w:rsid w:val="00104D07"/>
    <w:rsid w:val="00105944"/>
    <w:rsid w:val="00105AF4"/>
    <w:rsid w:val="0010661A"/>
    <w:rsid w:val="00110349"/>
    <w:rsid w:val="0011076E"/>
    <w:rsid w:val="00110D82"/>
    <w:rsid w:val="001113CD"/>
    <w:rsid w:val="00111A2F"/>
    <w:rsid w:val="00112153"/>
    <w:rsid w:val="0011253B"/>
    <w:rsid w:val="001127FF"/>
    <w:rsid w:val="00112A5B"/>
    <w:rsid w:val="00112D29"/>
    <w:rsid w:val="001132DE"/>
    <w:rsid w:val="00113983"/>
    <w:rsid w:val="00113C9D"/>
    <w:rsid w:val="001141EA"/>
    <w:rsid w:val="001142BF"/>
    <w:rsid w:val="00114B64"/>
    <w:rsid w:val="00114C61"/>
    <w:rsid w:val="00114F0F"/>
    <w:rsid w:val="0011533A"/>
    <w:rsid w:val="00115E86"/>
    <w:rsid w:val="00116060"/>
    <w:rsid w:val="001162FA"/>
    <w:rsid w:val="00116D87"/>
    <w:rsid w:val="0011733C"/>
    <w:rsid w:val="00117472"/>
    <w:rsid w:val="001179D3"/>
    <w:rsid w:val="00117A63"/>
    <w:rsid w:val="00120435"/>
    <w:rsid w:val="0012064B"/>
    <w:rsid w:val="0012099D"/>
    <w:rsid w:val="00121973"/>
    <w:rsid w:val="001220CD"/>
    <w:rsid w:val="00122367"/>
    <w:rsid w:val="001225E9"/>
    <w:rsid w:val="001227E8"/>
    <w:rsid w:val="00122D1C"/>
    <w:rsid w:val="001231F9"/>
    <w:rsid w:val="0012335A"/>
    <w:rsid w:val="0012345B"/>
    <w:rsid w:val="00124441"/>
    <w:rsid w:val="001253CD"/>
    <w:rsid w:val="00125693"/>
    <w:rsid w:val="0012574A"/>
    <w:rsid w:val="00125879"/>
    <w:rsid w:val="00125FD9"/>
    <w:rsid w:val="0012632D"/>
    <w:rsid w:val="001265A3"/>
    <w:rsid w:val="0012688E"/>
    <w:rsid w:val="00127026"/>
    <w:rsid w:val="00127070"/>
    <w:rsid w:val="00127415"/>
    <w:rsid w:val="00130868"/>
    <w:rsid w:val="0013089A"/>
    <w:rsid w:val="00130A97"/>
    <w:rsid w:val="0013153D"/>
    <w:rsid w:val="00131A3C"/>
    <w:rsid w:val="00131B58"/>
    <w:rsid w:val="00131CC2"/>
    <w:rsid w:val="00132695"/>
    <w:rsid w:val="001327C4"/>
    <w:rsid w:val="001329CB"/>
    <w:rsid w:val="00132E2B"/>
    <w:rsid w:val="00133055"/>
    <w:rsid w:val="0013396A"/>
    <w:rsid w:val="00133B58"/>
    <w:rsid w:val="001345E8"/>
    <w:rsid w:val="001366AD"/>
    <w:rsid w:val="00136912"/>
    <w:rsid w:val="00136ABD"/>
    <w:rsid w:val="00136C7A"/>
    <w:rsid w:val="00137621"/>
    <w:rsid w:val="00137896"/>
    <w:rsid w:val="001404D2"/>
    <w:rsid w:val="001411A4"/>
    <w:rsid w:val="0014163B"/>
    <w:rsid w:val="00141864"/>
    <w:rsid w:val="00142ADF"/>
    <w:rsid w:val="001431D1"/>
    <w:rsid w:val="00144331"/>
    <w:rsid w:val="00145622"/>
    <w:rsid w:val="001465BB"/>
    <w:rsid w:val="00146908"/>
    <w:rsid w:val="0014765E"/>
    <w:rsid w:val="001476AB"/>
    <w:rsid w:val="0014792B"/>
    <w:rsid w:val="0015054A"/>
    <w:rsid w:val="00150938"/>
    <w:rsid w:val="00150D38"/>
    <w:rsid w:val="0015144E"/>
    <w:rsid w:val="001516FC"/>
    <w:rsid w:val="00152200"/>
    <w:rsid w:val="0015245F"/>
    <w:rsid w:val="00152865"/>
    <w:rsid w:val="0015299C"/>
    <w:rsid w:val="00152D50"/>
    <w:rsid w:val="0015302A"/>
    <w:rsid w:val="001531F3"/>
    <w:rsid w:val="001533A1"/>
    <w:rsid w:val="00153C7B"/>
    <w:rsid w:val="001540E1"/>
    <w:rsid w:val="001549A5"/>
    <w:rsid w:val="00154AB6"/>
    <w:rsid w:val="00154BBE"/>
    <w:rsid w:val="00154C78"/>
    <w:rsid w:val="00154F79"/>
    <w:rsid w:val="00155186"/>
    <w:rsid w:val="0015555C"/>
    <w:rsid w:val="00155B3C"/>
    <w:rsid w:val="00155C33"/>
    <w:rsid w:val="001565EB"/>
    <w:rsid w:val="00156DAD"/>
    <w:rsid w:val="00156E30"/>
    <w:rsid w:val="00156F83"/>
    <w:rsid w:val="00157818"/>
    <w:rsid w:val="001579AF"/>
    <w:rsid w:val="001602E0"/>
    <w:rsid w:val="0016050F"/>
    <w:rsid w:val="001609A7"/>
    <w:rsid w:val="00160AA7"/>
    <w:rsid w:val="00160DC7"/>
    <w:rsid w:val="001615BD"/>
    <w:rsid w:val="001616D2"/>
    <w:rsid w:val="00161AFB"/>
    <w:rsid w:val="00162442"/>
    <w:rsid w:val="001624A4"/>
    <w:rsid w:val="00162645"/>
    <w:rsid w:val="00162CCF"/>
    <w:rsid w:val="00163239"/>
    <w:rsid w:val="001632E1"/>
    <w:rsid w:val="00163428"/>
    <w:rsid w:val="0016356D"/>
    <w:rsid w:val="00163D33"/>
    <w:rsid w:val="00163DDE"/>
    <w:rsid w:val="001640AA"/>
    <w:rsid w:val="00165299"/>
    <w:rsid w:val="00166BA9"/>
    <w:rsid w:val="00166F38"/>
    <w:rsid w:val="0016741B"/>
    <w:rsid w:val="00167AE8"/>
    <w:rsid w:val="00167E7C"/>
    <w:rsid w:val="0017033A"/>
    <w:rsid w:val="00170A5A"/>
    <w:rsid w:val="001711FD"/>
    <w:rsid w:val="0017129D"/>
    <w:rsid w:val="00172657"/>
    <w:rsid w:val="001729AF"/>
    <w:rsid w:val="00173052"/>
    <w:rsid w:val="001730F5"/>
    <w:rsid w:val="00174240"/>
    <w:rsid w:val="0017443F"/>
    <w:rsid w:val="001745F2"/>
    <w:rsid w:val="001746CF"/>
    <w:rsid w:val="001747DC"/>
    <w:rsid w:val="00174B3E"/>
    <w:rsid w:val="00174D7F"/>
    <w:rsid w:val="0017517E"/>
    <w:rsid w:val="00175843"/>
    <w:rsid w:val="001758E7"/>
    <w:rsid w:val="00176CCD"/>
    <w:rsid w:val="00176DED"/>
    <w:rsid w:val="001777C7"/>
    <w:rsid w:val="00177A72"/>
    <w:rsid w:val="00177C2A"/>
    <w:rsid w:val="00177F23"/>
    <w:rsid w:val="00177F4C"/>
    <w:rsid w:val="001806B6"/>
    <w:rsid w:val="00180AFA"/>
    <w:rsid w:val="00180B2F"/>
    <w:rsid w:val="00180D51"/>
    <w:rsid w:val="00181C08"/>
    <w:rsid w:val="00181C23"/>
    <w:rsid w:val="00181EB7"/>
    <w:rsid w:val="00181F5B"/>
    <w:rsid w:val="0018202D"/>
    <w:rsid w:val="001825D1"/>
    <w:rsid w:val="00182939"/>
    <w:rsid w:val="00182A64"/>
    <w:rsid w:val="00182CAC"/>
    <w:rsid w:val="001830C8"/>
    <w:rsid w:val="001830F3"/>
    <w:rsid w:val="0018370B"/>
    <w:rsid w:val="001841A9"/>
    <w:rsid w:val="001841EA"/>
    <w:rsid w:val="00184C48"/>
    <w:rsid w:val="00184DED"/>
    <w:rsid w:val="00184E22"/>
    <w:rsid w:val="00185177"/>
    <w:rsid w:val="00185362"/>
    <w:rsid w:val="0018539A"/>
    <w:rsid w:val="0018549F"/>
    <w:rsid w:val="00185600"/>
    <w:rsid w:val="00185970"/>
    <w:rsid w:val="00185CF0"/>
    <w:rsid w:val="0018638A"/>
    <w:rsid w:val="001865DC"/>
    <w:rsid w:val="00186613"/>
    <w:rsid w:val="0018672C"/>
    <w:rsid w:val="00186AE5"/>
    <w:rsid w:val="00186BE1"/>
    <w:rsid w:val="00186FCB"/>
    <w:rsid w:val="001872F6"/>
    <w:rsid w:val="00187B9D"/>
    <w:rsid w:val="00187C7B"/>
    <w:rsid w:val="00187FEA"/>
    <w:rsid w:val="00190054"/>
    <w:rsid w:val="001903C2"/>
    <w:rsid w:val="00190438"/>
    <w:rsid w:val="00190D59"/>
    <w:rsid w:val="00191202"/>
    <w:rsid w:val="00191651"/>
    <w:rsid w:val="00191E0C"/>
    <w:rsid w:val="00191E8F"/>
    <w:rsid w:val="00191EBD"/>
    <w:rsid w:val="001920BC"/>
    <w:rsid w:val="0019258A"/>
    <w:rsid w:val="00192611"/>
    <w:rsid w:val="00192889"/>
    <w:rsid w:val="001929D9"/>
    <w:rsid w:val="001929F8"/>
    <w:rsid w:val="00192BA2"/>
    <w:rsid w:val="00192E46"/>
    <w:rsid w:val="00193699"/>
    <w:rsid w:val="00193939"/>
    <w:rsid w:val="00193B65"/>
    <w:rsid w:val="00193D65"/>
    <w:rsid w:val="00193D9D"/>
    <w:rsid w:val="00193FD8"/>
    <w:rsid w:val="001940F5"/>
    <w:rsid w:val="00194369"/>
    <w:rsid w:val="00194C7E"/>
    <w:rsid w:val="00194E16"/>
    <w:rsid w:val="0019568F"/>
    <w:rsid w:val="00195D98"/>
    <w:rsid w:val="00196976"/>
    <w:rsid w:val="00196BCA"/>
    <w:rsid w:val="00196C21"/>
    <w:rsid w:val="0019704D"/>
    <w:rsid w:val="0019709E"/>
    <w:rsid w:val="00197200"/>
    <w:rsid w:val="00197949"/>
    <w:rsid w:val="001A0117"/>
    <w:rsid w:val="001A01D9"/>
    <w:rsid w:val="001A0651"/>
    <w:rsid w:val="001A22F5"/>
    <w:rsid w:val="001A22FE"/>
    <w:rsid w:val="001A2C58"/>
    <w:rsid w:val="001A3C04"/>
    <w:rsid w:val="001A3D3B"/>
    <w:rsid w:val="001A43A1"/>
    <w:rsid w:val="001A4DEC"/>
    <w:rsid w:val="001A4F77"/>
    <w:rsid w:val="001A540C"/>
    <w:rsid w:val="001A55FF"/>
    <w:rsid w:val="001A62DC"/>
    <w:rsid w:val="001A6BF2"/>
    <w:rsid w:val="001A6E45"/>
    <w:rsid w:val="001A71DE"/>
    <w:rsid w:val="001A74C4"/>
    <w:rsid w:val="001A758A"/>
    <w:rsid w:val="001A77E3"/>
    <w:rsid w:val="001A77FB"/>
    <w:rsid w:val="001A7E8F"/>
    <w:rsid w:val="001B0022"/>
    <w:rsid w:val="001B0AA4"/>
    <w:rsid w:val="001B0ED6"/>
    <w:rsid w:val="001B111F"/>
    <w:rsid w:val="001B14BF"/>
    <w:rsid w:val="001B171F"/>
    <w:rsid w:val="001B17E1"/>
    <w:rsid w:val="001B20B1"/>
    <w:rsid w:val="001B2248"/>
    <w:rsid w:val="001B23E1"/>
    <w:rsid w:val="001B3879"/>
    <w:rsid w:val="001B3AE0"/>
    <w:rsid w:val="001B3B05"/>
    <w:rsid w:val="001B3DFD"/>
    <w:rsid w:val="001B475A"/>
    <w:rsid w:val="001B5AE2"/>
    <w:rsid w:val="001B5C65"/>
    <w:rsid w:val="001B5CA0"/>
    <w:rsid w:val="001B5D6C"/>
    <w:rsid w:val="001B5F92"/>
    <w:rsid w:val="001B5FAB"/>
    <w:rsid w:val="001B64DC"/>
    <w:rsid w:val="001B65B5"/>
    <w:rsid w:val="001B6ABC"/>
    <w:rsid w:val="001B74FA"/>
    <w:rsid w:val="001B7549"/>
    <w:rsid w:val="001B7873"/>
    <w:rsid w:val="001B7FC6"/>
    <w:rsid w:val="001C0A37"/>
    <w:rsid w:val="001C1993"/>
    <w:rsid w:val="001C2001"/>
    <w:rsid w:val="001C2063"/>
    <w:rsid w:val="001C288C"/>
    <w:rsid w:val="001C288E"/>
    <w:rsid w:val="001C331B"/>
    <w:rsid w:val="001C3609"/>
    <w:rsid w:val="001C3AAE"/>
    <w:rsid w:val="001C3C05"/>
    <w:rsid w:val="001C3E1C"/>
    <w:rsid w:val="001C3EE5"/>
    <w:rsid w:val="001C408F"/>
    <w:rsid w:val="001C49DE"/>
    <w:rsid w:val="001C49DF"/>
    <w:rsid w:val="001C4BDE"/>
    <w:rsid w:val="001C506B"/>
    <w:rsid w:val="001C5D6F"/>
    <w:rsid w:val="001C65C6"/>
    <w:rsid w:val="001C6644"/>
    <w:rsid w:val="001C68DE"/>
    <w:rsid w:val="001C6A9F"/>
    <w:rsid w:val="001C7052"/>
    <w:rsid w:val="001C719A"/>
    <w:rsid w:val="001C7AD2"/>
    <w:rsid w:val="001C7E2B"/>
    <w:rsid w:val="001D00D4"/>
    <w:rsid w:val="001D045E"/>
    <w:rsid w:val="001D0B24"/>
    <w:rsid w:val="001D1391"/>
    <w:rsid w:val="001D14B6"/>
    <w:rsid w:val="001D2A9B"/>
    <w:rsid w:val="001D2BE9"/>
    <w:rsid w:val="001D3090"/>
    <w:rsid w:val="001D30BB"/>
    <w:rsid w:val="001D30E9"/>
    <w:rsid w:val="001D3195"/>
    <w:rsid w:val="001D3C75"/>
    <w:rsid w:val="001D3FF7"/>
    <w:rsid w:val="001D4089"/>
    <w:rsid w:val="001D472E"/>
    <w:rsid w:val="001D4996"/>
    <w:rsid w:val="001D49B6"/>
    <w:rsid w:val="001D566C"/>
    <w:rsid w:val="001D5D56"/>
    <w:rsid w:val="001D613D"/>
    <w:rsid w:val="001D61E5"/>
    <w:rsid w:val="001D64A7"/>
    <w:rsid w:val="001D64C0"/>
    <w:rsid w:val="001D7F65"/>
    <w:rsid w:val="001D7F92"/>
    <w:rsid w:val="001E01E4"/>
    <w:rsid w:val="001E02B3"/>
    <w:rsid w:val="001E0431"/>
    <w:rsid w:val="001E0778"/>
    <w:rsid w:val="001E127C"/>
    <w:rsid w:val="001E1476"/>
    <w:rsid w:val="001E1BCA"/>
    <w:rsid w:val="001E25A1"/>
    <w:rsid w:val="001E27EC"/>
    <w:rsid w:val="001E2B65"/>
    <w:rsid w:val="001E2ECF"/>
    <w:rsid w:val="001E378A"/>
    <w:rsid w:val="001E37AD"/>
    <w:rsid w:val="001E4401"/>
    <w:rsid w:val="001E44EA"/>
    <w:rsid w:val="001E47FB"/>
    <w:rsid w:val="001E48F7"/>
    <w:rsid w:val="001E4AAB"/>
    <w:rsid w:val="001E5E28"/>
    <w:rsid w:val="001E6303"/>
    <w:rsid w:val="001E645C"/>
    <w:rsid w:val="001E6B1B"/>
    <w:rsid w:val="001E7A56"/>
    <w:rsid w:val="001E7E0B"/>
    <w:rsid w:val="001F0B02"/>
    <w:rsid w:val="001F0CBF"/>
    <w:rsid w:val="001F11E2"/>
    <w:rsid w:val="001F13DC"/>
    <w:rsid w:val="001F194A"/>
    <w:rsid w:val="001F1AFC"/>
    <w:rsid w:val="001F2E10"/>
    <w:rsid w:val="001F30BC"/>
    <w:rsid w:val="001F382A"/>
    <w:rsid w:val="001F3DD6"/>
    <w:rsid w:val="001F4065"/>
    <w:rsid w:val="001F42E9"/>
    <w:rsid w:val="001F50FF"/>
    <w:rsid w:val="001F53D6"/>
    <w:rsid w:val="001F53E4"/>
    <w:rsid w:val="001F59C6"/>
    <w:rsid w:val="001F5DA0"/>
    <w:rsid w:val="001F6293"/>
    <w:rsid w:val="001F6920"/>
    <w:rsid w:val="001F6D06"/>
    <w:rsid w:val="001F7144"/>
    <w:rsid w:val="001F7450"/>
    <w:rsid w:val="001F76E3"/>
    <w:rsid w:val="001F7A91"/>
    <w:rsid w:val="00200FFB"/>
    <w:rsid w:val="00201238"/>
    <w:rsid w:val="002018CA"/>
    <w:rsid w:val="002028A9"/>
    <w:rsid w:val="0020337F"/>
    <w:rsid w:val="00203489"/>
    <w:rsid w:val="00203699"/>
    <w:rsid w:val="002039DC"/>
    <w:rsid w:val="00204183"/>
    <w:rsid w:val="00204808"/>
    <w:rsid w:val="00204BC0"/>
    <w:rsid w:val="00204D6C"/>
    <w:rsid w:val="00204FF1"/>
    <w:rsid w:val="00205242"/>
    <w:rsid w:val="00205D67"/>
    <w:rsid w:val="00205F48"/>
    <w:rsid w:val="00206339"/>
    <w:rsid w:val="00206550"/>
    <w:rsid w:val="002067C9"/>
    <w:rsid w:val="002073B6"/>
    <w:rsid w:val="002073CD"/>
    <w:rsid w:val="00207540"/>
    <w:rsid w:val="002075C8"/>
    <w:rsid w:val="00207FDF"/>
    <w:rsid w:val="00210988"/>
    <w:rsid w:val="00210CE6"/>
    <w:rsid w:val="0021131D"/>
    <w:rsid w:val="002118A8"/>
    <w:rsid w:val="002119E9"/>
    <w:rsid w:val="00211E69"/>
    <w:rsid w:val="00212993"/>
    <w:rsid w:val="00212D6D"/>
    <w:rsid w:val="002130FE"/>
    <w:rsid w:val="0021362D"/>
    <w:rsid w:val="002145E0"/>
    <w:rsid w:val="002146B4"/>
    <w:rsid w:val="00215461"/>
    <w:rsid w:val="0021569D"/>
    <w:rsid w:val="00215A18"/>
    <w:rsid w:val="00215BBD"/>
    <w:rsid w:val="00215C1F"/>
    <w:rsid w:val="002162C1"/>
    <w:rsid w:val="00216553"/>
    <w:rsid w:val="002174E6"/>
    <w:rsid w:val="00217734"/>
    <w:rsid w:val="00217771"/>
    <w:rsid w:val="00221123"/>
    <w:rsid w:val="00221B48"/>
    <w:rsid w:val="00221D65"/>
    <w:rsid w:val="00221D7E"/>
    <w:rsid w:val="00221FAF"/>
    <w:rsid w:val="00222334"/>
    <w:rsid w:val="0022269C"/>
    <w:rsid w:val="00222774"/>
    <w:rsid w:val="00222B4C"/>
    <w:rsid w:val="00223879"/>
    <w:rsid w:val="00223C13"/>
    <w:rsid w:val="00224177"/>
    <w:rsid w:val="00224239"/>
    <w:rsid w:val="00224413"/>
    <w:rsid w:val="002244FD"/>
    <w:rsid w:val="00224715"/>
    <w:rsid w:val="00224843"/>
    <w:rsid w:val="0022488F"/>
    <w:rsid w:val="00224979"/>
    <w:rsid w:val="00224BAD"/>
    <w:rsid w:val="00225121"/>
    <w:rsid w:val="0022521F"/>
    <w:rsid w:val="00225A11"/>
    <w:rsid w:val="00225B70"/>
    <w:rsid w:val="0022673E"/>
    <w:rsid w:val="00226B77"/>
    <w:rsid w:val="00226D65"/>
    <w:rsid w:val="00227016"/>
    <w:rsid w:val="00227126"/>
    <w:rsid w:val="00227472"/>
    <w:rsid w:val="00227639"/>
    <w:rsid w:val="002300E3"/>
    <w:rsid w:val="0023094C"/>
    <w:rsid w:val="002311F3"/>
    <w:rsid w:val="00231437"/>
    <w:rsid w:val="002315F6"/>
    <w:rsid w:val="00231B3E"/>
    <w:rsid w:val="0023276C"/>
    <w:rsid w:val="002330BD"/>
    <w:rsid w:val="002334F0"/>
    <w:rsid w:val="00233A8C"/>
    <w:rsid w:val="00233FF9"/>
    <w:rsid w:val="00234AF7"/>
    <w:rsid w:val="00234E2F"/>
    <w:rsid w:val="002355B6"/>
    <w:rsid w:val="00235701"/>
    <w:rsid w:val="002359DC"/>
    <w:rsid w:val="0023607E"/>
    <w:rsid w:val="00236518"/>
    <w:rsid w:val="00236602"/>
    <w:rsid w:val="00236D23"/>
    <w:rsid w:val="00236E5A"/>
    <w:rsid w:val="002379EA"/>
    <w:rsid w:val="00237A42"/>
    <w:rsid w:val="00240277"/>
    <w:rsid w:val="00240768"/>
    <w:rsid w:val="002414FC"/>
    <w:rsid w:val="00241579"/>
    <w:rsid w:val="002415A5"/>
    <w:rsid w:val="0024198D"/>
    <w:rsid w:val="00242168"/>
    <w:rsid w:val="00242E84"/>
    <w:rsid w:val="00243272"/>
    <w:rsid w:val="002433DA"/>
    <w:rsid w:val="00243F68"/>
    <w:rsid w:val="00244185"/>
    <w:rsid w:val="002448DD"/>
    <w:rsid w:val="00244A9C"/>
    <w:rsid w:val="00245312"/>
    <w:rsid w:val="0024582C"/>
    <w:rsid w:val="00245E77"/>
    <w:rsid w:val="00246473"/>
    <w:rsid w:val="00246554"/>
    <w:rsid w:val="002467F1"/>
    <w:rsid w:val="00247119"/>
    <w:rsid w:val="0024781B"/>
    <w:rsid w:val="00247CE3"/>
    <w:rsid w:val="002503E2"/>
    <w:rsid w:val="00250DE4"/>
    <w:rsid w:val="0025221A"/>
    <w:rsid w:val="00252271"/>
    <w:rsid w:val="00252616"/>
    <w:rsid w:val="00252933"/>
    <w:rsid w:val="00252CFC"/>
    <w:rsid w:val="00252D5C"/>
    <w:rsid w:val="00252FDB"/>
    <w:rsid w:val="00253477"/>
    <w:rsid w:val="002536FE"/>
    <w:rsid w:val="002539F6"/>
    <w:rsid w:val="00254C45"/>
    <w:rsid w:val="00254CFA"/>
    <w:rsid w:val="00254F7A"/>
    <w:rsid w:val="002554C5"/>
    <w:rsid w:val="002565D1"/>
    <w:rsid w:val="0025696D"/>
    <w:rsid w:val="00256B50"/>
    <w:rsid w:val="00256ED5"/>
    <w:rsid w:val="002571F8"/>
    <w:rsid w:val="002574CF"/>
    <w:rsid w:val="00257699"/>
    <w:rsid w:val="00257A09"/>
    <w:rsid w:val="00260362"/>
    <w:rsid w:val="002604BB"/>
    <w:rsid w:val="002605B6"/>
    <w:rsid w:val="0026078B"/>
    <w:rsid w:val="002607FA"/>
    <w:rsid w:val="0026102E"/>
    <w:rsid w:val="00261DE7"/>
    <w:rsid w:val="00262712"/>
    <w:rsid w:val="002628E0"/>
    <w:rsid w:val="00262FEC"/>
    <w:rsid w:val="0026308C"/>
    <w:rsid w:val="00263475"/>
    <w:rsid w:val="002638FC"/>
    <w:rsid w:val="00263999"/>
    <w:rsid w:val="002639D0"/>
    <w:rsid w:val="0026410C"/>
    <w:rsid w:val="0026419E"/>
    <w:rsid w:val="002645D9"/>
    <w:rsid w:val="00264678"/>
    <w:rsid w:val="00264BF6"/>
    <w:rsid w:val="00264E15"/>
    <w:rsid w:val="00264FD8"/>
    <w:rsid w:val="0026518B"/>
    <w:rsid w:val="00265294"/>
    <w:rsid w:val="00265593"/>
    <w:rsid w:val="0026569F"/>
    <w:rsid w:val="00265BF5"/>
    <w:rsid w:val="00266311"/>
    <w:rsid w:val="00266B31"/>
    <w:rsid w:val="00266C98"/>
    <w:rsid w:val="00267DD8"/>
    <w:rsid w:val="00267DE6"/>
    <w:rsid w:val="002706F0"/>
    <w:rsid w:val="00270735"/>
    <w:rsid w:val="0027102F"/>
    <w:rsid w:val="0027107F"/>
    <w:rsid w:val="002710BF"/>
    <w:rsid w:val="00271271"/>
    <w:rsid w:val="002717E1"/>
    <w:rsid w:val="00271E6A"/>
    <w:rsid w:val="0027240F"/>
    <w:rsid w:val="00272523"/>
    <w:rsid w:val="0027268E"/>
    <w:rsid w:val="00272822"/>
    <w:rsid w:val="0027283F"/>
    <w:rsid w:val="002729AD"/>
    <w:rsid w:val="00272E8E"/>
    <w:rsid w:val="0027319B"/>
    <w:rsid w:val="00273AA1"/>
    <w:rsid w:val="00273ACA"/>
    <w:rsid w:val="00273D4C"/>
    <w:rsid w:val="00273F93"/>
    <w:rsid w:val="00274120"/>
    <w:rsid w:val="0027426D"/>
    <w:rsid w:val="00274291"/>
    <w:rsid w:val="002748C6"/>
    <w:rsid w:val="00274B28"/>
    <w:rsid w:val="0027547D"/>
    <w:rsid w:val="002758A2"/>
    <w:rsid w:val="00276246"/>
    <w:rsid w:val="002765A4"/>
    <w:rsid w:val="00276822"/>
    <w:rsid w:val="002769D4"/>
    <w:rsid w:val="00277202"/>
    <w:rsid w:val="002772AD"/>
    <w:rsid w:val="0027733B"/>
    <w:rsid w:val="00280505"/>
    <w:rsid w:val="00280A23"/>
    <w:rsid w:val="00280BB4"/>
    <w:rsid w:val="00280D65"/>
    <w:rsid w:val="00280D7F"/>
    <w:rsid w:val="00280D8A"/>
    <w:rsid w:val="002813D1"/>
    <w:rsid w:val="00281C3E"/>
    <w:rsid w:val="00282225"/>
    <w:rsid w:val="00282304"/>
    <w:rsid w:val="00282848"/>
    <w:rsid w:val="00282DD6"/>
    <w:rsid w:val="00282DEC"/>
    <w:rsid w:val="00282F66"/>
    <w:rsid w:val="0028300B"/>
    <w:rsid w:val="00283568"/>
    <w:rsid w:val="002835E2"/>
    <w:rsid w:val="00283BB7"/>
    <w:rsid w:val="002841FB"/>
    <w:rsid w:val="00285EFA"/>
    <w:rsid w:val="002864BB"/>
    <w:rsid w:val="00286E16"/>
    <w:rsid w:val="00286F97"/>
    <w:rsid w:val="00287131"/>
    <w:rsid w:val="00287266"/>
    <w:rsid w:val="002877B9"/>
    <w:rsid w:val="002900D0"/>
    <w:rsid w:val="00290148"/>
    <w:rsid w:val="00290E81"/>
    <w:rsid w:val="002916AA"/>
    <w:rsid w:val="002918AF"/>
    <w:rsid w:val="00291912"/>
    <w:rsid w:val="00291DAF"/>
    <w:rsid w:val="002923CB"/>
    <w:rsid w:val="002933E8"/>
    <w:rsid w:val="0029363A"/>
    <w:rsid w:val="00293B7E"/>
    <w:rsid w:val="00293DF4"/>
    <w:rsid w:val="00294759"/>
    <w:rsid w:val="00294A81"/>
    <w:rsid w:val="00294D34"/>
    <w:rsid w:val="002961EF"/>
    <w:rsid w:val="002965A7"/>
    <w:rsid w:val="00296CE1"/>
    <w:rsid w:val="00296EFB"/>
    <w:rsid w:val="00296F51"/>
    <w:rsid w:val="00297685"/>
    <w:rsid w:val="00297774"/>
    <w:rsid w:val="002A008F"/>
    <w:rsid w:val="002A01AC"/>
    <w:rsid w:val="002A07AD"/>
    <w:rsid w:val="002A1286"/>
    <w:rsid w:val="002A134F"/>
    <w:rsid w:val="002A14B0"/>
    <w:rsid w:val="002A15A2"/>
    <w:rsid w:val="002A1991"/>
    <w:rsid w:val="002A2055"/>
    <w:rsid w:val="002A2592"/>
    <w:rsid w:val="002A2797"/>
    <w:rsid w:val="002A2906"/>
    <w:rsid w:val="002A29AB"/>
    <w:rsid w:val="002A2DC3"/>
    <w:rsid w:val="002A30E7"/>
    <w:rsid w:val="002A3604"/>
    <w:rsid w:val="002A39F8"/>
    <w:rsid w:val="002A3CC8"/>
    <w:rsid w:val="002A470D"/>
    <w:rsid w:val="002A4769"/>
    <w:rsid w:val="002A47CB"/>
    <w:rsid w:val="002A4BD5"/>
    <w:rsid w:val="002A4C66"/>
    <w:rsid w:val="002A55F0"/>
    <w:rsid w:val="002A5731"/>
    <w:rsid w:val="002A57DD"/>
    <w:rsid w:val="002A5F2B"/>
    <w:rsid w:val="002A5FC1"/>
    <w:rsid w:val="002A616E"/>
    <w:rsid w:val="002A697B"/>
    <w:rsid w:val="002A6B04"/>
    <w:rsid w:val="002A6B9E"/>
    <w:rsid w:val="002A73A1"/>
    <w:rsid w:val="002A7707"/>
    <w:rsid w:val="002A78A6"/>
    <w:rsid w:val="002B0362"/>
    <w:rsid w:val="002B0FCF"/>
    <w:rsid w:val="002B125F"/>
    <w:rsid w:val="002B1320"/>
    <w:rsid w:val="002B182E"/>
    <w:rsid w:val="002B1B2F"/>
    <w:rsid w:val="002B1EAC"/>
    <w:rsid w:val="002B206E"/>
    <w:rsid w:val="002B2213"/>
    <w:rsid w:val="002B28ED"/>
    <w:rsid w:val="002B2A72"/>
    <w:rsid w:val="002B3857"/>
    <w:rsid w:val="002B38CB"/>
    <w:rsid w:val="002B3E7E"/>
    <w:rsid w:val="002B3EAB"/>
    <w:rsid w:val="002B4582"/>
    <w:rsid w:val="002B4BAE"/>
    <w:rsid w:val="002B4CEF"/>
    <w:rsid w:val="002B51AC"/>
    <w:rsid w:val="002B5318"/>
    <w:rsid w:val="002B5376"/>
    <w:rsid w:val="002B5443"/>
    <w:rsid w:val="002B55C1"/>
    <w:rsid w:val="002B68D9"/>
    <w:rsid w:val="002B6CD9"/>
    <w:rsid w:val="002C0233"/>
    <w:rsid w:val="002C120A"/>
    <w:rsid w:val="002C121F"/>
    <w:rsid w:val="002C1581"/>
    <w:rsid w:val="002C266A"/>
    <w:rsid w:val="002C28D1"/>
    <w:rsid w:val="002C2CE2"/>
    <w:rsid w:val="002C2D58"/>
    <w:rsid w:val="002C2E0D"/>
    <w:rsid w:val="002C2F20"/>
    <w:rsid w:val="002C3535"/>
    <w:rsid w:val="002C3D88"/>
    <w:rsid w:val="002C4643"/>
    <w:rsid w:val="002C4A29"/>
    <w:rsid w:val="002C4D45"/>
    <w:rsid w:val="002C538E"/>
    <w:rsid w:val="002C5930"/>
    <w:rsid w:val="002C5A14"/>
    <w:rsid w:val="002C6247"/>
    <w:rsid w:val="002C68ED"/>
    <w:rsid w:val="002C6A13"/>
    <w:rsid w:val="002C71A5"/>
    <w:rsid w:val="002C779D"/>
    <w:rsid w:val="002C7CF0"/>
    <w:rsid w:val="002C7F08"/>
    <w:rsid w:val="002C7F15"/>
    <w:rsid w:val="002D0472"/>
    <w:rsid w:val="002D0650"/>
    <w:rsid w:val="002D0DB7"/>
    <w:rsid w:val="002D1234"/>
    <w:rsid w:val="002D1388"/>
    <w:rsid w:val="002D205D"/>
    <w:rsid w:val="002D2460"/>
    <w:rsid w:val="002D2791"/>
    <w:rsid w:val="002D2C2E"/>
    <w:rsid w:val="002D3203"/>
    <w:rsid w:val="002D3228"/>
    <w:rsid w:val="002D332F"/>
    <w:rsid w:val="002D3425"/>
    <w:rsid w:val="002D399A"/>
    <w:rsid w:val="002D3FC1"/>
    <w:rsid w:val="002D4276"/>
    <w:rsid w:val="002D4F5D"/>
    <w:rsid w:val="002D501E"/>
    <w:rsid w:val="002D5528"/>
    <w:rsid w:val="002D56C5"/>
    <w:rsid w:val="002D5951"/>
    <w:rsid w:val="002D6410"/>
    <w:rsid w:val="002D6659"/>
    <w:rsid w:val="002D69FC"/>
    <w:rsid w:val="002D6A4C"/>
    <w:rsid w:val="002D7A62"/>
    <w:rsid w:val="002D7B47"/>
    <w:rsid w:val="002D7E64"/>
    <w:rsid w:val="002E01B2"/>
    <w:rsid w:val="002E04BE"/>
    <w:rsid w:val="002E08A3"/>
    <w:rsid w:val="002E11BA"/>
    <w:rsid w:val="002E17E8"/>
    <w:rsid w:val="002E1A37"/>
    <w:rsid w:val="002E2273"/>
    <w:rsid w:val="002E2314"/>
    <w:rsid w:val="002E23BD"/>
    <w:rsid w:val="002E3F16"/>
    <w:rsid w:val="002E41D3"/>
    <w:rsid w:val="002E4221"/>
    <w:rsid w:val="002E450A"/>
    <w:rsid w:val="002E45C4"/>
    <w:rsid w:val="002E5218"/>
    <w:rsid w:val="002E5408"/>
    <w:rsid w:val="002E5621"/>
    <w:rsid w:val="002E6028"/>
    <w:rsid w:val="002E62E5"/>
    <w:rsid w:val="002E7196"/>
    <w:rsid w:val="002E72B9"/>
    <w:rsid w:val="002E76AF"/>
    <w:rsid w:val="002E7A88"/>
    <w:rsid w:val="002F0021"/>
    <w:rsid w:val="002F0917"/>
    <w:rsid w:val="002F0B6B"/>
    <w:rsid w:val="002F0B6D"/>
    <w:rsid w:val="002F1451"/>
    <w:rsid w:val="002F1779"/>
    <w:rsid w:val="002F19E4"/>
    <w:rsid w:val="002F1F53"/>
    <w:rsid w:val="002F2088"/>
    <w:rsid w:val="002F21B5"/>
    <w:rsid w:val="002F238E"/>
    <w:rsid w:val="002F24C7"/>
    <w:rsid w:val="002F2502"/>
    <w:rsid w:val="002F2828"/>
    <w:rsid w:val="002F2BDC"/>
    <w:rsid w:val="002F2FE2"/>
    <w:rsid w:val="002F32F9"/>
    <w:rsid w:val="002F44C0"/>
    <w:rsid w:val="002F46CC"/>
    <w:rsid w:val="002F4847"/>
    <w:rsid w:val="002F48E0"/>
    <w:rsid w:val="002F4AA4"/>
    <w:rsid w:val="002F4ABB"/>
    <w:rsid w:val="002F4EF0"/>
    <w:rsid w:val="002F536A"/>
    <w:rsid w:val="002F5568"/>
    <w:rsid w:val="002F579E"/>
    <w:rsid w:val="002F6283"/>
    <w:rsid w:val="002F656E"/>
    <w:rsid w:val="002F6614"/>
    <w:rsid w:val="002F670F"/>
    <w:rsid w:val="002F7134"/>
    <w:rsid w:val="002F7596"/>
    <w:rsid w:val="002F762D"/>
    <w:rsid w:val="002F76FE"/>
    <w:rsid w:val="002F7CB2"/>
    <w:rsid w:val="00300482"/>
    <w:rsid w:val="00301A3F"/>
    <w:rsid w:val="003020EB"/>
    <w:rsid w:val="00303DAF"/>
    <w:rsid w:val="00303F58"/>
    <w:rsid w:val="0030421C"/>
    <w:rsid w:val="00304246"/>
    <w:rsid w:val="003042EB"/>
    <w:rsid w:val="00304B5A"/>
    <w:rsid w:val="00304B85"/>
    <w:rsid w:val="00305003"/>
    <w:rsid w:val="00305DED"/>
    <w:rsid w:val="0030609D"/>
    <w:rsid w:val="00306263"/>
    <w:rsid w:val="00306285"/>
    <w:rsid w:val="00306C38"/>
    <w:rsid w:val="00306D4B"/>
    <w:rsid w:val="00306F9C"/>
    <w:rsid w:val="00306FDA"/>
    <w:rsid w:val="00307987"/>
    <w:rsid w:val="00307EAA"/>
    <w:rsid w:val="00310101"/>
    <w:rsid w:val="00310300"/>
    <w:rsid w:val="003105BE"/>
    <w:rsid w:val="00310621"/>
    <w:rsid w:val="00310CBE"/>
    <w:rsid w:val="0031114B"/>
    <w:rsid w:val="00311AA1"/>
    <w:rsid w:val="00312072"/>
    <w:rsid w:val="00312924"/>
    <w:rsid w:val="00312D57"/>
    <w:rsid w:val="003131D0"/>
    <w:rsid w:val="00313691"/>
    <w:rsid w:val="003136B3"/>
    <w:rsid w:val="00314098"/>
    <w:rsid w:val="00314111"/>
    <w:rsid w:val="00314169"/>
    <w:rsid w:val="003142D7"/>
    <w:rsid w:val="00314388"/>
    <w:rsid w:val="0031459C"/>
    <w:rsid w:val="00314998"/>
    <w:rsid w:val="00314B2D"/>
    <w:rsid w:val="0031581A"/>
    <w:rsid w:val="00315D30"/>
    <w:rsid w:val="00316192"/>
    <w:rsid w:val="003166E0"/>
    <w:rsid w:val="0031708B"/>
    <w:rsid w:val="00317478"/>
    <w:rsid w:val="00317BC4"/>
    <w:rsid w:val="00317D76"/>
    <w:rsid w:val="00317DF0"/>
    <w:rsid w:val="00317F42"/>
    <w:rsid w:val="0032035E"/>
    <w:rsid w:val="003203CA"/>
    <w:rsid w:val="003214C9"/>
    <w:rsid w:val="0032163A"/>
    <w:rsid w:val="00321708"/>
    <w:rsid w:val="00321A0A"/>
    <w:rsid w:val="00321ED4"/>
    <w:rsid w:val="003223F2"/>
    <w:rsid w:val="00322BB5"/>
    <w:rsid w:val="00322BCE"/>
    <w:rsid w:val="0032304C"/>
    <w:rsid w:val="003234A2"/>
    <w:rsid w:val="0032362D"/>
    <w:rsid w:val="003236CB"/>
    <w:rsid w:val="00323AD2"/>
    <w:rsid w:val="00323F75"/>
    <w:rsid w:val="00324617"/>
    <w:rsid w:val="003246DE"/>
    <w:rsid w:val="003249B8"/>
    <w:rsid w:val="00324E0C"/>
    <w:rsid w:val="00324F38"/>
    <w:rsid w:val="003250EE"/>
    <w:rsid w:val="0032529F"/>
    <w:rsid w:val="00325432"/>
    <w:rsid w:val="00325544"/>
    <w:rsid w:val="00325B23"/>
    <w:rsid w:val="00325B3C"/>
    <w:rsid w:val="00325EA6"/>
    <w:rsid w:val="003261F6"/>
    <w:rsid w:val="00326C4C"/>
    <w:rsid w:val="00326CE4"/>
    <w:rsid w:val="00326F0B"/>
    <w:rsid w:val="00327238"/>
    <w:rsid w:val="00327564"/>
    <w:rsid w:val="003278A1"/>
    <w:rsid w:val="00327FBF"/>
    <w:rsid w:val="003301DF"/>
    <w:rsid w:val="00331055"/>
    <w:rsid w:val="00331B79"/>
    <w:rsid w:val="00331BA5"/>
    <w:rsid w:val="003328C1"/>
    <w:rsid w:val="00332969"/>
    <w:rsid w:val="00332B4F"/>
    <w:rsid w:val="00332F68"/>
    <w:rsid w:val="0033330B"/>
    <w:rsid w:val="00333727"/>
    <w:rsid w:val="00333ADE"/>
    <w:rsid w:val="00333F1F"/>
    <w:rsid w:val="003341E2"/>
    <w:rsid w:val="0033443C"/>
    <w:rsid w:val="003347A8"/>
    <w:rsid w:val="00334ADF"/>
    <w:rsid w:val="00335AD3"/>
    <w:rsid w:val="003368B7"/>
    <w:rsid w:val="00336AF0"/>
    <w:rsid w:val="00336AFD"/>
    <w:rsid w:val="003370CB"/>
    <w:rsid w:val="0033735F"/>
    <w:rsid w:val="003377B9"/>
    <w:rsid w:val="00337AEF"/>
    <w:rsid w:val="00337D1A"/>
    <w:rsid w:val="00337DDE"/>
    <w:rsid w:val="00337FF7"/>
    <w:rsid w:val="00340205"/>
    <w:rsid w:val="0034055E"/>
    <w:rsid w:val="00340DC4"/>
    <w:rsid w:val="00340E2F"/>
    <w:rsid w:val="0034111C"/>
    <w:rsid w:val="0034178D"/>
    <w:rsid w:val="0034179B"/>
    <w:rsid w:val="00341B92"/>
    <w:rsid w:val="0034260C"/>
    <w:rsid w:val="00342AC5"/>
    <w:rsid w:val="00342DE5"/>
    <w:rsid w:val="00342FF4"/>
    <w:rsid w:val="00342FF6"/>
    <w:rsid w:val="003438E9"/>
    <w:rsid w:val="00343AFE"/>
    <w:rsid w:val="003442B4"/>
    <w:rsid w:val="00344B0C"/>
    <w:rsid w:val="00344DE4"/>
    <w:rsid w:val="003456F9"/>
    <w:rsid w:val="0034578C"/>
    <w:rsid w:val="00345F38"/>
    <w:rsid w:val="00346203"/>
    <w:rsid w:val="003463F3"/>
    <w:rsid w:val="00346711"/>
    <w:rsid w:val="00347231"/>
    <w:rsid w:val="003474F5"/>
    <w:rsid w:val="00350539"/>
    <w:rsid w:val="00350564"/>
    <w:rsid w:val="00350AD2"/>
    <w:rsid w:val="0035164B"/>
    <w:rsid w:val="00351E17"/>
    <w:rsid w:val="00351E18"/>
    <w:rsid w:val="00351EE3"/>
    <w:rsid w:val="00352C5C"/>
    <w:rsid w:val="00353871"/>
    <w:rsid w:val="00353DBE"/>
    <w:rsid w:val="00353ECA"/>
    <w:rsid w:val="00353F99"/>
    <w:rsid w:val="003540BF"/>
    <w:rsid w:val="00354212"/>
    <w:rsid w:val="00354294"/>
    <w:rsid w:val="00354364"/>
    <w:rsid w:val="003549D9"/>
    <w:rsid w:val="0035509F"/>
    <w:rsid w:val="0035547C"/>
    <w:rsid w:val="003560EB"/>
    <w:rsid w:val="00356A6A"/>
    <w:rsid w:val="00357C7C"/>
    <w:rsid w:val="00357EB3"/>
    <w:rsid w:val="0036026B"/>
    <w:rsid w:val="00360679"/>
    <w:rsid w:val="003610D7"/>
    <w:rsid w:val="003614F9"/>
    <w:rsid w:val="003618B5"/>
    <w:rsid w:val="003618F5"/>
    <w:rsid w:val="0036194F"/>
    <w:rsid w:val="00361BE5"/>
    <w:rsid w:val="00361D0B"/>
    <w:rsid w:val="00361D39"/>
    <w:rsid w:val="00361D98"/>
    <w:rsid w:val="003621C1"/>
    <w:rsid w:val="003625DC"/>
    <w:rsid w:val="00362684"/>
    <w:rsid w:val="00362DDD"/>
    <w:rsid w:val="00362EC9"/>
    <w:rsid w:val="0036332B"/>
    <w:rsid w:val="0036335B"/>
    <w:rsid w:val="00363C07"/>
    <w:rsid w:val="00364217"/>
    <w:rsid w:val="00364289"/>
    <w:rsid w:val="003643E1"/>
    <w:rsid w:val="00364429"/>
    <w:rsid w:val="0036496C"/>
    <w:rsid w:val="003649E4"/>
    <w:rsid w:val="00364C24"/>
    <w:rsid w:val="00364D6C"/>
    <w:rsid w:val="0036592B"/>
    <w:rsid w:val="00365F33"/>
    <w:rsid w:val="00366234"/>
    <w:rsid w:val="00366981"/>
    <w:rsid w:val="003669FE"/>
    <w:rsid w:val="00366AAA"/>
    <w:rsid w:val="003674DC"/>
    <w:rsid w:val="003675DF"/>
    <w:rsid w:val="00367921"/>
    <w:rsid w:val="00367BAF"/>
    <w:rsid w:val="00367C8A"/>
    <w:rsid w:val="0037093A"/>
    <w:rsid w:val="00370F61"/>
    <w:rsid w:val="003710BF"/>
    <w:rsid w:val="00371BE6"/>
    <w:rsid w:val="00371D53"/>
    <w:rsid w:val="00372102"/>
    <w:rsid w:val="00372220"/>
    <w:rsid w:val="00372786"/>
    <w:rsid w:val="003727F7"/>
    <w:rsid w:val="00372937"/>
    <w:rsid w:val="00372B86"/>
    <w:rsid w:val="00372BD6"/>
    <w:rsid w:val="00372E1A"/>
    <w:rsid w:val="00373435"/>
    <w:rsid w:val="00373EA1"/>
    <w:rsid w:val="0037441F"/>
    <w:rsid w:val="003748D7"/>
    <w:rsid w:val="00374A63"/>
    <w:rsid w:val="003750A1"/>
    <w:rsid w:val="00375418"/>
    <w:rsid w:val="0037554B"/>
    <w:rsid w:val="00375C04"/>
    <w:rsid w:val="0037654E"/>
    <w:rsid w:val="0037661E"/>
    <w:rsid w:val="003766F1"/>
    <w:rsid w:val="0037686F"/>
    <w:rsid w:val="00376AE0"/>
    <w:rsid w:val="00376F57"/>
    <w:rsid w:val="0037730C"/>
    <w:rsid w:val="00377A5C"/>
    <w:rsid w:val="00377AE6"/>
    <w:rsid w:val="00377CC3"/>
    <w:rsid w:val="00377ECE"/>
    <w:rsid w:val="00377FCF"/>
    <w:rsid w:val="003800A2"/>
    <w:rsid w:val="003800F7"/>
    <w:rsid w:val="00380F47"/>
    <w:rsid w:val="00380FEE"/>
    <w:rsid w:val="00381121"/>
    <w:rsid w:val="003814C1"/>
    <w:rsid w:val="003828E6"/>
    <w:rsid w:val="00382B20"/>
    <w:rsid w:val="0038349D"/>
    <w:rsid w:val="003834D5"/>
    <w:rsid w:val="00383CB4"/>
    <w:rsid w:val="003848A3"/>
    <w:rsid w:val="003854B6"/>
    <w:rsid w:val="0038600C"/>
    <w:rsid w:val="0038602D"/>
    <w:rsid w:val="00386093"/>
    <w:rsid w:val="0038622A"/>
    <w:rsid w:val="00386B57"/>
    <w:rsid w:val="00386EE9"/>
    <w:rsid w:val="003872B7"/>
    <w:rsid w:val="00387783"/>
    <w:rsid w:val="00387FB8"/>
    <w:rsid w:val="00390237"/>
    <w:rsid w:val="00391168"/>
    <w:rsid w:val="00391617"/>
    <w:rsid w:val="003916D4"/>
    <w:rsid w:val="00391A94"/>
    <w:rsid w:val="00391DA4"/>
    <w:rsid w:val="00392327"/>
    <w:rsid w:val="00392769"/>
    <w:rsid w:val="00392E4E"/>
    <w:rsid w:val="003937B2"/>
    <w:rsid w:val="00393893"/>
    <w:rsid w:val="003938D1"/>
    <w:rsid w:val="0039396A"/>
    <w:rsid w:val="00393B80"/>
    <w:rsid w:val="00393C6B"/>
    <w:rsid w:val="003945D3"/>
    <w:rsid w:val="00394A39"/>
    <w:rsid w:val="003952C9"/>
    <w:rsid w:val="0039537C"/>
    <w:rsid w:val="00395799"/>
    <w:rsid w:val="0039587A"/>
    <w:rsid w:val="003962DC"/>
    <w:rsid w:val="003966DB"/>
    <w:rsid w:val="003967EE"/>
    <w:rsid w:val="00396A9F"/>
    <w:rsid w:val="00396C5C"/>
    <w:rsid w:val="00396E30"/>
    <w:rsid w:val="00396E34"/>
    <w:rsid w:val="00397549"/>
    <w:rsid w:val="003A0421"/>
    <w:rsid w:val="003A098F"/>
    <w:rsid w:val="003A1A48"/>
    <w:rsid w:val="003A2457"/>
    <w:rsid w:val="003A2DFD"/>
    <w:rsid w:val="003A4473"/>
    <w:rsid w:val="003A4531"/>
    <w:rsid w:val="003A4A6D"/>
    <w:rsid w:val="003A5B35"/>
    <w:rsid w:val="003A5B5E"/>
    <w:rsid w:val="003A5DC6"/>
    <w:rsid w:val="003A5DDE"/>
    <w:rsid w:val="003A6710"/>
    <w:rsid w:val="003A68F2"/>
    <w:rsid w:val="003A6D7E"/>
    <w:rsid w:val="003A6EAD"/>
    <w:rsid w:val="003A7745"/>
    <w:rsid w:val="003B0693"/>
    <w:rsid w:val="003B0A1B"/>
    <w:rsid w:val="003B1290"/>
    <w:rsid w:val="003B1359"/>
    <w:rsid w:val="003B1425"/>
    <w:rsid w:val="003B1461"/>
    <w:rsid w:val="003B193B"/>
    <w:rsid w:val="003B1C43"/>
    <w:rsid w:val="003B236B"/>
    <w:rsid w:val="003B2FD0"/>
    <w:rsid w:val="003B31E2"/>
    <w:rsid w:val="003B3353"/>
    <w:rsid w:val="003B380F"/>
    <w:rsid w:val="003B3903"/>
    <w:rsid w:val="003B3A7E"/>
    <w:rsid w:val="003B4280"/>
    <w:rsid w:val="003B4B29"/>
    <w:rsid w:val="003B4D6E"/>
    <w:rsid w:val="003B5145"/>
    <w:rsid w:val="003B546C"/>
    <w:rsid w:val="003B5867"/>
    <w:rsid w:val="003B5F05"/>
    <w:rsid w:val="003B6668"/>
    <w:rsid w:val="003B6B06"/>
    <w:rsid w:val="003B6FD8"/>
    <w:rsid w:val="003B7635"/>
    <w:rsid w:val="003B7880"/>
    <w:rsid w:val="003C05A9"/>
    <w:rsid w:val="003C0CA5"/>
    <w:rsid w:val="003C14BE"/>
    <w:rsid w:val="003C18CD"/>
    <w:rsid w:val="003C1B68"/>
    <w:rsid w:val="003C1B81"/>
    <w:rsid w:val="003C20A0"/>
    <w:rsid w:val="003C2B2A"/>
    <w:rsid w:val="003C2CAC"/>
    <w:rsid w:val="003C3055"/>
    <w:rsid w:val="003C372D"/>
    <w:rsid w:val="003C48F0"/>
    <w:rsid w:val="003C5205"/>
    <w:rsid w:val="003C5B04"/>
    <w:rsid w:val="003C6B69"/>
    <w:rsid w:val="003C6C28"/>
    <w:rsid w:val="003C70A1"/>
    <w:rsid w:val="003C70C0"/>
    <w:rsid w:val="003C71B3"/>
    <w:rsid w:val="003C7334"/>
    <w:rsid w:val="003C7CD7"/>
    <w:rsid w:val="003C7D3C"/>
    <w:rsid w:val="003C7FC7"/>
    <w:rsid w:val="003D0107"/>
    <w:rsid w:val="003D0658"/>
    <w:rsid w:val="003D0660"/>
    <w:rsid w:val="003D0A12"/>
    <w:rsid w:val="003D18B4"/>
    <w:rsid w:val="003D1C21"/>
    <w:rsid w:val="003D2017"/>
    <w:rsid w:val="003D222C"/>
    <w:rsid w:val="003D23F9"/>
    <w:rsid w:val="003D2A01"/>
    <w:rsid w:val="003D2A6F"/>
    <w:rsid w:val="003D2C28"/>
    <w:rsid w:val="003D314B"/>
    <w:rsid w:val="003D333C"/>
    <w:rsid w:val="003D3AF9"/>
    <w:rsid w:val="003D4321"/>
    <w:rsid w:val="003D43F8"/>
    <w:rsid w:val="003D4784"/>
    <w:rsid w:val="003D4E16"/>
    <w:rsid w:val="003D4F7C"/>
    <w:rsid w:val="003D543F"/>
    <w:rsid w:val="003D569C"/>
    <w:rsid w:val="003D58B5"/>
    <w:rsid w:val="003D5A63"/>
    <w:rsid w:val="003D5CF7"/>
    <w:rsid w:val="003D5F2A"/>
    <w:rsid w:val="003D631E"/>
    <w:rsid w:val="003D66C7"/>
    <w:rsid w:val="003D6CAB"/>
    <w:rsid w:val="003D6D4E"/>
    <w:rsid w:val="003D70F6"/>
    <w:rsid w:val="003D7462"/>
    <w:rsid w:val="003D7A9E"/>
    <w:rsid w:val="003D7D12"/>
    <w:rsid w:val="003E07E2"/>
    <w:rsid w:val="003E08F0"/>
    <w:rsid w:val="003E0901"/>
    <w:rsid w:val="003E0AE6"/>
    <w:rsid w:val="003E180A"/>
    <w:rsid w:val="003E198F"/>
    <w:rsid w:val="003E1A93"/>
    <w:rsid w:val="003E2465"/>
    <w:rsid w:val="003E29C0"/>
    <w:rsid w:val="003E2B2E"/>
    <w:rsid w:val="003E3241"/>
    <w:rsid w:val="003E3BAF"/>
    <w:rsid w:val="003E416F"/>
    <w:rsid w:val="003E444E"/>
    <w:rsid w:val="003E49DE"/>
    <w:rsid w:val="003E4B18"/>
    <w:rsid w:val="003E4B3F"/>
    <w:rsid w:val="003E4E3F"/>
    <w:rsid w:val="003E590C"/>
    <w:rsid w:val="003E597E"/>
    <w:rsid w:val="003E6768"/>
    <w:rsid w:val="003E69A6"/>
    <w:rsid w:val="003E733B"/>
    <w:rsid w:val="003E73B4"/>
    <w:rsid w:val="003E7C01"/>
    <w:rsid w:val="003E7E22"/>
    <w:rsid w:val="003F0218"/>
    <w:rsid w:val="003F0E92"/>
    <w:rsid w:val="003F1276"/>
    <w:rsid w:val="003F1E7F"/>
    <w:rsid w:val="003F20C2"/>
    <w:rsid w:val="003F2277"/>
    <w:rsid w:val="003F25ED"/>
    <w:rsid w:val="003F26EF"/>
    <w:rsid w:val="003F2D0C"/>
    <w:rsid w:val="003F3567"/>
    <w:rsid w:val="003F365F"/>
    <w:rsid w:val="003F3F35"/>
    <w:rsid w:val="003F42D2"/>
    <w:rsid w:val="003F4872"/>
    <w:rsid w:val="003F4C9C"/>
    <w:rsid w:val="003F53FF"/>
    <w:rsid w:val="003F59C2"/>
    <w:rsid w:val="003F59D9"/>
    <w:rsid w:val="003F601D"/>
    <w:rsid w:val="003F6B0B"/>
    <w:rsid w:val="003F6B8E"/>
    <w:rsid w:val="003F6B96"/>
    <w:rsid w:val="003F6FE1"/>
    <w:rsid w:val="003F718D"/>
    <w:rsid w:val="003F753E"/>
    <w:rsid w:val="003F77B6"/>
    <w:rsid w:val="003F7B12"/>
    <w:rsid w:val="00400BCE"/>
    <w:rsid w:val="00400F39"/>
    <w:rsid w:val="00400FB2"/>
    <w:rsid w:val="004013F8"/>
    <w:rsid w:val="00402400"/>
    <w:rsid w:val="0040365F"/>
    <w:rsid w:val="00403E45"/>
    <w:rsid w:val="00403F7B"/>
    <w:rsid w:val="004049B5"/>
    <w:rsid w:val="00404A4F"/>
    <w:rsid w:val="00405574"/>
    <w:rsid w:val="004056C5"/>
    <w:rsid w:val="00405CBB"/>
    <w:rsid w:val="00405EA7"/>
    <w:rsid w:val="004066D9"/>
    <w:rsid w:val="00407162"/>
    <w:rsid w:val="00407722"/>
    <w:rsid w:val="00407B7E"/>
    <w:rsid w:val="00407DB7"/>
    <w:rsid w:val="004103E7"/>
    <w:rsid w:val="00410ADF"/>
    <w:rsid w:val="00410CBE"/>
    <w:rsid w:val="00411029"/>
    <w:rsid w:val="0041174C"/>
    <w:rsid w:val="0041184B"/>
    <w:rsid w:val="00412873"/>
    <w:rsid w:val="00412CA6"/>
    <w:rsid w:val="004133BA"/>
    <w:rsid w:val="0041403C"/>
    <w:rsid w:val="004140C8"/>
    <w:rsid w:val="00414446"/>
    <w:rsid w:val="00414CB6"/>
    <w:rsid w:val="00414DE4"/>
    <w:rsid w:val="00414F79"/>
    <w:rsid w:val="0041579D"/>
    <w:rsid w:val="00415B5D"/>
    <w:rsid w:val="00415BFB"/>
    <w:rsid w:val="00416623"/>
    <w:rsid w:val="00416CAB"/>
    <w:rsid w:val="004170AB"/>
    <w:rsid w:val="00417575"/>
    <w:rsid w:val="00417FDA"/>
    <w:rsid w:val="004207E6"/>
    <w:rsid w:val="00420880"/>
    <w:rsid w:val="00420CA9"/>
    <w:rsid w:val="00421405"/>
    <w:rsid w:val="0042156E"/>
    <w:rsid w:val="00422400"/>
    <w:rsid w:val="00422DCC"/>
    <w:rsid w:val="00423057"/>
    <w:rsid w:val="00423C19"/>
    <w:rsid w:val="00424E13"/>
    <w:rsid w:val="00425284"/>
    <w:rsid w:val="00425444"/>
    <w:rsid w:val="004256D4"/>
    <w:rsid w:val="004259DC"/>
    <w:rsid w:val="004264AC"/>
    <w:rsid w:val="00426649"/>
    <w:rsid w:val="0042698F"/>
    <w:rsid w:val="00426EC3"/>
    <w:rsid w:val="00427FE8"/>
    <w:rsid w:val="00430053"/>
    <w:rsid w:val="0043020B"/>
    <w:rsid w:val="004307EF"/>
    <w:rsid w:val="00430A15"/>
    <w:rsid w:val="00430B08"/>
    <w:rsid w:val="00430D5F"/>
    <w:rsid w:val="004313EB"/>
    <w:rsid w:val="00431AA7"/>
    <w:rsid w:val="00432190"/>
    <w:rsid w:val="00432301"/>
    <w:rsid w:val="00432361"/>
    <w:rsid w:val="004326BA"/>
    <w:rsid w:val="004327C8"/>
    <w:rsid w:val="00432A8D"/>
    <w:rsid w:val="00432D36"/>
    <w:rsid w:val="00433235"/>
    <w:rsid w:val="00433275"/>
    <w:rsid w:val="00433360"/>
    <w:rsid w:val="00433D4C"/>
    <w:rsid w:val="00433D6F"/>
    <w:rsid w:val="004341BB"/>
    <w:rsid w:val="00434591"/>
    <w:rsid w:val="00434B09"/>
    <w:rsid w:val="00435D7E"/>
    <w:rsid w:val="00435F81"/>
    <w:rsid w:val="0043630C"/>
    <w:rsid w:val="00436493"/>
    <w:rsid w:val="00436C53"/>
    <w:rsid w:val="00436D79"/>
    <w:rsid w:val="00436E40"/>
    <w:rsid w:val="00437C4C"/>
    <w:rsid w:val="00441222"/>
    <w:rsid w:val="00441683"/>
    <w:rsid w:val="00441985"/>
    <w:rsid w:val="00441B65"/>
    <w:rsid w:val="0044242D"/>
    <w:rsid w:val="00442468"/>
    <w:rsid w:val="00442A83"/>
    <w:rsid w:val="00442AF4"/>
    <w:rsid w:val="00444080"/>
    <w:rsid w:val="0044423C"/>
    <w:rsid w:val="00444683"/>
    <w:rsid w:val="00444A1C"/>
    <w:rsid w:val="00444D74"/>
    <w:rsid w:val="00444F80"/>
    <w:rsid w:val="004453D5"/>
    <w:rsid w:val="00445498"/>
    <w:rsid w:val="004454A3"/>
    <w:rsid w:val="004454EB"/>
    <w:rsid w:val="00445593"/>
    <w:rsid w:val="00445A26"/>
    <w:rsid w:val="00445EEB"/>
    <w:rsid w:val="00445EF7"/>
    <w:rsid w:val="00446062"/>
    <w:rsid w:val="00446563"/>
    <w:rsid w:val="00446710"/>
    <w:rsid w:val="00446A91"/>
    <w:rsid w:val="004473DA"/>
    <w:rsid w:val="0044768E"/>
    <w:rsid w:val="0044779A"/>
    <w:rsid w:val="00447FE4"/>
    <w:rsid w:val="004502D9"/>
    <w:rsid w:val="00450348"/>
    <w:rsid w:val="00450482"/>
    <w:rsid w:val="00450754"/>
    <w:rsid w:val="00451042"/>
    <w:rsid w:val="004510AB"/>
    <w:rsid w:val="00451F66"/>
    <w:rsid w:val="0045214A"/>
    <w:rsid w:val="004524AF"/>
    <w:rsid w:val="004526DB"/>
    <w:rsid w:val="00453315"/>
    <w:rsid w:val="004536B5"/>
    <w:rsid w:val="004539C8"/>
    <w:rsid w:val="00453E87"/>
    <w:rsid w:val="004544D6"/>
    <w:rsid w:val="004544DB"/>
    <w:rsid w:val="00454728"/>
    <w:rsid w:val="00454DD0"/>
    <w:rsid w:val="00454E7A"/>
    <w:rsid w:val="004555F4"/>
    <w:rsid w:val="00455E14"/>
    <w:rsid w:val="00455E85"/>
    <w:rsid w:val="0045628B"/>
    <w:rsid w:val="00456678"/>
    <w:rsid w:val="004567CD"/>
    <w:rsid w:val="00456D21"/>
    <w:rsid w:val="00457170"/>
    <w:rsid w:val="0045775A"/>
    <w:rsid w:val="004579BC"/>
    <w:rsid w:val="004600D3"/>
    <w:rsid w:val="00460334"/>
    <w:rsid w:val="00460B3D"/>
    <w:rsid w:val="00460B4E"/>
    <w:rsid w:val="00460E8A"/>
    <w:rsid w:val="00460ECF"/>
    <w:rsid w:val="00460F52"/>
    <w:rsid w:val="00460F92"/>
    <w:rsid w:val="00461142"/>
    <w:rsid w:val="00461CC8"/>
    <w:rsid w:val="00464248"/>
    <w:rsid w:val="004642E3"/>
    <w:rsid w:val="00464308"/>
    <w:rsid w:val="00464CE1"/>
    <w:rsid w:val="004651BC"/>
    <w:rsid w:val="00465DE8"/>
    <w:rsid w:val="00465E13"/>
    <w:rsid w:val="004668DA"/>
    <w:rsid w:val="00466A7C"/>
    <w:rsid w:val="00467AC4"/>
    <w:rsid w:val="00467F70"/>
    <w:rsid w:val="0047097D"/>
    <w:rsid w:val="00470DBD"/>
    <w:rsid w:val="00471926"/>
    <w:rsid w:val="00472530"/>
    <w:rsid w:val="004727B3"/>
    <w:rsid w:val="00472A1F"/>
    <w:rsid w:val="004737B0"/>
    <w:rsid w:val="004737D5"/>
    <w:rsid w:val="00473A10"/>
    <w:rsid w:val="00473F53"/>
    <w:rsid w:val="00473F78"/>
    <w:rsid w:val="00474F77"/>
    <w:rsid w:val="0047519E"/>
    <w:rsid w:val="00475764"/>
    <w:rsid w:val="0047578C"/>
    <w:rsid w:val="004762C0"/>
    <w:rsid w:val="004764C9"/>
    <w:rsid w:val="00476764"/>
    <w:rsid w:val="004772A9"/>
    <w:rsid w:val="0047740E"/>
    <w:rsid w:val="0047799A"/>
    <w:rsid w:val="00477ABD"/>
    <w:rsid w:val="00477F5C"/>
    <w:rsid w:val="004800F5"/>
    <w:rsid w:val="0048045E"/>
    <w:rsid w:val="004808EA"/>
    <w:rsid w:val="00480C0B"/>
    <w:rsid w:val="00480C96"/>
    <w:rsid w:val="00480DA8"/>
    <w:rsid w:val="0048103C"/>
    <w:rsid w:val="0048119D"/>
    <w:rsid w:val="00481817"/>
    <w:rsid w:val="00481939"/>
    <w:rsid w:val="00482762"/>
    <w:rsid w:val="00482F11"/>
    <w:rsid w:val="00482FFC"/>
    <w:rsid w:val="00483294"/>
    <w:rsid w:val="00483B3F"/>
    <w:rsid w:val="00483C6A"/>
    <w:rsid w:val="004845ED"/>
    <w:rsid w:val="004847E8"/>
    <w:rsid w:val="00484A37"/>
    <w:rsid w:val="00485232"/>
    <w:rsid w:val="0048573C"/>
    <w:rsid w:val="00485F9C"/>
    <w:rsid w:val="0048661D"/>
    <w:rsid w:val="00486941"/>
    <w:rsid w:val="0048701D"/>
    <w:rsid w:val="004879B1"/>
    <w:rsid w:val="00487B11"/>
    <w:rsid w:val="00487F5D"/>
    <w:rsid w:val="00491232"/>
    <w:rsid w:val="00491305"/>
    <w:rsid w:val="00491C75"/>
    <w:rsid w:val="00491F53"/>
    <w:rsid w:val="004927FB"/>
    <w:rsid w:val="00492C2C"/>
    <w:rsid w:val="00492F85"/>
    <w:rsid w:val="004937EB"/>
    <w:rsid w:val="00493A08"/>
    <w:rsid w:val="00493B12"/>
    <w:rsid w:val="004943EB"/>
    <w:rsid w:val="004947B7"/>
    <w:rsid w:val="00494B79"/>
    <w:rsid w:val="00494FBC"/>
    <w:rsid w:val="0049534C"/>
    <w:rsid w:val="004967E9"/>
    <w:rsid w:val="00496F0B"/>
    <w:rsid w:val="00497218"/>
    <w:rsid w:val="004A0DF1"/>
    <w:rsid w:val="004A1059"/>
    <w:rsid w:val="004A1A01"/>
    <w:rsid w:val="004A2209"/>
    <w:rsid w:val="004A345B"/>
    <w:rsid w:val="004A417A"/>
    <w:rsid w:val="004A43E9"/>
    <w:rsid w:val="004A43FD"/>
    <w:rsid w:val="004A4EAE"/>
    <w:rsid w:val="004A51EA"/>
    <w:rsid w:val="004A563E"/>
    <w:rsid w:val="004A5713"/>
    <w:rsid w:val="004A6469"/>
    <w:rsid w:val="004A6886"/>
    <w:rsid w:val="004A6BF2"/>
    <w:rsid w:val="004A6FCD"/>
    <w:rsid w:val="004A73C0"/>
    <w:rsid w:val="004A7D08"/>
    <w:rsid w:val="004B0098"/>
    <w:rsid w:val="004B0182"/>
    <w:rsid w:val="004B054B"/>
    <w:rsid w:val="004B0CB9"/>
    <w:rsid w:val="004B1483"/>
    <w:rsid w:val="004B14F8"/>
    <w:rsid w:val="004B189F"/>
    <w:rsid w:val="004B200E"/>
    <w:rsid w:val="004B20EC"/>
    <w:rsid w:val="004B2887"/>
    <w:rsid w:val="004B2D95"/>
    <w:rsid w:val="004B2DD8"/>
    <w:rsid w:val="004B3310"/>
    <w:rsid w:val="004B399F"/>
    <w:rsid w:val="004B3B44"/>
    <w:rsid w:val="004B3E5F"/>
    <w:rsid w:val="004B46F0"/>
    <w:rsid w:val="004B46FF"/>
    <w:rsid w:val="004B49BB"/>
    <w:rsid w:val="004B531B"/>
    <w:rsid w:val="004B5FA6"/>
    <w:rsid w:val="004B5FD7"/>
    <w:rsid w:val="004B6ECE"/>
    <w:rsid w:val="004B7D91"/>
    <w:rsid w:val="004C0601"/>
    <w:rsid w:val="004C0AD9"/>
    <w:rsid w:val="004C13E3"/>
    <w:rsid w:val="004C14A4"/>
    <w:rsid w:val="004C1BCF"/>
    <w:rsid w:val="004C1E43"/>
    <w:rsid w:val="004C27B4"/>
    <w:rsid w:val="004C2990"/>
    <w:rsid w:val="004C2BE1"/>
    <w:rsid w:val="004C300D"/>
    <w:rsid w:val="004C30E8"/>
    <w:rsid w:val="004C3442"/>
    <w:rsid w:val="004C3513"/>
    <w:rsid w:val="004C3A70"/>
    <w:rsid w:val="004C3C68"/>
    <w:rsid w:val="004C3C74"/>
    <w:rsid w:val="004C3C9C"/>
    <w:rsid w:val="004C3DC2"/>
    <w:rsid w:val="004C3E0C"/>
    <w:rsid w:val="004C4191"/>
    <w:rsid w:val="004C5D8A"/>
    <w:rsid w:val="004C5DFE"/>
    <w:rsid w:val="004C5E4F"/>
    <w:rsid w:val="004C66EB"/>
    <w:rsid w:val="004C6EFC"/>
    <w:rsid w:val="004C7383"/>
    <w:rsid w:val="004C78C1"/>
    <w:rsid w:val="004C7D5E"/>
    <w:rsid w:val="004D031F"/>
    <w:rsid w:val="004D28D0"/>
    <w:rsid w:val="004D294A"/>
    <w:rsid w:val="004D2B43"/>
    <w:rsid w:val="004D2E7D"/>
    <w:rsid w:val="004D2F57"/>
    <w:rsid w:val="004D3285"/>
    <w:rsid w:val="004D341A"/>
    <w:rsid w:val="004D3788"/>
    <w:rsid w:val="004D3930"/>
    <w:rsid w:val="004D3F54"/>
    <w:rsid w:val="004D440C"/>
    <w:rsid w:val="004D4AEE"/>
    <w:rsid w:val="004D4E48"/>
    <w:rsid w:val="004D519B"/>
    <w:rsid w:val="004D593C"/>
    <w:rsid w:val="004D5BFA"/>
    <w:rsid w:val="004D6D7B"/>
    <w:rsid w:val="004D705D"/>
    <w:rsid w:val="004D70B4"/>
    <w:rsid w:val="004D7920"/>
    <w:rsid w:val="004D7E89"/>
    <w:rsid w:val="004E0041"/>
    <w:rsid w:val="004E0CAE"/>
    <w:rsid w:val="004E0F3F"/>
    <w:rsid w:val="004E1280"/>
    <w:rsid w:val="004E1283"/>
    <w:rsid w:val="004E16B3"/>
    <w:rsid w:val="004E17D8"/>
    <w:rsid w:val="004E1C5C"/>
    <w:rsid w:val="004E1D18"/>
    <w:rsid w:val="004E1EF7"/>
    <w:rsid w:val="004E20C9"/>
    <w:rsid w:val="004E254E"/>
    <w:rsid w:val="004E2EC7"/>
    <w:rsid w:val="004E2EE4"/>
    <w:rsid w:val="004E3068"/>
    <w:rsid w:val="004E3589"/>
    <w:rsid w:val="004E3AF5"/>
    <w:rsid w:val="004E3DD1"/>
    <w:rsid w:val="004E43A5"/>
    <w:rsid w:val="004E4EC8"/>
    <w:rsid w:val="004E5658"/>
    <w:rsid w:val="004E6021"/>
    <w:rsid w:val="004E614C"/>
    <w:rsid w:val="004E62BD"/>
    <w:rsid w:val="004E70DF"/>
    <w:rsid w:val="004E7103"/>
    <w:rsid w:val="004E7250"/>
    <w:rsid w:val="004E7470"/>
    <w:rsid w:val="004E7FFE"/>
    <w:rsid w:val="004F063F"/>
    <w:rsid w:val="004F079E"/>
    <w:rsid w:val="004F08C1"/>
    <w:rsid w:val="004F121E"/>
    <w:rsid w:val="004F13F2"/>
    <w:rsid w:val="004F1824"/>
    <w:rsid w:val="004F1A5A"/>
    <w:rsid w:val="004F1B4B"/>
    <w:rsid w:val="004F24E6"/>
    <w:rsid w:val="004F2656"/>
    <w:rsid w:val="004F2B61"/>
    <w:rsid w:val="004F2FBD"/>
    <w:rsid w:val="004F347E"/>
    <w:rsid w:val="004F379F"/>
    <w:rsid w:val="004F3A5A"/>
    <w:rsid w:val="004F3C10"/>
    <w:rsid w:val="004F48A0"/>
    <w:rsid w:val="004F4B29"/>
    <w:rsid w:val="004F4DD8"/>
    <w:rsid w:val="004F4F9D"/>
    <w:rsid w:val="004F536D"/>
    <w:rsid w:val="004F56FC"/>
    <w:rsid w:val="004F5E4E"/>
    <w:rsid w:val="004F620D"/>
    <w:rsid w:val="004F67A0"/>
    <w:rsid w:val="004F690B"/>
    <w:rsid w:val="004F6DA3"/>
    <w:rsid w:val="004F7ED3"/>
    <w:rsid w:val="004F7FA3"/>
    <w:rsid w:val="004F7FD2"/>
    <w:rsid w:val="005007DF"/>
    <w:rsid w:val="0050156F"/>
    <w:rsid w:val="005018DF"/>
    <w:rsid w:val="00501934"/>
    <w:rsid w:val="005029E7"/>
    <w:rsid w:val="00502B7A"/>
    <w:rsid w:val="00502CBE"/>
    <w:rsid w:val="0050317D"/>
    <w:rsid w:val="0050333F"/>
    <w:rsid w:val="00503401"/>
    <w:rsid w:val="005037B8"/>
    <w:rsid w:val="00503870"/>
    <w:rsid w:val="00503FF5"/>
    <w:rsid w:val="00504343"/>
    <w:rsid w:val="005047AF"/>
    <w:rsid w:val="00504855"/>
    <w:rsid w:val="00504A05"/>
    <w:rsid w:val="00504AC6"/>
    <w:rsid w:val="0050507A"/>
    <w:rsid w:val="00505198"/>
    <w:rsid w:val="005051A6"/>
    <w:rsid w:val="0050549B"/>
    <w:rsid w:val="005058E5"/>
    <w:rsid w:val="00505AA9"/>
    <w:rsid w:val="00505CE9"/>
    <w:rsid w:val="00505F66"/>
    <w:rsid w:val="005060BA"/>
    <w:rsid w:val="00506BAB"/>
    <w:rsid w:val="00506DAE"/>
    <w:rsid w:val="00506E2B"/>
    <w:rsid w:val="005071D3"/>
    <w:rsid w:val="00507466"/>
    <w:rsid w:val="00510097"/>
    <w:rsid w:val="00510B7D"/>
    <w:rsid w:val="00511624"/>
    <w:rsid w:val="005118AF"/>
    <w:rsid w:val="00511DB6"/>
    <w:rsid w:val="00511E25"/>
    <w:rsid w:val="005122F2"/>
    <w:rsid w:val="005126D8"/>
    <w:rsid w:val="00512767"/>
    <w:rsid w:val="00512A78"/>
    <w:rsid w:val="00512ACA"/>
    <w:rsid w:val="00512C24"/>
    <w:rsid w:val="00512DB5"/>
    <w:rsid w:val="005140E3"/>
    <w:rsid w:val="005148F7"/>
    <w:rsid w:val="00514A41"/>
    <w:rsid w:val="00515089"/>
    <w:rsid w:val="005151E4"/>
    <w:rsid w:val="0051535C"/>
    <w:rsid w:val="00515AA3"/>
    <w:rsid w:val="00515AC2"/>
    <w:rsid w:val="00515B91"/>
    <w:rsid w:val="00515D38"/>
    <w:rsid w:val="00515FF7"/>
    <w:rsid w:val="0051607D"/>
    <w:rsid w:val="0051647F"/>
    <w:rsid w:val="00516485"/>
    <w:rsid w:val="00516554"/>
    <w:rsid w:val="005178B9"/>
    <w:rsid w:val="005178F3"/>
    <w:rsid w:val="005200C3"/>
    <w:rsid w:val="00521A98"/>
    <w:rsid w:val="00521B7B"/>
    <w:rsid w:val="00521CBD"/>
    <w:rsid w:val="00521D61"/>
    <w:rsid w:val="00521E27"/>
    <w:rsid w:val="005220C9"/>
    <w:rsid w:val="00522ECB"/>
    <w:rsid w:val="00522F3B"/>
    <w:rsid w:val="0052370B"/>
    <w:rsid w:val="005238D7"/>
    <w:rsid w:val="00523C20"/>
    <w:rsid w:val="00523C6E"/>
    <w:rsid w:val="00523DCC"/>
    <w:rsid w:val="00524253"/>
    <w:rsid w:val="005244F3"/>
    <w:rsid w:val="0052454E"/>
    <w:rsid w:val="00524779"/>
    <w:rsid w:val="0052526E"/>
    <w:rsid w:val="005256BF"/>
    <w:rsid w:val="00526A07"/>
    <w:rsid w:val="00526A27"/>
    <w:rsid w:val="00527190"/>
    <w:rsid w:val="005271E1"/>
    <w:rsid w:val="005274D9"/>
    <w:rsid w:val="005278AF"/>
    <w:rsid w:val="00527951"/>
    <w:rsid w:val="00527BDD"/>
    <w:rsid w:val="00527BE5"/>
    <w:rsid w:val="00527D5C"/>
    <w:rsid w:val="005301AE"/>
    <w:rsid w:val="00531588"/>
    <w:rsid w:val="00531635"/>
    <w:rsid w:val="00531D16"/>
    <w:rsid w:val="0053202C"/>
    <w:rsid w:val="005328B1"/>
    <w:rsid w:val="00532A36"/>
    <w:rsid w:val="0053326D"/>
    <w:rsid w:val="0053367B"/>
    <w:rsid w:val="005336FA"/>
    <w:rsid w:val="0053391F"/>
    <w:rsid w:val="00533AE6"/>
    <w:rsid w:val="00533C6F"/>
    <w:rsid w:val="005342FD"/>
    <w:rsid w:val="00534D30"/>
    <w:rsid w:val="0053551A"/>
    <w:rsid w:val="00535E16"/>
    <w:rsid w:val="00535E43"/>
    <w:rsid w:val="005366D4"/>
    <w:rsid w:val="00536701"/>
    <w:rsid w:val="005401A0"/>
    <w:rsid w:val="005403C8"/>
    <w:rsid w:val="005404FF"/>
    <w:rsid w:val="00540A70"/>
    <w:rsid w:val="00541196"/>
    <w:rsid w:val="00541995"/>
    <w:rsid w:val="00541A51"/>
    <w:rsid w:val="00541C22"/>
    <w:rsid w:val="00542092"/>
    <w:rsid w:val="005428DA"/>
    <w:rsid w:val="00542A42"/>
    <w:rsid w:val="005430A0"/>
    <w:rsid w:val="0054321C"/>
    <w:rsid w:val="0054322D"/>
    <w:rsid w:val="00543244"/>
    <w:rsid w:val="00543A36"/>
    <w:rsid w:val="00543DF5"/>
    <w:rsid w:val="005448D1"/>
    <w:rsid w:val="00544BEB"/>
    <w:rsid w:val="005450B3"/>
    <w:rsid w:val="005454CE"/>
    <w:rsid w:val="00545554"/>
    <w:rsid w:val="00546602"/>
    <w:rsid w:val="0054663C"/>
    <w:rsid w:val="00546FCB"/>
    <w:rsid w:val="005471D5"/>
    <w:rsid w:val="005475F4"/>
    <w:rsid w:val="0054780F"/>
    <w:rsid w:val="00547AB2"/>
    <w:rsid w:val="00547E12"/>
    <w:rsid w:val="00547FD9"/>
    <w:rsid w:val="00550095"/>
    <w:rsid w:val="005506A5"/>
    <w:rsid w:val="00550B56"/>
    <w:rsid w:val="00550BAB"/>
    <w:rsid w:val="00550EE8"/>
    <w:rsid w:val="00550FB8"/>
    <w:rsid w:val="00551169"/>
    <w:rsid w:val="00551677"/>
    <w:rsid w:val="00551A46"/>
    <w:rsid w:val="00551CDE"/>
    <w:rsid w:val="0055236B"/>
    <w:rsid w:val="00552610"/>
    <w:rsid w:val="005531BE"/>
    <w:rsid w:val="0055368A"/>
    <w:rsid w:val="005538A5"/>
    <w:rsid w:val="005545D7"/>
    <w:rsid w:val="0055489A"/>
    <w:rsid w:val="005549A7"/>
    <w:rsid w:val="00555298"/>
    <w:rsid w:val="00555EA6"/>
    <w:rsid w:val="0055602A"/>
    <w:rsid w:val="00556064"/>
    <w:rsid w:val="005561A9"/>
    <w:rsid w:val="005563AD"/>
    <w:rsid w:val="005563DA"/>
    <w:rsid w:val="0055649C"/>
    <w:rsid w:val="00556CE2"/>
    <w:rsid w:val="005571E7"/>
    <w:rsid w:val="005575AA"/>
    <w:rsid w:val="00557E01"/>
    <w:rsid w:val="00557E5B"/>
    <w:rsid w:val="0056090F"/>
    <w:rsid w:val="00560CD0"/>
    <w:rsid w:val="00560F1D"/>
    <w:rsid w:val="005617DD"/>
    <w:rsid w:val="005618CC"/>
    <w:rsid w:val="00561D32"/>
    <w:rsid w:val="005622DD"/>
    <w:rsid w:val="005629CB"/>
    <w:rsid w:val="00563D05"/>
    <w:rsid w:val="00564FD6"/>
    <w:rsid w:val="00565401"/>
    <w:rsid w:val="00565664"/>
    <w:rsid w:val="005659DF"/>
    <w:rsid w:val="00565B3F"/>
    <w:rsid w:val="00565F7B"/>
    <w:rsid w:val="005660B8"/>
    <w:rsid w:val="005663F5"/>
    <w:rsid w:val="005668BC"/>
    <w:rsid w:val="00566D34"/>
    <w:rsid w:val="00567118"/>
    <w:rsid w:val="0056734F"/>
    <w:rsid w:val="00567E69"/>
    <w:rsid w:val="0057063E"/>
    <w:rsid w:val="00570645"/>
    <w:rsid w:val="00570C20"/>
    <w:rsid w:val="00570E08"/>
    <w:rsid w:val="00570E50"/>
    <w:rsid w:val="00571409"/>
    <w:rsid w:val="00572256"/>
    <w:rsid w:val="00573370"/>
    <w:rsid w:val="00573476"/>
    <w:rsid w:val="00573656"/>
    <w:rsid w:val="00573944"/>
    <w:rsid w:val="00573B6F"/>
    <w:rsid w:val="00573FF0"/>
    <w:rsid w:val="005746E5"/>
    <w:rsid w:val="005748D0"/>
    <w:rsid w:val="00574C4B"/>
    <w:rsid w:val="005751DA"/>
    <w:rsid w:val="0057594D"/>
    <w:rsid w:val="00576256"/>
    <w:rsid w:val="005771F8"/>
    <w:rsid w:val="005771F9"/>
    <w:rsid w:val="0057768E"/>
    <w:rsid w:val="0057778A"/>
    <w:rsid w:val="0057780D"/>
    <w:rsid w:val="00577ECC"/>
    <w:rsid w:val="005800EB"/>
    <w:rsid w:val="00580581"/>
    <w:rsid w:val="00580C00"/>
    <w:rsid w:val="00580E96"/>
    <w:rsid w:val="0058131D"/>
    <w:rsid w:val="00581324"/>
    <w:rsid w:val="00581DB3"/>
    <w:rsid w:val="00582297"/>
    <w:rsid w:val="00582466"/>
    <w:rsid w:val="005826FF"/>
    <w:rsid w:val="005827F7"/>
    <w:rsid w:val="00582A45"/>
    <w:rsid w:val="00582A75"/>
    <w:rsid w:val="00582E14"/>
    <w:rsid w:val="005837F4"/>
    <w:rsid w:val="0058392D"/>
    <w:rsid w:val="00583DAA"/>
    <w:rsid w:val="0058415F"/>
    <w:rsid w:val="005843DD"/>
    <w:rsid w:val="00584449"/>
    <w:rsid w:val="0058481F"/>
    <w:rsid w:val="00585CC3"/>
    <w:rsid w:val="00585FC2"/>
    <w:rsid w:val="0058608C"/>
    <w:rsid w:val="00586A85"/>
    <w:rsid w:val="00586BD0"/>
    <w:rsid w:val="00587093"/>
    <w:rsid w:val="00587738"/>
    <w:rsid w:val="00587BD9"/>
    <w:rsid w:val="00587C3C"/>
    <w:rsid w:val="00587DAA"/>
    <w:rsid w:val="005901D6"/>
    <w:rsid w:val="005916E7"/>
    <w:rsid w:val="0059186E"/>
    <w:rsid w:val="005919F9"/>
    <w:rsid w:val="00591B66"/>
    <w:rsid w:val="00591CA5"/>
    <w:rsid w:val="00591F8B"/>
    <w:rsid w:val="00592496"/>
    <w:rsid w:val="00593129"/>
    <w:rsid w:val="005931FA"/>
    <w:rsid w:val="00593508"/>
    <w:rsid w:val="005936B9"/>
    <w:rsid w:val="00593969"/>
    <w:rsid w:val="0059464E"/>
    <w:rsid w:val="00594651"/>
    <w:rsid w:val="00594FFF"/>
    <w:rsid w:val="00595914"/>
    <w:rsid w:val="00595B18"/>
    <w:rsid w:val="00595E02"/>
    <w:rsid w:val="00596055"/>
    <w:rsid w:val="00596881"/>
    <w:rsid w:val="00596B5A"/>
    <w:rsid w:val="00596F18"/>
    <w:rsid w:val="00597916"/>
    <w:rsid w:val="00597B32"/>
    <w:rsid w:val="00597E8E"/>
    <w:rsid w:val="005A0256"/>
    <w:rsid w:val="005A02A3"/>
    <w:rsid w:val="005A0545"/>
    <w:rsid w:val="005A05CD"/>
    <w:rsid w:val="005A06EE"/>
    <w:rsid w:val="005A0989"/>
    <w:rsid w:val="005A0B16"/>
    <w:rsid w:val="005A1361"/>
    <w:rsid w:val="005A1388"/>
    <w:rsid w:val="005A1886"/>
    <w:rsid w:val="005A1FDC"/>
    <w:rsid w:val="005A203D"/>
    <w:rsid w:val="005A22A7"/>
    <w:rsid w:val="005A2488"/>
    <w:rsid w:val="005A2BA1"/>
    <w:rsid w:val="005A2D57"/>
    <w:rsid w:val="005A334C"/>
    <w:rsid w:val="005A3519"/>
    <w:rsid w:val="005A3621"/>
    <w:rsid w:val="005A3ABC"/>
    <w:rsid w:val="005A4579"/>
    <w:rsid w:val="005A5505"/>
    <w:rsid w:val="005A5C4D"/>
    <w:rsid w:val="005A5C6B"/>
    <w:rsid w:val="005A65C5"/>
    <w:rsid w:val="005A66EF"/>
    <w:rsid w:val="005A6919"/>
    <w:rsid w:val="005A69EF"/>
    <w:rsid w:val="005A6FD2"/>
    <w:rsid w:val="005A750F"/>
    <w:rsid w:val="005A7DB7"/>
    <w:rsid w:val="005B0236"/>
    <w:rsid w:val="005B0650"/>
    <w:rsid w:val="005B0AAA"/>
    <w:rsid w:val="005B1ADF"/>
    <w:rsid w:val="005B1E44"/>
    <w:rsid w:val="005B255C"/>
    <w:rsid w:val="005B261F"/>
    <w:rsid w:val="005B2BA0"/>
    <w:rsid w:val="005B2FBA"/>
    <w:rsid w:val="005B2FD5"/>
    <w:rsid w:val="005B33CB"/>
    <w:rsid w:val="005B35C6"/>
    <w:rsid w:val="005B3AE8"/>
    <w:rsid w:val="005B3DDB"/>
    <w:rsid w:val="005B453C"/>
    <w:rsid w:val="005B47BE"/>
    <w:rsid w:val="005B56E0"/>
    <w:rsid w:val="005B5C7A"/>
    <w:rsid w:val="005B6275"/>
    <w:rsid w:val="005B64AA"/>
    <w:rsid w:val="005B6861"/>
    <w:rsid w:val="005B68CE"/>
    <w:rsid w:val="005B7229"/>
    <w:rsid w:val="005B72ED"/>
    <w:rsid w:val="005B740E"/>
    <w:rsid w:val="005B778B"/>
    <w:rsid w:val="005B7CF8"/>
    <w:rsid w:val="005B7E24"/>
    <w:rsid w:val="005C0127"/>
    <w:rsid w:val="005C085F"/>
    <w:rsid w:val="005C0D0A"/>
    <w:rsid w:val="005C1403"/>
    <w:rsid w:val="005C149A"/>
    <w:rsid w:val="005C1766"/>
    <w:rsid w:val="005C182D"/>
    <w:rsid w:val="005C1A94"/>
    <w:rsid w:val="005C1C12"/>
    <w:rsid w:val="005C1EF6"/>
    <w:rsid w:val="005C1F46"/>
    <w:rsid w:val="005C2AA1"/>
    <w:rsid w:val="005C2FB6"/>
    <w:rsid w:val="005C3003"/>
    <w:rsid w:val="005C3684"/>
    <w:rsid w:val="005C36F5"/>
    <w:rsid w:val="005C374E"/>
    <w:rsid w:val="005C3A5F"/>
    <w:rsid w:val="005C3B82"/>
    <w:rsid w:val="005C3DF2"/>
    <w:rsid w:val="005C420C"/>
    <w:rsid w:val="005C4329"/>
    <w:rsid w:val="005C44AB"/>
    <w:rsid w:val="005C4B3F"/>
    <w:rsid w:val="005C56AB"/>
    <w:rsid w:val="005C656E"/>
    <w:rsid w:val="005C772F"/>
    <w:rsid w:val="005C7743"/>
    <w:rsid w:val="005C7E52"/>
    <w:rsid w:val="005C7E6E"/>
    <w:rsid w:val="005D0137"/>
    <w:rsid w:val="005D03CA"/>
    <w:rsid w:val="005D143D"/>
    <w:rsid w:val="005D14B4"/>
    <w:rsid w:val="005D151E"/>
    <w:rsid w:val="005D1627"/>
    <w:rsid w:val="005D1826"/>
    <w:rsid w:val="005D191C"/>
    <w:rsid w:val="005D1CAA"/>
    <w:rsid w:val="005D230F"/>
    <w:rsid w:val="005D25CE"/>
    <w:rsid w:val="005D2C30"/>
    <w:rsid w:val="005D3236"/>
    <w:rsid w:val="005D3369"/>
    <w:rsid w:val="005D33E4"/>
    <w:rsid w:val="005D41D4"/>
    <w:rsid w:val="005D4249"/>
    <w:rsid w:val="005D42E5"/>
    <w:rsid w:val="005D43A2"/>
    <w:rsid w:val="005D4CA7"/>
    <w:rsid w:val="005D535F"/>
    <w:rsid w:val="005D563F"/>
    <w:rsid w:val="005D58C0"/>
    <w:rsid w:val="005D61B8"/>
    <w:rsid w:val="005D64A9"/>
    <w:rsid w:val="005D6515"/>
    <w:rsid w:val="005D65F6"/>
    <w:rsid w:val="005D6855"/>
    <w:rsid w:val="005D6913"/>
    <w:rsid w:val="005D706D"/>
    <w:rsid w:val="005D778A"/>
    <w:rsid w:val="005D780D"/>
    <w:rsid w:val="005D7B61"/>
    <w:rsid w:val="005D7DDF"/>
    <w:rsid w:val="005D7E0F"/>
    <w:rsid w:val="005E068D"/>
    <w:rsid w:val="005E0D9D"/>
    <w:rsid w:val="005E1055"/>
    <w:rsid w:val="005E2410"/>
    <w:rsid w:val="005E2583"/>
    <w:rsid w:val="005E28AD"/>
    <w:rsid w:val="005E29B7"/>
    <w:rsid w:val="005E29C5"/>
    <w:rsid w:val="005E2A87"/>
    <w:rsid w:val="005E2B5F"/>
    <w:rsid w:val="005E3125"/>
    <w:rsid w:val="005E35FD"/>
    <w:rsid w:val="005E4182"/>
    <w:rsid w:val="005E4418"/>
    <w:rsid w:val="005E5675"/>
    <w:rsid w:val="005E5F2C"/>
    <w:rsid w:val="005E6089"/>
    <w:rsid w:val="005E6EA4"/>
    <w:rsid w:val="005E7237"/>
    <w:rsid w:val="005E7350"/>
    <w:rsid w:val="005E747F"/>
    <w:rsid w:val="005F02FD"/>
    <w:rsid w:val="005F0E20"/>
    <w:rsid w:val="005F14F6"/>
    <w:rsid w:val="005F2123"/>
    <w:rsid w:val="005F218F"/>
    <w:rsid w:val="005F2FD3"/>
    <w:rsid w:val="005F381F"/>
    <w:rsid w:val="005F3AE3"/>
    <w:rsid w:val="005F3B79"/>
    <w:rsid w:val="005F55EA"/>
    <w:rsid w:val="005F5913"/>
    <w:rsid w:val="005F5972"/>
    <w:rsid w:val="005F63FB"/>
    <w:rsid w:val="005F69DC"/>
    <w:rsid w:val="005F709C"/>
    <w:rsid w:val="005F77C2"/>
    <w:rsid w:val="005F7C6B"/>
    <w:rsid w:val="00600078"/>
    <w:rsid w:val="006003EA"/>
    <w:rsid w:val="006005EB"/>
    <w:rsid w:val="006009BF"/>
    <w:rsid w:val="00600D55"/>
    <w:rsid w:val="006013CF"/>
    <w:rsid w:val="006015A9"/>
    <w:rsid w:val="006015FE"/>
    <w:rsid w:val="00601C49"/>
    <w:rsid w:val="00601F16"/>
    <w:rsid w:val="0060202F"/>
    <w:rsid w:val="006022E1"/>
    <w:rsid w:val="00602578"/>
    <w:rsid w:val="00602718"/>
    <w:rsid w:val="0060330C"/>
    <w:rsid w:val="006035C5"/>
    <w:rsid w:val="00603873"/>
    <w:rsid w:val="00603C8C"/>
    <w:rsid w:val="00603D08"/>
    <w:rsid w:val="00603D29"/>
    <w:rsid w:val="00603E98"/>
    <w:rsid w:val="006043B0"/>
    <w:rsid w:val="006046EA"/>
    <w:rsid w:val="00604760"/>
    <w:rsid w:val="006048C9"/>
    <w:rsid w:val="006051DB"/>
    <w:rsid w:val="006065B0"/>
    <w:rsid w:val="00606725"/>
    <w:rsid w:val="006067BA"/>
    <w:rsid w:val="00607536"/>
    <w:rsid w:val="00607EDE"/>
    <w:rsid w:val="00610533"/>
    <w:rsid w:val="006108F5"/>
    <w:rsid w:val="006113D3"/>
    <w:rsid w:val="006116ED"/>
    <w:rsid w:val="00611886"/>
    <w:rsid w:val="00611BA7"/>
    <w:rsid w:val="00611CF6"/>
    <w:rsid w:val="00612337"/>
    <w:rsid w:val="00612507"/>
    <w:rsid w:val="006126E8"/>
    <w:rsid w:val="006128B5"/>
    <w:rsid w:val="00612AC8"/>
    <w:rsid w:val="00612EF7"/>
    <w:rsid w:val="0061305F"/>
    <w:rsid w:val="00613E6D"/>
    <w:rsid w:val="006149C7"/>
    <w:rsid w:val="00615523"/>
    <w:rsid w:val="0061584E"/>
    <w:rsid w:val="00616081"/>
    <w:rsid w:val="00616ABE"/>
    <w:rsid w:val="006174DF"/>
    <w:rsid w:val="006178F1"/>
    <w:rsid w:val="006204DF"/>
    <w:rsid w:val="006205D8"/>
    <w:rsid w:val="00620639"/>
    <w:rsid w:val="00620EED"/>
    <w:rsid w:val="00621898"/>
    <w:rsid w:val="00621CA3"/>
    <w:rsid w:val="006220AE"/>
    <w:rsid w:val="00622202"/>
    <w:rsid w:val="00622623"/>
    <w:rsid w:val="00622998"/>
    <w:rsid w:val="006232B5"/>
    <w:rsid w:val="00623737"/>
    <w:rsid w:val="006237F4"/>
    <w:rsid w:val="006241C7"/>
    <w:rsid w:val="006248D0"/>
    <w:rsid w:val="00624930"/>
    <w:rsid w:val="00624BED"/>
    <w:rsid w:val="00624DF3"/>
    <w:rsid w:val="00625236"/>
    <w:rsid w:val="0062534A"/>
    <w:rsid w:val="006254C8"/>
    <w:rsid w:val="0062595B"/>
    <w:rsid w:val="00625B5D"/>
    <w:rsid w:val="00625FD7"/>
    <w:rsid w:val="006261F6"/>
    <w:rsid w:val="006265E4"/>
    <w:rsid w:val="006266EC"/>
    <w:rsid w:val="00626CE0"/>
    <w:rsid w:val="00626DA3"/>
    <w:rsid w:val="00627C1E"/>
    <w:rsid w:val="00627CD9"/>
    <w:rsid w:val="00627D33"/>
    <w:rsid w:val="0063002C"/>
    <w:rsid w:val="006302BA"/>
    <w:rsid w:val="00630390"/>
    <w:rsid w:val="0063060E"/>
    <w:rsid w:val="00630841"/>
    <w:rsid w:val="00630ACE"/>
    <w:rsid w:val="00630BED"/>
    <w:rsid w:val="00630E53"/>
    <w:rsid w:val="00631B5F"/>
    <w:rsid w:val="00631EB3"/>
    <w:rsid w:val="00631F92"/>
    <w:rsid w:val="0063226D"/>
    <w:rsid w:val="00632B4A"/>
    <w:rsid w:val="00632ED3"/>
    <w:rsid w:val="00633120"/>
    <w:rsid w:val="00633646"/>
    <w:rsid w:val="00633946"/>
    <w:rsid w:val="00633A99"/>
    <w:rsid w:val="006349FE"/>
    <w:rsid w:val="00634E11"/>
    <w:rsid w:val="00635579"/>
    <w:rsid w:val="00635728"/>
    <w:rsid w:val="0063593C"/>
    <w:rsid w:val="00635C5D"/>
    <w:rsid w:val="00635DA6"/>
    <w:rsid w:val="0063634D"/>
    <w:rsid w:val="006365A7"/>
    <w:rsid w:val="006367E6"/>
    <w:rsid w:val="00636C45"/>
    <w:rsid w:val="006370F2"/>
    <w:rsid w:val="00637234"/>
    <w:rsid w:val="006404CC"/>
    <w:rsid w:val="006405C0"/>
    <w:rsid w:val="00641037"/>
    <w:rsid w:val="00641208"/>
    <w:rsid w:val="0064141F"/>
    <w:rsid w:val="0064144A"/>
    <w:rsid w:val="00641DAC"/>
    <w:rsid w:val="00642140"/>
    <w:rsid w:val="00642173"/>
    <w:rsid w:val="0064217A"/>
    <w:rsid w:val="006421CD"/>
    <w:rsid w:val="00642BB6"/>
    <w:rsid w:val="00642BBA"/>
    <w:rsid w:val="00642D8A"/>
    <w:rsid w:val="00643280"/>
    <w:rsid w:val="00643384"/>
    <w:rsid w:val="006434E6"/>
    <w:rsid w:val="006438C8"/>
    <w:rsid w:val="00643994"/>
    <w:rsid w:val="006439D8"/>
    <w:rsid w:val="00643BD2"/>
    <w:rsid w:val="006442B6"/>
    <w:rsid w:val="0064481C"/>
    <w:rsid w:val="00644F6F"/>
    <w:rsid w:val="006450C4"/>
    <w:rsid w:val="0064538C"/>
    <w:rsid w:val="00645644"/>
    <w:rsid w:val="00645672"/>
    <w:rsid w:val="0064584B"/>
    <w:rsid w:val="00645B5E"/>
    <w:rsid w:val="00646E70"/>
    <w:rsid w:val="006517B5"/>
    <w:rsid w:val="00651F2A"/>
    <w:rsid w:val="006523E3"/>
    <w:rsid w:val="006536B5"/>
    <w:rsid w:val="00653984"/>
    <w:rsid w:val="00653A25"/>
    <w:rsid w:val="00653A4C"/>
    <w:rsid w:val="00653BC2"/>
    <w:rsid w:val="00653C16"/>
    <w:rsid w:val="00653F84"/>
    <w:rsid w:val="006548BF"/>
    <w:rsid w:val="00654A20"/>
    <w:rsid w:val="00654C32"/>
    <w:rsid w:val="0065535F"/>
    <w:rsid w:val="006554A1"/>
    <w:rsid w:val="00655625"/>
    <w:rsid w:val="0065692C"/>
    <w:rsid w:val="00656C2E"/>
    <w:rsid w:val="00656C9E"/>
    <w:rsid w:val="00657117"/>
    <w:rsid w:val="006571FA"/>
    <w:rsid w:val="0065720C"/>
    <w:rsid w:val="0065750C"/>
    <w:rsid w:val="0065794F"/>
    <w:rsid w:val="00657CFB"/>
    <w:rsid w:val="006600EB"/>
    <w:rsid w:val="00660179"/>
    <w:rsid w:val="006602CE"/>
    <w:rsid w:val="006610A1"/>
    <w:rsid w:val="00661388"/>
    <w:rsid w:val="006618EB"/>
    <w:rsid w:val="00661A7B"/>
    <w:rsid w:val="00661B53"/>
    <w:rsid w:val="006621C8"/>
    <w:rsid w:val="0066229C"/>
    <w:rsid w:val="00662439"/>
    <w:rsid w:val="006627AA"/>
    <w:rsid w:val="00663360"/>
    <w:rsid w:val="00663C31"/>
    <w:rsid w:val="00663CE9"/>
    <w:rsid w:val="00663D31"/>
    <w:rsid w:val="00663D4E"/>
    <w:rsid w:val="0066459C"/>
    <w:rsid w:val="00664E4C"/>
    <w:rsid w:val="00664E8A"/>
    <w:rsid w:val="0066537A"/>
    <w:rsid w:val="00665803"/>
    <w:rsid w:val="00665884"/>
    <w:rsid w:val="006665CF"/>
    <w:rsid w:val="00666C31"/>
    <w:rsid w:val="00666F09"/>
    <w:rsid w:val="00667317"/>
    <w:rsid w:val="0066741F"/>
    <w:rsid w:val="00667B16"/>
    <w:rsid w:val="00667C57"/>
    <w:rsid w:val="00667EEA"/>
    <w:rsid w:val="00670009"/>
    <w:rsid w:val="0067014E"/>
    <w:rsid w:val="00670643"/>
    <w:rsid w:val="006709DA"/>
    <w:rsid w:val="00670D7B"/>
    <w:rsid w:val="006719DB"/>
    <w:rsid w:val="00672782"/>
    <w:rsid w:val="006727FE"/>
    <w:rsid w:val="00672B71"/>
    <w:rsid w:val="00672B9A"/>
    <w:rsid w:val="00673144"/>
    <w:rsid w:val="0067364C"/>
    <w:rsid w:val="006737B6"/>
    <w:rsid w:val="00674072"/>
    <w:rsid w:val="006741CB"/>
    <w:rsid w:val="00674611"/>
    <w:rsid w:val="0067485B"/>
    <w:rsid w:val="00674FC9"/>
    <w:rsid w:val="0067563E"/>
    <w:rsid w:val="006756AE"/>
    <w:rsid w:val="00675707"/>
    <w:rsid w:val="006760AE"/>
    <w:rsid w:val="006761F6"/>
    <w:rsid w:val="00676BB0"/>
    <w:rsid w:val="00676F93"/>
    <w:rsid w:val="006772C1"/>
    <w:rsid w:val="006774AF"/>
    <w:rsid w:val="0067774B"/>
    <w:rsid w:val="006800BC"/>
    <w:rsid w:val="00680205"/>
    <w:rsid w:val="00680F12"/>
    <w:rsid w:val="00681204"/>
    <w:rsid w:val="006817CF"/>
    <w:rsid w:val="00681A26"/>
    <w:rsid w:val="00681D47"/>
    <w:rsid w:val="00682339"/>
    <w:rsid w:val="00682455"/>
    <w:rsid w:val="00682519"/>
    <w:rsid w:val="00682752"/>
    <w:rsid w:val="00682BEB"/>
    <w:rsid w:val="00682C40"/>
    <w:rsid w:val="00682D72"/>
    <w:rsid w:val="00682D7E"/>
    <w:rsid w:val="00683652"/>
    <w:rsid w:val="006840D3"/>
    <w:rsid w:val="006842F0"/>
    <w:rsid w:val="00684348"/>
    <w:rsid w:val="0068442E"/>
    <w:rsid w:val="006844CE"/>
    <w:rsid w:val="00684BC8"/>
    <w:rsid w:val="006850AD"/>
    <w:rsid w:val="006854A1"/>
    <w:rsid w:val="00685DA3"/>
    <w:rsid w:val="00686062"/>
    <w:rsid w:val="006876E8"/>
    <w:rsid w:val="00687B68"/>
    <w:rsid w:val="00690984"/>
    <w:rsid w:val="00690C6D"/>
    <w:rsid w:val="00691049"/>
    <w:rsid w:val="0069116C"/>
    <w:rsid w:val="006912A6"/>
    <w:rsid w:val="00691330"/>
    <w:rsid w:val="0069190B"/>
    <w:rsid w:val="00691CCA"/>
    <w:rsid w:val="00691F9B"/>
    <w:rsid w:val="00692D32"/>
    <w:rsid w:val="00692F53"/>
    <w:rsid w:val="00693241"/>
    <w:rsid w:val="00693BF7"/>
    <w:rsid w:val="00694302"/>
    <w:rsid w:val="0069440D"/>
    <w:rsid w:val="0069442E"/>
    <w:rsid w:val="006958C1"/>
    <w:rsid w:val="006958F0"/>
    <w:rsid w:val="00695BC8"/>
    <w:rsid w:val="00695F90"/>
    <w:rsid w:val="006961B0"/>
    <w:rsid w:val="00696407"/>
    <w:rsid w:val="00696978"/>
    <w:rsid w:val="00696DAD"/>
    <w:rsid w:val="006971EB"/>
    <w:rsid w:val="0069768E"/>
    <w:rsid w:val="006977A3"/>
    <w:rsid w:val="00697A1E"/>
    <w:rsid w:val="00697EC1"/>
    <w:rsid w:val="006A008F"/>
    <w:rsid w:val="006A0906"/>
    <w:rsid w:val="006A0EC8"/>
    <w:rsid w:val="006A141B"/>
    <w:rsid w:val="006A1D39"/>
    <w:rsid w:val="006A1EDC"/>
    <w:rsid w:val="006A263E"/>
    <w:rsid w:val="006A2B7E"/>
    <w:rsid w:val="006A33E9"/>
    <w:rsid w:val="006A3470"/>
    <w:rsid w:val="006A383F"/>
    <w:rsid w:val="006A392D"/>
    <w:rsid w:val="006A3DB4"/>
    <w:rsid w:val="006A3E6B"/>
    <w:rsid w:val="006A3FD0"/>
    <w:rsid w:val="006A4590"/>
    <w:rsid w:val="006A507A"/>
    <w:rsid w:val="006A525D"/>
    <w:rsid w:val="006A654E"/>
    <w:rsid w:val="006A6590"/>
    <w:rsid w:val="006A6703"/>
    <w:rsid w:val="006A68B5"/>
    <w:rsid w:val="006A6B76"/>
    <w:rsid w:val="006A753C"/>
    <w:rsid w:val="006A7A6C"/>
    <w:rsid w:val="006A7B08"/>
    <w:rsid w:val="006A7F52"/>
    <w:rsid w:val="006B040F"/>
    <w:rsid w:val="006B0458"/>
    <w:rsid w:val="006B0EC6"/>
    <w:rsid w:val="006B12E8"/>
    <w:rsid w:val="006B1B32"/>
    <w:rsid w:val="006B1B6F"/>
    <w:rsid w:val="006B1D91"/>
    <w:rsid w:val="006B1E42"/>
    <w:rsid w:val="006B1E64"/>
    <w:rsid w:val="006B2BE3"/>
    <w:rsid w:val="006B306D"/>
    <w:rsid w:val="006B32BF"/>
    <w:rsid w:val="006B342B"/>
    <w:rsid w:val="006B4779"/>
    <w:rsid w:val="006B4BC2"/>
    <w:rsid w:val="006B4F1A"/>
    <w:rsid w:val="006B51C7"/>
    <w:rsid w:val="006B53C3"/>
    <w:rsid w:val="006B55C6"/>
    <w:rsid w:val="006B59D3"/>
    <w:rsid w:val="006B5E06"/>
    <w:rsid w:val="006B6AAC"/>
    <w:rsid w:val="006B7714"/>
    <w:rsid w:val="006B7A29"/>
    <w:rsid w:val="006B7F61"/>
    <w:rsid w:val="006C0A19"/>
    <w:rsid w:val="006C14F1"/>
    <w:rsid w:val="006C15C9"/>
    <w:rsid w:val="006C18EF"/>
    <w:rsid w:val="006C1C39"/>
    <w:rsid w:val="006C1D29"/>
    <w:rsid w:val="006C1D89"/>
    <w:rsid w:val="006C1EF7"/>
    <w:rsid w:val="006C2039"/>
    <w:rsid w:val="006C2D45"/>
    <w:rsid w:val="006C30ED"/>
    <w:rsid w:val="006C31A6"/>
    <w:rsid w:val="006C320E"/>
    <w:rsid w:val="006C33D0"/>
    <w:rsid w:val="006C35A1"/>
    <w:rsid w:val="006C3927"/>
    <w:rsid w:val="006C3EEB"/>
    <w:rsid w:val="006C44D7"/>
    <w:rsid w:val="006C453D"/>
    <w:rsid w:val="006C4CF5"/>
    <w:rsid w:val="006C5004"/>
    <w:rsid w:val="006C58D3"/>
    <w:rsid w:val="006C595F"/>
    <w:rsid w:val="006C5A1C"/>
    <w:rsid w:val="006C5C33"/>
    <w:rsid w:val="006C60C3"/>
    <w:rsid w:val="006C60FD"/>
    <w:rsid w:val="006C64C9"/>
    <w:rsid w:val="006C64F3"/>
    <w:rsid w:val="006C75BE"/>
    <w:rsid w:val="006C77CC"/>
    <w:rsid w:val="006C78A7"/>
    <w:rsid w:val="006C7E22"/>
    <w:rsid w:val="006C7ECD"/>
    <w:rsid w:val="006D097B"/>
    <w:rsid w:val="006D0B43"/>
    <w:rsid w:val="006D1327"/>
    <w:rsid w:val="006D1385"/>
    <w:rsid w:val="006D14E1"/>
    <w:rsid w:val="006D1BDE"/>
    <w:rsid w:val="006D267F"/>
    <w:rsid w:val="006D37C5"/>
    <w:rsid w:val="006D3EC7"/>
    <w:rsid w:val="006D423F"/>
    <w:rsid w:val="006D4474"/>
    <w:rsid w:val="006D4792"/>
    <w:rsid w:val="006D480C"/>
    <w:rsid w:val="006D4BB9"/>
    <w:rsid w:val="006D4E35"/>
    <w:rsid w:val="006D503D"/>
    <w:rsid w:val="006D5378"/>
    <w:rsid w:val="006D5635"/>
    <w:rsid w:val="006D6A67"/>
    <w:rsid w:val="006D6BF8"/>
    <w:rsid w:val="006D6DFB"/>
    <w:rsid w:val="006D7017"/>
    <w:rsid w:val="006D75E9"/>
    <w:rsid w:val="006D7CB2"/>
    <w:rsid w:val="006E18A8"/>
    <w:rsid w:val="006E1B1B"/>
    <w:rsid w:val="006E1E9A"/>
    <w:rsid w:val="006E2020"/>
    <w:rsid w:val="006E2608"/>
    <w:rsid w:val="006E2741"/>
    <w:rsid w:val="006E28A4"/>
    <w:rsid w:val="006E3565"/>
    <w:rsid w:val="006E357F"/>
    <w:rsid w:val="006E3C74"/>
    <w:rsid w:val="006E4831"/>
    <w:rsid w:val="006E4C4C"/>
    <w:rsid w:val="006E5852"/>
    <w:rsid w:val="006E5A5D"/>
    <w:rsid w:val="006E5DE6"/>
    <w:rsid w:val="006E5DF2"/>
    <w:rsid w:val="006E62CF"/>
    <w:rsid w:val="006E6597"/>
    <w:rsid w:val="006E72F8"/>
    <w:rsid w:val="006E778B"/>
    <w:rsid w:val="006E7C7F"/>
    <w:rsid w:val="006F00BB"/>
    <w:rsid w:val="006F02CB"/>
    <w:rsid w:val="006F0333"/>
    <w:rsid w:val="006F0737"/>
    <w:rsid w:val="006F0866"/>
    <w:rsid w:val="006F0CE1"/>
    <w:rsid w:val="006F1314"/>
    <w:rsid w:val="006F294E"/>
    <w:rsid w:val="006F2F9E"/>
    <w:rsid w:val="006F2FED"/>
    <w:rsid w:val="006F3D00"/>
    <w:rsid w:val="006F4960"/>
    <w:rsid w:val="006F502E"/>
    <w:rsid w:val="006F52BE"/>
    <w:rsid w:val="006F5A2B"/>
    <w:rsid w:val="006F5BCC"/>
    <w:rsid w:val="006F5D2E"/>
    <w:rsid w:val="006F5D49"/>
    <w:rsid w:val="006F61FE"/>
    <w:rsid w:val="006F6613"/>
    <w:rsid w:val="006F66D0"/>
    <w:rsid w:val="006F6B1C"/>
    <w:rsid w:val="006F6C31"/>
    <w:rsid w:val="006F74F1"/>
    <w:rsid w:val="006F7940"/>
    <w:rsid w:val="006F7CE1"/>
    <w:rsid w:val="00700093"/>
    <w:rsid w:val="00700288"/>
    <w:rsid w:val="00700357"/>
    <w:rsid w:val="007006F9"/>
    <w:rsid w:val="00700C5A"/>
    <w:rsid w:val="00701CCD"/>
    <w:rsid w:val="00702031"/>
    <w:rsid w:val="007029C2"/>
    <w:rsid w:val="00702A8E"/>
    <w:rsid w:val="007033DC"/>
    <w:rsid w:val="00703504"/>
    <w:rsid w:val="00703880"/>
    <w:rsid w:val="00703A32"/>
    <w:rsid w:val="00703BC3"/>
    <w:rsid w:val="00703E7D"/>
    <w:rsid w:val="00704B65"/>
    <w:rsid w:val="00704D82"/>
    <w:rsid w:val="00704F57"/>
    <w:rsid w:val="007061EC"/>
    <w:rsid w:val="00706BF3"/>
    <w:rsid w:val="00707352"/>
    <w:rsid w:val="007075FF"/>
    <w:rsid w:val="00710317"/>
    <w:rsid w:val="0071102D"/>
    <w:rsid w:val="0071203E"/>
    <w:rsid w:val="0071251D"/>
    <w:rsid w:val="00712C9D"/>
    <w:rsid w:val="00713092"/>
    <w:rsid w:val="007134D6"/>
    <w:rsid w:val="007148BD"/>
    <w:rsid w:val="00714E00"/>
    <w:rsid w:val="00714F6D"/>
    <w:rsid w:val="00716259"/>
    <w:rsid w:val="007162EF"/>
    <w:rsid w:val="007166C5"/>
    <w:rsid w:val="00716ACC"/>
    <w:rsid w:val="007177B8"/>
    <w:rsid w:val="00717DFB"/>
    <w:rsid w:val="00720244"/>
    <w:rsid w:val="007203BA"/>
    <w:rsid w:val="00720DDE"/>
    <w:rsid w:val="0072114F"/>
    <w:rsid w:val="0072152E"/>
    <w:rsid w:val="007218EE"/>
    <w:rsid w:val="00723516"/>
    <w:rsid w:val="0072389E"/>
    <w:rsid w:val="0072496D"/>
    <w:rsid w:val="0072544E"/>
    <w:rsid w:val="00726870"/>
    <w:rsid w:val="007269AA"/>
    <w:rsid w:val="00726B0F"/>
    <w:rsid w:val="00726B28"/>
    <w:rsid w:val="00727AFB"/>
    <w:rsid w:val="00730347"/>
    <w:rsid w:val="0073046A"/>
    <w:rsid w:val="00730729"/>
    <w:rsid w:val="0073091D"/>
    <w:rsid w:val="00730F3B"/>
    <w:rsid w:val="00731439"/>
    <w:rsid w:val="007316E0"/>
    <w:rsid w:val="0073178E"/>
    <w:rsid w:val="00732366"/>
    <w:rsid w:val="0073297F"/>
    <w:rsid w:val="00732A72"/>
    <w:rsid w:val="00732B6A"/>
    <w:rsid w:val="00732CC3"/>
    <w:rsid w:val="007331B1"/>
    <w:rsid w:val="0073327D"/>
    <w:rsid w:val="007336E5"/>
    <w:rsid w:val="00733A40"/>
    <w:rsid w:val="00734A54"/>
    <w:rsid w:val="00734A57"/>
    <w:rsid w:val="00734C5E"/>
    <w:rsid w:val="00735D45"/>
    <w:rsid w:val="007367AB"/>
    <w:rsid w:val="00736CCF"/>
    <w:rsid w:val="00736D2E"/>
    <w:rsid w:val="00736EF3"/>
    <w:rsid w:val="007400A4"/>
    <w:rsid w:val="007403E8"/>
    <w:rsid w:val="00740CD8"/>
    <w:rsid w:val="007412C2"/>
    <w:rsid w:val="00741BFF"/>
    <w:rsid w:val="007426BC"/>
    <w:rsid w:val="0074286A"/>
    <w:rsid w:val="007428DA"/>
    <w:rsid w:val="00742CA5"/>
    <w:rsid w:val="0074337F"/>
    <w:rsid w:val="00744372"/>
    <w:rsid w:val="0074446D"/>
    <w:rsid w:val="007445CD"/>
    <w:rsid w:val="007446AB"/>
    <w:rsid w:val="00744A36"/>
    <w:rsid w:val="00744CD1"/>
    <w:rsid w:val="00744D33"/>
    <w:rsid w:val="0074537C"/>
    <w:rsid w:val="00745630"/>
    <w:rsid w:val="00745CE1"/>
    <w:rsid w:val="00745D53"/>
    <w:rsid w:val="00746144"/>
    <w:rsid w:val="007462B6"/>
    <w:rsid w:val="00746799"/>
    <w:rsid w:val="007470B0"/>
    <w:rsid w:val="007477B7"/>
    <w:rsid w:val="0074784F"/>
    <w:rsid w:val="0074797B"/>
    <w:rsid w:val="00747AF5"/>
    <w:rsid w:val="00747E64"/>
    <w:rsid w:val="007500C3"/>
    <w:rsid w:val="00750135"/>
    <w:rsid w:val="0075015D"/>
    <w:rsid w:val="007501BF"/>
    <w:rsid w:val="00750A4B"/>
    <w:rsid w:val="00750AAB"/>
    <w:rsid w:val="0075148F"/>
    <w:rsid w:val="00751875"/>
    <w:rsid w:val="007525AA"/>
    <w:rsid w:val="007525ED"/>
    <w:rsid w:val="007526A5"/>
    <w:rsid w:val="0075291B"/>
    <w:rsid w:val="00752A42"/>
    <w:rsid w:val="00752D95"/>
    <w:rsid w:val="00753297"/>
    <w:rsid w:val="0075349A"/>
    <w:rsid w:val="00754100"/>
    <w:rsid w:val="0075445C"/>
    <w:rsid w:val="007548E6"/>
    <w:rsid w:val="00754AE3"/>
    <w:rsid w:val="00754D54"/>
    <w:rsid w:val="007554C1"/>
    <w:rsid w:val="00755BFC"/>
    <w:rsid w:val="00756139"/>
    <w:rsid w:val="007568BC"/>
    <w:rsid w:val="007568CE"/>
    <w:rsid w:val="007569D7"/>
    <w:rsid w:val="00756ACE"/>
    <w:rsid w:val="0075748F"/>
    <w:rsid w:val="0075756C"/>
    <w:rsid w:val="00757C50"/>
    <w:rsid w:val="00757EE3"/>
    <w:rsid w:val="00761788"/>
    <w:rsid w:val="00761A27"/>
    <w:rsid w:val="00761BA3"/>
    <w:rsid w:val="00761BBD"/>
    <w:rsid w:val="00761DBD"/>
    <w:rsid w:val="0076220A"/>
    <w:rsid w:val="00762388"/>
    <w:rsid w:val="0076305A"/>
    <w:rsid w:val="007630D9"/>
    <w:rsid w:val="007631D3"/>
    <w:rsid w:val="007636B5"/>
    <w:rsid w:val="0076392F"/>
    <w:rsid w:val="00763B85"/>
    <w:rsid w:val="00763C57"/>
    <w:rsid w:val="00763F44"/>
    <w:rsid w:val="00764073"/>
    <w:rsid w:val="007641DB"/>
    <w:rsid w:val="007644FC"/>
    <w:rsid w:val="0076459D"/>
    <w:rsid w:val="00764E2C"/>
    <w:rsid w:val="00765137"/>
    <w:rsid w:val="007651C8"/>
    <w:rsid w:val="0076575D"/>
    <w:rsid w:val="007659F6"/>
    <w:rsid w:val="00765FE5"/>
    <w:rsid w:val="0076662D"/>
    <w:rsid w:val="0076722C"/>
    <w:rsid w:val="00767A9C"/>
    <w:rsid w:val="00767C0A"/>
    <w:rsid w:val="00767E7A"/>
    <w:rsid w:val="00767EC3"/>
    <w:rsid w:val="0077005E"/>
    <w:rsid w:val="007703AB"/>
    <w:rsid w:val="00770771"/>
    <w:rsid w:val="0077081F"/>
    <w:rsid w:val="007708BA"/>
    <w:rsid w:val="007709C8"/>
    <w:rsid w:val="007714D5"/>
    <w:rsid w:val="0077166D"/>
    <w:rsid w:val="00771C4B"/>
    <w:rsid w:val="00771EEF"/>
    <w:rsid w:val="00772F4E"/>
    <w:rsid w:val="007732A4"/>
    <w:rsid w:val="0077388C"/>
    <w:rsid w:val="00774597"/>
    <w:rsid w:val="00774AB8"/>
    <w:rsid w:val="00774EA5"/>
    <w:rsid w:val="0077590D"/>
    <w:rsid w:val="00775D09"/>
    <w:rsid w:val="007761A6"/>
    <w:rsid w:val="00776585"/>
    <w:rsid w:val="007765A0"/>
    <w:rsid w:val="007766A4"/>
    <w:rsid w:val="007767D3"/>
    <w:rsid w:val="00776DAE"/>
    <w:rsid w:val="00777209"/>
    <w:rsid w:val="007779AC"/>
    <w:rsid w:val="00777DED"/>
    <w:rsid w:val="00777E76"/>
    <w:rsid w:val="007807CC"/>
    <w:rsid w:val="00780AB5"/>
    <w:rsid w:val="00780B62"/>
    <w:rsid w:val="00780C3F"/>
    <w:rsid w:val="00781647"/>
    <w:rsid w:val="00781A97"/>
    <w:rsid w:val="00781ADC"/>
    <w:rsid w:val="00781ADE"/>
    <w:rsid w:val="00781D05"/>
    <w:rsid w:val="00782983"/>
    <w:rsid w:val="00782F67"/>
    <w:rsid w:val="00783637"/>
    <w:rsid w:val="00783816"/>
    <w:rsid w:val="00783AE0"/>
    <w:rsid w:val="0078458B"/>
    <w:rsid w:val="00784A5A"/>
    <w:rsid w:val="00784DAF"/>
    <w:rsid w:val="00785076"/>
    <w:rsid w:val="007852CA"/>
    <w:rsid w:val="00785ADA"/>
    <w:rsid w:val="00785D6D"/>
    <w:rsid w:val="00785F24"/>
    <w:rsid w:val="00786425"/>
    <w:rsid w:val="00786D38"/>
    <w:rsid w:val="00786E7E"/>
    <w:rsid w:val="0078731B"/>
    <w:rsid w:val="007874FB"/>
    <w:rsid w:val="0078785F"/>
    <w:rsid w:val="00787E62"/>
    <w:rsid w:val="007901E2"/>
    <w:rsid w:val="007905EC"/>
    <w:rsid w:val="007909C2"/>
    <w:rsid w:val="0079100C"/>
    <w:rsid w:val="0079160B"/>
    <w:rsid w:val="00791913"/>
    <w:rsid w:val="007922C1"/>
    <w:rsid w:val="00792397"/>
    <w:rsid w:val="00792B68"/>
    <w:rsid w:val="00792C00"/>
    <w:rsid w:val="00792C2E"/>
    <w:rsid w:val="00792D7E"/>
    <w:rsid w:val="00793814"/>
    <w:rsid w:val="0079416A"/>
    <w:rsid w:val="0079484D"/>
    <w:rsid w:val="007959DE"/>
    <w:rsid w:val="00795B3F"/>
    <w:rsid w:val="0079664A"/>
    <w:rsid w:val="00797A1E"/>
    <w:rsid w:val="007A034D"/>
    <w:rsid w:val="007A09D3"/>
    <w:rsid w:val="007A10E8"/>
    <w:rsid w:val="007A1DA3"/>
    <w:rsid w:val="007A1E3A"/>
    <w:rsid w:val="007A25C4"/>
    <w:rsid w:val="007A2A9F"/>
    <w:rsid w:val="007A2D43"/>
    <w:rsid w:val="007A359F"/>
    <w:rsid w:val="007A3FAF"/>
    <w:rsid w:val="007A415D"/>
    <w:rsid w:val="007A450E"/>
    <w:rsid w:val="007A4DF4"/>
    <w:rsid w:val="007A5295"/>
    <w:rsid w:val="007A5493"/>
    <w:rsid w:val="007A58C8"/>
    <w:rsid w:val="007A5A44"/>
    <w:rsid w:val="007A6363"/>
    <w:rsid w:val="007A65D2"/>
    <w:rsid w:val="007A67B5"/>
    <w:rsid w:val="007A6CAA"/>
    <w:rsid w:val="007A6D3E"/>
    <w:rsid w:val="007A6DBC"/>
    <w:rsid w:val="007A74BA"/>
    <w:rsid w:val="007B0142"/>
    <w:rsid w:val="007B0257"/>
    <w:rsid w:val="007B02D3"/>
    <w:rsid w:val="007B04D2"/>
    <w:rsid w:val="007B0689"/>
    <w:rsid w:val="007B0A88"/>
    <w:rsid w:val="007B1E24"/>
    <w:rsid w:val="007B2339"/>
    <w:rsid w:val="007B24E4"/>
    <w:rsid w:val="007B33F8"/>
    <w:rsid w:val="007B3A15"/>
    <w:rsid w:val="007B458D"/>
    <w:rsid w:val="007B4DDB"/>
    <w:rsid w:val="007B4F78"/>
    <w:rsid w:val="007B4FB8"/>
    <w:rsid w:val="007B5494"/>
    <w:rsid w:val="007B55E3"/>
    <w:rsid w:val="007B5900"/>
    <w:rsid w:val="007B5FB9"/>
    <w:rsid w:val="007B6272"/>
    <w:rsid w:val="007B729D"/>
    <w:rsid w:val="007B78C1"/>
    <w:rsid w:val="007B7A98"/>
    <w:rsid w:val="007C068D"/>
    <w:rsid w:val="007C06CA"/>
    <w:rsid w:val="007C06CF"/>
    <w:rsid w:val="007C08E2"/>
    <w:rsid w:val="007C0906"/>
    <w:rsid w:val="007C0999"/>
    <w:rsid w:val="007C0B28"/>
    <w:rsid w:val="007C1056"/>
    <w:rsid w:val="007C23DF"/>
    <w:rsid w:val="007C33A0"/>
    <w:rsid w:val="007C35FC"/>
    <w:rsid w:val="007C378A"/>
    <w:rsid w:val="007C379D"/>
    <w:rsid w:val="007C398A"/>
    <w:rsid w:val="007C3A3E"/>
    <w:rsid w:val="007C3E83"/>
    <w:rsid w:val="007C43A4"/>
    <w:rsid w:val="007C43D1"/>
    <w:rsid w:val="007C4498"/>
    <w:rsid w:val="007C4592"/>
    <w:rsid w:val="007C468A"/>
    <w:rsid w:val="007C4AAD"/>
    <w:rsid w:val="007C4D95"/>
    <w:rsid w:val="007C4DEA"/>
    <w:rsid w:val="007C551E"/>
    <w:rsid w:val="007C55A4"/>
    <w:rsid w:val="007C55C6"/>
    <w:rsid w:val="007C588E"/>
    <w:rsid w:val="007C5959"/>
    <w:rsid w:val="007C5C84"/>
    <w:rsid w:val="007C6190"/>
    <w:rsid w:val="007C6640"/>
    <w:rsid w:val="007C719E"/>
    <w:rsid w:val="007C7506"/>
    <w:rsid w:val="007C7616"/>
    <w:rsid w:val="007C78BB"/>
    <w:rsid w:val="007C7F9E"/>
    <w:rsid w:val="007D00E7"/>
    <w:rsid w:val="007D02CF"/>
    <w:rsid w:val="007D1B65"/>
    <w:rsid w:val="007D1E04"/>
    <w:rsid w:val="007D224D"/>
    <w:rsid w:val="007D3C8B"/>
    <w:rsid w:val="007D3C8D"/>
    <w:rsid w:val="007D406E"/>
    <w:rsid w:val="007D43AE"/>
    <w:rsid w:val="007D46A4"/>
    <w:rsid w:val="007D47B8"/>
    <w:rsid w:val="007D4971"/>
    <w:rsid w:val="007D4B66"/>
    <w:rsid w:val="007D5156"/>
    <w:rsid w:val="007D6010"/>
    <w:rsid w:val="007D66BF"/>
    <w:rsid w:val="007D6E60"/>
    <w:rsid w:val="007D75BC"/>
    <w:rsid w:val="007E0135"/>
    <w:rsid w:val="007E02EC"/>
    <w:rsid w:val="007E03CA"/>
    <w:rsid w:val="007E0474"/>
    <w:rsid w:val="007E05AE"/>
    <w:rsid w:val="007E0ADF"/>
    <w:rsid w:val="007E121A"/>
    <w:rsid w:val="007E18A1"/>
    <w:rsid w:val="007E1AA6"/>
    <w:rsid w:val="007E215E"/>
    <w:rsid w:val="007E22A8"/>
    <w:rsid w:val="007E28B8"/>
    <w:rsid w:val="007E2988"/>
    <w:rsid w:val="007E3A0E"/>
    <w:rsid w:val="007E3FE1"/>
    <w:rsid w:val="007E484A"/>
    <w:rsid w:val="007E4C9D"/>
    <w:rsid w:val="007E4CE4"/>
    <w:rsid w:val="007E6340"/>
    <w:rsid w:val="007E6355"/>
    <w:rsid w:val="007E6ED4"/>
    <w:rsid w:val="007E716E"/>
    <w:rsid w:val="007E717E"/>
    <w:rsid w:val="007E75D8"/>
    <w:rsid w:val="007F0235"/>
    <w:rsid w:val="007F026A"/>
    <w:rsid w:val="007F0B82"/>
    <w:rsid w:val="007F0C6A"/>
    <w:rsid w:val="007F1050"/>
    <w:rsid w:val="007F11DA"/>
    <w:rsid w:val="007F1610"/>
    <w:rsid w:val="007F1A6E"/>
    <w:rsid w:val="007F1BF8"/>
    <w:rsid w:val="007F1DB7"/>
    <w:rsid w:val="007F217F"/>
    <w:rsid w:val="007F2A67"/>
    <w:rsid w:val="007F33F0"/>
    <w:rsid w:val="007F34B4"/>
    <w:rsid w:val="007F35DC"/>
    <w:rsid w:val="007F40BF"/>
    <w:rsid w:val="007F506F"/>
    <w:rsid w:val="007F555C"/>
    <w:rsid w:val="007F5811"/>
    <w:rsid w:val="007F583B"/>
    <w:rsid w:val="007F5CC6"/>
    <w:rsid w:val="007F6094"/>
    <w:rsid w:val="007F66FD"/>
    <w:rsid w:val="007F6CFA"/>
    <w:rsid w:val="007F71C6"/>
    <w:rsid w:val="007F7289"/>
    <w:rsid w:val="007F757C"/>
    <w:rsid w:val="007F7625"/>
    <w:rsid w:val="007F7DD0"/>
    <w:rsid w:val="00800876"/>
    <w:rsid w:val="00800BAC"/>
    <w:rsid w:val="00801122"/>
    <w:rsid w:val="008011B2"/>
    <w:rsid w:val="008013F1"/>
    <w:rsid w:val="0080172A"/>
    <w:rsid w:val="0080206C"/>
    <w:rsid w:val="008023D2"/>
    <w:rsid w:val="0080253F"/>
    <w:rsid w:val="008025E7"/>
    <w:rsid w:val="00802F58"/>
    <w:rsid w:val="008034BE"/>
    <w:rsid w:val="00803764"/>
    <w:rsid w:val="00803D0D"/>
    <w:rsid w:val="00804254"/>
    <w:rsid w:val="00804466"/>
    <w:rsid w:val="00804A1B"/>
    <w:rsid w:val="00805563"/>
    <w:rsid w:val="008058D8"/>
    <w:rsid w:val="00805937"/>
    <w:rsid w:val="00806B49"/>
    <w:rsid w:val="00807036"/>
    <w:rsid w:val="00807090"/>
    <w:rsid w:val="008070F6"/>
    <w:rsid w:val="008071DA"/>
    <w:rsid w:val="00807872"/>
    <w:rsid w:val="00807DD1"/>
    <w:rsid w:val="00807E0D"/>
    <w:rsid w:val="00810475"/>
    <w:rsid w:val="00810536"/>
    <w:rsid w:val="00810901"/>
    <w:rsid w:val="0081105A"/>
    <w:rsid w:val="00812013"/>
    <w:rsid w:val="008120CA"/>
    <w:rsid w:val="00812F1D"/>
    <w:rsid w:val="00813195"/>
    <w:rsid w:val="008140C5"/>
    <w:rsid w:val="008140DF"/>
    <w:rsid w:val="00814691"/>
    <w:rsid w:val="00814943"/>
    <w:rsid w:val="00814D91"/>
    <w:rsid w:val="00815581"/>
    <w:rsid w:val="008158AC"/>
    <w:rsid w:val="00815EBC"/>
    <w:rsid w:val="008161FF"/>
    <w:rsid w:val="00816EDB"/>
    <w:rsid w:val="0081707E"/>
    <w:rsid w:val="00817362"/>
    <w:rsid w:val="00817467"/>
    <w:rsid w:val="00817478"/>
    <w:rsid w:val="0082000B"/>
    <w:rsid w:val="00820302"/>
    <w:rsid w:val="00820635"/>
    <w:rsid w:val="00820A6A"/>
    <w:rsid w:val="00820AA0"/>
    <w:rsid w:val="008213A0"/>
    <w:rsid w:val="00821C79"/>
    <w:rsid w:val="00821FA7"/>
    <w:rsid w:val="00822433"/>
    <w:rsid w:val="00822583"/>
    <w:rsid w:val="00822963"/>
    <w:rsid w:val="008229D2"/>
    <w:rsid w:val="00822CE5"/>
    <w:rsid w:val="00823275"/>
    <w:rsid w:val="008239BC"/>
    <w:rsid w:val="0082417C"/>
    <w:rsid w:val="00824606"/>
    <w:rsid w:val="00824980"/>
    <w:rsid w:val="00824C29"/>
    <w:rsid w:val="008250EA"/>
    <w:rsid w:val="0082519F"/>
    <w:rsid w:val="008252D1"/>
    <w:rsid w:val="008255A0"/>
    <w:rsid w:val="0082582D"/>
    <w:rsid w:val="0082662A"/>
    <w:rsid w:val="008267C2"/>
    <w:rsid w:val="00827769"/>
    <w:rsid w:val="00827781"/>
    <w:rsid w:val="00827C8A"/>
    <w:rsid w:val="0083038D"/>
    <w:rsid w:val="00830937"/>
    <w:rsid w:val="00831111"/>
    <w:rsid w:val="00832145"/>
    <w:rsid w:val="00832424"/>
    <w:rsid w:val="00832654"/>
    <w:rsid w:val="00832969"/>
    <w:rsid w:val="00833179"/>
    <w:rsid w:val="00833909"/>
    <w:rsid w:val="00833EF0"/>
    <w:rsid w:val="00833EF7"/>
    <w:rsid w:val="00834A06"/>
    <w:rsid w:val="00834C19"/>
    <w:rsid w:val="00835296"/>
    <w:rsid w:val="0083569D"/>
    <w:rsid w:val="008359E6"/>
    <w:rsid w:val="00835A9A"/>
    <w:rsid w:val="00835B9E"/>
    <w:rsid w:val="00835DE4"/>
    <w:rsid w:val="008362FB"/>
    <w:rsid w:val="00836388"/>
    <w:rsid w:val="00837203"/>
    <w:rsid w:val="008376BA"/>
    <w:rsid w:val="00837E67"/>
    <w:rsid w:val="008405EA"/>
    <w:rsid w:val="00841669"/>
    <w:rsid w:val="008420E8"/>
    <w:rsid w:val="008428AE"/>
    <w:rsid w:val="008434D6"/>
    <w:rsid w:val="00844463"/>
    <w:rsid w:val="008448B1"/>
    <w:rsid w:val="008449E7"/>
    <w:rsid w:val="00844C1C"/>
    <w:rsid w:val="0084505D"/>
    <w:rsid w:val="00845311"/>
    <w:rsid w:val="00845557"/>
    <w:rsid w:val="00845577"/>
    <w:rsid w:val="00845A5A"/>
    <w:rsid w:val="00845D0E"/>
    <w:rsid w:val="00845D99"/>
    <w:rsid w:val="00846A5A"/>
    <w:rsid w:val="00847667"/>
    <w:rsid w:val="008505FD"/>
    <w:rsid w:val="00850DAC"/>
    <w:rsid w:val="008510C2"/>
    <w:rsid w:val="008512C1"/>
    <w:rsid w:val="008514AD"/>
    <w:rsid w:val="00851561"/>
    <w:rsid w:val="0085199A"/>
    <w:rsid w:val="00851EA5"/>
    <w:rsid w:val="00852588"/>
    <w:rsid w:val="00852CC6"/>
    <w:rsid w:val="00853192"/>
    <w:rsid w:val="008535A1"/>
    <w:rsid w:val="00853A79"/>
    <w:rsid w:val="00853EA3"/>
    <w:rsid w:val="0085425A"/>
    <w:rsid w:val="0085440E"/>
    <w:rsid w:val="00854AB0"/>
    <w:rsid w:val="008554EA"/>
    <w:rsid w:val="0085580C"/>
    <w:rsid w:val="008567C4"/>
    <w:rsid w:val="00856BE8"/>
    <w:rsid w:val="0085702C"/>
    <w:rsid w:val="00857580"/>
    <w:rsid w:val="0085778F"/>
    <w:rsid w:val="008579DD"/>
    <w:rsid w:val="0086056E"/>
    <w:rsid w:val="00860673"/>
    <w:rsid w:val="008606D1"/>
    <w:rsid w:val="00861439"/>
    <w:rsid w:val="00861FC0"/>
    <w:rsid w:val="0086201D"/>
    <w:rsid w:val="00862737"/>
    <w:rsid w:val="0086296C"/>
    <w:rsid w:val="0086319E"/>
    <w:rsid w:val="00863942"/>
    <w:rsid w:val="0086397B"/>
    <w:rsid w:val="00863DA5"/>
    <w:rsid w:val="00863F54"/>
    <w:rsid w:val="00863FB6"/>
    <w:rsid w:val="008651CB"/>
    <w:rsid w:val="00865875"/>
    <w:rsid w:val="00865F56"/>
    <w:rsid w:val="0086759F"/>
    <w:rsid w:val="00867688"/>
    <w:rsid w:val="00867772"/>
    <w:rsid w:val="00867D98"/>
    <w:rsid w:val="00867DDA"/>
    <w:rsid w:val="008702EC"/>
    <w:rsid w:val="00870595"/>
    <w:rsid w:val="00870791"/>
    <w:rsid w:val="0087092C"/>
    <w:rsid w:val="008709A3"/>
    <w:rsid w:val="00870FB9"/>
    <w:rsid w:val="00870FDE"/>
    <w:rsid w:val="008714D1"/>
    <w:rsid w:val="00871672"/>
    <w:rsid w:val="0087188E"/>
    <w:rsid w:val="00871E83"/>
    <w:rsid w:val="00872457"/>
    <w:rsid w:val="00872482"/>
    <w:rsid w:val="00872835"/>
    <w:rsid w:val="00872B0D"/>
    <w:rsid w:val="00873198"/>
    <w:rsid w:val="00873E44"/>
    <w:rsid w:val="00874062"/>
    <w:rsid w:val="00874217"/>
    <w:rsid w:val="00874555"/>
    <w:rsid w:val="00874919"/>
    <w:rsid w:val="00875252"/>
    <w:rsid w:val="008752F9"/>
    <w:rsid w:val="00875A67"/>
    <w:rsid w:val="0087620C"/>
    <w:rsid w:val="008764B0"/>
    <w:rsid w:val="00876753"/>
    <w:rsid w:val="008769BF"/>
    <w:rsid w:val="00877207"/>
    <w:rsid w:val="008773F2"/>
    <w:rsid w:val="00877F0D"/>
    <w:rsid w:val="00880170"/>
    <w:rsid w:val="0088084F"/>
    <w:rsid w:val="00880E42"/>
    <w:rsid w:val="0088138D"/>
    <w:rsid w:val="00881531"/>
    <w:rsid w:val="008818FE"/>
    <w:rsid w:val="00881979"/>
    <w:rsid w:val="00881B33"/>
    <w:rsid w:val="00881FA5"/>
    <w:rsid w:val="00881FA6"/>
    <w:rsid w:val="008820F9"/>
    <w:rsid w:val="0088276B"/>
    <w:rsid w:val="00883355"/>
    <w:rsid w:val="00883691"/>
    <w:rsid w:val="00884E51"/>
    <w:rsid w:val="00885186"/>
    <w:rsid w:val="008861B2"/>
    <w:rsid w:val="00886832"/>
    <w:rsid w:val="00886862"/>
    <w:rsid w:val="00886ACE"/>
    <w:rsid w:val="00886CDD"/>
    <w:rsid w:val="00886D5B"/>
    <w:rsid w:val="008872AE"/>
    <w:rsid w:val="008872DF"/>
    <w:rsid w:val="008878BC"/>
    <w:rsid w:val="00890847"/>
    <w:rsid w:val="008908DF"/>
    <w:rsid w:val="00890E0E"/>
    <w:rsid w:val="0089131E"/>
    <w:rsid w:val="00891B9D"/>
    <w:rsid w:val="00891E10"/>
    <w:rsid w:val="008926AE"/>
    <w:rsid w:val="00892D0C"/>
    <w:rsid w:val="008935AE"/>
    <w:rsid w:val="00893831"/>
    <w:rsid w:val="008938D7"/>
    <w:rsid w:val="00894AF1"/>
    <w:rsid w:val="0089543F"/>
    <w:rsid w:val="00895C17"/>
    <w:rsid w:val="00895EF2"/>
    <w:rsid w:val="0089634E"/>
    <w:rsid w:val="00896535"/>
    <w:rsid w:val="00896DA9"/>
    <w:rsid w:val="00896E17"/>
    <w:rsid w:val="00896EB0"/>
    <w:rsid w:val="00896FEA"/>
    <w:rsid w:val="008972C4"/>
    <w:rsid w:val="00897502"/>
    <w:rsid w:val="00897AFB"/>
    <w:rsid w:val="00897C2F"/>
    <w:rsid w:val="008A00EC"/>
    <w:rsid w:val="008A0110"/>
    <w:rsid w:val="008A0490"/>
    <w:rsid w:val="008A04CD"/>
    <w:rsid w:val="008A0A4B"/>
    <w:rsid w:val="008A135A"/>
    <w:rsid w:val="008A171A"/>
    <w:rsid w:val="008A199A"/>
    <w:rsid w:val="008A1D3D"/>
    <w:rsid w:val="008A1E9D"/>
    <w:rsid w:val="008A2084"/>
    <w:rsid w:val="008A2108"/>
    <w:rsid w:val="008A409E"/>
    <w:rsid w:val="008A4467"/>
    <w:rsid w:val="008A455F"/>
    <w:rsid w:val="008A4C66"/>
    <w:rsid w:val="008A4DBD"/>
    <w:rsid w:val="008A4E25"/>
    <w:rsid w:val="008A4E31"/>
    <w:rsid w:val="008A5296"/>
    <w:rsid w:val="008A5557"/>
    <w:rsid w:val="008A56A2"/>
    <w:rsid w:val="008A5CBD"/>
    <w:rsid w:val="008A5E77"/>
    <w:rsid w:val="008A5F54"/>
    <w:rsid w:val="008A645C"/>
    <w:rsid w:val="008A7ED2"/>
    <w:rsid w:val="008B052B"/>
    <w:rsid w:val="008B0AD6"/>
    <w:rsid w:val="008B0D24"/>
    <w:rsid w:val="008B0E94"/>
    <w:rsid w:val="008B1273"/>
    <w:rsid w:val="008B170B"/>
    <w:rsid w:val="008B1710"/>
    <w:rsid w:val="008B1894"/>
    <w:rsid w:val="008B1927"/>
    <w:rsid w:val="008B205A"/>
    <w:rsid w:val="008B2389"/>
    <w:rsid w:val="008B326E"/>
    <w:rsid w:val="008B33E8"/>
    <w:rsid w:val="008B355F"/>
    <w:rsid w:val="008B3561"/>
    <w:rsid w:val="008B37AC"/>
    <w:rsid w:val="008B3E08"/>
    <w:rsid w:val="008B40EC"/>
    <w:rsid w:val="008B432B"/>
    <w:rsid w:val="008B443F"/>
    <w:rsid w:val="008B4792"/>
    <w:rsid w:val="008B480B"/>
    <w:rsid w:val="008B5221"/>
    <w:rsid w:val="008B5AA5"/>
    <w:rsid w:val="008B5B28"/>
    <w:rsid w:val="008B64D8"/>
    <w:rsid w:val="008B6C45"/>
    <w:rsid w:val="008B743B"/>
    <w:rsid w:val="008B77AC"/>
    <w:rsid w:val="008B79D8"/>
    <w:rsid w:val="008C04FB"/>
    <w:rsid w:val="008C0ADF"/>
    <w:rsid w:val="008C0EF4"/>
    <w:rsid w:val="008C0F96"/>
    <w:rsid w:val="008C1032"/>
    <w:rsid w:val="008C11CD"/>
    <w:rsid w:val="008C1213"/>
    <w:rsid w:val="008C1544"/>
    <w:rsid w:val="008C1989"/>
    <w:rsid w:val="008C203F"/>
    <w:rsid w:val="008C24AE"/>
    <w:rsid w:val="008C2864"/>
    <w:rsid w:val="008C2F10"/>
    <w:rsid w:val="008C3166"/>
    <w:rsid w:val="008C3637"/>
    <w:rsid w:val="008C3946"/>
    <w:rsid w:val="008C424F"/>
    <w:rsid w:val="008C43D4"/>
    <w:rsid w:val="008C50BA"/>
    <w:rsid w:val="008C5965"/>
    <w:rsid w:val="008C5EAD"/>
    <w:rsid w:val="008C5FEA"/>
    <w:rsid w:val="008C6245"/>
    <w:rsid w:val="008C64B7"/>
    <w:rsid w:val="008C6B6A"/>
    <w:rsid w:val="008C6C6E"/>
    <w:rsid w:val="008C7155"/>
    <w:rsid w:val="008D01C9"/>
    <w:rsid w:val="008D03C9"/>
    <w:rsid w:val="008D0B3A"/>
    <w:rsid w:val="008D0D6F"/>
    <w:rsid w:val="008D176B"/>
    <w:rsid w:val="008D2617"/>
    <w:rsid w:val="008D3200"/>
    <w:rsid w:val="008D33B8"/>
    <w:rsid w:val="008D3834"/>
    <w:rsid w:val="008D3A60"/>
    <w:rsid w:val="008D3CB2"/>
    <w:rsid w:val="008D4128"/>
    <w:rsid w:val="008D46CF"/>
    <w:rsid w:val="008D493D"/>
    <w:rsid w:val="008D4A68"/>
    <w:rsid w:val="008D4C71"/>
    <w:rsid w:val="008D5232"/>
    <w:rsid w:val="008D5699"/>
    <w:rsid w:val="008D6318"/>
    <w:rsid w:val="008D6442"/>
    <w:rsid w:val="008D66FA"/>
    <w:rsid w:val="008D7265"/>
    <w:rsid w:val="008D7D6B"/>
    <w:rsid w:val="008E02EB"/>
    <w:rsid w:val="008E030C"/>
    <w:rsid w:val="008E0822"/>
    <w:rsid w:val="008E101C"/>
    <w:rsid w:val="008E2315"/>
    <w:rsid w:val="008E250E"/>
    <w:rsid w:val="008E29AC"/>
    <w:rsid w:val="008E2A7F"/>
    <w:rsid w:val="008E2F7A"/>
    <w:rsid w:val="008E2FDF"/>
    <w:rsid w:val="008E3492"/>
    <w:rsid w:val="008E35D5"/>
    <w:rsid w:val="008E374E"/>
    <w:rsid w:val="008E3754"/>
    <w:rsid w:val="008E3AFF"/>
    <w:rsid w:val="008E3B5C"/>
    <w:rsid w:val="008E3B93"/>
    <w:rsid w:val="008E3E91"/>
    <w:rsid w:val="008E4D57"/>
    <w:rsid w:val="008E5372"/>
    <w:rsid w:val="008E55FC"/>
    <w:rsid w:val="008E56E1"/>
    <w:rsid w:val="008E5F1A"/>
    <w:rsid w:val="008E64EA"/>
    <w:rsid w:val="008E6F01"/>
    <w:rsid w:val="008E71EE"/>
    <w:rsid w:val="008F07CC"/>
    <w:rsid w:val="008F0E3F"/>
    <w:rsid w:val="008F107F"/>
    <w:rsid w:val="008F189E"/>
    <w:rsid w:val="008F1A21"/>
    <w:rsid w:val="008F1B76"/>
    <w:rsid w:val="008F1BD2"/>
    <w:rsid w:val="008F1E90"/>
    <w:rsid w:val="008F1FCD"/>
    <w:rsid w:val="008F332E"/>
    <w:rsid w:val="008F3464"/>
    <w:rsid w:val="008F3D41"/>
    <w:rsid w:val="008F41F4"/>
    <w:rsid w:val="008F4374"/>
    <w:rsid w:val="008F4CD3"/>
    <w:rsid w:val="008F5268"/>
    <w:rsid w:val="008F5652"/>
    <w:rsid w:val="008F5B9D"/>
    <w:rsid w:val="008F5DA6"/>
    <w:rsid w:val="008F610E"/>
    <w:rsid w:val="008F64E0"/>
    <w:rsid w:val="008F6A45"/>
    <w:rsid w:val="008F6BC8"/>
    <w:rsid w:val="008F6C2C"/>
    <w:rsid w:val="008F6C7E"/>
    <w:rsid w:val="008F7247"/>
    <w:rsid w:val="008F7726"/>
    <w:rsid w:val="008F7A2B"/>
    <w:rsid w:val="008F7B94"/>
    <w:rsid w:val="008F7F32"/>
    <w:rsid w:val="00900AC5"/>
    <w:rsid w:val="00900B56"/>
    <w:rsid w:val="00900F66"/>
    <w:rsid w:val="0090140D"/>
    <w:rsid w:val="0090159E"/>
    <w:rsid w:val="00901F57"/>
    <w:rsid w:val="0090360B"/>
    <w:rsid w:val="009039E7"/>
    <w:rsid w:val="00903C94"/>
    <w:rsid w:val="00903D6B"/>
    <w:rsid w:val="00904044"/>
    <w:rsid w:val="009043E3"/>
    <w:rsid w:val="00905348"/>
    <w:rsid w:val="0090591B"/>
    <w:rsid w:val="00905C59"/>
    <w:rsid w:val="00906143"/>
    <w:rsid w:val="00906A57"/>
    <w:rsid w:val="00906E59"/>
    <w:rsid w:val="009070BB"/>
    <w:rsid w:val="00907393"/>
    <w:rsid w:val="00910492"/>
    <w:rsid w:val="009104F7"/>
    <w:rsid w:val="0091054C"/>
    <w:rsid w:val="00910BC2"/>
    <w:rsid w:val="00910E91"/>
    <w:rsid w:val="00911789"/>
    <w:rsid w:val="009119D5"/>
    <w:rsid w:val="00911BD5"/>
    <w:rsid w:val="00911D4A"/>
    <w:rsid w:val="00911DFE"/>
    <w:rsid w:val="00911F22"/>
    <w:rsid w:val="00912176"/>
    <w:rsid w:val="0091240D"/>
    <w:rsid w:val="00912788"/>
    <w:rsid w:val="00912F07"/>
    <w:rsid w:val="00913B54"/>
    <w:rsid w:val="009141AB"/>
    <w:rsid w:val="00914418"/>
    <w:rsid w:val="0091547C"/>
    <w:rsid w:val="009155A8"/>
    <w:rsid w:val="0091577F"/>
    <w:rsid w:val="00916011"/>
    <w:rsid w:val="009168EA"/>
    <w:rsid w:val="00916E6C"/>
    <w:rsid w:val="00916F73"/>
    <w:rsid w:val="00917942"/>
    <w:rsid w:val="009201E8"/>
    <w:rsid w:val="009204F3"/>
    <w:rsid w:val="009206F8"/>
    <w:rsid w:val="00920A1E"/>
    <w:rsid w:val="00920AA5"/>
    <w:rsid w:val="0092187A"/>
    <w:rsid w:val="00921984"/>
    <w:rsid w:val="00921D2E"/>
    <w:rsid w:val="00921EE0"/>
    <w:rsid w:val="009222C3"/>
    <w:rsid w:val="0092235B"/>
    <w:rsid w:val="00922462"/>
    <w:rsid w:val="00922A51"/>
    <w:rsid w:val="00922D95"/>
    <w:rsid w:val="00922F66"/>
    <w:rsid w:val="0092323E"/>
    <w:rsid w:val="009235A5"/>
    <w:rsid w:val="00923922"/>
    <w:rsid w:val="009249BD"/>
    <w:rsid w:val="0092578F"/>
    <w:rsid w:val="00925AEC"/>
    <w:rsid w:val="00926335"/>
    <w:rsid w:val="0092697B"/>
    <w:rsid w:val="009269A8"/>
    <w:rsid w:val="00926BEE"/>
    <w:rsid w:val="00926D43"/>
    <w:rsid w:val="009270A5"/>
    <w:rsid w:val="00930163"/>
    <w:rsid w:val="009303B0"/>
    <w:rsid w:val="009304C6"/>
    <w:rsid w:val="0093053F"/>
    <w:rsid w:val="00930E50"/>
    <w:rsid w:val="00931000"/>
    <w:rsid w:val="00931374"/>
    <w:rsid w:val="00931732"/>
    <w:rsid w:val="00931A96"/>
    <w:rsid w:val="00932770"/>
    <w:rsid w:val="00932850"/>
    <w:rsid w:val="00933262"/>
    <w:rsid w:val="00933566"/>
    <w:rsid w:val="009338C6"/>
    <w:rsid w:val="00933D63"/>
    <w:rsid w:val="00933E27"/>
    <w:rsid w:val="009341EE"/>
    <w:rsid w:val="00934433"/>
    <w:rsid w:val="009347A9"/>
    <w:rsid w:val="009347CF"/>
    <w:rsid w:val="00934FD7"/>
    <w:rsid w:val="00935B0F"/>
    <w:rsid w:val="009361A6"/>
    <w:rsid w:val="0093730B"/>
    <w:rsid w:val="00937CB7"/>
    <w:rsid w:val="00940091"/>
    <w:rsid w:val="0094036F"/>
    <w:rsid w:val="0094051D"/>
    <w:rsid w:val="0094119D"/>
    <w:rsid w:val="00941E36"/>
    <w:rsid w:val="0094216B"/>
    <w:rsid w:val="009424C9"/>
    <w:rsid w:val="009424EE"/>
    <w:rsid w:val="00942CF2"/>
    <w:rsid w:val="00942F58"/>
    <w:rsid w:val="00943185"/>
    <w:rsid w:val="009435A1"/>
    <w:rsid w:val="00943632"/>
    <w:rsid w:val="00943C9F"/>
    <w:rsid w:val="00943CF1"/>
    <w:rsid w:val="00943D42"/>
    <w:rsid w:val="00943EC6"/>
    <w:rsid w:val="0094474D"/>
    <w:rsid w:val="009447CE"/>
    <w:rsid w:val="00944815"/>
    <w:rsid w:val="009449A5"/>
    <w:rsid w:val="009454F1"/>
    <w:rsid w:val="009463F3"/>
    <w:rsid w:val="009473F2"/>
    <w:rsid w:val="009477AC"/>
    <w:rsid w:val="009508E2"/>
    <w:rsid w:val="00951079"/>
    <w:rsid w:val="0095128E"/>
    <w:rsid w:val="00951BE1"/>
    <w:rsid w:val="00951D6B"/>
    <w:rsid w:val="00951E86"/>
    <w:rsid w:val="00952053"/>
    <w:rsid w:val="009521B2"/>
    <w:rsid w:val="00952357"/>
    <w:rsid w:val="00952AE3"/>
    <w:rsid w:val="00952EB0"/>
    <w:rsid w:val="00953D6F"/>
    <w:rsid w:val="00953E42"/>
    <w:rsid w:val="00953F73"/>
    <w:rsid w:val="00954492"/>
    <w:rsid w:val="0095497E"/>
    <w:rsid w:val="00954C83"/>
    <w:rsid w:val="00954DE6"/>
    <w:rsid w:val="009550DC"/>
    <w:rsid w:val="009551E8"/>
    <w:rsid w:val="00955912"/>
    <w:rsid w:val="00955A84"/>
    <w:rsid w:val="0095649C"/>
    <w:rsid w:val="00957837"/>
    <w:rsid w:val="00957E1B"/>
    <w:rsid w:val="009601A3"/>
    <w:rsid w:val="00960300"/>
    <w:rsid w:val="009605FF"/>
    <w:rsid w:val="00960B57"/>
    <w:rsid w:val="00960E27"/>
    <w:rsid w:val="0096136B"/>
    <w:rsid w:val="00961973"/>
    <w:rsid w:val="00961AD4"/>
    <w:rsid w:val="00962793"/>
    <w:rsid w:val="00962BE7"/>
    <w:rsid w:val="00962C8F"/>
    <w:rsid w:val="00963002"/>
    <w:rsid w:val="0096337E"/>
    <w:rsid w:val="00964771"/>
    <w:rsid w:val="00964E35"/>
    <w:rsid w:val="00964E53"/>
    <w:rsid w:val="00964EF9"/>
    <w:rsid w:val="009650C8"/>
    <w:rsid w:val="009651DF"/>
    <w:rsid w:val="00965760"/>
    <w:rsid w:val="009659BC"/>
    <w:rsid w:val="00965EA4"/>
    <w:rsid w:val="00966461"/>
    <w:rsid w:val="00966706"/>
    <w:rsid w:val="00966735"/>
    <w:rsid w:val="00966C33"/>
    <w:rsid w:val="00966ECD"/>
    <w:rsid w:val="00967C64"/>
    <w:rsid w:val="00967D7B"/>
    <w:rsid w:val="00967EF1"/>
    <w:rsid w:val="009703F2"/>
    <w:rsid w:val="009706B9"/>
    <w:rsid w:val="00970D09"/>
    <w:rsid w:val="00970E4C"/>
    <w:rsid w:val="00970FEB"/>
    <w:rsid w:val="0097211B"/>
    <w:rsid w:val="00972320"/>
    <w:rsid w:val="0097234F"/>
    <w:rsid w:val="00972AD0"/>
    <w:rsid w:val="00972FB5"/>
    <w:rsid w:val="009735F2"/>
    <w:rsid w:val="00973637"/>
    <w:rsid w:val="00973A35"/>
    <w:rsid w:val="00973D2F"/>
    <w:rsid w:val="00974001"/>
    <w:rsid w:val="0097404D"/>
    <w:rsid w:val="0097471B"/>
    <w:rsid w:val="00974A92"/>
    <w:rsid w:val="00974C47"/>
    <w:rsid w:val="00975262"/>
    <w:rsid w:val="00975326"/>
    <w:rsid w:val="00975B3F"/>
    <w:rsid w:val="00976845"/>
    <w:rsid w:val="00976AD8"/>
    <w:rsid w:val="00976BAE"/>
    <w:rsid w:val="00976BE4"/>
    <w:rsid w:val="00976DA7"/>
    <w:rsid w:val="00976E53"/>
    <w:rsid w:val="00977698"/>
    <w:rsid w:val="00977D48"/>
    <w:rsid w:val="00980000"/>
    <w:rsid w:val="00980170"/>
    <w:rsid w:val="00980417"/>
    <w:rsid w:val="00980EC7"/>
    <w:rsid w:val="00981117"/>
    <w:rsid w:val="00981BAC"/>
    <w:rsid w:val="00982379"/>
    <w:rsid w:val="009824AA"/>
    <w:rsid w:val="00982550"/>
    <w:rsid w:val="00982F7D"/>
    <w:rsid w:val="009831BD"/>
    <w:rsid w:val="00983459"/>
    <w:rsid w:val="00983919"/>
    <w:rsid w:val="00983A5C"/>
    <w:rsid w:val="009840B1"/>
    <w:rsid w:val="009844E8"/>
    <w:rsid w:val="0098578A"/>
    <w:rsid w:val="00985B1D"/>
    <w:rsid w:val="009862D8"/>
    <w:rsid w:val="00986449"/>
    <w:rsid w:val="009865FA"/>
    <w:rsid w:val="00986A6C"/>
    <w:rsid w:val="00986AE8"/>
    <w:rsid w:val="009870F9"/>
    <w:rsid w:val="009874E4"/>
    <w:rsid w:val="00987916"/>
    <w:rsid w:val="009879FF"/>
    <w:rsid w:val="00987FDE"/>
    <w:rsid w:val="00990201"/>
    <w:rsid w:val="00990513"/>
    <w:rsid w:val="0099051A"/>
    <w:rsid w:val="0099057B"/>
    <w:rsid w:val="00990CB4"/>
    <w:rsid w:val="00991149"/>
    <w:rsid w:val="00991769"/>
    <w:rsid w:val="009917D8"/>
    <w:rsid w:val="00991E79"/>
    <w:rsid w:val="00991EFB"/>
    <w:rsid w:val="00991F39"/>
    <w:rsid w:val="00992B16"/>
    <w:rsid w:val="00992D40"/>
    <w:rsid w:val="009934E8"/>
    <w:rsid w:val="009937BA"/>
    <w:rsid w:val="0099380C"/>
    <w:rsid w:val="00993A11"/>
    <w:rsid w:val="00993F10"/>
    <w:rsid w:val="00994B0F"/>
    <w:rsid w:val="00994DB7"/>
    <w:rsid w:val="00994DC9"/>
    <w:rsid w:val="00994DF6"/>
    <w:rsid w:val="009951F5"/>
    <w:rsid w:val="009957D2"/>
    <w:rsid w:val="0099585B"/>
    <w:rsid w:val="00995DD4"/>
    <w:rsid w:val="00996059"/>
    <w:rsid w:val="009960EA"/>
    <w:rsid w:val="0099624E"/>
    <w:rsid w:val="0099632F"/>
    <w:rsid w:val="009966A3"/>
    <w:rsid w:val="00996C63"/>
    <w:rsid w:val="00996D9A"/>
    <w:rsid w:val="00996F51"/>
    <w:rsid w:val="009977BC"/>
    <w:rsid w:val="00997E0D"/>
    <w:rsid w:val="009A02B0"/>
    <w:rsid w:val="009A0BFE"/>
    <w:rsid w:val="009A0D53"/>
    <w:rsid w:val="009A1288"/>
    <w:rsid w:val="009A1369"/>
    <w:rsid w:val="009A18D7"/>
    <w:rsid w:val="009A26C2"/>
    <w:rsid w:val="009A2C58"/>
    <w:rsid w:val="009A2E13"/>
    <w:rsid w:val="009A321E"/>
    <w:rsid w:val="009A3851"/>
    <w:rsid w:val="009A3959"/>
    <w:rsid w:val="009A3DAF"/>
    <w:rsid w:val="009A3F5F"/>
    <w:rsid w:val="009A5CCE"/>
    <w:rsid w:val="009A5E7B"/>
    <w:rsid w:val="009A63DF"/>
    <w:rsid w:val="009A6DE6"/>
    <w:rsid w:val="009A7008"/>
    <w:rsid w:val="009A74A2"/>
    <w:rsid w:val="009A7AC6"/>
    <w:rsid w:val="009A7C00"/>
    <w:rsid w:val="009A7F8D"/>
    <w:rsid w:val="009A7FF5"/>
    <w:rsid w:val="009B0C76"/>
    <w:rsid w:val="009B0D25"/>
    <w:rsid w:val="009B0DFA"/>
    <w:rsid w:val="009B1142"/>
    <w:rsid w:val="009B1963"/>
    <w:rsid w:val="009B2000"/>
    <w:rsid w:val="009B23C5"/>
    <w:rsid w:val="009B2DBC"/>
    <w:rsid w:val="009B347E"/>
    <w:rsid w:val="009B3FD5"/>
    <w:rsid w:val="009B4740"/>
    <w:rsid w:val="009B4D67"/>
    <w:rsid w:val="009B4EF7"/>
    <w:rsid w:val="009B4F57"/>
    <w:rsid w:val="009B514D"/>
    <w:rsid w:val="009B5CFC"/>
    <w:rsid w:val="009B5D4D"/>
    <w:rsid w:val="009B618F"/>
    <w:rsid w:val="009B621E"/>
    <w:rsid w:val="009B66FC"/>
    <w:rsid w:val="009B677D"/>
    <w:rsid w:val="009B7428"/>
    <w:rsid w:val="009B7474"/>
    <w:rsid w:val="009B75B0"/>
    <w:rsid w:val="009B7697"/>
    <w:rsid w:val="009B7ADC"/>
    <w:rsid w:val="009C0FB3"/>
    <w:rsid w:val="009C1135"/>
    <w:rsid w:val="009C1361"/>
    <w:rsid w:val="009C13F9"/>
    <w:rsid w:val="009C1634"/>
    <w:rsid w:val="009C1845"/>
    <w:rsid w:val="009C19FC"/>
    <w:rsid w:val="009C1BE8"/>
    <w:rsid w:val="009C29ED"/>
    <w:rsid w:val="009C2D46"/>
    <w:rsid w:val="009C2EA0"/>
    <w:rsid w:val="009C2EA4"/>
    <w:rsid w:val="009C3396"/>
    <w:rsid w:val="009C36FD"/>
    <w:rsid w:val="009C3FCE"/>
    <w:rsid w:val="009C542F"/>
    <w:rsid w:val="009C55F6"/>
    <w:rsid w:val="009C5657"/>
    <w:rsid w:val="009C57E0"/>
    <w:rsid w:val="009C5F04"/>
    <w:rsid w:val="009C6016"/>
    <w:rsid w:val="009C6B6D"/>
    <w:rsid w:val="009C6C6A"/>
    <w:rsid w:val="009C71A1"/>
    <w:rsid w:val="009C77F3"/>
    <w:rsid w:val="009C7AD2"/>
    <w:rsid w:val="009C7B46"/>
    <w:rsid w:val="009C7BC1"/>
    <w:rsid w:val="009C7D4D"/>
    <w:rsid w:val="009D039D"/>
    <w:rsid w:val="009D049A"/>
    <w:rsid w:val="009D0531"/>
    <w:rsid w:val="009D09D8"/>
    <w:rsid w:val="009D0E9F"/>
    <w:rsid w:val="009D0F6A"/>
    <w:rsid w:val="009D21EA"/>
    <w:rsid w:val="009D2A49"/>
    <w:rsid w:val="009D2CC7"/>
    <w:rsid w:val="009D2FA2"/>
    <w:rsid w:val="009D32A8"/>
    <w:rsid w:val="009D37BE"/>
    <w:rsid w:val="009D42E1"/>
    <w:rsid w:val="009D57ED"/>
    <w:rsid w:val="009D5805"/>
    <w:rsid w:val="009D5CBF"/>
    <w:rsid w:val="009D5ED7"/>
    <w:rsid w:val="009D6E50"/>
    <w:rsid w:val="009D6E6D"/>
    <w:rsid w:val="009D79BA"/>
    <w:rsid w:val="009D7FF7"/>
    <w:rsid w:val="009E0095"/>
    <w:rsid w:val="009E04E3"/>
    <w:rsid w:val="009E0C1E"/>
    <w:rsid w:val="009E1588"/>
    <w:rsid w:val="009E16F1"/>
    <w:rsid w:val="009E1ED1"/>
    <w:rsid w:val="009E26AE"/>
    <w:rsid w:val="009E29D6"/>
    <w:rsid w:val="009E2DCC"/>
    <w:rsid w:val="009E3678"/>
    <w:rsid w:val="009E3735"/>
    <w:rsid w:val="009E3837"/>
    <w:rsid w:val="009E390C"/>
    <w:rsid w:val="009E3C3E"/>
    <w:rsid w:val="009E3E0C"/>
    <w:rsid w:val="009E41C8"/>
    <w:rsid w:val="009E4212"/>
    <w:rsid w:val="009E4E8C"/>
    <w:rsid w:val="009E52A9"/>
    <w:rsid w:val="009E593B"/>
    <w:rsid w:val="009E5DE3"/>
    <w:rsid w:val="009E5F48"/>
    <w:rsid w:val="009E5FA5"/>
    <w:rsid w:val="009E5FF9"/>
    <w:rsid w:val="009E78E2"/>
    <w:rsid w:val="009F05F8"/>
    <w:rsid w:val="009F10E7"/>
    <w:rsid w:val="009F1792"/>
    <w:rsid w:val="009F1CE7"/>
    <w:rsid w:val="009F1E30"/>
    <w:rsid w:val="009F25BF"/>
    <w:rsid w:val="009F2AE2"/>
    <w:rsid w:val="009F3043"/>
    <w:rsid w:val="009F3799"/>
    <w:rsid w:val="009F3BEC"/>
    <w:rsid w:val="009F420F"/>
    <w:rsid w:val="009F4440"/>
    <w:rsid w:val="009F472D"/>
    <w:rsid w:val="009F4C76"/>
    <w:rsid w:val="009F4F5F"/>
    <w:rsid w:val="009F5020"/>
    <w:rsid w:val="009F55AC"/>
    <w:rsid w:val="009F57A9"/>
    <w:rsid w:val="009F5A01"/>
    <w:rsid w:val="009F5DF1"/>
    <w:rsid w:val="009F6111"/>
    <w:rsid w:val="009F67A3"/>
    <w:rsid w:val="009F6F07"/>
    <w:rsid w:val="009F7BB5"/>
    <w:rsid w:val="00A006A6"/>
    <w:rsid w:val="00A01238"/>
    <w:rsid w:val="00A01B05"/>
    <w:rsid w:val="00A02470"/>
    <w:rsid w:val="00A027CD"/>
    <w:rsid w:val="00A028CE"/>
    <w:rsid w:val="00A02A60"/>
    <w:rsid w:val="00A03042"/>
    <w:rsid w:val="00A0315B"/>
    <w:rsid w:val="00A03168"/>
    <w:rsid w:val="00A031FB"/>
    <w:rsid w:val="00A03848"/>
    <w:rsid w:val="00A03B96"/>
    <w:rsid w:val="00A03EA0"/>
    <w:rsid w:val="00A042CC"/>
    <w:rsid w:val="00A045F0"/>
    <w:rsid w:val="00A048EA"/>
    <w:rsid w:val="00A04BEA"/>
    <w:rsid w:val="00A04C47"/>
    <w:rsid w:val="00A060B2"/>
    <w:rsid w:val="00A062A0"/>
    <w:rsid w:val="00A06339"/>
    <w:rsid w:val="00A068C5"/>
    <w:rsid w:val="00A06CCC"/>
    <w:rsid w:val="00A06E71"/>
    <w:rsid w:val="00A07B6A"/>
    <w:rsid w:val="00A07BBD"/>
    <w:rsid w:val="00A10836"/>
    <w:rsid w:val="00A10E69"/>
    <w:rsid w:val="00A10F90"/>
    <w:rsid w:val="00A10FF7"/>
    <w:rsid w:val="00A1121B"/>
    <w:rsid w:val="00A11275"/>
    <w:rsid w:val="00A120C5"/>
    <w:rsid w:val="00A124FF"/>
    <w:rsid w:val="00A1272F"/>
    <w:rsid w:val="00A12807"/>
    <w:rsid w:val="00A12EBF"/>
    <w:rsid w:val="00A1368F"/>
    <w:rsid w:val="00A13779"/>
    <w:rsid w:val="00A13A28"/>
    <w:rsid w:val="00A13A3F"/>
    <w:rsid w:val="00A13D4A"/>
    <w:rsid w:val="00A13E7D"/>
    <w:rsid w:val="00A14ADE"/>
    <w:rsid w:val="00A14C0E"/>
    <w:rsid w:val="00A152E6"/>
    <w:rsid w:val="00A15495"/>
    <w:rsid w:val="00A157AA"/>
    <w:rsid w:val="00A15912"/>
    <w:rsid w:val="00A159DB"/>
    <w:rsid w:val="00A16431"/>
    <w:rsid w:val="00A16468"/>
    <w:rsid w:val="00A1665F"/>
    <w:rsid w:val="00A16BA3"/>
    <w:rsid w:val="00A16D1F"/>
    <w:rsid w:val="00A1792C"/>
    <w:rsid w:val="00A17966"/>
    <w:rsid w:val="00A17DA6"/>
    <w:rsid w:val="00A2077D"/>
    <w:rsid w:val="00A20828"/>
    <w:rsid w:val="00A220A4"/>
    <w:rsid w:val="00A220CE"/>
    <w:rsid w:val="00A22617"/>
    <w:rsid w:val="00A23126"/>
    <w:rsid w:val="00A2431D"/>
    <w:rsid w:val="00A24437"/>
    <w:rsid w:val="00A244EF"/>
    <w:rsid w:val="00A2476F"/>
    <w:rsid w:val="00A25591"/>
    <w:rsid w:val="00A2561D"/>
    <w:rsid w:val="00A25AC0"/>
    <w:rsid w:val="00A25AFB"/>
    <w:rsid w:val="00A25BC3"/>
    <w:rsid w:val="00A260CC"/>
    <w:rsid w:val="00A265BF"/>
    <w:rsid w:val="00A27177"/>
    <w:rsid w:val="00A27411"/>
    <w:rsid w:val="00A27499"/>
    <w:rsid w:val="00A27906"/>
    <w:rsid w:val="00A27E09"/>
    <w:rsid w:val="00A27F7B"/>
    <w:rsid w:val="00A30586"/>
    <w:rsid w:val="00A30CCD"/>
    <w:rsid w:val="00A32CF6"/>
    <w:rsid w:val="00A32F27"/>
    <w:rsid w:val="00A33A0D"/>
    <w:rsid w:val="00A33CBA"/>
    <w:rsid w:val="00A340D1"/>
    <w:rsid w:val="00A34385"/>
    <w:rsid w:val="00A34A15"/>
    <w:rsid w:val="00A34D33"/>
    <w:rsid w:val="00A356A1"/>
    <w:rsid w:val="00A35812"/>
    <w:rsid w:val="00A35BD1"/>
    <w:rsid w:val="00A35E51"/>
    <w:rsid w:val="00A367B3"/>
    <w:rsid w:val="00A369D5"/>
    <w:rsid w:val="00A36A1F"/>
    <w:rsid w:val="00A37AFF"/>
    <w:rsid w:val="00A402B5"/>
    <w:rsid w:val="00A40687"/>
    <w:rsid w:val="00A41FE8"/>
    <w:rsid w:val="00A42717"/>
    <w:rsid w:val="00A42780"/>
    <w:rsid w:val="00A4286C"/>
    <w:rsid w:val="00A42DE0"/>
    <w:rsid w:val="00A43151"/>
    <w:rsid w:val="00A431E4"/>
    <w:rsid w:val="00A43835"/>
    <w:rsid w:val="00A43AD3"/>
    <w:rsid w:val="00A44021"/>
    <w:rsid w:val="00A445E4"/>
    <w:rsid w:val="00A447A8"/>
    <w:rsid w:val="00A449BD"/>
    <w:rsid w:val="00A451C0"/>
    <w:rsid w:val="00A455D8"/>
    <w:rsid w:val="00A4595F"/>
    <w:rsid w:val="00A45C02"/>
    <w:rsid w:val="00A45EED"/>
    <w:rsid w:val="00A46384"/>
    <w:rsid w:val="00A472A6"/>
    <w:rsid w:val="00A47C78"/>
    <w:rsid w:val="00A47F19"/>
    <w:rsid w:val="00A506F4"/>
    <w:rsid w:val="00A50843"/>
    <w:rsid w:val="00A50C21"/>
    <w:rsid w:val="00A516A4"/>
    <w:rsid w:val="00A51A82"/>
    <w:rsid w:val="00A5237A"/>
    <w:rsid w:val="00A525D7"/>
    <w:rsid w:val="00A52FC3"/>
    <w:rsid w:val="00A53104"/>
    <w:rsid w:val="00A53118"/>
    <w:rsid w:val="00A537E2"/>
    <w:rsid w:val="00A538BF"/>
    <w:rsid w:val="00A538F8"/>
    <w:rsid w:val="00A547F7"/>
    <w:rsid w:val="00A54A66"/>
    <w:rsid w:val="00A54AF8"/>
    <w:rsid w:val="00A54D4C"/>
    <w:rsid w:val="00A54EA4"/>
    <w:rsid w:val="00A55727"/>
    <w:rsid w:val="00A558B7"/>
    <w:rsid w:val="00A55E6C"/>
    <w:rsid w:val="00A5798E"/>
    <w:rsid w:val="00A57D8F"/>
    <w:rsid w:val="00A57F5B"/>
    <w:rsid w:val="00A601A1"/>
    <w:rsid w:val="00A605DE"/>
    <w:rsid w:val="00A60903"/>
    <w:rsid w:val="00A61229"/>
    <w:rsid w:val="00A61688"/>
    <w:rsid w:val="00A617D6"/>
    <w:rsid w:val="00A61895"/>
    <w:rsid w:val="00A62044"/>
    <w:rsid w:val="00A62A5A"/>
    <w:rsid w:val="00A62A9A"/>
    <w:rsid w:val="00A62CB2"/>
    <w:rsid w:val="00A6335D"/>
    <w:rsid w:val="00A6372A"/>
    <w:rsid w:val="00A6396A"/>
    <w:rsid w:val="00A641FC"/>
    <w:rsid w:val="00A644A0"/>
    <w:rsid w:val="00A6451A"/>
    <w:rsid w:val="00A64953"/>
    <w:rsid w:val="00A64A7F"/>
    <w:rsid w:val="00A65D47"/>
    <w:rsid w:val="00A66556"/>
    <w:rsid w:val="00A66732"/>
    <w:rsid w:val="00A66BDB"/>
    <w:rsid w:val="00A67170"/>
    <w:rsid w:val="00A67578"/>
    <w:rsid w:val="00A6785E"/>
    <w:rsid w:val="00A70626"/>
    <w:rsid w:val="00A7077C"/>
    <w:rsid w:val="00A70A9A"/>
    <w:rsid w:val="00A71432"/>
    <w:rsid w:val="00A71638"/>
    <w:rsid w:val="00A71D2B"/>
    <w:rsid w:val="00A7211D"/>
    <w:rsid w:val="00A7249E"/>
    <w:rsid w:val="00A72C38"/>
    <w:rsid w:val="00A72C47"/>
    <w:rsid w:val="00A735B1"/>
    <w:rsid w:val="00A7366E"/>
    <w:rsid w:val="00A73D2F"/>
    <w:rsid w:val="00A73E16"/>
    <w:rsid w:val="00A742BA"/>
    <w:rsid w:val="00A745F5"/>
    <w:rsid w:val="00A748CD"/>
    <w:rsid w:val="00A74BAC"/>
    <w:rsid w:val="00A7596B"/>
    <w:rsid w:val="00A75BBB"/>
    <w:rsid w:val="00A75BC5"/>
    <w:rsid w:val="00A75C18"/>
    <w:rsid w:val="00A765C0"/>
    <w:rsid w:val="00A76806"/>
    <w:rsid w:val="00A76A43"/>
    <w:rsid w:val="00A76AE9"/>
    <w:rsid w:val="00A76C9B"/>
    <w:rsid w:val="00A77486"/>
    <w:rsid w:val="00A7753A"/>
    <w:rsid w:val="00A802E9"/>
    <w:rsid w:val="00A80683"/>
    <w:rsid w:val="00A80971"/>
    <w:rsid w:val="00A80D0B"/>
    <w:rsid w:val="00A80EDD"/>
    <w:rsid w:val="00A817AE"/>
    <w:rsid w:val="00A81CC7"/>
    <w:rsid w:val="00A822AC"/>
    <w:rsid w:val="00A83077"/>
    <w:rsid w:val="00A839B1"/>
    <w:rsid w:val="00A83F30"/>
    <w:rsid w:val="00A84150"/>
    <w:rsid w:val="00A84721"/>
    <w:rsid w:val="00A84A2C"/>
    <w:rsid w:val="00A84BFE"/>
    <w:rsid w:val="00A85F2B"/>
    <w:rsid w:val="00A86083"/>
    <w:rsid w:val="00A868D6"/>
    <w:rsid w:val="00A86E6A"/>
    <w:rsid w:val="00A86F58"/>
    <w:rsid w:val="00A86FC8"/>
    <w:rsid w:val="00A87403"/>
    <w:rsid w:val="00A87BB4"/>
    <w:rsid w:val="00A909C6"/>
    <w:rsid w:val="00A90A65"/>
    <w:rsid w:val="00A9128D"/>
    <w:rsid w:val="00A9133E"/>
    <w:rsid w:val="00A9153D"/>
    <w:rsid w:val="00A915E0"/>
    <w:rsid w:val="00A92673"/>
    <w:rsid w:val="00A92C2E"/>
    <w:rsid w:val="00A94100"/>
    <w:rsid w:val="00A94C24"/>
    <w:rsid w:val="00A953E4"/>
    <w:rsid w:val="00A95C8D"/>
    <w:rsid w:val="00A95FF9"/>
    <w:rsid w:val="00A961CA"/>
    <w:rsid w:val="00A96EF2"/>
    <w:rsid w:val="00A9766F"/>
    <w:rsid w:val="00A976AC"/>
    <w:rsid w:val="00AA0228"/>
    <w:rsid w:val="00AA0820"/>
    <w:rsid w:val="00AA099E"/>
    <w:rsid w:val="00AA0CD5"/>
    <w:rsid w:val="00AA1099"/>
    <w:rsid w:val="00AA1988"/>
    <w:rsid w:val="00AA1ADD"/>
    <w:rsid w:val="00AA1B72"/>
    <w:rsid w:val="00AA1F44"/>
    <w:rsid w:val="00AA2729"/>
    <w:rsid w:val="00AA2955"/>
    <w:rsid w:val="00AA3234"/>
    <w:rsid w:val="00AA34B2"/>
    <w:rsid w:val="00AA39C7"/>
    <w:rsid w:val="00AA3F9B"/>
    <w:rsid w:val="00AA4390"/>
    <w:rsid w:val="00AA440C"/>
    <w:rsid w:val="00AA48B5"/>
    <w:rsid w:val="00AA4AE1"/>
    <w:rsid w:val="00AA4C01"/>
    <w:rsid w:val="00AA513D"/>
    <w:rsid w:val="00AA5146"/>
    <w:rsid w:val="00AA5308"/>
    <w:rsid w:val="00AA569A"/>
    <w:rsid w:val="00AA5889"/>
    <w:rsid w:val="00AA5E87"/>
    <w:rsid w:val="00AA66E1"/>
    <w:rsid w:val="00AA6769"/>
    <w:rsid w:val="00AA6C0B"/>
    <w:rsid w:val="00AA7271"/>
    <w:rsid w:val="00AA78AB"/>
    <w:rsid w:val="00AA79B4"/>
    <w:rsid w:val="00AB0030"/>
    <w:rsid w:val="00AB016F"/>
    <w:rsid w:val="00AB106B"/>
    <w:rsid w:val="00AB1A81"/>
    <w:rsid w:val="00AB1E32"/>
    <w:rsid w:val="00AB2656"/>
    <w:rsid w:val="00AB2766"/>
    <w:rsid w:val="00AB281E"/>
    <w:rsid w:val="00AB2CE2"/>
    <w:rsid w:val="00AB3737"/>
    <w:rsid w:val="00AB3E37"/>
    <w:rsid w:val="00AB3F01"/>
    <w:rsid w:val="00AB4122"/>
    <w:rsid w:val="00AB436B"/>
    <w:rsid w:val="00AB450E"/>
    <w:rsid w:val="00AB46CE"/>
    <w:rsid w:val="00AB4AA9"/>
    <w:rsid w:val="00AB4B5D"/>
    <w:rsid w:val="00AB5205"/>
    <w:rsid w:val="00AB55A5"/>
    <w:rsid w:val="00AB5E99"/>
    <w:rsid w:val="00AB63B3"/>
    <w:rsid w:val="00AB64A1"/>
    <w:rsid w:val="00AB65E9"/>
    <w:rsid w:val="00AB67A4"/>
    <w:rsid w:val="00AB6EA6"/>
    <w:rsid w:val="00AB6F53"/>
    <w:rsid w:val="00AC0553"/>
    <w:rsid w:val="00AC0A15"/>
    <w:rsid w:val="00AC0DDF"/>
    <w:rsid w:val="00AC0FB9"/>
    <w:rsid w:val="00AC11F8"/>
    <w:rsid w:val="00AC1444"/>
    <w:rsid w:val="00AC1878"/>
    <w:rsid w:val="00AC1E88"/>
    <w:rsid w:val="00AC2554"/>
    <w:rsid w:val="00AC2C4C"/>
    <w:rsid w:val="00AC32AE"/>
    <w:rsid w:val="00AC3433"/>
    <w:rsid w:val="00AC34E3"/>
    <w:rsid w:val="00AC365C"/>
    <w:rsid w:val="00AC4A1B"/>
    <w:rsid w:val="00AC5709"/>
    <w:rsid w:val="00AC5729"/>
    <w:rsid w:val="00AC5EC1"/>
    <w:rsid w:val="00AC64E7"/>
    <w:rsid w:val="00AC6A75"/>
    <w:rsid w:val="00AC6C74"/>
    <w:rsid w:val="00AC7110"/>
    <w:rsid w:val="00AC7257"/>
    <w:rsid w:val="00AC73AD"/>
    <w:rsid w:val="00AC7AD0"/>
    <w:rsid w:val="00AC7E32"/>
    <w:rsid w:val="00AD072B"/>
    <w:rsid w:val="00AD0B03"/>
    <w:rsid w:val="00AD0BAB"/>
    <w:rsid w:val="00AD1495"/>
    <w:rsid w:val="00AD14F0"/>
    <w:rsid w:val="00AD165B"/>
    <w:rsid w:val="00AD298F"/>
    <w:rsid w:val="00AD2ED3"/>
    <w:rsid w:val="00AD2F32"/>
    <w:rsid w:val="00AD3607"/>
    <w:rsid w:val="00AD3765"/>
    <w:rsid w:val="00AD3B38"/>
    <w:rsid w:val="00AD3C13"/>
    <w:rsid w:val="00AD45E1"/>
    <w:rsid w:val="00AD4ACD"/>
    <w:rsid w:val="00AD5070"/>
    <w:rsid w:val="00AD538B"/>
    <w:rsid w:val="00AD5392"/>
    <w:rsid w:val="00AD5C5B"/>
    <w:rsid w:val="00AD5CDD"/>
    <w:rsid w:val="00AD616F"/>
    <w:rsid w:val="00AD6634"/>
    <w:rsid w:val="00AD69E4"/>
    <w:rsid w:val="00AD6E9D"/>
    <w:rsid w:val="00AD6F61"/>
    <w:rsid w:val="00AD7003"/>
    <w:rsid w:val="00AD7089"/>
    <w:rsid w:val="00AD720D"/>
    <w:rsid w:val="00AD72DD"/>
    <w:rsid w:val="00AD73E8"/>
    <w:rsid w:val="00AD7607"/>
    <w:rsid w:val="00AD7973"/>
    <w:rsid w:val="00AD7E8D"/>
    <w:rsid w:val="00AE04F8"/>
    <w:rsid w:val="00AE07CA"/>
    <w:rsid w:val="00AE0B4D"/>
    <w:rsid w:val="00AE0D65"/>
    <w:rsid w:val="00AE1094"/>
    <w:rsid w:val="00AE121C"/>
    <w:rsid w:val="00AE1DC9"/>
    <w:rsid w:val="00AE1EC7"/>
    <w:rsid w:val="00AE2740"/>
    <w:rsid w:val="00AE2E16"/>
    <w:rsid w:val="00AE2EC4"/>
    <w:rsid w:val="00AE3308"/>
    <w:rsid w:val="00AE34F5"/>
    <w:rsid w:val="00AE3693"/>
    <w:rsid w:val="00AE376A"/>
    <w:rsid w:val="00AE3B1A"/>
    <w:rsid w:val="00AE42EF"/>
    <w:rsid w:val="00AE4776"/>
    <w:rsid w:val="00AE525A"/>
    <w:rsid w:val="00AE540B"/>
    <w:rsid w:val="00AE65D5"/>
    <w:rsid w:val="00AE6829"/>
    <w:rsid w:val="00AE68AB"/>
    <w:rsid w:val="00AE696D"/>
    <w:rsid w:val="00AE6E83"/>
    <w:rsid w:val="00AE7A7B"/>
    <w:rsid w:val="00AE7DB1"/>
    <w:rsid w:val="00AF03B1"/>
    <w:rsid w:val="00AF1634"/>
    <w:rsid w:val="00AF19D0"/>
    <w:rsid w:val="00AF1A28"/>
    <w:rsid w:val="00AF1AEB"/>
    <w:rsid w:val="00AF1BD6"/>
    <w:rsid w:val="00AF1DFB"/>
    <w:rsid w:val="00AF1EAA"/>
    <w:rsid w:val="00AF23F6"/>
    <w:rsid w:val="00AF25D4"/>
    <w:rsid w:val="00AF2637"/>
    <w:rsid w:val="00AF2673"/>
    <w:rsid w:val="00AF2B99"/>
    <w:rsid w:val="00AF36E4"/>
    <w:rsid w:val="00AF47A9"/>
    <w:rsid w:val="00AF4879"/>
    <w:rsid w:val="00AF4E8D"/>
    <w:rsid w:val="00AF4E94"/>
    <w:rsid w:val="00AF517F"/>
    <w:rsid w:val="00AF5C36"/>
    <w:rsid w:val="00AF5F67"/>
    <w:rsid w:val="00AF6259"/>
    <w:rsid w:val="00AF66DE"/>
    <w:rsid w:val="00AF7055"/>
    <w:rsid w:val="00AF7506"/>
    <w:rsid w:val="00B002A2"/>
    <w:rsid w:val="00B00654"/>
    <w:rsid w:val="00B00851"/>
    <w:rsid w:val="00B00942"/>
    <w:rsid w:val="00B00DC8"/>
    <w:rsid w:val="00B01150"/>
    <w:rsid w:val="00B017CC"/>
    <w:rsid w:val="00B0198E"/>
    <w:rsid w:val="00B01E2B"/>
    <w:rsid w:val="00B01FFE"/>
    <w:rsid w:val="00B021FF"/>
    <w:rsid w:val="00B0225A"/>
    <w:rsid w:val="00B02AFB"/>
    <w:rsid w:val="00B02BA7"/>
    <w:rsid w:val="00B02E8D"/>
    <w:rsid w:val="00B03924"/>
    <w:rsid w:val="00B03FA4"/>
    <w:rsid w:val="00B04E7E"/>
    <w:rsid w:val="00B05338"/>
    <w:rsid w:val="00B05AA7"/>
    <w:rsid w:val="00B05B77"/>
    <w:rsid w:val="00B05C2F"/>
    <w:rsid w:val="00B05C9C"/>
    <w:rsid w:val="00B05E40"/>
    <w:rsid w:val="00B05F0B"/>
    <w:rsid w:val="00B06318"/>
    <w:rsid w:val="00B06696"/>
    <w:rsid w:val="00B06B13"/>
    <w:rsid w:val="00B06C0E"/>
    <w:rsid w:val="00B06E45"/>
    <w:rsid w:val="00B06F3A"/>
    <w:rsid w:val="00B070F6"/>
    <w:rsid w:val="00B07215"/>
    <w:rsid w:val="00B07685"/>
    <w:rsid w:val="00B10093"/>
    <w:rsid w:val="00B104C7"/>
    <w:rsid w:val="00B10821"/>
    <w:rsid w:val="00B10A17"/>
    <w:rsid w:val="00B10A35"/>
    <w:rsid w:val="00B10F0D"/>
    <w:rsid w:val="00B10FC3"/>
    <w:rsid w:val="00B1124C"/>
    <w:rsid w:val="00B11295"/>
    <w:rsid w:val="00B116BE"/>
    <w:rsid w:val="00B12E71"/>
    <w:rsid w:val="00B12FF6"/>
    <w:rsid w:val="00B13BF4"/>
    <w:rsid w:val="00B14811"/>
    <w:rsid w:val="00B148A2"/>
    <w:rsid w:val="00B14F58"/>
    <w:rsid w:val="00B15D37"/>
    <w:rsid w:val="00B15D7A"/>
    <w:rsid w:val="00B15DE0"/>
    <w:rsid w:val="00B1649D"/>
    <w:rsid w:val="00B1699D"/>
    <w:rsid w:val="00B16BF5"/>
    <w:rsid w:val="00B16DED"/>
    <w:rsid w:val="00B16F08"/>
    <w:rsid w:val="00B17404"/>
    <w:rsid w:val="00B201F4"/>
    <w:rsid w:val="00B202E9"/>
    <w:rsid w:val="00B2038F"/>
    <w:rsid w:val="00B203A6"/>
    <w:rsid w:val="00B2054D"/>
    <w:rsid w:val="00B21D53"/>
    <w:rsid w:val="00B22338"/>
    <w:rsid w:val="00B227E7"/>
    <w:rsid w:val="00B22804"/>
    <w:rsid w:val="00B22F32"/>
    <w:rsid w:val="00B2341E"/>
    <w:rsid w:val="00B23A1E"/>
    <w:rsid w:val="00B24863"/>
    <w:rsid w:val="00B248F8"/>
    <w:rsid w:val="00B24A30"/>
    <w:rsid w:val="00B24AEE"/>
    <w:rsid w:val="00B25AE1"/>
    <w:rsid w:val="00B26E69"/>
    <w:rsid w:val="00B27D38"/>
    <w:rsid w:val="00B27F51"/>
    <w:rsid w:val="00B30450"/>
    <w:rsid w:val="00B30553"/>
    <w:rsid w:val="00B30755"/>
    <w:rsid w:val="00B30BC0"/>
    <w:rsid w:val="00B3123D"/>
    <w:rsid w:val="00B3141A"/>
    <w:rsid w:val="00B31514"/>
    <w:rsid w:val="00B31864"/>
    <w:rsid w:val="00B31A53"/>
    <w:rsid w:val="00B31ADD"/>
    <w:rsid w:val="00B31EDA"/>
    <w:rsid w:val="00B31F1D"/>
    <w:rsid w:val="00B323AA"/>
    <w:rsid w:val="00B32DE5"/>
    <w:rsid w:val="00B333C6"/>
    <w:rsid w:val="00B33475"/>
    <w:rsid w:val="00B338C6"/>
    <w:rsid w:val="00B33A5B"/>
    <w:rsid w:val="00B33F8E"/>
    <w:rsid w:val="00B341E0"/>
    <w:rsid w:val="00B34340"/>
    <w:rsid w:val="00B34EC1"/>
    <w:rsid w:val="00B35041"/>
    <w:rsid w:val="00B35070"/>
    <w:rsid w:val="00B353BE"/>
    <w:rsid w:val="00B35855"/>
    <w:rsid w:val="00B35980"/>
    <w:rsid w:val="00B36301"/>
    <w:rsid w:val="00B377ED"/>
    <w:rsid w:val="00B37CAB"/>
    <w:rsid w:val="00B4006F"/>
    <w:rsid w:val="00B4050B"/>
    <w:rsid w:val="00B409AD"/>
    <w:rsid w:val="00B41983"/>
    <w:rsid w:val="00B41A07"/>
    <w:rsid w:val="00B4229E"/>
    <w:rsid w:val="00B4242F"/>
    <w:rsid w:val="00B432AE"/>
    <w:rsid w:val="00B435C7"/>
    <w:rsid w:val="00B44377"/>
    <w:rsid w:val="00B4484D"/>
    <w:rsid w:val="00B449E5"/>
    <w:rsid w:val="00B44AB3"/>
    <w:rsid w:val="00B45472"/>
    <w:rsid w:val="00B455F5"/>
    <w:rsid w:val="00B45AC7"/>
    <w:rsid w:val="00B45C43"/>
    <w:rsid w:val="00B46132"/>
    <w:rsid w:val="00B4616B"/>
    <w:rsid w:val="00B461D9"/>
    <w:rsid w:val="00B463AD"/>
    <w:rsid w:val="00B46452"/>
    <w:rsid w:val="00B466F9"/>
    <w:rsid w:val="00B468CB"/>
    <w:rsid w:val="00B47013"/>
    <w:rsid w:val="00B4714A"/>
    <w:rsid w:val="00B472C9"/>
    <w:rsid w:val="00B47FD2"/>
    <w:rsid w:val="00B5117B"/>
    <w:rsid w:val="00B512BC"/>
    <w:rsid w:val="00B51487"/>
    <w:rsid w:val="00B518F8"/>
    <w:rsid w:val="00B51B6B"/>
    <w:rsid w:val="00B524B2"/>
    <w:rsid w:val="00B52790"/>
    <w:rsid w:val="00B5288E"/>
    <w:rsid w:val="00B528DE"/>
    <w:rsid w:val="00B52991"/>
    <w:rsid w:val="00B529C1"/>
    <w:rsid w:val="00B52C2E"/>
    <w:rsid w:val="00B52D4E"/>
    <w:rsid w:val="00B5303E"/>
    <w:rsid w:val="00B53DAC"/>
    <w:rsid w:val="00B540DE"/>
    <w:rsid w:val="00B5472F"/>
    <w:rsid w:val="00B54EB5"/>
    <w:rsid w:val="00B54FB7"/>
    <w:rsid w:val="00B552F8"/>
    <w:rsid w:val="00B55366"/>
    <w:rsid w:val="00B55597"/>
    <w:rsid w:val="00B55D09"/>
    <w:rsid w:val="00B55F04"/>
    <w:rsid w:val="00B56A91"/>
    <w:rsid w:val="00B5748A"/>
    <w:rsid w:val="00B6004A"/>
    <w:rsid w:val="00B60408"/>
    <w:rsid w:val="00B6160B"/>
    <w:rsid w:val="00B61770"/>
    <w:rsid w:val="00B63479"/>
    <w:rsid w:val="00B6387B"/>
    <w:rsid w:val="00B63A0A"/>
    <w:rsid w:val="00B64133"/>
    <w:rsid w:val="00B6499E"/>
    <w:rsid w:val="00B64E79"/>
    <w:rsid w:val="00B64EFE"/>
    <w:rsid w:val="00B6568D"/>
    <w:rsid w:val="00B65902"/>
    <w:rsid w:val="00B65921"/>
    <w:rsid w:val="00B659D8"/>
    <w:rsid w:val="00B6676A"/>
    <w:rsid w:val="00B66A83"/>
    <w:rsid w:val="00B66A99"/>
    <w:rsid w:val="00B67C27"/>
    <w:rsid w:val="00B67DB6"/>
    <w:rsid w:val="00B700EF"/>
    <w:rsid w:val="00B70382"/>
    <w:rsid w:val="00B70AEE"/>
    <w:rsid w:val="00B716F0"/>
    <w:rsid w:val="00B71B5B"/>
    <w:rsid w:val="00B71DF7"/>
    <w:rsid w:val="00B7256C"/>
    <w:rsid w:val="00B72577"/>
    <w:rsid w:val="00B727EF"/>
    <w:rsid w:val="00B728B2"/>
    <w:rsid w:val="00B72AC1"/>
    <w:rsid w:val="00B736B8"/>
    <w:rsid w:val="00B73734"/>
    <w:rsid w:val="00B73910"/>
    <w:rsid w:val="00B73AA8"/>
    <w:rsid w:val="00B73F0E"/>
    <w:rsid w:val="00B74654"/>
    <w:rsid w:val="00B74D9E"/>
    <w:rsid w:val="00B753A4"/>
    <w:rsid w:val="00B75973"/>
    <w:rsid w:val="00B75BE3"/>
    <w:rsid w:val="00B75F82"/>
    <w:rsid w:val="00B762D3"/>
    <w:rsid w:val="00B76527"/>
    <w:rsid w:val="00B765F0"/>
    <w:rsid w:val="00B76C00"/>
    <w:rsid w:val="00B77291"/>
    <w:rsid w:val="00B77D8F"/>
    <w:rsid w:val="00B80544"/>
    <w:rsid w:val="00B808F5"/>
    <w:rsid w:val="00B809D9"/>
    <w:rsid w:val="00B80B2D"/>
    <w:rsid w:val="00B81010"/>
    <w:rsid w:val="00B81197"/>
    <w:rsid w:val="00B81229"/>
    <w:rsid w:val="00B81423"/>
    <w:rsid w:val="00B8165B"/>
    <w:rsid w:val="00B81832"/>
    <w:rsid w:val="00B81A82"/>
    <w:rsid w:val="00B81F39"/>
    <w:rsid w:val="00B82859"/>
    <w:rsid w:val="00B82C02"/>
    <w:rsid w:val="00B83DF6"/>
    <w:rsid w:val="00B83FC3"/>
    <w:rsid w:val="00B84500"/>
    <w:rsid w:val="00B8453D"/>
    <w:rsid w:val="00B845C7"/>
    <w:rsid w:val="00B846B8"/>
    <w:rsid w:val="00B850DF"/>
    <w:rsid w:val="00B85484"/>
    <w:rsid w:val="00B856BB"/>
    <w:rsid w:val="00B85896"/>
    <w:rsid w:val="00B858E8"/>
    <w:rsid w:val="00B85A18"/>
    <w:rsid w:val="00B85BA3"/>
    <w:rsid w:val="00B85D63"/>
    <w:rsid w:val="00B8623B"/>
    <w:rsid w:val="00B863A4"/>
    <w:rsid w:val="00B86520"/>
    <w:rsid w:val="00B8709D"/>
    <w:rsid w:val="00B87342"/>
    <w:rsid w:val="00B87D93"/>
    <w:rsid w:val="00B87DB2"/>
    <w:rsid w:val="00B901A6"/>
    <w:rsid w:val="00B920E8"/>
    <w:rsid w:val="00B9265D"/>
    <w:rsid w:val="00B931CA"/>
    <w:rsid w:val="00B932F7"/>
    <w:rsid w:val="00B9380F"/>
    <w:rsid w:val="00B93935"/>
    <w:rsid w:val="00B94594"/>
    <w:rsid w:val="00B94ECA"/>
    <w:rsid w:val="00B951F8"/>
    <w:rsid w:val="00B954A7"/>
    <w:rsid w:val="00B9595E"/>
    <w:rsid w:val="00B96694"/>
    <w:rsid w:val="00B969E1"/>
    <w:rsid w:val="00B96E02"/>
    <w:rsid w:val="00B96E56"/>
    <w:rsid w:val="00B96F96"/>
    <w:rsid w:val="00B96FCD"/>
    <w:rsid w:val="00B97014"/>
    <w:rsid w:val="00B97062"/>
    <w:rsid w:val="00B978FC"/>
    <w:rsid w:val="00B97CE3"/>
    <w:rsid w:val="00B97E6F"/>
    <w:rsid w:val="00BA0444"/>
    <w:rsid w:val="00BA0D4E"/>
    <w:rsid w:val="00BA17DE"/>
    <w:rsid w:val="00BA1CB1"/>
    <w:rsid w:val="00BA1FF3"/>
    <w:rsid w:val="00BA2599"/>
    <w:rsid w:val="00BA2ECF"/>
    <w:rsid w:val="00BA3AF7"/>
    <w:rsid w:val="00BA40FD"/>
    <w:rsid w:val="00BA411E"/>
    <w:rsid w:val="00BA43D8"/>
    <w:rsid w:val="00BA4553"/>
    <w:rsid w:val="00BA4923"/>
    <w:rsid w:val="00BA4B6A"/>
    <w:rsid w:val="00BA535E"/>
    <w:rsid w:val="00BA5C5E"/>
    <w:rsid w:val="00BA5D6C"/>
    <w:rsid w:val="00BA629B"/>
    <w:rsid w:val="00BA63C6"/>
    <w:rsid w:val="00BA6A7F"/>
    <w:rsid w:val="00BA6EAD"/>
    <w:rsid w:val="00BA7270"/>
    <w:rsid w:val="00BA74F9"/>
    <w:rsid w:val="00BA7CDB"/>
    <w:rsid w:val="00BB074F"/>
    <w:rsid w:val="00BB0B2A"/>
    <w:rsid w:val="00BB0B36"/>
    <w:rsid w:val="00BB0E77"/>
    <w:rsid w:val="00BB10EA"/>
    <w:rsid w:val="00BB1101"/>
    <w:rsid w:val="00BB1640"/>
    <w:rsid w:val="00BB1D81"/>
    <w:rsid w:val="00BB27FF"/>
    <w:rsid w:val="00BB2A29"/>
    <w:rsid w:val="00BB2B98"/>
    <w:rsid w:val="00BB2F71"/>
    <w:rsid w:val="00BB38D0"/>
    <w:rsid w:val="00BB3E2A"/>
    <w:rsid w:val="00BB3F28"/>
    <w:rsid w:val="00BB422E"/>
    <w:rsid w:val="00BB4704"/>
    <w:rsid w:val="00BB5FEB"/>
    <w:rsid w:val="00BB671E"/>
    <w:rsid w:val="00BB6D2A"/>
    <w:rsid w:val="00BB6DE4"/>
    <w:rsid w:val="00BB6E1A"/>
    <w:rsid w:val="00BB7615"/>
    <w:rsid w:val="00BB79D0"/>
    <w:rsid w:val="00BB7BB7"/>
    <w:rsid w:val="00BC1540"/>
    <w:rsid w:val="00BC17C5"/>
    <w:rsid w:val="00BC1BE1"/>
    <w:rsid w:val="00BC1F1C"/>
    <w:rsid w:val="00BC211B"/>
    <w:rsid w:val="00BC26E0"/>
    <w:rsid w:val="00BC283C"/>
    <w:rsid w:val="00BC2AE8"/>
    <w:rsid w:val="00BC4362"/>
    <w:rsid w:val="00BC4543"/>
    <w:rsid w:val="00BC48BC"/>
    <w:rsid w:val="00BC51D3"/>
    <w:rsid w:val="00BC5350"/>
    <w:rsid w:val="00BC5A0A"/>
    <w:rsid w:val="00BC5CF1"/>
    <w:rsid w:val="00BC5E54"/>
    <w:rsid w:val="00BC5F19"/>
    <w:rsid w:val="00BC6107"/>
    <w:rsid w:val="00BC6308"/>
    <w:rsid w:val="00BC64D0"/>
    <w:rsid w:val="00BC6A1B"/>
    <w:rsid w:val="00BC6CE0"/>
    <w:rsid w:val="00BC7686"/>
    <w:rsid w:val="00BC777F"/>
    <w:rsid w:val="00BC7934"/>
    <w:rsid w:val="00BD02B6"/>
    <w:rsid w:val="00BD085B"/>
    <w:rsid w:val="00BD0C76"/>
    <w:rsid w:val="00BD18C2"/>
    <w:rsid w:val="00BD2421"/>
    <w:rsid w:val="00BD2CAD"/>
    <w:rsid w:val="00BD2D13"/>
    <w:rsid w:val="00BD2E50"/>
    <w:rsid w:val="00BD3094"/>
    <w:rsid w:val="00BD3634"/>
    <w:rsid w:val="00BD38F6"/>
    <w:rsid w:val="00BD39BF"/>
    <w:rsid w:val="00BD3DF0"/>
    <w:rsid w:val="00BD3F39"/>
    <w:rsid w:val="00BD488E"/>
    <w:rsid w:val="00BD50C4"/>
    <w:rsid w:val="00BD5470"/>
    <w:rsid w:val="00BD5690"/>
    <w:rsid w:val="00BD588C"/>
    <w:rsid w:val="00BD5B43"/>
    <w:rsid w:val="00BD5E1C"/>
    <w:rsid w:val="00BD5FA9"/>
    <w:rsid w:val="00BD6055"/>
    <w:rsid w:val="00BD6670"/>
    <w:rsid w:val="00BD6761"/>
    <w:rsid w:val="00BD722B"/>
    <w:rsid w:val="00BD72B4"/>
    <w:rsid w:val="00BD776B"/>
    <w:rsid w:val="00BD795E"/>
    <w:rsid w:val="00BD7B33"/>
    <w:rsid w:val="00BD7ED1"/>
    <w:rsid w:val="00BD7F12"/>
    <w:rsid w:val="00BE0A47"/>
    <w:rsid w:val="00BE138D"/>
    <w:rsid w:val="00BE158B"/>
    <w:rsid w:val="00BE2084"/>
    <w:rsid w:val="00BE228D"/>
    <w:rsid w:val="00BE26FF"/>
    <w:rsid w:val="00BE27A9"/>
    <w:rsid w:val="00BE35F7"/>
    <w:rsid w:val="00BE39F2"/>
    <w:rsid w:val="00BE3D8A"/>
    <w:rsid w:val="00BE3FC6"/>
    <w:rsid w:val="00BE443F"/>
    <w:rsid w:val="00BE4473"/>
    <w:rsid w:val="00BE45D0"/>
    <w:rsid w:val="00BE4951"/>
    <w:rsid w:val="00BE4D52"/>
    <w:rsid w:val="00BE4F0A"/>
    <w:rsid w:val="00BE51D3"/>
    <w:rsid w:val="00BE5577"/>
    <w:rsid w:val="00BE5A6E"/>
    <w:rsid w:val="00BE5F0A"/>
    <w:rsid w:val="00BE6337"/>
    <w:rsid w:val="00BE6941"/>
    <w:rsid w:val="00BE716C"/>
    <w:rsid w:val="00BE7229"/>
    <w:rsid w:val="00BE7436"/>
    <w:rsid w:val="00BF08BF"/>
    <w:rsid w:val="00BF0BC9"/>
    <w:rsid w:val="00BF14BE"/>
    <w:rsid w:val="00BF17E7"/>
    <w:rsid w:val="00BF18B8"/>
    <w:rsid w:val="00BF1DF2"/>
    <w:rsid w:val="00BF1F35"/>
    <w:rsid w:val="00BF20B1"/>
    <w:rsid w:val="00BF2618"/>
    <w:rsid w:val="00BF2BAA"/>
    <w:rsid w:val="00BF2C61"/>
    <w:rsid w:val="00BF2E58"/>
    <w:rsid w:val="00BF3586"/>
    <w:rsid w:val="00BF3C66"/>
    <w:rsid w:val="00BF4473"/>
    <w:rsid w:val="00BF4635"/>
    <w:rsid w:val="00BF4BB0"/>
    <w:rsid w:val="00BF4E35"/>
    <w:rsid w:val="00BF572B"/>
    <w:rsid w:val="00BF5B02"/>
    <w:rsid w:val="00BF6132"/>
    <w:rsid w:val="00BF6612"/>
    <w:rsid w:val="00BF6887"/>
    <w:rsid w:val="00BF68C2"/>
    <w:rsid w:val="00BF7268"/>
    <w:rsid w:val="00BF7522"/>
    <w:rsid w:val="00C0054C"/>
    <w:rsid w:val="00C00B2F"/>
    <w:rsid w:val="00C00BD8"/>
    <w:rsid w:val="00C01743"/>
    <w:rsid w:val="00C01828"/>
    <w:rsid w:val="00C0190E"/>
    <w:rsid w:val="00C01E09"/>
    <w:rsid w:val="00C02E03"/>
    <w:rsid w:val="00C02F32"/>
    <w:rsid w:val="00C03112"/>
    <w:rsid w:val="00C0413A"/>
    <w:rsid w:val="00C04B19"/>
    <w:rsid w:val="00C04C05"/>
    <w:rsid w:val="00C05243"/>
    <w:rsid w:val="00C05903"/>
    <w:rsid w:val="00C061BD"/>
    <w:rsid w:val="00C065B6"/>
    <w:rsid w:val="00C06ABD"/>
    <w:rsid w:val="00C06E92"/>
    <w:rsid w:val="00C06E95"/>
    <w:rsid w:val="00C07708"/>
    <w:rsid w:val="00C07EA6"/>
    <w:rsid w:val="00C105DE"/>
    <w:rsid w:val="00C10680"/>
    <w:rsid w:val="00C1091D"/>
    <w:rsid w:val="00C10AA8"/>
    <w:rsid w:val="00C112BF"/>
    <w:rsid w:val="00C11D10"/>
    <w:rsid w:val="00C11DDC"/>
    <w:rsid w:val="00C121E3"/>
    <w:rsid w:val="00C13826"/>
    <w:rsid w:val="00C13A5D"/>
    <w:rsid w:val="00C13AD5"/>
    <w:rsid w:val="00C13C77"/>
    <w:rsid w:val="00C1443D"/>
    <w:rsid w:val="00C1443F"/>
    <w:rsid w:val="00C1449C"/>
    <w:rsid w:val="00C14A10"/>
    <w:rsid w:val="00C14FF6"/>
    <w:rsid w:val="00C15529"/>
    <w:rsid w:val="00C15989"/>
    <w:rsid w:val="00C159E7"/>
    <w:rsid w:val="00C15FAC"/>
    <w:rsid w:val="00C1604C"/>
    <w:rsid w:val="00C161BE"/>
    <w:rsid w:val="00C1626B"/>
    <w:rsid w:val="00C16EEE"/>
    <w:rsid w:val="00C1731F"/>
    <w:rsid w:val="00C17900"/>
    <w:rsid w:val="00C17981"/>
    <w:rsid w:val="00C17C2C"/>
    <w:rsid w:val="00C17C8C"/>
    <w:rsid w:val="00C17D4F"/>
    <w:rsid w:val="00C17F8D"/>
    <w:rsid w:val="00C2038F"/>
    <w:rsid w:val="00C208E4"/>
    <w:rsid w:val="00C2138F"/>
    <w:rsid w:val="00C22044"/>
    <w:rsid w:val="00C220C5"/>
    <w:rsid w:val="00C22567"/>
    <w:rsid w:val="00C23006"/>
    <w:rsid w:val="00C234BC"/>
    <w:rsid w:val="00C23BD4"/>
    <w:rsid w:val="00C23E2A"/>
    <w:rsid w:val="00C23E98"/>
    <w:rsid w:val="00C242CB"/>
    <w:rsid w:val="00C2455D"/>
    <w:rsid w:val="00C2501D"/>
    <w:rsid w:val="00C25038"/>
    <w:rsid w:val="00C25F7E"/>
    <w:rsid w:val="00C260AD"/>
    <w:rsid w:val="00C26141"/>
    <w:rsid w:val="00C264C4"/>
    <w:rsid w:val="00C26856"/>
    <w:rsid w:val="00C26BEA"/>
    <w:rsid w:val="00C272C2"/>
    <w:rsid w:val="00C27464"/>
    <w:rsid w:val="00C2781E"/>
    <w:rsid w:val="00C278E4"/>
    <w:rsid w:val="00C27A0C"/>
    <w:rsid w:val="00C27BEB"/>
    <w:rsid w:val="00C27EE7"/>
    <w:rsid w:val="00C300C9"/>
    <w:rsid w:val="00C301C3"/>
    <w:rsid w:val="00C312C6"/>
    <w:rsid w:val="00C314CB"/>
    <w:rsid w:val="00C31B16"/>
    <w:rsid w:val="00C31CCA"/>
    <w:rsid w:val="00C31FC3"/>
    <w:rsid w:val="00C326B9"/>
    <w:rsid w:val="00C32F25"/>
    <w:rsid w:val="00C33AA9"/>
    <w:rsid w:val="00C34030"/>
    <w:rsid w:val="00C3511E"/>
    <w:rsid w:val="00C3524C"/>
    <w:rsid w:val="00C35447"/>
    <w:rsid w:val="00C3589D"/>
    <w:rsid w:val="00C366C6"/>
    <w:rsid w:val="00C36983"/>
    <w:rsid w:val="00C36B23"/>
    <w:rsid w:val="00C36B88"/>
    <w:rsid w:val="00C36F7A"/>
    <w:rsid w:val="00C375EF"/>
    <w:rsid w:val="00C37C6E"/>
    <w:rsid w:val="00C37C9E"/>
    <w:rsid w:val="00C37EE9"/>
    <w:rsid w:val="00C40A07"/>
    <w:rsid w:val="00C4113A"/>
    <w:rsid w:val="00C41A7A"/>
    <w:rsid w:val="00C41AA3"/>
    <w:rsid w:val="00C42147"/>
    <w:rsid w:val="00C42252"/>
    <w:rsid w:val="00C42421"/>
    <w:rsid w:val="00C43A9C"/>
    <w:rsid w:val="00C43AEF"/>
    <w:rsid w:val="00C43B0E"/>
    <w:rsid w:val="00C43EEE"/>
    <w:rsid w:val="00C44421"/>
    <w:rsid w:val="00C44BF5"/>
    <w:rsid w:val="00C44F73"/>
    <w:rsid w:val="00C44FC4"/>
    <w:rsid w:val="00C45196"/>
    <w:rsid w:val="00C45692"/>
    <w:rsid w:val="00C45E26"/>
    <w:rsid w:val="00C462C5"/>
    <w:rsid w:val="00C46372"/>
    <w:rsid w:val="00C470E2"/>
    <w:rsid w:val="00C5044C"/>
    <w:rsid w:val="00C508E2"/>
    <w:rsid w:val="00C50AE2"/>
    <w:rsid w:val="00C50DE2"/>
    <w:rsid w:val="00C50F82"/>
    <w:rsid w:val="00C51C7D"/>
    <w:rsid w:val="00C52681"/>
    <w:rsid w:val="00C532BA"/>
    <w:rsid w:val="00C536C4"/>
    <w:rsid w:val="00C5394B"/>
    <w:rsid w:val="00C53DAD"/>
    <w:rsid w:val="00C53E79"/>
    <w:rsid w:val="00C53E8A"/>
    <w:rsid w:val="00C543E9"/>
    <w:rsid w:val="00C5441A"/>
    <w:rsid w:val="00C54A49"/>
    <w:rsid w:val="00C5503E"/>
    <w:rsid w:val="00C557B9"/>
    <w:rsid w:val="00C55D70"/>
    <w:rsid w:val="00C56129"/>
    <w:rsid w:val="00C561A6"/>
    <w:rsid w:val="00C565B1"/>
    <w:rsid w:val="00C56E37"/>
    <w:rsid w:val="00C5736D"/>
    <w:rsid w:val="00C575E1"/>
    <w:rsid w:val="00C577DC"/>
    <w:rsid w:val="00C57F44"/>
    <w:rsid w:val="00C603B6"/>
    <w:rsid w:val="00C61922"/>
    <w:rsid w:val="00C62273"/>
    <w:rsid w:val="00C6265C"/>
    <w:rsid w:val="00C627AB"/>
    <w:rsid w:val="00C62EFC"/>
    <w:rsid w:val="00C63114"/>
    <w:rsid w:val="00C63597"/>
    <w:rsid w:val="00C638C3"/>
    <w:rsid w:val="00C64E48"/>
    <w:rsid w:val="00C65001"/>
    <w:rsid w:val="00C651B1"/>
    <w:rsid w:val="00C65817"/>
    <w:rsid w:val="00C6591C"/>
    <w:rsid w:val="00C65AAB"/>
    <w:rsid w:val="00C65DEC"/>
    <w:rsid w:val="00C660FF"/>
    <w:rsid w:val="00C66185"/>
    <w:rsid w:val="00C6632B"/>
    <w:rsid w:val="00C6736F"/>
    <w:rsid w:val="00C6740B"/>
    <w:rsid w:val="00C701E8"/>
    <w:rsid w:val="00C70E32"/>
    <w:rsid w:val="00C70FC6"/>
    <w:rsid w:val="00C714D8"/>
    <w:rsid w:val="00C71569"/>
    <w:rsid w:val="00C7177B"/>
    <w:rsid w:val="00C71F74"/>
    <w:rsid w:val="00C72360"/>
    <w:rsid w:val="00C729FD"/>
    <w:rsid w:val="00C72B2A"/>
    <w:rsid w:val="00C73313"/>
    <w:rsid w:val="00C73379"/>
    <w:rsid w:val="00C7358C"/>
    <w:rsid w:val="00C7398F"/>
    <w:rsid w:val="00C73B19"/>
    <w:rsid w:val="00C73C95"/>
    <w:rsid w:val="00C740C9"/>
    <w:rsid w:val="00C74210"/>
    <w:rsid w:val="00C74938"/>
    <w:rsid w:val="00C74E37"/>
    <w:rsid w:val="00C75306"/>
    <w:rsid w:val="00C759FA"/>
    <w:rsid w:val="00C75AC3"/>
    <w:rsid w:val="00C76012"/>
    <w:rsid w:val="00C7672C"/>
    <w:rsid w:val="00C77303"/>
    <w:rsid w:val="00C77494"/>
    <w:rsid w:val="00C7749D"/>
    <w:rsid w:val="00C7752D"/>
    <w:rsid w:val="00C77845"/>
    <w:rsid w:val="00C778CD"/>
    <w:rsid w:val="00C77BBF"/>
    <w:rsid w:val="00C77CD0"/>
    <w:rsid w:val="00C81315"/>
    <w:rsid w:val="00C82AEB"/>
    <w:rsid w:val="00C837A2"/>
    <w:rsid w:val="00C838B6"/>
    <w:rsid w:val="00C83C98"/>
    <w:rsid w:val="00C84169"/>
    <w:rsid w:val="00C84637"/>
    <w:rsid w:val="00C84732"/>
    <w:rsid w:val="00C848E7"/>
    <w:rsid w:val="00C850CD"/>
    <w:rsid w:val="00C852CC"/>
    <w:rsid w:val="00C8625E"/>
    <w:rsid w:val="00C8639C"/>
    <w:rsid w:val="00C86480"/>
    <w:rsid w:val="00C86608"/>
    <w:rsid w:val="00C8687E"/>
    <w:rsid w:val="00C86B1B"/>
    <w:rsid w:val="00C86C3D"/>
    <w:rsid w:val="00C8759E"/>
    <w:rsid w:val="00C8787C"/>
    <w:rsid w:val="00C87A02"/>
    <w:rsid w:val="00C87C84"/>
    <w:rsid w:val="00C87E62"/>
    <w:rsid w:val="00C90685"/>
    <w:rsid w:val="00C908F1"/>
    <w:rsid w:val="00C90D3A"/>
    <w:rsid w:val="00C9113F"/>
    <w:rsid w:val="00C917BB"/>
    <w:rsid w:val="00C91975"/>
    <w:rsid w:val="00C91BE3"/>
    <w:rsid w:val="00C9216E"/>
    <w:rsid w:val="00C921FD"/>
    <w:rsid w:val="00C92649"/>
    <w:rsid w:val="00C926D2"/>
    <w:rsid w:val="00C92D30"/>
    <w:rsid w:val="00C93855"/>
    <w:rsid w:val="00C93E4B"/>
    <w:rsid w:val="00C941B7"/>
    <w:rsid w:val="00C94499"/>
    <w:rsid w:val="00C947C0"/>
    <w:rsid w:val="00C94805"/>
    <w:rsid w:val="00C94A02"/>
    <w:rsid w:val="00C94D59"/>
    <w:rsid w:val="00C95A07"/>
    <w:rsid w:val="00C95D7E"/>
    <w:rsid w:val="00C95EF7"/>
    <w:rsid w:val="00C961F7"/>
    <w:rsid w:val="00C9663F"/>
    <w:rsid w:val="00C96EFA"/>
    <w:rsid w:val="00C97277"/>
    <w:rsid w:val="00CA089E"/>
    <w:rsid w:val="00CA0C36"/>
    <w:rsid w:val="00CA0F10"/>
    <w:rsid w:val="00CA1B88"/>
    <w:rsid w:val="00CA1E13"/>
    <w:rsid w:val="00CA1E46"/>
    <w:rsid w:val="00CA2507"/>
    <w:rsid w:val="00CA26AA"/>
    <w:rsid w:val="00CA27EB"/>
    <w:rsid w:val="00CA2B69"/>
    <w:rsid w:val="00CA350A"/>
    <w:rsid w:val="00CA3B65"/>
    <w:rsid w:val="00CA3BEA"/>
    <w:rsid w:val="00CA3E87"/>
    <w:rsid w:val="00CA3FBB"/>
    <w:rsid w:val="00CA43AB"/>
    <w:rsid w:val="00CA4724"/>
    <w:rsid w:val="00CA4758"/>
    <w:rsid w:val="00CA4779"/>
    <w:rsid w:val="00CA4E72"/>
    <w:rsid w:val="00CA54C1"/>
    <w:rsid w:val="00CA5B52"/>
    <w:rsid w:val="00CA618E"/>
    <w:rsid w:val="00CA624E"/>
    <w:rsid w:val="00CA62B4"/>
    <w:rsid w:val="00CA6404"/>
    <w:rsid w:val="00CA6456"/>
    <w:rsid w:val="00CA67E2"/>
    <w:rsid w:val="00CA707B"/>
    <w:rsid w:val="00CA73E6"/>
    <w:rsid w:val="00CA7872"/>
    <w:rsid w:val="00CA79D7"/>
    <w:rsid w:val="00CA7CB2"/>
    <w:rsid w:val="00CA7D3D"/>
    <w:rsid w:val="00CA7EFB"/>
    <w:rsid w:val="00CB054C"/>
    <w:rsid w:val="00CB057F"/>
    <w:rsid w:val="00CB0C0F"/>
    <w:rsid w:val="00CB0C68"/>
    <w:rsid w:val="00CB16B7"/>
    <w:rsid w:val="00CB17BA"/>
    <w:rsid w:val="00CB1AA1"/>
    <w:rsid w:val="00CB24D7"/>
    <w:rsid w:val="00CB29CF"/>
    <w:rsid w:val="00CB2B82"/>
    <w:rsid w:val="00CB37E0"/>
    <w:rsid w:val="00CB4562"/>
    <w:rsid w:val="00CB4C09"/>
    <w:rsid w:val="00CB4D24"/>
    <w:rsid w:val="00CB5005"/>
    <w:rsid w:val="00CB5D31"/>
    <w:rsid w:val="00CB5F33"/>
    <w:rsid w:val="00CB659A"/>
    <w:rsid w:val="00CB6D1A"/>
    <w:rsid w:val="00CC003F"/>
    <w:rsid w:val="00CC0D0E"/>
    <w:rsid w:val="00CC13DB"/>
    <w:rsid w:val="00CC2263"/>
    <w:rsid w:val="00CC2272"/>
    <w:rsid w:val="00CC23DF"/>
    <w:rsid w:val="00CC23EE"/>
    <w:rsid w:val="00CC3AA9"/>
    <w:rsid w:val="00CC490A"/>
    <w:rsid w:val="00CC49BB"/>
    <w:rsid w:val="00CC51FF"/>
    <w:rsid w:val="00CC5776"/>
    <w:rsid w:val="00CC5BAD"/>
    <w:rsid w:val="00CC6026"/>
    <w:rsid w:val="00CC6B13"/>
    <w:rsid w:val="00CC6BEE"/>
    <w:rsid w:val="00CC7AE5"/>
    <w:rsid w:val="00CD04B1"/>
    <w:rsid w:val="00CD07C5"/>
    <w:rsid w:val="00CD0822"/>
    <w:rsid w:val="00CD0A0D"/>
    <w:rsid w:val="00CD0F2F"/>
    <w:rsid w:val="00CD1823"/>
    <w:rsid w:val="00CD1CF4"/>
    <w:rsid w:val="00CD1D63"/>
    <w:rsid w:val="00CD1F77"/>
    <w:rsid w:val="00CD26F2"/>
    <w:rsid w:val="00CD2D30"/>
    <w:rsid w:val="00CD3525"/>
    <w:rsid w:val="00CD3703"/>
    <w:rsid w:val="00CD3883"/>
    <w:rsid w:val="00CD40CD"/>
    <w:rsid w:val="00CD4629"/>
    <w:rsid w:val="00CD4A34"/>
    <w:rsid w:val="00CD4B01"/>
    <w:rsid w:val="00CD53C1"/>
    <w:rsid w:val="00CD6064"/>
    <w:rsid w:val="00CD6505"/>
    <w:rsid w:val="00CD6B2B"/>
    <w:rsid w:val="00CE02FC"/>
    <w:rsid w:val="00CE03A6"/>
    <w:rsid w:val="00CE03C8"/>
    <w:rsid w:val="00CE0868"/>
    <w:rsid w:val="00CE0BDB"/>
    <w:rsid w:val="00CE1298"/>
    <w:rsid w:val="00CE1633"/>
    <w:rsid w:val="00CE176F"/>
    <w:rsid w:val="00CE1DF3"/>
    <w:rsid w:val="00CE270B"/>
    <w:rsid w:val="00CE39D9"/>
    <w:rsid w:val="00CE636C"/>
    <w:rsid w:val="00CE64AB"/>
    <w:rsid w:val="00CE6855"/>
    <w:rsid w:val="00CE6EE6"/>
    <w:rsid w:val="00CE757C"/>
    <w:rsid w:val="00CE7603"/>
    <w:rsid w:val="00CE783E"/>
    <w:rsid w:val="00CE796E"/>
    <w:rsid w:val="00CE79FD"/>
    <w:rsid w:val="00CE7E16"/>
    <w:rsid w:val="00CF0909"/>
    <w:rsid w:val="00CF0B0D"/>
    <w:rsid w:val="00CF0BE6"/>
    <w:rsid w:val="00CF13BE"/>
    <w:rsid w:val="00CF1482"/>
    <w:rsid w:val="00CF1E91"/>
    <w:rsid w:val="00CF2459"/>
    <w:rsid w:val="00CF2846"/>
    <w:rsid w:val="00CF2897"/>
    <w:rsid w:val="00CF33BA"/>
    <w:rsid w:val="00CF35C0"/>
    <w:rsid w:val="00CF364D"/>
    <w:rsid w:val="00CF479A"/>
    <w:rsid w:val="00CF5223"/>
    <w:rsid w:val="00CF55F0"/>
    <w:rsid w:val="00CF590C"/>
    <w:rsid w:val="00CF593A"/>
    <w:rsid w:val="00CF5D58"/>
    <w:rsid w:val="00CF6839"/>
    <w:rsid w:val="00CF7ED5"/>
    <w:rsid w:val="00CF7F1D"/>
    <w:rsid w:val="00D009FD"/>
    <w:rsid w:val="00D00CFC"/>
    <w:rsid w:val="00D00FF9"/>
    <w:rsid w:val="00D019C3"/>
    <w:rsid w:val="00D01B10"/>
    <w:rsid w:val="00D02103"/>
    <w:rsid w:val="00D0243C"/>
    <w:rsid w:val="00D031C8"/>
    <w:rsid w:val="00D041DB"/>
    <w:rsid w:val="00D0457A"/>
    <w:rsid w:val="00D04C06"/>
    <w:rsid w:val="00D04D56"/>
    <w:rsid w:val="00D04D8C"/>
    <w:rsid w:val="00D04FC2"/>
    <w:rsid w:val="00D0522D"/>
    <w:rsid w:val="00D0523D"/>
    <w:rsid w:val="00D05842"/>
    <w:rsid w:val="00D0642F"/>
    <w:rsid w:val="00D068EC"/>
    <w:rsid w:val="00D06C11"/>
    <w:rsid w:val="00D07DD3"/>
    <w:rsid w:val="00D1019A"/>
    <w:rsid w:val="00D102A4"/>
    <w:rsid w:val="00D102E6"/>
    <w:rsid w:val="00D105D9"/>
    <w:rsid w:val="00D1067C"/>
    <w:rsid w:val="00D10E08"/>
    <w:rsid w:val="00D1120B"/>
    <w:rsid w:val="00D112D2"/>
    <w:rsid w:val="00D1133B"/>
    <w:rsid w:val="00D11C48"/>
    <w:rsid w:val="00D1232A"/>
    <w:rsid w:val="00D12374"/>
    <w:rsid w:val="00D12698"/>
    <w:rsid w:val="00D126F6"/>
    <w:rsid w:val="00D12F5D"/>
    <w:rsid w:val="00D13730"/>
    <w:rsid w:val="00D13D72"/>
    <w:rsid w:val="00D147A1"/>
    <w:rsid w:val="00D15E45"/>
    <w:rsid w:val="00D16318"/>
    <w:rsid w:val="00D16684"/>
    <w:rsid w:val="00D16DDE"/>
    <w:rsid w:val="00D174BD"/>
    <w:rsid w:val="00D175BD"/>
    <w:rsid w:val="00D2003F"/>
    <w:rsid w:val="00D20945"/>
    <w:rsid w:val="00D20A26"/>
    <w:rsid w:val="00D21072"/>
    <w:rsid w:val="00D2185C"/>
    <w:rsid w:val="00D22085"/>
    <w:rsid w:val="00D22178"/>
    <w:rsid w:val="00D22374"/>
    <w:rsid w:val="00D22453"/>
    <w:rsid w:val="00D23908"/>
    <w:rsid w:val="00D23C06"/>
    <w:rsid w:val="00D24198"/>
    <w:rsid w:val="00D261AA"/>
    <w:rsid w:val="00D264A6"/>
    <w:rsid w:val="00D268CF"/>
    <w:rsid w:val="00D26D61"/>
    <w:rsid w:val="00D27969"/>
    <w:rsid w:val="00D30FCC"/>
    <w:rsid w:val="00D30FE6"/>
    <w:rsid w:val="00D31549"/>
    <w:rsid w:val="00D31747"/>
    <w:rsid w:val="00D318B1"/>
    <w:rsid w:val="00D324B8"/>
    <w:rsid w:val="00D32559"/>
    <w:rsid w:val="00D33AE1"/>
    <w:rsid w:val="00D34FC1"/>
    <w:rsid w:val="00D362C7"/>
    <w:rsid w:val="00D36617"/>
    <w:rsid w:val="00D37369"/>
    <w:rsid w:val="00D37864"/>
    <w:rsid w:val="00D3791A"/>
    <w:rsid w:val="00D37A3B"/>
    <w:rsid w:val="00D37D15"/>
    <w:rsid w:val="00D400A1"/>
    <w:rsid w:val="00D4062E"/>
    <w:rsid w:val="00D4069E"/>
    <w:rsid w:val="00D4087B"/>
    <w:rsid w:val="00D40E35"/>
    <w:rsid w:val="00D411BF"/>
    <w:rsid w:val="00D41AAD"/>
    <w:rsid w:val="00D41ACE"/>
    <w:rsid w:val="00D41AD3"/>
    <w:rsid w:val="00D41D63"/>
    <w:rsid w:val="00D41D64"/>
    <w:rsid w:val="00D420DB"/>
    <w:rsid w:val="00D42866"/>
    <w:rsid w:val="00D42ECF"/>
    <w:rsid w:val="00D43774"/>
    <w:rsid w:val="00D440F0"/>
    <w:rsid w:val="00D44582"/>
    <w:rsid w:val="00D44C35"/>
    <w:rsid w:val="00D44F26"/>
    <w:rsid w:val="00D45430"/>
    <w:rsid w:val="00D454B8"/>
    <w:rsid w:val="00D454E5"/>
    <w:rsid w:val="00D45517"/>
    <w:rsid w:val="00D45A5E"/>
    <w:rsid w:val="00D46279"/>
    <w:rsid w:val="00D47375"/>
    <w:rsid w:val="00D50242"/>
    <w:rsid w:val="00D50864"/>
    <w:rsid w:val="00D50A45"/>
    <w:rsid w:val="00D50DE6"/>
    <w:rsid w:val="00D50FE0"/>
    <w:rsid w:val="00D50FE7"/>
    <w:rsid w:val="00D51236"/>
    <w:rsid w:val="00D51790"/>
    <w:rsid w:val="00D51BFE"/>
    <w:rsid w:val="00D52618"/>
    <w:rsid w:val="00D52627"/>
    <w:rsid w:val="00D52657"/>
    <w:rsid w:val="00D527CE"/>
    <w:rsid w:val="00D5322D"/>
    <w:rsid w:val="00D537BB"/>
    <w:rsid w:val="00D53D1C"/>
    <w:rsid w:val="00D53D83"/>
    <w:rsid w:val="00D544DB"/>
    <w:rsid w:val="00D54C9B"/>
    <w:rsid w:val="00D54F98"/>
    <w:rsid w:val="00D55515"/>
    <w:rsid w:val="00D56264"/>
    <w:rsid w:val="00D5692F"/>
    <w:rsid w:val="00D56E39"/>
    <w:rsid w:val="00D577AE"/>
    <w:rsid w:val="00D57B1B"/>
    <w:rsid w:val="00D57C7E"/>
    <w:rsid w:val="00D600DE"/>
    <w:rsid w:val="00D60623"/>
    <w:rsid w:val="00D60C3D"/>
    <w:rsid w:val="00D611F3"/>
    <w:rsid w:val="00D61403"/>
    <w:rsid w:val="00D61648"/>
    <w:rsid w:val="00D61772"/>
    <w:rsid w:val="00D624F9"/>
    <w:rsid w:val="00D62BDC"/>
    <w:rsid w:val="00D62D19"/>
    <w:rsid w:val="00D63496"/>
    <w:rsid w:val="00D63A06"/>
    <w:rsid w:val="00D63AA8"/>
    <w:rsid w:val="00D63B87"/>
    <w:rsid w:val="00D64275"/>
    <w:rsid w:val="00D64CEF"/>
    <w:rsid w:val="00D64E21"/>
    <w:rsid w:val="00D64E8D"/>
    <w:rsid w:val="00D6560E"/>
    <w:rsid w:val="00D66069"/>
    <w:rsid w:val="00D6622B"/>
    <w:rsid w:val="00D6696B"/>
    <w:rsid w:val="00D6705B"/>
    <w:rsid w:val="00D671C7"/>
    <w:rsid w:val="00D67849"/>
    <w:rsid w:val="00D67A76"/>
    <w:rsid w:val="00D67BDD"/>
    <w:rsid w:val="00D67FCB"/>
    <w:rsid w:val="00D70192"/>
    <w:rsid w:val="00D702AC"/>
    <w:rsid w:val="00D70533"/>
    <w:rsid w:val="00D706A7"/>
    <w:rsid w:val="00D70B7A"/>
    <w:rsid w:val="00D7157C"/>
    <w:rsid w:val="00D7165B"/>
    <w:rsid w:val="00D718C5"/>
    <w:rsid w:val="00D7256B"/>
    <w:rsid w:val="00D72902"/>
    <w:rsid w:val="00D729EA"/>
    <w:rsid w:val="00D72C10"/>
    <w:rsid w:val="00D72CB4"/>
    <w:rsid w:val="00D731DD"/>
    <w:rsid w:val="00D735F7"/>
    <w:rsid w:val="00D73B5A"/>
    <w:rsid w:val="00D74478"/>
    <w:rsid w:val="00D74BDA"/>
    <w:rsid w:val="00D751FD"/>
    <w:rsid w:val="00D752E9"/>
    <w:rsid w:val="00D7576D"/>
    <w:rsid w:val="00D75886"/>
    <w:rsid w:val="00D758B5"/>
    <w:rsid w:val="00D75ABF"/>
    <w:rsid w:val="00D7708A"/>
    <w:rsid w:val="00D775CA"/>
    <w:rsid w:val="00D80149"/>
    <w:rsid w:val="00D808BC"/>
    <w:rsid w:val="00D809B8"/>
    <w:rsid w:val="00D80CC3"/>
    <w:rsid w:val="00D81573"/>
    <w:rsid w:val="00D8182F"/>
    <w:rsid w:val="00D81BA4"/>
    <w:rsid w:val="00D81E17"/>
    <w:rsid w:val="00D82350"/>
    <w:rsid w:val="00D828FB"/>
    <w:rsid w:val="00D82FA1"/>
    <w:rsid w:val="00D83C25"/>
    <w:rsid w:val="00D83DC7"/>
    <w:rsid w:val="00D83E6B"/>
    <w:rsid w:val="00D8438A"/>
    <w:rsid w:val="00D844B5"/>
    <w:rsid w:val="00D84B46"/>
    <w:rsid w:val="00D84C6C"/>
    <w:rsid w:val="00D852A4"/>
    <w:rsid w:val="00D852CF"/>
    <w:rsid w:val="00D853D2"/>
    <w:rsid w:val="00D8606F"/>
    <w:rsid w:val="00D864F7"/>
    <w:rsid w:val="00D86EBF"/>
    <w:rsid w:val="00D86F02"/>
    <w:rsid w:val="00D8739B"/>
    <w:rsid w:val="00D873AA"/>
    <w:rsid w:val="00D8770E"/>
    <w:rsid w:val="00D879DB"/>
    <w:rsid w:val="00D879E8"/>
    <w:rsid w:val="00D87E86"/>
    <w:rsid w:val="00D87F58"/>
    <w:rsid w:val="00D90671"/>
    <w:rsid w:val="00D90AEF"/>
    <w:rsid w:val="00D913D9"/>
    <w:rsid w:val="00D91802"/>
    <w:rsid w:val="00D92303"/>
    <w:rsid w:val="00D9230F"/>
    <w:rsid w:val="00D928B8"/>
    <w:rsid w:val="00D92CC7"/>
    <w:rsid w:val="00D92FDF"/>
    <w:rsid w:val="00D93125"/>
    <w:rsid w:val="00D93421"/>
    <w:rsid w:val="00D93684"/>
    <w:rsid w:val="00D93892"/>
    <w:rsid w:val="00D93EF7"/>
    <w:rsid w:val="00D93FA7"/>
    <w:rsid w:val="00D94A69"/>
    <w:rsid w:val="00D94C29"/>
    <w:rsid w:val="00D952E0"/>
    <w:rsid w:val="00D95BA5"/>
    <w:rsid w:val="00D95FF0"/>
    <w:rsid w:val="00D96265"/>
    <w:rsid w:val="00D97169"/>
    <w:rsid w:val="00D976F2"/>
    <w:rsid w:val="00D97D92"/>
    <w:rsid w:val="00DA008F"/>
    <w:rsid w:val="00DA0458"/>
    <w:rsid w:val="00DA0560"/>
    <w:rsid w:val="00DA05BC"/>
    <w:rsid w:val="00DA069B"/>
    <w:rsid w:val="00DA087C"/>
    <w:rsid w:val="00DA0BC0"/>
    <w:rsid w:val="00DA0F4A"/>
    <w:rsid w:val="00DA0F9A"/>
    <w:rsid w:val="00DA11CA"/>
    <w:rsid w:val="00DA1442"/>
    <w:rsid w:val="00DA1651"/>
    <w:rsid w:val="00DA1F5A"/>
    <w:rsid w:val="00DA2FCA"/>
    <w:rsid w:val="00DA3749"/>
    <w:rsid w:val="00DA37EE"/>
    <w:rsid w:val="00DA3848"/>
    <w:rsid w:val="00DA39BE"/>
    <w:rsid w:val="00DA3D36"/>
    <w:rsid w:val="00DA471B"/>
    <w:rsid w:val="00DA478E"/>
    <w:rsid w:val="00DA5468"/>
    <w:rsid w:val="00DA593F"/>
    <w:rsid w:val="00DA5AD7"/>
    <w:rsid w:val="00DA5E54"/>
    <w:rsid w:val="00DA6542"/>
    <w:rsid w:val="00DA699C"/>
    <w:rsid w:val="00DA6E1D"/>
    <w:rsid w:val="00DA6F4D"/>
    <w:rsid w:val="00DA6FB7"/>
    <w:rsid w:val="00DA7F60"/>
    <w:rsid w:val="00DB095B"/>
    <w:rsid w:val="00DB0ABB"/>
    <w:rsid w:val="00DB0E08"/>
    <w:rsid w:val="00DB171D"/>
    <w:rsid w:val="00DB1DF4"/>
    <w:rsid w:val="00DB20B5"/>
    <w:rsid w:val="00DB24E8"/>
    <w:rsid w:val="00DB2918"/>
    <w:rsid w:val="00DB2A4E"/>
    <w:rsid w:val="00DB2B46"/>
    <w:rsid w:val="00DB2F95"/>
    <w:rsid w:val="00DB391C"/>
    <w:rsid w:val="00DB398B"/>
    <w:rsid w:val="00DB3A4B"/>
    <w:rsid w:val="00DB3D29"/>
    <w:rsid w:val="00DB3D5A"/>
    <w:rsid w:val="00DB3D6D"/>
    <w:rsid w:val="00DB3F7F"/>
    <w:rsid w:val="00DB4339"/>
    <w:rsid w:val="00DB50D3"/>
    <w:rsid w:val="00DB550B"/>
    <w:rsid w:val="00DB5DC4"/>
    <w:rsid w:val="00DB5E8F"/>
    <w:rsid w:val="00DB617C"/>
    <w:rsid w:val="00DB6346"/>
    <w:rsid w:val="00DB6359"/>
    <w:rsid w:val="00DB6DC3"/>
    <w:rsid w:val="00DB704A"/>
    <w:rsid w:val="00DB7217"/>
    <w:rsid w:val="00DB7867"/>
    <w:rsid w:val="00DC0417"/>
    <w:rsid w:val="00DC06B5"/>
    <w:rsid w:val="00DC0764"/>
    <w:rsid w:val="00DC0EB6"/>
    <w:rsid w:val="00DC167A"/>
    <w:rsid w:val="00DC1793"/>
    <w:rsid w:val="00DC1A5C"/>
    <w:rsid w:val="00DC27AE"/>
    <w:rsid w:val="00DC288F"/>
    <w:rsid w:val="00DC2C1D"/>
    <w:rsid w:val="00DC2F76"/>
    <w:rsid w:val="00DC322D"/>
    <w:rsid w:val="00DC32BE"/>
    <w:rsid w:val="00DC361E"/>
    <w:rsid w:val="00DC36B9"/>
    <w:rsid w:val="00DC39A2"/>
    <w:rsid w:val="00DC4727"/>
    <w:rsid w:val="00DC49CA"/>
    <w:rsid w:val="00DC4A77"/>
    <w:rsid w:val="00DC53F8"/>
    <w:rsid w:val="00DC548F"/>
    <w:rsid w:val="00DC54E0"/>
    <w:rsid w:val="00DC5E27"/>
    <w:rsid w:val="00DC610C"/>
    <w:rsid w:val="00DC6231"/>
    <w:rsid w:val="00DC671A"/>
    <w:rsid w:val="00DC6A08"/>
    <w:rsid w:val="00DC76DE"/>
    <w:rsid w:val="00DC7B80"/>
    <w:rsid w:val="00DC7C6F"/>
    <w:rsid w:val="00DD0D71"/>
    <w:rsid w:val="00DD142B"/>
    <w:rsid w:val="00DD14C1"/>
    <w:rsid w:val="00DD14E9"/>
    <w:rsid w:val="00DD21EA"/>
    <w:rsid w:val="00DD2C8D"/>
    <w:rsid w:val="00DD31CB"/>
    <w:rsid w:val="00DD3745"/>
    <w:rsid w:val="00DD3DCB"/>
    <w:rsid w:val="00DD4233"/>
    <w:rsid w:val="00DD4865"/>
    <w:rsid w:val="00DD48DB"/>
    <w:rsid w:val="00DD4B96"/>
    <w:rsid w:val="00DD4D76"/>
    <w:rsid w:val="00DD4E5C"/>
    <w:rsid w:val="00DD52B3"/>
    <w:rsid w:val="00DD55C8"/>
    <w:rsid w:val="00DD561F"/>
    <w:rsid w:val="00DD59E8"/>
    <w:rsid w:val="00DD5A69"/>
    <w:rsid w:val="00DD6004"/>
    <w:rsid w:val="00DD69E6"/>
    <w:rsid w:val="00DD6F15"/>
    <w:rsid w:val="00DD73B4"/>
    <w:rsid w:val="00DD7FE3"/>
    <w:rsid w:val="00DE02D7"/>
    <w:rsid w:val="00DE0B9D"/>
    <w:rsid w:val="00DE0E42"/>
    <w:rsid w:val="00DE1186"/>
    <w:rsid w:val="00DE15DB"/>
    <w:rsid w:val="00DE1938"/>
    <w:rsid w:val="00DE264B"/>
    <w:rsid w:val="00DE29B4"/>
    <w:rsid w:val="00DE2CBB"/>
    <w:rsid w:val="00DE2F06"/>
    <w:rsid w:val="00DE3771"/>
    <w:rsid w:val="00DE3B3A"/>
    <w:rsid w:val="00DE3BD7"/>
    <w:rsid w:val="00DE3C39"/>
    <w:rsid w:val="00DE3EEE"/>
    <w:rsid w:val="00DE4AE7"/>
    <w:rsid w:val="00DE4C50"/>
    <w:rsid w:val="00DE4FF4"/>
    <w:rsid w:val="00DE59DF"/>
    <w:rsid w:val="00DE5DE1"/>
    <w:rsid w:val="00DE5E4C"/>
    <w:rsid w:val="00DE69E0"/>
    <w:rsid w:val="00DE6AB9"/>
    <w:rsid w:val="00DE6D4B"/>
    <w:rsid w:val="00DE70A4"/>
    <w:rsid w:val="00DE79AF"/>
    <w:rsid w:val="00DE7B11"/>
    <w:rsid w:val="00DE7B8E"/>
    <w:rsid w:val="00DE7C52"/>
    <w:rsid w:val="00DF002B"/>
    <w:rsid w:val="00DF0520"/>
    <w:rsid w:val="00DF0727"/>
    <w:rsid w:val="00DF0868"/>
    <w:rsid w:val="00DF099E"/>
    <w:rsid w:val="00DF124C"/>
    <w:rsid w:val="00DF1B65"/>
    <w:rsid w:val="00DF27BA"/>
    <w:rsid w:val="00DF2CA3"/>
    <w:rsid w:val="00DF309D"/>
    <w:rsid w:val="00DF319E"/>
    <w:rsid w:val="00DF357A"/>
    <w:rsid w:val="00DF36D7"/>
    <w:rsid w:val="00DF3C3C"/>
    <w:rsid w:val="00DF4186"/>
    <w:rsid w:val="00DF4748"/>
    <w:rsid w:val="00DF554E"/>
    <w:rsid w:val="00DF5554"/>
    <w:rsid w:val="00DF5920"/>
    <w:rsid w:val="00DF5A45"/>
    <w:rsid w:val="00DF5AA0"/>
    <w:rsid w:val="00DF5D94"/>
    <w:rsid w:val="00DF6525"/>
    <w:rsid w:val="00DF68ED"/>
    <w:rsid w:val="00DF70F7"/>
    <w:rsid w:val="00DF7BB7"/>
    <w:rsid w:val="00E0131E"/>
    <w:rsid w:val="00E0197B"/>
    <w:rsid w:val="00E01A9C"/>
    <w:rsid w:val="00E01D59"/>
    <w:rsid w:val="00E0299C"/>
    <w:rsid w:val="00E02BFC"/>
    <w:rsid w:val="00E02E16"/>
    <w:rsid w:val="00E03189"/>
    <w:rsid w:val="00E0338B"/>
    <w:rsid w:val="00E0338E"/>
    <w:rsid w:val="00E03DF7"/>
    <w:rsid w:val="00E03E52"/>
    <w:rsid w:val="00E04CC4"/>
    <w:rsid w:val="00E0596B"/>
    <w:rsid w:val="00E05EA9"/>
    <w:rsid w:val="00E05F92"/>
    <w:rsid w:val="00E060D0"/>
    <w:rsid w:val="00E06432"/>
    <w:rsid w:val="00E068C9"/>
    <w:rsid w:val="00E073A7"/>
    <w:rsid w:val="00E10219"/>
    <w:rsid w:val="00E1042B"/>
    <w:rsid w:val="00E1061F"/>
    <w:rsid w:val="00E10820"/>
    <w:rsid w:val="00E10E3B"/>
    <w:rsid w:val="00E10EB6"/>
    <w:rsid w:val="00E112EB"/>
    <w:rsid w:val="00E11F4C"/>
    <w:rsid w:val="00E127D2"/>
    <w:rsid w:val="00E12871"/>
    <w:rsid w:val="00E133B9"/>
    <w:rsid w:val="00E135CD"/>
    <w:rsid w:val="00E1460B"/>
    <w:rsid w:val="00E14784"/>
    <w:rsid w:val="00E14816"/>
    <w:rsid w:val="00E14EAD"/>
    <w:rsid w:val="00E152D8"/>
    <w:rsid w:val="00E1543D"/>
    <w:rsid w:val="00E15D74"/>
    <w:rsid w:val="00E15FC4"/>
    <w:rsid w:val="00E1633D"/>
    <w:rsid w:val="00E16516"/>
    <w:rsid w:val="00E16E73"/>
    <w:rsid w:val="00E16EE1"/>
    <w:rsid w:val="00E17742"/>
    <w:rsid w:val="00E2019C"/>
    <w:rsid w:val="00E207D8"/>
    <w:rsid w:val="00E20C1E"/>
    <w:rsid w:val="00E20D2C"/>
    <w:rsid w:val="00E2132F"/>
    <w:rsid w:val="00E2185B"/>
    <w:rsid w:val="00E2192C"/>
    <w:rsid w:val="00E22053"/>
    <w:rsid w:val="00E2220E"/>
    <w:rsid w:val="00E22223"/>
    <w:rsid w:val="00E22978"/>
    <w:rsid w:val="00E2326D"/>
    <w:rsid w:val="00E234DD"/>
    <w:rsid w:val="00E23692"/>
    <w:rsid w:val="00E238CC"/>
    <w:rsid w:val="00E23BA4"/>
    <w:rsid w:val="00E23C63"/>
    <w:rsid w:val="00E23CC3"/>
    <w:rsid w:val="00E23F65"/>
    <w:rsid w:val="00E24017"/>
    <w:rsid w:val="00E241BC"/>
    <w:rsid w:val="00E2549B"/>
    <w:rsid w:val="00E26A37"/>
    <w:rsid w:val="00E26ACC"/>
    <w:rsid w:val="00E27FD3"/>
    <w:rsid w:val="00E30009"/>
    <w:rsid w:val="00E30133"/>
    <w:rsid w:val="00E30426"/>
    <w:rsid w:val="00E3067E"/>
    <w:rsid w:val="00E3085A"/>
    <w:rsid w:val="00E308DC"/>
    <w:rsid w:val="00E30A74"/>
    <w:rsid w:val="00E310DC"/>
    <w:rsid w:val="00E31B2D"/>
    <w:rsid w:val="00E3227A"/>
    <w:rsid w:val="00E323CF"/>
    <w:rsid w:val="00E32CC0"/>
    <w:rsid w:val="00E3317F"/>
    <w:rsid w:val="00E3354A"/>
    <w:rsid w:val="00E336E6"/>
    <w:rsid w:val="00E34E17"/>
    <w:rsid w:val="00E35059"/>
    <w:rsid w:val="00E35378"/>
    <w:rsid w:val="00E35629"/>
    <w:rsid w:val="00E35948"/>
    <w:rsid w:val="00E36271"/>
    <w:rsid w:val="00E3669F"/>
    <w:rsid w:val="00E36F0D"/>
    <w:rsid w:val="00E371A4"/>
    <w:rsid w:val="00E378A9"/>
    <w:rsid w:val="00E37BE6"/>
    <w:rsid w:val="00E37CFD"/>
    <w:rsid w:val="00E4006C"/>
    <w:rsid w:val="00E40BD8"/>
    <w:rsid w:val="00E411EC"/>
    <w:rsid w:val="00E41A0A"/>
    <w:rsid w:val="00E41D65"/>
    <w:rsid w:val="00E42014"/>
    <w:rsid w:val="00E421E8"/>
    <w:rsid w:val="00E42210"/>
    <w:rsid w:val="00E4284D"/>
    <w:rsid w:val="00E428D6"/>
    <w:rsid w:val="00E437DA"/>
    <w:rsid w:val="00E44D3B"/>
    <w:rsid w:val="00E44FA3"/>
    <w:rsid w:val="00E45CAD"/>
    <w:rsid w:val="00E45FE4"/>
    <w:rsid w:val="00E460CC"/>
    <w:rsid w:val="00E461B1"/>
    <w:rsid w:val="00E46245"/>
    <w:rsid w:val="00E47508"/>
    <w:rsid w:val="00E4754E"/>
    <w:rsid w:val="00E47617"/>
    <w:rsid w:val="00E4780A"/>
    <w:rsid w:val="00E479CC"/>
    <w:rsid w:val="00E47EDC"/>
    <w:rsid w:val="00E51124"/>
    <w:rsid w:val="00E51AF9"/>
    <w:rsid w:val="00E5255F"/>
    <w:rsid w:val="00E5298E"/>
    <w:rsid w:val="00E52B9A"/>
    <w:rsid w:val="00E52C34"/>
    <w:rsid w:val="00E52F99"/>
    <w:rsid w:val="00E53415"/>
    <w:rsid w:val="00E539A8"/>
    <w:rsid w:val="00E53CCA"/>
    <w:rsid w:val="00E53DEE"/>
    <w:rsid w:val="00E53E50"/>
    <w:rsid w:val="00E5406F"/>
    <w:rsid w:val="00E54469"/>
    <w:rsid w:val="00E54565"/>
    <w:rsid w:val="00E54578"/>
    <w:rsid w:val="00E549D4"/>
    <w:rsid w:val="00E55024"/>
    <w:rsid w:val="00E5502D"/>
    <w:rsid w:val="00E5549D"/>
    <w:rsid w:val="00E55A89"/>
    <w:rsid w:val="00E55F33"/>
    <w:rsid w:val="00E561DD"/>
    <w:rsid w:val="00E56623"/>
    <w:rsid w:val="00E5752A"/>
    <w:rsid w:val="00E57713"/>
    <w:rsid w:val="00E6004B"/>
    <w:rsid w:val="00E60649"/>
    <w:rsid w:val="00E60A5A"/>
    <w:rsid w:val="00E60BC0"/>
    <w:rsid w:val="00E60C1B"/>
    <w:rsid w:val="00E60CAB"/>
    <w:rsid w:val="00E60FA2"/>
    <w:rsid w:val="00E610CD"/>
    <w:rsid w:val="00E617D9"/>
    <w:rsid w:val="00E623BE"/>
    <w:rsid w:val="00E62921"/>
    <w:rsid w:val="00E6314E"/>
    <w:rsid w:val="00E63645"/>
    <w:rsid w:val="00E636A4"/>
    <w:rsid w:val="00E63A8D"/>
    <w:rsid w:val="00E6419C"/>
    <w:rsid w:val="00E64248"/>
    <w:rsid w:val="00E643DA"/>
    <w:rsid w:val="00E649E4"/>
    <w:rsid w:val="00E64E00"/>
    <w:rsid w:val="00E650D8"/>
    <w:rsid w:val="00E650FB"/>
    <w:rsid w:val="00E65362"/>
    <w:rsid w:val="00E668DE"/>
    <w:rsid w:val="00E66ED9"/>
    <w:rsid w:val="00E6720E"/>
    <w:rsid w:val="00E70428"/>
    <w:rsid w:val="00E70B4C"/>
    <w:rsid w:val="00E7126A"/>
    <w:rsid w:val="00E718CB"/>
    <w:rsid w:val="00E719E1"/>
    <w:rsid w:val="00E721C1"/>
    <w:rsid w:val="00E7310E"/>
    <w:rsid w:val="00E734D7"/>
    <w:rsid w:val="00E7391C"/>
    <w:rsid w:val="00E73BC5"/>
    <w:rsid w:val="00E73F4E"/>
    <w:rsid w:val="00E743EC"/>
    <w:rsid w:val="00E7488E"/>
    <w:rsid w:val="00E74E13"/>
    <w:rsid w:val="00E74E7A"/>
    <w:rsid w:val="00E75144"/>
    <w:rsid w:val="00E7580D"/>
    <w:rsid w:val="00E75DE1"/>
    <w:rsid w:val="00E760CB"/>
    <w:rsid w:val="00E76C10"/>
    <w:rsid w:val="00E77467"/>
    <w:rsid w:val="00E7748E"/>
    <w:rsid w:val="00E77D4E"/>
    <w:rsid w:val="00E77EDD"/>
    <w:rsid w:val="00E77F85"/>
    <w:rsid w:val="00E80037"/>
    <w:rsid w:val="00E8016B"/>
    <w:rsid w:val="00E8062F"/>
    <w:rsid w:val="00E808B7"/>
    <w:rsid w:val="00E80AE7"/>
    <w:rsid w:val="00E80CDC"/>
    <w:rsid w:val="00E80DAD"/>
    <w:rsid w:val="00E80F35"/>
    <w:rsid w:val="00E812F6"/>
    <w:rsid w:val="00E81ABC"/>
    <w:rsid w:val="00E81DDC"/>
    <w:rsid w:val="00E81E89"/>
    <w:rsid w:val="00E81F57"/>
    <w:rsid w:val="00E821D2"/>
    <w:rsid w:val="00E82301"/>
    <w:rsid w:val="00E8265A"/>
    <w:rsid w:val="00E82811"/>
    <w:rsid w:val="00E8288C"/>
    <w:rsid w:val="00E829C6"/>
    <w:rsid w:val="00E82BA4"/>
    <w:rsid w:val="00E82C08"/>
    <w:rsid w:val="00E82C7B"/>
    <w:rsid w:val="00E835D6"/>
    <w:rsid w:val="00E83889"/>
    <w:rsid w:val="00E83F0C"/>
    <w:rsid w:val="00E84EED"/>
    <w:rsid w:val="00E854D6"/>
    <w:rsid w:val="00E85B9C"/>
    <w:rsid w:val="00E8608B"/>
    <w:rsid w:val="00E8614D"/>
    <w:rsid w:val="00E861C9"/>
    <w:rsid w:val="00E864A1"/>
    <w:rsid w:val="00E87031"/>
    <w:rsid w:val="00E8750A"/>
    <w:rsid w:val="00E900DA"/>
    <w:rsid w:val="00E90605"/>
    <w:rsid w:val="00E90DE8"/>
    <w:rsid w:val="00E918F7"/>
    <w:rsid w:val="00E91C94"/>
    <w:rsid w:val="00E91FBE"/>
    <w:rsid w:val="00E92063"/>
    <w:rsid w:val="00E923A3"/>
    <w:rsid w:val="00E9292D"/>
    <w:rsid w:val="00E92A27"/>
    <w:rsid w:val="00E92BD0"/>
    <w:rsid w:val="00E93D74"/>
    <w:rsid w:val="00E945CB"/>
    <w:rsid w:val="00E94A38"/>
    <w:rsid w:val="00E9553F"/>
    <w:rsid w:val="00E95C61"/>
    <w:rsid w:val="00E96CBC"/>
    <w:rsid w:val="00E9760B"/>
    <w:rsid w:val="00E97D3A"/>
    <w:rsid w:val="00EA0792"/>
    <w:rsid w:val="00EA0A7C"/>
    <w:rsid w:val="00EA0E96"/>
    <w:rsid w:val="00EA170E"/>
    <w:rsid w:val="00EA1A48"/>
    <w:rsid w:val="00EA1D35"/>
    <w:rsid w:val="00EA1F55"/>
    <w:rsid w:val="00EA27C5"/>
    <w:rsid w:val="00EA3135"/>
    <w:rsid w:val="00EA3295"/>
    <w:rsid w:val="00EA38E7"/>
    <w:rsid w:val="00EA3A9F"/>
    <w:rsid w:val="00EA3D66"/>
    <w:rsid w:val="00EA405B"/>
    <w:rsid w:val="00EA43BA"/>
    <w:rsid w:val="00EA485D"/>
    <w:rsid w:val="00EA54A7"/>
    <w:rsid w:val="00EA5504"/>
    <w:rsid w:val="00EA5E3E"/>
    <w:rsid w:val="00EA6378"/>
    <w:rsid w:val="00EA65DA"/>
    <w:rsid w:val="00EA6A89"/>
    <w:rsid w:val="00EA79D6"/>
    <w:rsid w:val="00EA7F75"/>
    <w:rsid w:val="00EA7F7A"/>
    <w:rsid w:val="00EB09EE"/>
    <w:rsid w:val="00EB1544"/>
    <w:rsid w:val="00EB1694"/>
    <w:rsid w:val="00EB1A12"/>
    <w:rsid w:val="00EB1BDD"/>
    <w:rsid w:val="00EB1F09"/>
    <w:rsid w:val="00EB23B9"/>
    <w:rsid w:val="00EB2A2F"/>
    <w:rsid w:val="00EB3345"/>
    <w:rsid w:val="00EB34D3"/>
    <w:rsid w:val="00EB3550"/>
    <w:rsid w:val="00EB3553"/>
    <w:rsid w:val="00EB391C"/>
    <w:rsid w:val="00EB405D"/>
    <w:rsid w:val="00EB45C8"/>
    <w:rsid w:val="00EB4DDF"/>
    <w:rsid w:val="00EB50A9"/>
    <w:rsid w:val="00EB5DEF"/>
    <w:rsid w:val="00EB5E44"/>
    <w:rsid w:val="00EB665C"/>
    <w:rsid w:val="00EB6A08"/>
    <w:rsid w:val="00EC057F"/>
    <w:rsid w:val="00EC0879"/>
    <w:rsid w:val="00EC0908"/>
    <w:rsid w:val="00EC0CC2"/>
    <w:rsid w:val="00EC100C"/>
    <w:rsid w:val="00EC1106"/>
    <w:rsid w:val="00EC1129"/>
    <w:rsid w:val="00EC1511"/>
    <w:rsid w:val="00EC1806"/>
    <w:rsid w:val="00EC23ED"/>
    <w:rsid w:val="00EC37F0"/>
    <w:rsid w:val="00EC3B54"/>
    <w:rsid w:val="00EC3F48"/>
    <w:rsid w:val="00EC4328"/>
    <w:rsid w:val="00EC4734"/>
    <w:rsid w:val="00EC487E"/>
    <w:rsid w:val="00EC49FB"/>
    <w:rsid w:val="00EC4D0A"/>
    <w:rsid w:val="00EC522A"/>
    <w:rsid w:val="00EC54A6"/>
    <w:rsid w:val="00EC6267"/>
    <w:rsid w:val="00EC6441"/>
    <w:rsid w:val="00EC6943"/>
    <w:rsid w:val="00EC6AA6"/>
    <w:rsid w:val="00EC6B8E"/>
    <w:rsid w:val="00EC6BA9"/>
    <w:rsid w:val="00EC71A7"/>
    <w:rsid w:val="00EC71CC"/>
    <w:rsid w:val="00EC71D8"/>
    <w:rsid w:val="00EC7352"/>
    <w:rsid w:val="00EC7593"/>
    <w:rsid w:val="00ED02C4"/>
    <w:rsid w:val="00ED10C2"/>
    <w:rsid w:val="00ED11CA"/>
    <w:rsid w:val="00ED11E9"/>
    <w:rsid w:val="00ED12E7"/>
    <w:rsid w:val="00ED18CA"/>
    <w:rsid w:val="00ED1D59"/>
    <w:rsid w:val="00ED200A"/>
    <w:rsid w:val="00ED204F"/>
    <w:rsid w:val="00ED20BF"/>
    <w:rsid w:val="00ED21CE"/>
    <w:rsid w:val="00ED2472"/>
    <w:rsid w:val="00ED2EC4"/>
    <w:rsid w:val="00ED2F18"/>
    <w:rsid w:val="00ED2FED"/>
    <w:rsid w:val="00ED3499"/>
    <w:rsid w:val="00ED352C"/>
    <w:rsid w:val="00ED36A7"/>
    <w:rsid w:val="00ED36E1"/>
    <w:rsid w:val="00ED37D5"/>
    <w:rsid w:val="00ED410C"/>
    <w:rsid w:val="00ED44F5"/>
    <w:rsid w:val="00ED487E"/>
    <w:rsid w:val="00ED490F"/>
    <w:rsid w:val="00ED4C73"/>
    <w:rsid w:val="00ED4EFA"/>
    <w:rsid w:val="00ED51DF"/>
    <w:rsid w:val="00ED5717"/>
    <w:rsid w:val="00ED5CAB"/>
    <w:rsid w:val="00ED5EB4"/>
    <w:rsid w:val="00ED6423"/>
    <w:rsid w:val="00ED66FA"/>
    <w:rsid w:val="00ED6755"/>
    <w:rsid w:val="00ED67AD"/>
    <w:rsid w:val="00ED6ACA"/>
    <w:rsid w:val="00ED6C77"/>
    <w:rsid w:val="00ED6FDD"/>
    <w:rsid w:val="00ED791A"/>
    <w:rsid w:val="00ED7B25"/>
    <w:rsid w:val="00EE09AD"/>
    <w:rsid w:val="00EE0E28"/>
    <w:rsid w:val="00EE1523"/>
    <w:rsid w:val="00EE1C82"/>
    <w:rsid w:val="00EE20CC"/>
    <w:rsid w:val="00EE275B"/>
    <w:rsid w:val="00EE2E22"/>
    <w:rsid w:val="00EE3815"/>
    <w:rsid w:val="00EE38A7"/>
    <w:rsid w:val="00EE3A68"/>
    <w:rsid w:val="00EE4909"/>
    <w:rsid w:val="00EE4C59"/>
    <w:rsid w:val="00EE51B5"/>
    <w:rsid w:val="00EE582A"/>
    <w:rsid w:val="00EE59B0"/>
    <w:rsid w:val="00EE5AB2"/>
    <w:rsid w:val="00EE6560"/>
    <w:rsid w:val="00EE688F"/>
    <w:rsid w:val="00EE695A"/>
    <w:rsid w:val="00EE6A99"/>
    <w:rsid w:val="00EE7124"/>
    <w:rsid w:val="00EE71A2"/>
    <w:rsid w:val="00EE774E"/>
    <w:rsid w:val="00EE7930"/>
    <w:rsid w:val="00EF03E4"/>
    <w:rsid w:val="00EF053F"/>
    <w:rsid w:val="00EF07C3"/>
    <w:rsid w:val="00EF08AD"/>
    <w:rsid w:val="00EF09A8"/>
    <w:rsid w:val="00EF0D4B"/>
    <w:rsid w:val="00EF1BCF"/>
    <w:rsid w:val="00EF26A9"/>
    <w:rsid w:val="00EF2D76"/>
    <w:rsid w:val="00EF33CF"/>
    <w:rsid w:val="00EF40B4"/>
    <w:rsid w:val="00EF66C2"/>
    <w:rsid w:val="00EF6A2B"/>
    <w:rsid w:val="00EF6B38"/>
    <w:rsid w:val="00EF6DF0"/>
    <w:rsid w:val="00EF7BFF"/>
    <w:rsid w:val="00F0094F"/>
    <w:rsid w:val="00F01A4D"/>
    <w:rsid w:val="00F01A9E"/>
    <w:rsid w:val="00F01C9A"/>
    <w:rsid w:val="00F023BD"/>
    <w:rsid w:val="00F0343D"/>
    <w:rsid w:val="00F0392A"/>
    <w:rsid w:val="00F04624"/>
    <w:rsid w:val="00F04631"/>
    <w:rsid w:val="00F04698"/>
    <w:rsid w:val="00F04D89"/>
    <w:rsid w:val="00F05877"/>
    <w:rsid w:val="00F06249"/>
    <w:rsid w:val="00F06AD3"/>
    <w:rsid w:val="00F06B40"/>
    <w:rsid w:val="00F06CF2"/>
    <w:rsid w:val="00F0733D"/>
    <w:rsid w:val="00F07500"/>
    <w:rsid w:val="00F07669"/>
    <w:rsid w:val="00F07C54"/>
    <w:rsid w:val="00F10713"/>
    <w:rsid w:val="00F10AEA"/>
    <w:rsid w:val="00F11165"/>
    <w:rsid w:val="00F11C45"/>
    <w:rsid w:val="00F11DDA"/>
    <w:rsid w:val="00F11EFD"/>
    <w:rsid w:val="00F12262"/>
    <w:rsid w:val="00F12AB9"/>
    <w:rsid w:val="00F12FB5"/>
    <w:rsid w:val="00F132F3"/>
    <w:rsid w:val="00F13D53"/>
    <w:rsid w:val="00F14236"/>
    <w:rsid w:val="00F145BC"/>
    <w:rsid w:val="00F14729"/>
    <w:rsid w:val="00F147AC"/>
    <w:rsid w:val="00F14866"/>
    <w:rsid w:val="00F14962"/>
    <w:rsid w:val="00F14C0C"/>
    <w:rsid w:val="00F14C9C"/>
    <w:rsid w:val="00F15EC7"/>
    <w:rsid w:val="00F16474"/>
    <w:rsid w:val="00F16CCE"/>
    <w:rsid w:val="00F1701A"/>
    <w:rsid w:val="00F203AE"/>
    <w:rsid w:val="00F206FB"/>
    <w:rsid w:val="00F20931"/>
    <w:rsid w:val="00F20C70"/>
    <w:rsid w:val="00F215AE"/>
    <w:rsid w:val="00F215C1"/>
    <w:rsid w:val="00F219FA"/>
    <w:rsid w:val="00F21AE0"/>
    <w:rsid w:val="00F21FED"/>
    <w:rsid w:val="00F2294E"/>
    <w:rsid w:val="00F22C9D"/>
    <w:rsid w:val="00F22E1C"/>
    <w:rsid w:val="00F2332E"/>
    <w:rsid w:val="00F233F2"/>
    <w:rsid w:val="00F23FE6"/>
    <w:rsid w:val="00F242EE"/>
    <w:rsid w:val="00F246A7"/>
    <w:rsid w:val="00F2496D"/>
    <w:rsid w:val="00F2514E"/>
    <w:rsid w:val="00F251C2"/>
    <w:rsid w:val="00F251C6"/>
    <w:rsid w:val="00F25624"/>
    <w:rsid w:val="00F25EC4"/>
    <w:rsid w:val="00F266A8"/>
    <w:rsid w:val="00F26B1A"/>
    <w:rsid w:val="00F26F20"/>
    <w:rsid w:val="00F27339"/>
    <w:rsid w:val="00F273AC"/>
    <w:rsid w:val="00F30140"/>
    <w:rsid w:val="00F3092F"/>
    <w:rsid w:val="00F30C00"/>
    <w:rsid w:val="00F311B1"/>
    <w:rsid w:val="00F31354"/>
    <w:rsid w:val="00F314AF"/>
    <w:rsid w:val="00F315A6"/>
    <w:rsid w:val="00F317C4"/>
    <w:rsid w:val="00F32962"/>
    <w:rsid w:val="00F33E38"/>
    <w:rsid w:val="00F34148"/>
    <w:rsid w:val="00F341BB"/>
    <w:rsid w:val="00F3422D"/>
    <w:rsid w:val="00F34237"/>
    <w:rsid w:val="00F34559"/>
    <w:rsid w:val="00F34721"/>
    <w:rsid w:val="00F348C2"/>
    <w:rsid w:val="00F34972"/>
    <w:rsid w:val="00F34EE3"/>
    <w:rsid w:val="00F35CA2"/>
    <w:rsid w:val="00F36A24"/>
    <w:rsid w:val="00F36B03"/>
    <w:rsid w:val="00F36D50"/>
    <w:rsid w:val="00F37144"/>
    <w:rsid w:val="00F4006D"/>
    <w:rsid w:val="00F407AC"/>
    <w:rsid w:val="00F40BF3"/>
    <w:rsid w:val="00F41001"/>
    <w:rsid w:val="00F41ABD"/>
    <w:rsid w:val="00F42A8C"/>
    <w:rsid w:val="00F42F6D"/>
    <w:rsid w:val="00F42FB2"/>
    <w:rsid w:val="00F42FD1"/>
    <w:rsid w:val="00F43010"/>
    <w:rsid w:val="00F43234"/>
    <w:rsid w:val="00F43246"/>
    <w:rsid w:val="00F43311"/>
    <w:rsid w:val="00F43473"/>
    <w:rsid w:val="00F43D8C"/>
    <w:rsid w:val="00F44664"/>
    <w:rsid w:val="00F44869"/>
    <w:rsid w:val="00F44A3E"/>
    <w:rsid w:val="00F44C0A"/>
    <w:rsid w:val="00F4512C"/>
    <w:rsid w:val="00F45590"/>
    <w:rsid w:val="00F45796"/>
    <w:rsid w:val="00F45AA0"/>
    <w:rsid w:val="00F45FE6"/>
    <w:rsid w:val="00F4612E"/>
    <w:rsid w:val="00F46A61"/>
    <w:rsid w:val="00F46F86"/>
    <w:rsid w:val="00F4779C"/>
    <w:rsid w:val="00F50051"/>
    <w:rsid w:val="00F50730"/>
    <w:rsid w:val="00F50CEF"/>
    <w:rsid w:val="00F50EAF"/>
    <w:rsid w:val="00F513FF"/>
    <w:rsid w:val="00F51884"/>
    <w:rsid w:val="00F51D60"/>
    <w:rsid w:val="00F51E73"/>
    <w:rsid w:val="00F526F4"/>
    <w:rsid w:val="00F527F5"/>
    <w:rsid w:val="00F52AD4"/>
    <w:rsid w:val="00F532AF"/>
    <w:rsid w:val="00F53A4F"/>
    <w:rsid w:val="00F540A9"/>
    <w:rsid w:val="00F54330"/>
    <w:rsid w:val="00F54433"/>
    <w:rsid w:val="00F54B55"/>
    <w:rsid w:val="00F54E18"/>
    <w:rsid w:val="00F54E1C"/>
    <w:rsid w:val="00F55755"/>
    <w:rsid w:val="00F559B8"/>
    <w:rsid w:val="00F55A61"/>
    <w:rsid w:val="00F55BAC"/>
    <w:rsid w:val="00F56381"/>
    <w:rsid w:val="00F56655"/>
    <w:rsid w:val="00F56B5B"/>
    <w:rsid w:val="00F56C67"/>
    <w:rsid w:val="00F57916"/>
    <w:rsid w:val="00F57994"/>
    <w:rsid w:val="00F57E7C"/>
    <w:rsid w:val="00F6016D"/>
    <w:rsid w:val="00F602D2"/>
    <w:rsid w:val="00F6068A"/>
    <w:rsid w:val="00F61534"/>
    <w:rsid w:val="00F61D2F"/>
    <w:rsid w:val="00F6208F"/>
    <w:rsid w:val="00F62356"/>
    <w:rsid w:val="00F625E5"/>
    <w:rsid w:val="00F62889"/>
    <w:rsid w:val="00F62CA9"/>
    <w:rsid w:val="00F6309D"/>
    <w:rsid w:val="00F6339A"/>
    <w:rsid w:val="00F63936"/>
    <w:rsid w:val="00F63A93"/>
    <w:rsid w:val="00F6438F"/>
    <w:rsid w:val="00F64AE7"/>
    <w:rsid w:val="00F64B47"/>
    <w:rsid w:val="00F64B83"/>
    <w:rsid w:val="00F64C41"/>
    <w:rsid w:val="00F64CB8"/>
    <w:rsid w:val="00F656FC"/>
    <w:rsid w:val="00F6595C"/>
    <w:rsid w:val="00F65966"/>
    <w:rsid w:val="00F66242"/>
    <w:rsid w:val="00F66D01"/>
    <w:rsid w:val="00F671DC"/>
    <w:rsid w:val="00F675DB"/>
    <w:rsid w:val="00F676CC"/>
    <w:rsid w:val="00F67AC2"/>
    <w:rsid w:val="00F67EA7"/>
    <w:rsid w:val="00F7023B"/>
    <w:rsid w:val="00F70645"/>
    <w:rsid w:val="00F70659"/>
    <w:rsid w:val="00F70E12"/>
    <w:rsid w:val="00F72455"/>
    <w:rsid w:val="00F727F7"/>
    <w:rsid w:val="00F72A1F"/>
    <w:rsid w:val="00F73026"/>
    <w:rsid w:val="00F734AE"/>
    <w:rsid w:val="00F737C7"/>
    <w:rsid w:val="00F7433B"/>
    <w:rsid w:val="00F743D5"/>
    <w:rsid w:val="00F74DE2"/>
    <w:rsid w:val="00F75024"/>
    <w:rsid w:val="00F7629F"/>
    <w:rsid w:val="00F7638A"/>
    <w:rsid w:val="00F768AD"/>
    <w:rsid w:val="00F7714A"/>
    <w:rsid w:val="00F7723C"/>
    <w:rsid w:val="00F77303"/>
    <w:rsid w:val="00F778EE"/>
    <w:rsid w:val="00F77929"/>
    <w:rsid w:val="00F77E6B"/>
    <w:rsid w:val="00F80218"/>
    <w:rsid w:val="00F80227"/>
    <w:rsid w:val="00F802EA"/>
    <w:rsid w:val="00F80361"/>
    <w:rsid w:val="00F805D0"/>
    <w:rsid w:val="00F808DE"/>
    <w:rsid w:val="00F809E4"/>
    <w:rsid w:val="00F80BF1"/>
    <w:rsid w:val="00F80C92"/>
    <w:rsid w:val="00F80DB4"/>
    <w:rsid w:val="00F810DB"/>
    <w:rsid w:val="00F81669"/>
    <w:rsid w:val="00F81C62"/>
    <w:rsid w:val="00F820E1"/>
    <w:rsid w:val="00F8259F"/>
    <w:rsid w:val="00F829E8"/>
    <w:rsid w:val="00F82AC3"/>
    <w:rsid w:val="00F82BE4"/>
    <w:rsid w:val="00F82DDF"/>
    <w:rsid w:val="00F83070"/>
    <w:rsid w:val="00F830B5"/>
    <w:rsid w:val="00F832E8"/>
    <w:rsid w:val="00F84090"/>
    <w:rsid w:val="00F848F8"/>
    <w:rsid w:val="00F84A6D"/>
    <w:rsid w:val="00F8506F"/>
    <w:rsid w:val="00F855FD"/>
    <w:rsid w:val="00F85779"/>
    <w:rsid w:val="00F85F8E"/>
    <w:rsid w:val="00F87218"/>
    <w:rsid w:val="00F87413"/>
    <w:rsid w:val="00F87872"/>
    <w:rsid w:val="00F87C38"/>
    <w:rsid w:val="00F91412"/>
    <w:rsid w:val="00F91593"/>
    <w:rsid w:val="00F927EE"/>
    <w:rsid w:val="00F92EF0"/>
    <w:rsid w:val="00F93072"/>
    <w:rsid w:val="00F935A3"/>
    <w:rsid w:val="00F9398E"/>
    <w:rsid w:val="00F93AB7"/>
    <w:rsid w:val="00F9506D"/>
    <w:rsid w:val="00F9520F"/>
    <w:rsid w:val="00F9539B"/>
    <w:rsid w:val="00F957C7"/>
    <w:rsid w:val="00F9601A"/>
    <w:rsid w:val="00F96522"/>
    <w:rsid w:val="00F9683F"/>
    <w:rsid w:val="00F969FB"/>
    <w:rsid w:val="00F96AD4"/>
    <w:rsid w:val="00F96EC4"/>
    <w:rsid w:val="00F97586"/>
    <w:rsid w:val="00F976CF"/>
    <w:rsid w:val="00F9791D"/>
    <w:rsid w:val="00F97C54"/>
    <w:rsid w:val="00FA0137"/>
    <w:rsid w:val="00FA04E7"/>
    <w:rsid w:val="00FA12B3"/>
    <w:rsid w:val="00FA12F8"/>
    <w:rsid w:val="00FA132D"/>
    <w:rsid w:val="00FA1369"/>
    <w:rsid w:val="00FA1FB2"/>
    <w:rsid w:val="00FA2212"/>
    <w:rsid w:val="00FA241B"/>
    <w:rsid w:val="00FA24DB"/>
    <w:rsid w:val="00FA24E1"/>
    <w:rsid w:val="00FA2C97"/>
    <w:rsid w:val="00FA389E"/>
    <w:rsid w:val="00FA4118"/>
    <w:rsid w:val="00FA49FF"/>
    <w:rsid w:val="00FA4DBE"/>
    <w:rsid w:val="00FA4E5B"/>
    <w:rsid w:val="00FA4FF9"/>
    <w:rsid w:val="00FA56F3"/>
    <w:rsid w:val="00FA5CE9"/>
    <w:rsid w:val="00FA68DD"/>
    <w:rsid w:val="00FA72BB"/>
    <w:rsid w:val="00FA740C"/>
    <w:rsid w:val="00FA74A0"/>
    <w:rsid w:val="00FA784A"/>
    <w:rsid w:val="00FA7A20"/>
    <w:rsid w:val="00FB01DE"/>
    <w:rsid w:val="00FB089C"/>
    <w:rsid w:val="00FB09D3"/>
    <w:rsid w:val="00FB0B2E"/>
    <w:rsid w:val="00FB0CE0"/>
    <w:rsid w:val="00FB0F04"/>
    <w:rsid w:val="00FB12A8"/>
    <w:rsid w:val="00FB15E4"/>
    <w:rsid w:val="00FB1B65"/>
    <w:rsid w:val="00FB1C70"/>
    <w:rsid w:val="00FB249F"/>
    <w:rsid w:val="00FB2903"/>
    <w:rsid w:val="00FB33D7"/>
    <w:rsid w:val="00FB38CC"/>
    <w:rsid w:val="00FB412D"/>
    <w:rsid w:val="00FB4AA9"/>
    <w:rsid w:val="00FB4B4D"/>
    <w:rsid w:val="00FB501B"/>
    <w:rsid w:val="00FB509E"/>
    <w:rsid w:val="00FB50E1"/>
    <w:rsid w:val="00FB539D"/>
    <w:rsid w:val="00FB6646"/>
    <w:rsid w:val="00FB69E3"/>
    <w:rsid w:val="00FB6C5F"/>
    <w:rsid w:val="00FB6DD1"/>
    <w:rsid w:val="00FB7251"/>
    <w:rsid w:val="00FB744E"/>
    <w:rsid w:val="00FB79C8"/>
    <w:rsid w:val="00FC0503"/>
    <w:rsid w:val="00FC0D7F"/>
    <w:rsid w:val="00FC1588"/>
    <w:rsid w:val="00FC15C4"/>
    <w:rsid w:val="00FC192D"/>
    <w:rsid w:val="00FC2279"/>
    <w:rsid w:val="00FC284E"/>
    <w:rsid w:val="00FC2F2F"/>
    <w:rsid w:val="00FC3141"/>
    <w:rsid w:val="00FC3380"/>
    <w:rsid w:val="00FC3492"/>
    <w:rsid w:val="00FC34A7"/>
    <w:rsid w:val="00FC4726"/>
    <w:rsid w:val="00FC52BE"/>
    <w:rsid w:val="00FC53EF"/>
    <w:rsid w:val="00FC544C"/>
    <w:rsid w:val="00FC59B7"/>
    <w:rsid w:val="00FC63E8"/>
    <w:rsid w:val="00FC64BF"/>
    <w:rsid w:val="00FC6BE5"/>
    <w:rsid w:val="00FC7965"/>
    <w:rsid w:val="00FC7B2E"/>
    <w:rsid w:val="00FD05E2"/>
    <w:rsid w:val="00FD0BB3"/>
    <w:rsid w:val="00FD1BB5"/>
    <w:rsid w:val="00FD1BCA"/>
    <w:rsid w:val="00FD1C36"/>
    <w:rsid w:val="00FD1F10"/>
    <w:rsid w:val="00FD28A4"/>
    <w:rsid w:val="00FD2E4B"/>
    <w:rsid w:val="00FD3462"/>
    <w:rsid w:val="00FD405F"/>
    <w:rsid w:val="00FD4219"/>
    <w:rsid w:val="00FD5BEC"/>
    <w:rsid w:val="00FD6BFB"/>
    <w:rsid w:val="00FD6D4D"/>
    <w:rsid w:val="00FD706D"/>
    <w:rsid w:val="00FD721B"/>
    <w:rsid w:val="00FD7558"/>
    <w:rsid w:val="00FD7608"/>
    <w:rsid w:val="00FD7BD7"/>
    <w:rsid w:val="00FE003F"/>
    <w:rsid w:val="00FE0051"/>
    <w:rsid w:val="00FE08C2"/>
    <w:rsid w:val="00FE0A8C"/>
    <w:rsid w:val="00FE0B15"/>
    <w:rsid w:val="00FE1077"/>
    <w:rsid w:val="00FE125E"/>
    <w:rsid w:val="00FE12A6"/>
    <w:rsid w:val="00FE19B4"/>
    <w:rsid w:val="00FE1A71"/>
    <w:rsid w:val="00FE204F"/>
    <w:rsid w:val="00FE20DC"/>
    <w:rsid w:val="00FE2508"/>
    <w:rsid w:val="00FE27FB"/>
    <w:rsid w:val="00FE2969"/>
    <w:rsid w:val="00FE368F"/>
    <w:rsid w:val="00FE4C90"/>
    <w:rsid w:val="00FE52CA"/>
    <w:rsid w:val="00FE595D"/>
    <w:rsid w:val="00FE6037"/>
    <w:rsid w:val="00FE67A2"/>
    <w:rsid w:val="00FE6A47"/>
    <w:rsid w:val="00FE6AFD"/>
    <w:rsid w:val="00FE6F3D"/>
    <w:rsid w:val="00FE7AFB"/>
    <w:rsid w:val="00FF0087"/>
    <w:rsid w:val="00FF046A"/>
    <w:rsid w:val="00FF0715"/>
    <w:rsid w:val="00FF0D05"/>
    <w:rsid w:val="00FF153B"/>
    <w:rsid w:val="00FF1602"/>
    <w:rsid w:val="00FF1891"/>
    <w:rsid w:val="00FF1FA9"/>
    <w:rsid w:val="00FF2853"/>
    <w:rsid w:val="00FF2AD4"/>
    <w:rsid w:val="00FF2BDE"/>
    <w:rsid w:val="00FF362B"/>
    <w:rsid w:val="00FF4135"/>
    <w:rsid w:val="00FF4485"/>
    <w:rsid w:val="00FF4742"/>
    <w:rsid w:val="00FF48FB"/>
    <w:rsid w:val="00FF5DC3"/>
    <w:rsid w:val="00FF617F"/>
    <w:rsid w:val="00FF6463"/>
    <w:rsid w:val="00FF6ADE"/>
    <w:rsid w:val="00FF6C08"/>
    <w:rsid w:val="00FF763C"/>
    <w:rsid w:val="00FF7A7C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804E57"/>
  <w15:docId w15:val="{15294E6D-061F-4766-8555-85FB1F8E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AC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i/>
      <w:sz w:val="17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Pr>
      <w:color w:val="0000FF"/>
      <w:u w:val="single"/>
    </w:rPr>
  </w:style>
  <w:style w:type="paragraph" w:customStyle="1" w:styleId="Pasiteirauti">
    <w:name w:val="Pasiteirauti"/>
    <w:basedOn w:val="Normal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pPr>
      <w:jc w:val="right"/>
    </w:pPr>
    <w:rPr>
      <w:sz w:val="22"/>
    </w:rPr>
  </w:style>
  <w:style w:type="paragraph" w:customStyle="1" w:styleId="Antraste">
    <w:name w:val="Antraste"/>
    <w:basedOn w:val="Heading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Pr>
      <w:sz w:val="20"/>
    </w:rPr>
  </w:style>
  <w:style w:type="paragraph" w:customStyle="1" w:styleId="Galva">
    <w:name w:val="Galva"/>
    <w:basedOn w:val="Normal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pPr>
      <w:ind w:left="226"/>
    </w:pPr>
  </w:style>
  <w:style w:type="paragraph" w:customStyle="1" w:styleId="2atitr">
    <w:name w:val="2_atitr"/>
    <w:basedOn w:val="1atitr"/>
    <w:pPr>
      <w:ind w:left="340"/>
    </w:pPr>
  </w:style>
  <w:style w:type="paragraph" w:customStyle="1" w:styleId="skaic">
    <w:name w:val="skaic"/>
    <w:basedOn w:val="Normal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pPr>
      <w:ind w:firstLine="720"/>
      <w:jc w:val="both"/>
    </w:pPr>
  </w:style>
  <w:style w:type="paragraph" w:customStyle="1" w:styleId="Lentelespav">
    <w:name w:val="Lenteles pav"/>
    <w:basedOn w:val="Paantraste"/>
    <w:rPr>
      <w:caps w:val="0"/>
      <w:lang w:val="en-GB"/>
    </w:rPr>
  </w:style>
  <w:style w:type="paragraph" w:customStyle="1" w:styleId="Parasas">
    <w:name w:val="Parasas"/>
    <w:basedOn w:val="Normal"/>
    <w:rPr>
      <w:lang w:val="lt-LT"/>
    </w:rPr>
  </w:style>
  <w:style w:type="paragraph" w:customStyle="1" w:styleId="Pranesimas">
    <w:name w:val="Pranesimas"/>
    <w:basedOn w:val="Normal"/>
    <w:rPr>
      <w:sz w:val="12"/>
      <w:lang w:val="lt-LT"/>
    </w:rPr>
  </w:style>
  <w:style w:type="paragraph" w:styleId="BodyText">
    <w:name w:val="Body Text"/>
    <w:basedOn w:val="Normal"/>
    <w:link w:val="BodyTextChar"/>
    <w:rsid w:val="00D92FDF"/>
    <w:pPr>
      <w:spacing w:after="120"/>
    </w:pPr>
  </w:style>
  <w:style w:type="paragraph" w:customStyle="1" w:styleId="Saltinis">
    <w:name w:val="Saltinis"/>
    <w:basedOn w:val="Normal"/>
    <w:rPr>
      <w:sz w:val="18"/>
    </w:rPr>
  </w:style>
  <w:style w:type="paragraph" w:customStyle="1" w:styleId="lentpav">
    <w:name w:val="lentpav"/>
    <w:basedOn w:val="Normal"/>
    <w:rsid w:val="00D92FDF"/>
    <w:rPr>
      <w:rFonts w:cs="Arial"/>
      <w:b/>
      <w:bCs/>
      <w:snapToGrid w:val="0"/>
      <w:lang w:val="en-US"/>
    </w:rPr>
  </w:style>
  <w:style w:type="paragraph" w:styleId="BalloonText">
    <w:name w:val="Balloon Text"/>
    <w:basedOn w:val="Normal"/>
    <w:semiHidden/>
    <w:rsid w:val="00BE27A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04698"/>
    <w:rPr>
      <w:b/>
      <w:bCs/>
    </w:rPr>
  </w:style>
  <w:style w:type="character" w:customStyle="1" w:styleId="BodyTextChar">
    <w:name w:val="Body Text Char"/>
    <w:link w:val="BodyText"/>
    <w:rsid w:val="005C1766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7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64A7F"/>
    <w:rPr>
      <w:color w:val="800080"/>
      <w:u w:val="single"/>
    </w:rPr>
  </w:style>
  <w:style w:type="character" w:styleId="CommentReference">
    <w:name w:val="annotation reference"/>
    <w:rsid w:val="000350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50CB"/>
  </w:style>
  <w:style w:type="character" w:customStyle="1" w:styleId="CommentTextChar">
    <w:name w:val="Comment Text Char"/>
    <w:link w:val="CommentText"/>
    <w:rsid w:val="000350CB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350CB"/>
    <w:rPr>
      <w:b/>
      <w:bCs/>
    </w:rPr>
  </w:style>
  <w:style w:type="character" w:customStyle="1" w:styleId="CommentSubjectChar">
    <w:name w:val="Comment Subject Char"/>
    <w:link w:val="CommentSubject"/>
    <w:rsid w:val="000350CB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940091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11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c.europa.eu/eurostat/documents/4031688/9394165/KS-02-18-142-LT-N.pdf/2c6787ed-aaf1-4f30-bad1-aa65bf1e964b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sp.stat.gov.lt/statistiniu-rodikliu-analiz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alia.skireliene@stat.gov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s://osp.stat.gov.lt/statistikos-terminu-zodynas" TargetMode="External"/><Relationship Id="rId10" Type="http://schemas.openxmlformats.org/officeDocument/2006/relationships/chart" Target="charts/chart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estatistika.stat.gov.lt/skaiciuokle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8D\Pr_spaudai_lt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69230769230768E-2"/>
          <c:y val="0.10685483870967745"/>
          <c:w val="0.95833333333333337"/>
          <c:h val="0.70974454091237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E66482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numFmt formatCode="0.0_ ;\–0.0\ 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-0.5</c:v>
                </c:pt>
                <c:pt idx="1">
                  <c:v>0.5</c:v>
                </c:pt>
                <c:pt idx="2">
                  <c:v>-0.3</c:v>
                </c:pt>
                <c:pt idx="3">
                  <c:v>-0.2</c:v>
                </c:pt>
                <c:pt idx="4">
                  <c:v>0.4</c:v>
                </c:pt>
                <c:pt idx="5">
                  <c:v>0.1</c:v>
                </c:pt>
                <c:pt idx="6">
                  <c:v>-0.1</c:v>
                </c:pt>
                <c:pt idx="7">
                  <c:v>0</c:v>
                </c:pt>
                <c:pt idx="8">
                  <c:v>0.5</c:v>
                </c:pt>
                <c:pt idx="9">
                  <c:v>0.2</c:v>
                </c:pt>
                <c:pt idx="10">
                  <c:v>1</c:v>
                </c:pt>
                <c:pt idx="11">
                  <c:v>0.9</c:v>
                </c:pt>
                <c:pt idx="1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47-4659-BA75-98F84DE82F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44993664"/>
        <c:axId val="147589376"/>
      </c:barChart>
      <c:catAx>
        <c:axId val="144993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75893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7589376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4993664"/>
        <c:crosses val="autoZero"/>
        <c:crossBetween val="between"/>
        <c:majorUnit val="1"/>
        <c:minorUnit val="0.5"/>
      </c:valAx>
      <c:spPr>
        <a:noFill/>
        <a:ln w="2540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269230769230768E-2"/>
          <c:y val="0.12701612903225806"/>
          <c:w val="0.93499578665345862"/>
          <c:h val="0.5988150855959065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25400">
              <a:solidFill>
                <a:srgbClr val="28286E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FFFF"/>
              </a:solidFill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V 
2016</c:v>
                </c:pt>
                <c:pt idx="1">
                  <c:v>VI 
2016</c:v>
                </c:pt>
                <c:pt idx="2">
                  <c:v>VII 
2016</c:v>
                </c:pt>
                <c:pt idx="3">
                  <c:v>VIII 
2016</c:v>
                </c:pt>
                <c:pt idx="4">
                  <c:v>IX 
2016</c:v>
                </c:pt>
                <c:pt idx="5">
                  <c:v>X 
2016</c:v>
                </c:pt>
                <c:pt idx="6">
                  <c:v>XI 
2016</c:v>
                </c:pt>
                <c:pt idx="7">
                  <c:v>XII 
2016</c:v>
                </c:pt>
                <c:pt idx="8">
                  <c:v>I 
2017</c:v>
                </c:pt>
                <c:pt idx="9">
                  <c:v>II 
2017</c:v>
                </c:pt>
                <c:pt idx="10">
                  <c:v>III 
2017</c:v>
                </c:pt>
                <c:pt idx="11">
                  <c:v>IV 
2017</c:v>
                </c:pt>
                <c:pt idx="12">
                  <c:v>V 
2017</c:v>
                </c:pt>
                <c:pt idx="13">
                  <c:v>VI 
2017</c:v>
                </c:pt>
                <c:pt idx="14">
                  <c:v>VII 
2017</c:v>
                </c:pt>
                <c:pt idx="15">
                  <c:v>VIII 
2017</c:v>
                </c:pt>
                <c:pt idx="16">
                  <c:v>IX 
2017</c:v>
                </c:pt>
                <c:pt idx="17">
                  <c:v>X 
2017</c:v>
                </c:pt>
                <c:pt idx="18">
                  <c:v>XI 
2017</c:v>
                </c:pt>
                <c:pt idx="19">
                  <c:v>XII 
2017</c:v>
                </c:pt>
                <c:pt idx="20">
                  <c:v>I 
2018</c:v>
                </c:pt>
                <c:pt idx="21">
                  <c:v>II 
2018</c:v>
                </c:pt>
                <c:pt idx="22">
                  <c:v>III 
2018</c:v>
                </c:pt>
                <c:pt idx="23">
                  <c:v>IV 
2018</c:v>
                </c:pt>
                <c:pt idx="24">
                  <c:v>V 
2018</c:v>
                </c:pt>
                <c:pt idx="25">
                  <c:v>VI 
2018</c:v>
                </c:pt>
                <c:pt idx="26">
                  <c:v>VII 
2018</c:v>
                </c:pt>
                <c:pt idx="27">
                  <c:v>VIII 
2018</c:v>
                </c:pt>
                <c:pt idx="28">
                  <c:v>IX 
2018</c:v>
                </c:pt>
                <c:pt idx="29">
                  <c:v>X 
2018</c:v>
                </c:pt>
                <c:pt idx="30">
                  <c:v>XI 
2018</c:v>
                </c:pt>
                <c:pt idx="31">
                  <c:v>XII 
2018</c:v>
                </c:pt>
                <c:pt idx="32">
                  <c:v>I 
2019</c:v>
                </c:pt>
                <c:pt idx="33">
                  <c:v>II 
2019</c:v>
                </c:pt>
                <c:pt idx="34">
                  <c:v>III 
2019</c:v>
                </c:pt>
                <c:pt idx="35">
                  <c:v>IV 
2019</c:v>
                </c:pt>
                <c:pt idx="36">
                  <c:v>V 
2019</c:v>
                </c:pt>
                <c:pt idx="37">
                  <c:v>VI 
2019</c:v>
                </c:pt>
                <c:pt idx="38">
                  <c:v>VII 
2019</c:v>
                </c:pt>
                <c:pt idx="39">
                  <c:v>VIII 
2019</c:v>
                </c:pt>
                <c:pt idx="40">
                  <c:v>IX 
2019</c:v>
                </c:pt>
                <c:pt idx="41">
                  <c:v>X 
2019</c:v>
                </c:pt>
                <c:pt idx="42">
                  <c:v>XI 
2019</c:v>
                </c:pt>
                <c:pt idx="43">
                  <c:v>XII 
2019</c:v>
                </c:pt>
                <c:pt idx="44">
                  <c:v>I 
2020</c:v>
                </c:pt>
                <c:pt idx="45">
                  <c:v>II 
2020</c:v>
                </c:pt>
                <c:pt idx="46">
                  <c:v>III 
2020</c:v>
                </c:pt>
                <c:pt idx="47">
                  <c:v>IV 
2020</c:v>
                </c:pt>
                <c:pt idx="48">
                  <c:v>V 
2020</c:v>
                </c:pt>
                <c:pt idx="49">
                  <c:v>VI 
2020</c:v>
                </c:pt>
                <c:pt idx="50">
                  <c:v>VII 
2020</c:v>
                </c:pt>
                <c:pt idx="51">
                  <c:v>VIII 
2020</c:v>
                </c:pt>
                <c:pt idx="52">
                  <c:v>IX 
2020</c:v>
                </c:pt>
                <c:pt idx="53">
                  <c:v>X 
2020</c:v>
                </c:pt>
                <c:pt idx="54">
                  <c:v>XI 
2020</c:v>
                </c:pt>
                <c:pt idx="55">
                  <c:v>XII
2020</c:v>
                </c:pt>
                <c:pt idx="56">
                  <c:v>I
2021</c:v>
                </c:pt>
                <c:pt idx="57">
                  <c:v>II
2021</c:v>
                </c:pt>
                <c:pt idx="58">
                  <c:v>III
2021</c:v>
                </c:pt>
                <c:pt idx="59">
                  <c:v>IV
2021</c:v>
                </c:pt>
                <c:pt idx="60">
                  <c:v>V
2021</c:v>
                </c:pt>
              </c:strCache>
            </c:strRef>
          </c:cat>
          <c:val>
            <c:numRef>
              <c:f>Sheet1!$B$2:$B$62</c:f>
              <c:numCache>
                <c:formatCode>0.0</c:formatCode>
                <c:ptCount val="61"/>
                <c:pt idx="0">
                  <c:v>0.5</c:v>
                </c:pt>
                <c:pt idx="1">
                  <c:v>0.7</c:v>
                </c:pt>
                <c:pt idx="2">
                  <c:v>0.5</c:v>
                </c:pt>
                <c:pt idx="3">
                  <c:v>0.8</c:v>
                </c:pt>
                <c:pt idx="4">
                  <c:v>0.8</c:v>
                </c:pt>
                <c:pt idx="5">
                  <c:v>0.9</c:v>
                </c:pt>
                <c:pt idx="6">
                  <c:v>1</c:v>
                </c:pt>
                <c:pt idx="7">
                  <c:v>1.7</c:v>
                </c:pt>
                <c:pt idx="8">
                  <c:v>2.2999999999999998</c:v>
                </c:pt>
                <c:pt idx="9">
                  <c:v>3</c:v>
                </c:pt>
                <c:pt idx="10">
                  <c:v>3.1</c:v>
                </c:pt>
                <c:pt idx="11">
                  <c:v>3.5</c:v>
                </c:pt>
                <c:pt idx="12">
                  <c:v>3.4</c:v>
                </c:pt>
                <c:pt idx="13">
                  <c:v>3.6</c:v>
                </c:pt>
                <c:pt idx="14">
                  <c:v>3.9</c:v>
                </c:pt>
                <c:pt idx="15">
                  <c:v>4.4000000000000004</c:v>
                </c:pt>
                <c:pt idx="16">
                  <c:v>4.8</c:v>
                </c:pt>
                <c:pt idx="17">
                  <c:v>4.4000000000000004</c:v>
                </c:pt>
                <c:pt idx="18">
                  <c:v>4.4000000000000004</c:v>
                </c:pt>
                <c:pt idx="19">
                  <c:v>3.9</c:v>
                </c:pt>
                <c:pt idx="20">
                  <c:v>4</c:v>
                </c:pt>
                <c:pt idx="21">
                  <c:v>3.5</c:v>
                </c:pt>
                <c:pt idx="22">
                  <c:v>2.7</c:v>
                </c:pt>
                <c:pt idx="23">
                  <c:v>2.2999999999999998</c:v>
                </c:pt>
                <c:pt idx="24">
                  <c:v>2.9</c:v>
                </c:pt>
                <c:pt idx="25">
                  <c:v>2.6</c:v>
                </c:pt>
                <c:pt idx="26">
                  <c:v>2.5</c:v>
                </c:pt>
                <c:pt idx="27">
                  <c:v>2.1</c:v>
                </c:pt>
                <c:pt idx="28">
                  <c:v>2.4</c:v>
                </c:pt>
                <c:pt idx="29">
                  <c:v>2.9</c:v>
                </c:pt>
                <c:pt idx="30">
                  <c:v>2.5</c:v>
                </c:pt>
                <c:pt idx="31">
                  <c:v>1.9</c:v>
                </c:pt>
                <c:pt idx="32">
                  <c:v>1.7</c:v>
                </c:pt>
                <c:pt idx="33">
                  <c:v>2.1</c:v>
                </c:pt>
                <c:pt idx="34">
                  <c:v>2.6</c:v>
                </c:pt>
                <c:pt idx="35">
                  <c:v>2.8</c:v>
                </c:pt>
                <c:pt idx="36">
                  <c:v>2.7</c:v>
                </c:pt>
                <c:pt idx="37">
                  <c:v>2.5</c:v>
                </c:pt>
                <c:pt idx="38">
                  <c:v>2.7</c:v>
                </c:pt>
                <c:pt idx="39">
                  <c:v>2.6</c:v>
                </c:pt>
                <c:pt idx="40">
                  <c:v>2.2000000000000002</c:v>
                </c:pt>
                <c:pt idx="41">
                  <c:v>1.6</c:v>
                </c:pt>
                <c:pt idx="42">
                  <c:v>1.7</c:v>
                </c:pt>
                <c:pt idx="43">
                  <c:v>2.7</c:v>
                </c:pt>
                <c:pt idx="44">
                  <c:v>3</c:v>
                </c:pt>
                <c:pt idx="45">
                  <c:v>2.8</c:v>
                </c:pt>
                <c:pt idx="46">
                  <c:v>1.8</c:v>
                </c:pt>
                <c:pt idx="47">
                  <c:v>1</c:v>
                </c:pt>
                <c:pt idx="48">
                  <c:v>0.3</c:v>
                </c:pt>
                <c:pt idx="49">
                  <c:v>1</c:v>
                </c:pt>
                <c:pt idx="50">
                  <c:v>1</c:v>
                </c:pt>
                <c:pt idx="51">
                  <c:v>1.3</c:v>
                </c:pt>
                <c:pt idx="52">
                  <c:v>0.7</c:v>
                </c:pt>
                <c:pt idx="53">
                  <c:v>0.7</c:v>
                </c:pt>
                <c:pt idx="54">
                  <c:v>0.6</c:v>
                </c:pt>
                <c:pt idx="55">
                  <c:v>0.2</c:v>
                </c:pt>
                <c:pt idx="56">
                  <c:v>0.3</c:v>
                </c:pt>
                <c:pt idx="57">
                  <c:v>0.6</c:v>
                </c:pt>
                <c:pt idx="58">
                  <c:v>1.6</c:v>
                </c:pt>
                <c:pt idx="59">
                  <c:v>2.5</c:v>
                </c:pt>
                <c:pt idx="60">
                  <c:v>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10-421E-A7D6-F00A98D0DF0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Prekės</c:v>
                </c:pt>
              </c:strCache>
            </c:strRef>
          </c:tx>
          <c:spPr>
            <a:ln w="25400">
              <a:solidFill>
                <a:srgbClr val="E66482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V 
2016</c:v>
                </c:pt>
                <c:pt idx="1">
                  <c:v>VI 
2016</c:v>
                </c:pt>
                <c:pt idx="2">
                  <c:v>VII 
2016</c:v>
                </c:pt>
                <c:pt idx="3">
                  <c:v>VIII 
2016</c:v>
                </c:pt>
                <c:pt idx="4">
                  <c:v>IX 
2016</c:v>
                </c:pt>
                <c:pt idx="5">
                  <c:v>X 
2016</c:v>
                </c:pt>
                <c:pt idx="6">
                  <c:v>XI 
2016</c:v>
                </c:pt>
                <c:pt idx="7">
                  <c:v>XII 
2016</c:v>
                </c:pt>
                <c:pt idx="8">
                  <c:v>I 
2017</c:v>
                </c:pt>
                <c:pt idx="9">
                  <c:v>II 
2017</c:v>
                </c:pt>
                <c:pt idx="10">
                  <c:v>III 
2017</c:v>
                </c:pt>
                <c:pt idx="11">
                  <c:v>IV 
2017</c:v>
                </c:pt>
                <c:pt idx="12">
                  <c:v>V 
2017</c:v>
                </c:pt>
                <c:pt idx="13">
                  <c:v>VI 
2017</c:v>
                </c:pt>
                <c:pt idx="14">
                  <c:v>VII 
2017</c:v>
                </c:pt>
                <c:pt idx="15">
                  <c:v>VIII 
2017</c:v>
                </c:pt>
                <c:pt idx="16">
                  <c:v>IX 
2017</c:v>
                </c:pt>
                <c:pt idx="17">
                  <c:v>X 
2017</c:v>
                </c:pt>
                <c:pt idx="18">
                  <c:v>XI 
2017</c:v>
                </c:pt>
                <c:pt idx="19">
                  <c:v>XII 
2017</c:v>
                </c:pt>
                <c:pt idx="20">
                  <c:v>I 
2018</c:v>
                </c:pt>
                <c:pt idx="21">
                  <c:v>II 
2018</c:v>
                </c:pt>
                <c:pt idx="22">
                  <c:v>III 
2018</c:v>
                </c:pt>
                <c:pt idx="23">
                  <c:v>IV 
2018</c:v>
                </c:pt>
                <c:pt idx="24">
                  <c:v>V 
2018</c:v>
                </c:pt>
                <c:pt idx="25">
                  <c:v>VI 
2018</c:v>
                </c:pt>
                <c:pt idx="26">
                  <c:v>VII 
2018</c:v>
                </c:pt>
                <c:pt idx="27">
                  <c:v>VIII 
2018</c:v>
                </c:pt>
                <c:pt idx="28">
                  <c:v>IX 
2018</c:v>
                </c:pt>
                <c:pt idx="29">
                  <c:v>X 
2018</c:v>
                </c:pt>
                <c:pt idx="30">
                  <c:v>XI 
2018</c:v>
                </c:pt>
                <c:pt idx="31">
                  <c:v>XII 
2018</c:v>
                </c:pt>
                <c:pt idx="32">
                  <c:v>I 
2019</c:v>
                </c:pt>
                <c:pt idx="33">
                  <c:v>II 
2019</c:v>
                </c:pt>
                <c:pt idx="34">
                  <c:v>III 
2019</c:v>
                </c:pt>
                <c:pt idx="35">
                  <c:v>IV 
2019</c:v>
                </c:pt>
                <c:pt idx="36">
                  <c:v>V 
2019</c:v>
                </c:pt>
                <c:pt idx="37">
                  <c:v>VI 
2019</c:v>
                </c:pt>
                <c:pt idx="38">
                  <c:v>VII 
2019</c:v>
                </c:pt>
                <c:pt idx="39">
                  <c:v>VIII 
2019</c:v>
                </c:pt>
                <c:pt idx="40">
                  <c:v>IX 
2019</c:v>
                </c:pt>
                <c:pt idx="41">
                  <c:v>X 
2019</c:v>
                </c:pt>
                <c:pt idx="42">
                  <c:v>XI 
2019</c:v>
                </c:pt>
                <c:pt idx="43">
                  <c:v>XII 
2019</c:v>
                </c:pt>
                <c:pt idx="44">
                  <c:v>I 
2020</c:v>
                </c:pt>
                <c:pt idx="45">
                  <c:v>II 
2020</c:v>
                </c:pt>
                <c:pt idx="46">
                  <c:v>III 
2020</c:v>
                </c:pt>
                <c:pt idx="47">
                  <c:v>IV 
2020</c:v>
                </c:pt>
                <c:pt idx="48">
                  <c:v>V 
2020</c:v>
                </c:pt>
                <c:pt idx="49">
                  <c:v>VI 
2020</c:v>
                </c:pt>
                <c:pt idx="50">
                  <c:v>VII 
2020</c:v>
                </c:pt>
                <c:pt idx="51">
                  <c:v>VIII 
2020</c:v>
                </c:pt>
                <c:pt idx="52">
                  <c:v>IX 
2020</c:v>
                </c:pt>
                <c:pt idx="53">
                  <c:v>X 
2020</c:v>
                </c:pt>
                <c:pt idx="54">
                  <c:v>XI 
2020</c:v>
                </c:pt>
                <c:pt idx="55">
                  <c:v>XII
2020</c:v>
                </c:pt>
                <c:pt idx="56">
                  <c:v>I
2021</c:v>
                </c:pt>
                <c:pt idx="57">
                  <c:v>II
2021</c:v>
                </c:pt>
                <c:pt idx="58">
                  <c:v>III
2021</c:v>
                </c:pt>
                <c:pt idx="59">
                  <c:v>IV
2021</c:v>
                </c:pt>
                <c:pt idx="60">
                  <c:v>V
2021</c:v>
                </c:pt>
              </c:strCache>
            </c:strRef>
          </c:cat>
          <c:val>
            <c:numRef>
              <c:f>Sheet1!$C$2:$C$62</c:f>
              <c:numCache>
                <c:formatCode>0.0</c:formatCode>
                <c:ptCount val="61"/>
                <c:pt idx="0">
                  <c:v>-0.6</c:v>
                </c:pt>
                <c:pt idx="1">
                  <c:v>-0.5</c:v>
                </c:pt>
                <c:pt idx="2">
                  <c:v>-0.8</c:v>
                </c:pt>
                <c:pt idx="3">
                  <c:v>-0.2</c:v>
                </c:pt>
                <c:pt idx="4">
                  <c:v>0.1</c:v>
                </c:pt>
                <c:pt idx="5">
                  <c:v>0.1</c:v>
                </c:pt>
                <c:pt idx="6">
                  <c:v>0.6</c:v>
                </c:pt>
                <c:pt idx="7">
                  <c:v>1.5</c:v>
                </c:pt>
                <c:pt idx="8">
                  <c:v>2.1</c:v>
                </c:pt>
                <c:pt idx="9">
                  <c:v>2.9</c:v>
                </c:pt>
                <c:pt idx="10">
                  <c:v>3.3</c:v>
                </c:pt>
                <c:pt idx="11">
                  <c:v>3.3</c:v>
                </c:pt>
                <c:pt idx="12">
                  <c:v>3</c:v>
                </c:pt>
                <c:pt idx="13">
                  <c:v>3</c:v>
                </c:pt>
                <c:pt idx="14">
                  <c:v>3.3</c:v>
                </c:pt>
                <c:pt idx="15">
                  <c:v>3.8</c:v>
                </c:pt>
                <c:pt idx="16">
                  <c:v>4.4000000000000004</c:v>
                </c:pt>
                <c:pt idx="17">
                  <c:v>4</c:v>
                </c:pt>
                <c:pt idx="18">
                  <c:v>4</c:v>
                </c:pt>
                <c:pt idx="19">
                  <c:v>3.4</c:v>
                </c:pt>
                <c:pt idx="20">
                  <c:v>3.6</c:v>
                </c:pt>
                <c:pt idx="21">
                  <c:v>2.9</c:v>
                </c:pt>
                <c:pt idx="22">
                  <c:v>1.8</c:v>
                </c:pt>
                <c:pt idx="23">
                  <c:v>1.5</c:v>
                </c:pt>
                <c:pt idx="24">
                  <c:v>2.2999999999999998</c:v>
                </c:pt>
                <c:pt idx="25">
                  <c:v>2.1</c:v>
                </c:pt>
                <c:pt idx="26">
                  <c:v>2.1</c:v>
                </c:pt>
                <c:pt idx="27">
                  <c:v>1.6</c:v>
                </c:pt>
                <c:pt idx="28">
                  <c:v>1.8</c:v>
                </c:pt>
                <c:pt idx="29">
                  <c:v>2.5</c:v>
                </c:pt>
                <c:pt idx="30">
                  <c:v>1.9</c:v>
                </c:pt>
                <c:pt idx="31">
                  <c:v>1</c:v>
                </c:pt>
                <c:pt idx="32">
                  <c:v>0.9</c:v>
                </c:pt>
                <c:pt idx="33">
                  <c:v>1.2</c:v>
                </c:pt>
                <c:pt idx="34">
                  <c:v>2</c:v>
                </c:pt>
                <c:pt idx="35">
                  <c:v>2.2000000000000002</c:v>
                </c:pt>
                <c:pt idx="36">
                  <c:v>2.1</c:v>
                </c:pt>
                <c:pt idx="37">
                  <c:v>1.8</c:v>
                </c:pt>
                <c:pt idx="38">
                  <c:v>1.9</c:v>
                </c:pt>
                <c:pt idx="39">
                  <c:v>1.8</c:v>
                </c:pt>
                <c:pt idx="40">
                  <c:v>1.2</c:v>
                </c:pt>
                <c:pt idx="41">
                  <c:v>0.4</c:v>
                </c:pt>
                <c:pt idx="42">
                  <c:v>0.7</c:v>
                </c:pt>
                <c:pt idx="43">
                  <c:v>1.8</c:v>
                </c:pt>
                <c:pt idx="44">
                  <c:v>2</c:v>
                </c:pt>
                <c:pt idx="45">
                  <c:v>1.7</c:v>
                </c:pt>
                <c:pt idx="46">
                  <c:v>0.5</c:v>
                </c:pt>
                <c:pt idx="47">
                  <c:v>-0.4</c:v>
                </c:pt>
                <c:pt idx="48">
                  <c:v>-1.6</c:v>
                </c:pt>
                <c:pt idx="49">
                  <c:v>-0.9</c:v>
                </c:pt>
                <c:pt idx="50">
                  <c:v>-0.6</c:v>
                </c:pt>
                <c:pt idx="51">
                  <c:v>-0.3</c:v>
                </c:pt>
                <c:pt idx="52">
                  <c:v>-0.9</c:v>
                </c:pt>
                <c:pt idx="53">
                  <c:v>-0.8</c:v>
                </c:pt>
                <c:pt idx="54">
                  <c:v>-1</c:v>
                </c:pt>
                <c:pt idx="55">
                  <c:v>-1.3</c:v>
                </c:pt>
                <c:pt idx="56">
                  <c:v>-1.2</c:v>
                </c:pt>
                <c:pt idx="57">
                  <c:v>-0.7</c:v>
                </c:pt>
                <c:pt idx="58">
                  <c:v>0.6</c:v>
                </c:pt>
                <c:pt idx="59">
                  <c:v>1.7</c:v>
                </c:pt>
                <c:pt idx="60">
                  <c:v>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10-421E-A7D6-F00A98D0DF0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Paslaugos</c:v>
                </c:pt>
              </c:strCache>
            </c:strRef>
          </c:tx>
          <c:spPr>
            <a:ln w="25400">
              <a:solidFill>
                <a:srgbClr val="FABEC3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V 
2016</c:v>
                </c:pt>
                <c:pt idx="1">
                  <c:v>VI 
2016</c:v>
                </c:pt>
                <c:pt idx="2">
                  <c:v>VII 
2016</c:v>
                </c:pt>
                <c:pt idx="3">
                  <c:v>VIII 
2016</c:v>
                </c:pt>
                <c:pt idx="4">
                  <c:v>IX 
2016</c:v>
                </c:pt>
                <c:pt idx="5">
                  <c:v>X 
2016</c:v>
                </c:pt>
                <c:pt idx="6">
                  <c:v>XI 
2016</c:v>
                </c:pt>
                <c:pt idx="7">
                  <c:v>XII 
2016</c:v>
                </c:pt>
                <c:pt idx="8">
                  <c:v>I 
2017</c:v>
                </c:pt>
                <c:pt idx="9">
                  <c:v>II 
2017</c:v>
                </c:pt>
                <c:pt idx="10">
                  <c:v>III 
2017</c:v>
                </c:pt>
                <c:pt idx="11">
                  <c:v>IV 
2017</c:v>
                </c:pt>
                <c:pt idx="12">
                  <c:v>V 
2017</c:v>
                </c:pt>
                <c:pt idx="13">
                  <c:v>VI 
2017</c:v>
                </c:pt>
                <c:pt idx="14">
                  <c:v>VII 
2017</c:v>
                </c:pt>
                <c:pt idx="15">
                  <c:v>VIII 
2017</c:v>
                </c:pt>
                <c:pt idx="16">
                  <c:v>IX 
2017</c:v>
                </c:pt>
                <c:pt idx="17">
                  <c:v>X 
2017</c:v>
                </c:pt>
                <c:pt idx="18">
                  <c:v>XI 
2017</c:v>
                </c:pt>
                <c:pt idx="19">
                  <c:v>XII 
2017</c:v>
                </c:pt>
                <c:pt idx="20">
                  <c:v>I 
2018</c:v>
                </c:pt>
                <c:pt idx="21">
                  <c:v>II 
2018</c:v>
                </c:pt>
                <c:pt idx="22">
                  <c:v>III 
2018</c:v>
                </c:pt>
                <c:pt idx="23">
                  <c:v>IV 
2018</c:v>
                </c:pt>
                <c:pt idx="24">
                  <c:v>V 
2018</c:v>
                </c:pt>
                <c:pt idx="25">
                  <c:v>VI 
2018</c:v>
                </c:pt>
                <c:pt idx="26">
                  <c:v>VII 
2018</c:v>
                </c:pt>
                <c:pt idx="27">
                  <c:v>VIII 
2018</c:v>
                </c:pt>
                <c:pt idx="28">
                  <c:v>IX 
2018</c:v>
                </c:pt>
                <c:pt idx="29">
                  <c:v>X 
2018</c:v>
                </c:pt>
                <c:pt idx="30">
                  <c:v>XI 
2018</c:v>
                </c:pt>
                <c:pt idx="31">
                  <c:v>XII 
2018</c:v>
                </c:pt>
                <c:pt idx="32">
                  <c:v>I 
2019</c:v>
                </c:pt>
                <c:pt idx="33">
                  <c:v>II 
2019</c:v>
                </c:pt>
                <c:pt idx="34">
                  <c:v>III 
2019</c:v>
                </c:pt>
                <c:pt idx="35">
                  <c:v>IV 
2019</c:v>
                </c:pt>
                <c:pt idx="36">
                  <c:v>V 
2019</c:v>
                </c:pt>
                <c:pt idx="37">
                  <c:v>VI 
2019</c:v>
                </c:pt>
                <c:pt idx="38">
                  <c:v>VII 
2019</c:v>
                </c:pt>
                <c:pt idx="39">
                  <c:v>VIII 
2019</c:v>
                </c:pt>
                <c:pt idx="40">
                  <c:v>IX 
2019</c:v>
                </c:pt>
                <c:pt idx="41">
                  <c:v>X 
2019</c:v>
                </c:pt>
                <c:pt idx="42">
                  <c:v>XI 
2019</c:v>
                </c:pt>
                <c:pt idx="43">
                  <c:v>XII 
2019</c:v>
                </c:pt>
                <c:pt idx="44">
                  <c:v>I 
2020</c:v>
                </c:pt>
                <c:pt idx="45">
                  <c:v>II 
2020</c:v>
                </c:pt>
                <c:pt idx="46">
                  <c:v>III 
2020</c:v>
                </c:pt>
                <c:pt idx="47">
                  <c:v>IV 
2020</c:v>
                </c:pt>
                <c:pt idx="48">
                  <c:v>V 
2020</c:v>
                </c:pt>
                <c:pt idx="49">
                  <c:v>VI 
2020</c:v>
                </c:pt>
                <c:pt idx="50">
                  <c:v>VII 
2020</c:v>
                </c:pt>
                <c:pt idx="51">
                  <c:v>VIII 
2020</c:v>
                </c:pt>
                <c:pt idx="52">
                  <c:v>IX 
2020</c:v>
                </c:pt>
                <c:pt idx="53">
                  <c:v>X 
2020</c:v>
                </c:pt>
                <c:pt idx="54">
                  <c:v>XI 
2020</c:v>
                </c:pt>
                <c:pt idx="55">
                  <c:v>XII
2020</c:v>
                </c:pt>
                <c:pt idx="56">
                  <c:v>I
2021</c:v>
                </c:pt>
                <c:pt idx="57">
                  <c:v>II
2021</c:v>
                </c:pt>
                <c:pt idx="58">
                  <c:v>III
2021</c:v>
                </c:pt>
                <c:pt idx="59">
                  <c:v>IV
2021</c:v>
                </c:pt>
                <c:pt idx="60">
                  <c:v>V
2021</c:v>
                </c:pt>
              </c:strCache>
            </c:strRef>
          </c:cat>
          <c:val>
            <c:numRef>
              <c:f>Sheet1!$D$2:$D$62</c:f>
              <c:numCache>
                <c:formatCode>0.0</c:formatCode>
                <c:ptCount val="61"/>
                <c:pt idx="0">
                  <c:v>4</c:v>
                </c:pt>
                <c:pt idx="1">
                  <c:v>4.3</c:v>
                </c:pt>
                <c:pt idx="2">
                  <c:v>4.4000000000000004</c:v>
                </c:pt>
                <c:pt idx="3">
                  <c:v>4</c:v>
                </c:pt>
                <c:pt idx="4">
                  <c:v>3.2</c:v>
                </c:pt>
                <c:pt idx="5">
                  <c:v>3.4</c:v>
                </c:pt>
                <c:pt idx="6">
                  <c:v>1.9</c:v>
                </c:pt>
                <c:pt idx="7">
                  <c:v>2.4</c:v>
                </c:pt>
                <c:pt idx="8">
                  <c:v>2.9</c:v>
                </c:pt>
                <c:pt idx="9">
                  <c:v>3.2</c:v>
                </c:pt>
                <c:pt idx="10">
                  <c:v>2.7</c:v>
                </c:pt>
                <c:pt idx="11">
                  <c:v>4.2</c:v>
                </c:pt>
                <c:pt idx="12">
                  <c:v>4.8</c:v>
                </c:pt>
                <c:pt idx="13">
                  <c:v>5.2</c:v>
                </c:pt>
                <c:pt idx="14">
                  <c:v>5.5</c:v>
                </c:pt>
                <c:pt idx="15">
                  <c:v>6</c:v>
                </c:pt>
                <c:pt idx="16">
                  <c:v>6</c:v>
                </c:pt>
                <c:pt idx="17">
                  <c:v>5.7</c:v>
                </c:pt>
                <c:pt idx="18">
                  <c:v>5.5</c:v>
                </c:pt>
                <c:pt idx="19">
                  <c:v>5.3</c:v>
                </c:pt>
                <c:pt idx="20">
                  <c:v>5.3</c:v>
                </c:pt>
                <c:pt idx="21">
                  <c:v>5.0999999999999996</c:v>
                </c:pt>
                <c:pt idx="22">
                  <c:v>5.2</c:v>
                </c:pt>
                <c:pt idx="23">
                  <c:v>4.7</c:v>
                </c:pt>
                <c:pt idx="24">
                  <c:v>4.5999999999999996</c:v>
                </c:pt>
                <c:pt idx="25">
                  <c:v>4.0999999999999996</c:v>
                </c:pt>
                <c:pt idx="26">
                  <c:v>3.4</c:v>
                </c:pt>
                <c:pt idx="27">
                  <c:v>3.3</c:v>
                </c:pt>
                <c:pt idx="28">
                  <c:v>4</c:v>
                </c:pt>
                <c:pt idx="29">
                  <c:v>4.0999999999999996</c:v>
                </c:pt>
                <c:pt idx="30">
                  <c:v>4.3</c:v>
                </c:pt>
                <c:pt idx="31">
                  <c:v>4.3</c:v>
                </c:pt>
                <c:pt idx="32">
                  <c:v>4.0999999999999996</c:v>
                </c:pt>
                <c:pt idx="33">
                  <c:v>4.4000000000000004</c:v>
                </c:pt>
                <c:pt idx="34">
                  <c:v>4.3</c:v>
                </c:pt>
                <c:pt idx="35">
                  <c:v>4.5999999999999996</c:v>
                </c:pt>
                <c:pt idx="36">
                  <c:v>4.3</c:v>
                </c:pt>
                <c:pt idx="37">
                  <c:v>4.2</c:v>
                </c:pt>
                <c:pt idx="38">
                  <c:v>4.5</c:v>
                </c:pt>
                <c:pt idx="39">
                  <c:v>4.5</c:v>
                </c:pt>
                <c:pt idx="40">
                  <c:v>4.8</c:v>
                </c:pt>
                <c:pt idx="41">
                  <c:v>4.8</c:v>
                </c:pt>
                <c:pt idx="42">
                  <c:v>4.3</c:v>
                </c:pt>
                <c:pt idx="43">
                  <c:v>4.8</c:v>
                </c:pt>
                <c:pt idx="44">
                  <c:v>5.3</c:v>
                </c:pt>
                <c:pt idx="45">
                  <c:v>5.3</c:v>
                </c:pt>
                <c:pt idx="46">
                  <c:v>4.8</c:v>
                </c:pt>
                <c:pt idx="47">
                  <c:v>4.5</c:v>
                </c:pt>
                <c:pt idx="48">
                  <c:v>4.8</c:v>
                </c:pt>
                <c:pt idx="49">
                  <c:v>5.5</c:v>
                </c:pt>
                <c:pt idx="50">
                  <c:v>4.9000000000000004</c:v>
                </c:pt>
                <c:pt idx="51">
                  <c:v>4.7</c:v>
                </c:pt>
                <c:pt idx="52">
                  <c:v>4.5</c:v>
                </c:pt>
                <c:pt idx="53">
                  <c:v>4.3</c:v>
                </c:pt>
                <c:pt idx="54">
                  <c:v>4.4000000000000004</c:v>
                </c:pt>
                <c:pt idx="55">
                  <c:v>3.9</c:v>
                </c:pt>
                <c:pt idx="56">
                  <c:v>3.7</c:v>
                </c:pt>
                <c:pt idx="57">
                  <c:v>3.4</c:v>
                </c:pt>
                <c:pt idx="58">
                  <c:v>4</c:v>
                </c:pt>
                <c:pt idx="59">
                  <c:v>4.2</c:v>
                </c:pt>
                <c:pt idx="60">
                  <c:v>4.5999999999999996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D10-421E-A7D6-F00A98D0DF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290176"/>
        <c:axId val="148291968"/>
      </c:lineChart>
      <c:catAx>
        <c:axId val="148290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291968"/>
        <c:crosses val="autoZero"/>
        <c:auto val="0"/>
        <c:lblAlgn val="ctr"/>
        <c:lblOffset val="100"/>
        <c:tickLblSkip val="12"/>
        <c:tickMarkSkip val="1"/>
        <c:noMultiLvlLbl val="0"/>
      </c:catAx>
      <c:valAx>
        <c:axId val="148291968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290176"/>
        <c:crosses val="autoZero"/>
        <c:crossBetween val="between"/>
      </c:valAx>
      <c:spPr>
        <a:noFill/>
        <a:ln w="25402"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269230769230768E-2"/>
          <c:y val="0.12701612903225806"/>
          <c:w val="0.93499578665345862"/>
          <c:h val="0.6666307711818588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Vidutinė metinė infliacija</c:v>
                </c:pt>
              </c:strCache>
            </c:strRef>
          </c:tx>
          <c:spPr>
            <a:ln w="25400">
              <a:solidFill>
                <a:srgbClr val="DC506E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V 
2016</c:v>
                </c:pt>
                <c:pt idx="1">
                  <c:v>VI 
2016</c:v>
                </c:pt>
                <c:pt idx="2">
                  <c:v>VII 
2016</c:v>
                </c:pt>
                <c:pt idx="3">
                  <c:v>VIII 
2016</c:v>
                </c:pt>
                <c:pt idx="4">
                  <c:v>IX 
2016</c:v>
                </c:pt>
                <c:pt idx="5">
                  <c:v>X 
2016</c:v>
                </c:pt>
                <c:pt idx="6">
                  <c:v>XI 
2016</c:v>
                </c:pt>
                <c:pt idx="7">
                  <c:v>XII 
2016</c:v>
                </c:pt>
                <c:pt idx="8">
                  <c:v>I 
2017</c:v>
                </c:pt>
                <c:pt idx="9">
                  <c:v>II 
2017</c:v>
                </c:pt>
                <c:pt idx="10">
                  <c:v>III 
2017</c:v>
                </c:pt>
                <c:pt idx="11">
                  <c:v>IV 
2017</c:v>
                </c:pt>
                <c:pt idx="12">
                  <c:v>V 
2017</c:v>
                </c:pt>
                <c:pt idx="13">
                  <c:v>VI 
2017</c:v>
                </c:pt>
                <c:pt idx="14">
                  <c:v>VII 
2017</c:v>
                </c:pt>
                <c:pt idx="15">
                  <c:v>VIII 
2017</c:v>
                </c:pt>
                <c:pt idx="16">
                  <c:v>IX 
2017</c:v>
                </c:pt>
                <c:pt idx="17">
                  <c:v>X 
2017</c:v>
                </c:pt>
                <c:pt idx="18">
                  <c:v>XI 
2017</c:v>
                </c:pt>
                <c:pt idx="19">
                  <c:v>XII 
2017</c:v>
                </c:pt>
                <c:pt idx="20">
                  <c:v>I 
2018</c:v>
                </c:pt>
                <c:pt idx="21">
                  <c:v>II 
2018</c:v>
                </c:pt>
                <c:pt idx="22">
                  <c:v>III 
2018</c:v>
                </c:pt>
                <c:pt idx="23">
                  <c:v>IV 
2018</c:v>
                </c:pt>
                <c:pt idx="24">
                  <c:v>V 
2018</c:v>
                </c:pt>
                <c:pt idx="25">
                  <c:v>VI 
2018</c:v>
                </c:pt>
                <c:pt idx="26">
                  <c:v>VII 
2018</c:v>
                </c:pt>
                <c:pt idx="27">
                  <c:v>VIII 
2018</c:v>
                </c:pt>
                <c:pt idx="28">
                  <c:v>IX 
2018</c:v>
                </c:pt>
                <c:pt idx="29">
                  <c:v>X 
2018</c:v>
                </c:pt>
                <c:pt idx="30">
                  <c:v>XI 
2018</c:v>
                </c:pt>
                <c:pt idx="31">
                  <c:v>XII 
2018</c:v>
                </c:pt>
                <c:pt idx="32">
                  <c:v>I 
2019</c:v>
                </c:pt>
                <c:pt idx="33">
                  <c:v>II 
2019</c:v>
                </c:pt>
                <c:pt idx="34">
                  <c:v>III 
2019</c:v>
                </c:pt>
                <c:pt idx="35">
                  <c:v>IV 
2019</c:v>
                </c:pt>
                <c:pt idx="36">
                  <c:v>V 
2019</c:v>
                </c:pt>
                <c:pt idx="37">
                  <c:v>VI 
2019</c:v>
                </c:pt>
                <c:pt idx="38">
                  <c:v>VII 
2019</c:v>
                </c:pt>
                <c:pt idx="39">
                  <c:v>VIII 
2019</c:v>
                </c:pt>
                <c:pt idx="40">
                  <c:v>IX 
2019</c:v>
                </c:pt>
                <c:pt idx="41">
                  <c:v>X 
2019</c:v>
                </c:pt>
                <c:pt idx="42">
                  <c:v>XI 
2019</c:v>
                </c:pt>
                <c:pt idx="43">
                  <c:v>XII 
2019</c:v>
                </c:pt>
                <c:pt idx="44">
                  <c:v>I 
2020</c:v>
                </c:pt>
                <c:pt idx="45">
                  <c:v>II 
2020</c:v>
                </c:pt>
                <c:pt idx="46">
                  <c:v>III 
2020</c:v>
                </c:pt>
                <c:pt idx="47">
                  <c:v>IV 
2020</c:v>
                </c:pt>
                <c:pt idx="48">
                  <c:v>V 
2020</c:v>
                </c:pt>
                <c:pt idx="49">
                  <c:v>VI 
2020</c:v>
                </c:pt>
                <c:pt idx="50">
                  <c:v>VII 
2020</c:v>
                </c:pt>
                <c:pt idx="51">
                  <c:v>VIII 
2020</c:v>
                </c:pt>
                <c:pt idx="52">
                  <c:v>IX 
2020</c:v>
                </c:pt>
                <c:pt idx="53">
                  <c:v>X 
2020</c:v>
                </c:pt>
                <c:pt idx="54">
                  <c:v>XI
2020</c:v>
                </c:pt>
                <c:pt idx="55">
                  <c:v>XII
2020</c:v>
                </c:pt>
                <c:pt idx="56">
                  <c:v>I
2021</c:v>
                </c:pt>
                <c:pt idx="57">
                  <c:v>II
2021</c:v>
                </c:pt>
                <c:pt idx="58">
                  <c:v>III
2021</c:v>
                </c:pt>
                <c:pt idx="59">
                  <c:v>IV
2021</c:v>
                </c:pt>
                <c:pt idx="60">
                  <c:v>V
2021</c:v>
                </c:pt>
              </c:strCache>
            </c:strRef>
          </c:cat>
          <c:val>
            <c:numRef>
              <c:f>Sheet1!$B$2:$B$62</c:f>
              <c:numCache>
                <c:formatCode>General</c:formatCode>
                <c:ptCount val="61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0.8</c:v>
                </c:pt>
                <c:pt idx="7">
                  <c:v>0.9</c:v>
                </c:pt>
                <c:pt idx="8">
                  <c:v>1</c:v>
                </c:pt>
                <c:pt idx="9">
                  <c:v>1.2</c:v>
                </c:pt>
                <c:pt idx="10">
                  <c:v>1.4</c:v>
                </c:pt>
                <c:pt idx="11">
                  <c:v>1.6</c:v>
                </c:pt>
                <c:pt idx="12">
                  <c:v>1.8</c:v>
                </c:pt>
                <c:pt idx="13">
                  <c:v>2.1</c:v>
                </c:pt>
                <c:pt idx="14">
                  <c:v>2.2999999999999998</c:v>
                </c:pt>
                <c:pt idx="15">
                  <c:v>2.6</c:v>
                </c:pt>
                <c:pt idx="16">
                  <c:v>3</c:v>
                </c:pt>
                <c:pt idx="17">
                  <c:v>3.3</c:v>
                </c:pt>
                <c:pt idx="18">
                  <c:v>3.5</c:v>
                </c:pt>
                <c:pt idx="19">
                  <c:v>3.7</c:v>
                </c:pt>
                <c:pt idx="20">
                  <c:v>3.9</c:v>
                </c:pt>
                <c:pt idx="21">
                  <c:v>3.9</c:v>
                </c:pt>
                <c:pt idx="22">
                  <c:v>3.9</c:v>
                </c:pt>
                <c:pt idx="23">
                  <c:v>3.8</c:v>
                </c:pt>
                <c:pt idx="24">
                  <c:v>3.7</c:v>
                </c:pt>
                <c:pt idx="25">
                  <c:v>3.6</c:v>
                </c:pt>
                <c:pt idx="26">
                  <c:v>3.5</c:v>
                </c:pt>
                <c:pt idx="27">
                  <c:v>3.3</c:v>
                </c:pt>
                <c:pt idx="28">
                  <c:v>3.1</c:v>
                </c:pt>
                <c:pt idx="29">
                  <c:v>3</c:v>
                </c:pt>
                <c:pt idx="30">
                  <c:v>2.9</c:v>
                </c:pt>
                <c:pt idx="31">
                  <c:v>2.7</c:v>
                </c:pt>
                <c:pt idx="32">
                  <c:v>2.5</c:v>
                </c:pt>
                <c:pt idx="33">
                  <c:v>2.4</c:v>
                </c:pt>
                <c:pt idx="34">
                  <c:v>2.4</c:v>
                </c:pt>
                <c:pt idx="35">
                  <c:v>2.4</c:v>
                </c:pt>
                <c:pt idx="36">
                  <c:v>2.4</c:v>
                </c:pt>
                <c:pt idx="37">
                  <c:v>2.4</c:v>
                </c:pt>
                <c:pt idx="38">
                  <c:v>2.4</c:v>
                </c:pt>
                <c:pt idx="39">
                  <c:v>2.5</c:v>
                </c:pt>
                <c:pt idx="40">
                  <c:v>2.4</c:v>
                </c:pt>
                <c:pt idx="41">
                  <c:v>2.2999999999999998</c:v>
                </c:pt>
                <c:pt idx="42">
                  <c:v>2.2999999999999998</c:v>
                </c:pt>
                <c:pt idx="43">
                  <c:v>2.2999999999999998</c:v>
                </c:pt>
                <c:pt idx="44">
                  <c:v>2.4</c:v>
                </c:pt>
                <c:pt idx="45">
                  <c:v>2.5</c:v>
                </c:pt>
                <c:pt idx="46">
                  <c:v>2.4</c:v>
                </c:pt>
                <c:pt idx="47">
                  <c:v>2.2999999999999998</c:v>
                </c:pt>
                <c:pt idx="48">
                  <c:v>2.1</c:v>
                </c:pt>
                <c:pt idx="49">
                  <c:v>1.9</c:v>
                </c:pt>
                <c:pt idx="50">
                  <c:v>1.8</c:v>
                </c:pt>
                <c:pt idx="51">
                  <c:v>1.7</c:v>
                </c:pt>
                <c:pt idx="52">
                  <c:v>1.6</c:v>
                </c:pt>
                <c:pt idx="53">
                  <c:v>1.5</c:v>
                </c:pt>
                <c:pt idx="54">
                  <c:v>1.4</c:v>
                </c:pt>
                <c:pt idx="55">
                  <c:v>1.2</c:v>
                </c:pt>
                <c:pt idx="56">
                  <c:v>1</c:v>
                </c:pt>
                <c:pt idx="57">
                  <c:v>0.8</c:v>
                </c:pt>
                <c:pt idx="58">
                  <c:v>0.8</c:v>
                </c:pt>
                <c:pt idx="59">
                  <c:v>0.9</c:v>
                </c:pt>
                <c:pt idx="60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E0B-4028-8943-1E4B363346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ln w="25400">
              <a:solidFill>
                <a:srgbClr val="E66482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V 
2016</c:v>
                </c:pt>
                <c:pt idx="1">
                  <c:v>VI 
2016</c:v>
                </c:pt>
                <c:pt idx="2">
                  <c:v>VII 
2016</c:v>
                </c:pt>
                <c:pt idx="3">
                  <c:v>VIII 
2016</c:v>
                </c:pt>
                <c:pt idx="4">
                  <c:v>IX 
2016</c:v>
                </c:pt>
                <c:pt idx="5">
                  <c:v>X 
2016</c:v>
                </c:pt>
                <c:pt idx="6">
                  <c:v>XI 
2016</c:v>
                </c:pt>
                <c:pt idx="7">
                  <c:v>XII 
2016</c:v>
                </c:pt>
                <c:pt idx="8">
                  <c:v>I 
2017</c:v>
                </c:pt>
                <c:pt idx="9">
                  <c:v>II 
2017</c:v>
                </c:pt>
                <c:pt idx="10">
                  <c:v>III 
2017</c:v>
                </c:pt>
                <c:pt idx="11">
                  <c:v>IV 
2017</c:v>
                </c:pt>
                <c:pt idx="12">
                  <c:v>V 
2017</c:v>
                </c:pt>
                <c:pt idx="13">
                  <c:v>VI 
2017</c:v>
                </c:pt>
                <c:pt idx="14">
                  <c:v>VII 
2017</c:v>
                </c:pt>
                <c:pt idx="15">
                  <c:v>VIII 
2017</c:v>
                </c:pt>
                <c:pt idx="16">
                  <c:v>IX 
2017</c:v>
                </c:pt>
                <c:pt idx="17">
                  <c:v>X 
2017</c:v>
                </c:pt>
                <c:pt idx="18">
                  <c:v>XI 
2017</c:v>
                </c:pt>
                <c:pt idx="19">
                  <c:v>XII 
2017</c:v>
                </c:pt>
                <c:pt idx="20">
                  <c:v>I 
2018</c:v>
                </c:pt>
                <c:pt idx="21">
                  <c:v>II 
2018</c:v>
                </c:pt>
                <c:pt idx="22">
                  <c:v>III 
2018</c:v>
                </c:pt>
                <c:pt idx="23">
                  <c:v>IV 
2018</c:v>
                </c:pt>
                <c:pt idx="24">
                  <c:v>V 
2018</c:v>
                </c:pt>
                <c:pt idx="25">
                  <c:v>VI 
2018</c:v>
                </c:pt>
                <c:pt idx="26">
                  <c:v>VII 
2018</c:v>
                </c:pt>
                <c:pt idx="27">
                  <c:v>VIII 
2018</c:v>
                </c:pt>
                <c:pt idx="28">
                  <c:v>IX 
2018</c:v>
                </c:pt>
                <c:pt idx="29">
                  <c:v>X 
2018</c:v>
                </c:pt>
                <c:pt idx="30">
                  <c:v>XI 
2018</c:v>
                </c:pt>
                <c:pt idx="31">
                  <c:v>XII 
2018</c:v>
                </c:pt>
                <c:pt idx="32">
                  <c:v>I 
2019</c:v>
                </c:pt>
                <c:pt idx="33">
                  <c:v>II 
2019</c:v>
                </c:pt>
                <c:pt idx="34">
                  <c:v>III 
2019</c:v>
                </c:pt>
                <c:pt idx="35">
                  <c:v>IV 
2019</c:v>
                </c:pt>
                <c:pt idx="36">
                  <c:v>V 
2019</c:v>
                </c:pt>
                <c:pt idx="37">
                  <c:v>VI 
2019</c:v>
                </c:pt>
                <c:pt idx="38">
                  <c:v>VII 
2019</c:v>
                </c:pt>
                <c:pt idx="39">
                  <c:v>VIII 
2019</c:v>
                </c:pt>
                <c:pt idx="40">
                  <c:v>IX 
2019</c:v>
                </c:pt>
                <c:pt idx="41">
                  <c:v>X 
2019</c:v>
                </c:pt>
                <c:pt idx="42">
                  <c:v>XI 
2019</c:v>
                </c:pt>
                <c:pt idx="43">
                  <c:v>XII 
2019</c:v>
                </c:pt>
                <c:pt idx="44">
                  <c:v>I 
2020</c:v>
                </c:pt>
                <c:pt idx="45">
                  <c:v>II 
2020</c:v>
                </c:pt>
                <c:pt idx="46">
                  <c:v>III 
2020</c:v>
                </c:pt>
                <c:pt idx="47">
                  <c:v>IV 
2020</c:v>
                </c:pt>
                <c:pt idx="48">
                  <c:v>V 
2020</c:v>
                </c:pt>
                <c:pt idx="49">
                  <c:v>VI 
2020</c:v>
                </c:pt>
                <c:pt idx="50">
                  <c:v>VII 
2020</c:v>
                </c:pt>
                <c:pt idx="51">
                  <c:v>VIII 
2020</c:v>
                </c:pt>
                <c:pt idx="52">
                  <c:v>IX 
2020</c:v>
                </c:pt>
                <c:pt idx="53">
                  <c:v>X 
2020</c:v>
                </c:pt>
                <c:pt idx="54">
                  <c:v>XI
2020</c:v>
                </c:pt>
                <c:pt idx="55">
                  <c:v>XII
2020</c:v>
                </c:pt>
                <c:pt idx="56">
                  <c:v>I
2021</c:v>
                </c:pt>
                <c:pt idx="57">
                  <c:v>II
2021</c:v>
                </c:pt>
                <c:pt idx="58">
                  <c:v>III
2021</c:v>
                </c:pt>
                <c:pt idx="59">
                  <c:v>IV
2021</c:v>
                </c:pt>
                <c:pt idx="60">
                  <c:v>V
2021</c:v>
                </c:pt>
              </c:strCache>
            </c:strRef>
          </c:cat>
          <c:val>
            <c:numRef>
              <c:f>Sheet1!$C$2:$C$62</c:f>
              <c:numCache>
                <c:formatCode>General</c:formatCode>
                <c:ptCount val="6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E0B-4028-8943-1E4B3633467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ln w="25400">
              <a:solidFill>
                <a:srgbClr val="FABEC3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V 
2016</c:v>
                </c:pt>
                <c:pt idx="1">
                  <c:v>VI 
2016</c:v>
                </c:pt>
                <c:pt idx="2">
                  <c:v>VII 
2016</c:v>
                </c:pt>
                <c:pt idx="3">
                  <c:v>VIII 
2016</c:v>
                </c:pt>
                <c:pt idx="4">
                  <c:v>IX 
2016</c:v>
                </c:pt>
                <c:pt idx="5">
                  <c:v>X 
2016</c:v>
                </c:pt>
                <c:pt idx="6">
                  <c:v>XI 
2016</c:v>
                </c:pt>
                <c:pt idx="7">
                  <c:v>XII 
2016</c:v>
                </c:pt>
                <c:pt idx="8">
                  <c:v>I 
2017</c:v>
                </c:pt>
                <c:pt idx="9">
                  <c:v>II 
2017</c:v>
                </c:pt>
                <c:pt idx="10">
                  <c:v>III 
2017</c:v>
                </c:pt>
                <c:pt idx="11">
                  <c:v>IV 
2017</c:v>
                </c:pt>
                <c:pt idx="12">
                  <c:v>V 
2017</c:v>
                </c:pt>
                <c:pt idx="13">
                  <c:v>VI 
2017</c:v>
                </c:pt>
                <c:pt idx="14">
                  <c:v>VII 
2017</c:v>
                </c:pt>
                <c:pt idx="15">
                  <c:v>VIII 
2017</c:v>
                </c:pt>
                <c:pt idx="16">
                  <c:v>IX 
2017</c:v>
                </c:pt>
                <c:pt idx="17">
                  <c:v>X 
2017</c:v>
                </c:pt>
                <c:pt idx="18">
                  <c:v>XI 
2017</c:v>
                </c:pt>
                <c:pt idx="19">
                  <c:v>XII 
2017</c:v>
                </c:pt>
                <c:pt idx="20">
                  <c:v>I 
2018</c:v>
                </c:pt>
                <c:pt idx="21">
                  <c:v>II 
2018</c:v>
                </c:pt>
                <c:pt idx="22">
                  <c:v>III 
2018</c:v>
                </c:pt>
                <c:pt idx="23">
                  <c:v>IV 
2018</c:v>
                </c:pt>
                <c:pt idx="24">
                  <c:v>V 
2018</c:v>
                </c:pt>
                <c:pt idx="25">
                  <c:v>VI 
2018</c:v>
                </c:pt>
                <c:pt idx="26">
                  <c:v>VII 
2018</c:v>
                </c:pt>
                <c:pt idx="27">
                  <c:v>VIII 
2018</c:v>
                </c:pt>
                <c:pt idx="28">
                  <c:v>IX 
2018</c:v>
                </c:pt>
                <c:pt idx="29">
                  <c:v>X 
2018</c:v>
                </c:pt>
                <c:pt idx="30">
                  <c:v>XI 
2018</c:v>
                </c:pt>
                <c:pt idx="31">
                  <c:v>XII 
2018</c:v>
                </c:pt>
                <c:pt idx="32">
                  <c:v>I 
2019</c:v>
                </c:pt>
                <c:pt idx="33">
                  <c:v>II 
2019</c:v>
                </c:pt>
                <c:pt idx="34">
                  <c:v>III 
2019</c:v>
                </c:pt>
                <c:pt idx="35">
                  <c:v>IV 
2019</c:v>
                </c:pt>
                <c:pt idx="36">
                  <c:v>V 
2019</c:v>
                </c:pt>
                <c:pt idx="37">
                  <c:v>VI 
2019</c:v>
                </c:pt>
                <c:pt idx="38">
                  <c:v>VII 
2019</c:v>
                </c:pt>
                <c:pt idx="39">
                  <c:v>VIII 
2019</c:v>
                </c:pt>
                <c:pt idx="40">
                  <c:v>IX 
2019</c:v>
                </c:pt>
                <c:pt idx="41">
                  <c:v>X 
2019</c:v>
                </c:pt>
                <c:pt idx="42">
                  <c:v>XI 
2019</c:v>
                </c:pt>
                <c:pt idx="43">
                  <c:v>XII 
2019</c:v>
                </c:pt>
                <c:pt idx="44">
                  <c:v>I 
2020</c:v>
                </c:pt>
                <c:pt idx="45">
                  <c:v>II 
2020</c:v>
                </c:pt>
                <c:pt idx="46">
                  <c:v>III 
2020</c:v>
                </c:pt>
                <c:pt idx="47">
                  <c:v>IV 
2020</c:v>
                </c:pt>
                <c:pt idx="48">
                  <c:v>V 
2020</c:v>
                </c:pt>
                <c:pt idx="49">
                  <c:v>VI 
2020</c:v>
                </c:pt>
                <c:pt idx="50">
                  <c:v>VII 
2020</c:v>
                </c:pt>
                <c:pt idx="51">
                  <c:v>VIII 
2020</c:v>
                </c:pt>
                <c:pt idx="52">
                  <c:v>IX 
2020</c:v>
                </c:pt>
                <c:pt idx="53">
                  <c:v>X 
2020</c:v>
                </c:pt>
                <c:pt idx="54">
                  <c:v>XI
2020</c:v>
                </c:pt>
                <c:pt idx="55">
                  <c:v>XII
2020</c:v>
                </c:pt>
                <c:pt idx="56">
                  <c:v>I
2021</c:v>
                </c:pt>
                <c:pt idx="57">
                  <c:v>II
2021</c:v>
                </c:pt>
                <c:pt idx="58">
                  <c:v>III
2021</c:v>
                </c:pt>
                <c:pt idx="59">
                  <c:v>IV
2021</c:v>
                </c:pt>
                <c:pt idx="60">
                  <c:v>V
2021</c:v>
                </c:pt>
              </c:strCache>
            </c:strRef>
          </c:cat>
          <c:val>
            <c:numRef>
              <c:f>Sheet1!$D$2:$D$62</c:f>
              <c:numCache>
                <c:formatCode>General</c:formatCode>
                <c:ptCount val="6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E0B-4028-8943-1E4B363346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8036608"/>
        <c:axId val="148038400"/>
      </c:lineChart>
      <c:catAx>
        <c:axId val="14803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038400"/>
        <c:crosses val="autoZero"/>
        <c:auto val="0"/>
        <c:lblAlgn val="ctr"/>
        <c:lblOffset val="100"/>
        <c:tickLblSkip val="12"/>
        <c:tickMarkSkip val="1"/>
        <c:noMultiLvlLbl val="0"/>
      </c:catAx>
      <c:valAx>
        <c:axId val="148038400"/>
        <c:scaling>
          <c:orientation val="minMax"/>
          <c:min val="-2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036608"/>
        <c:crosses val="autoZero"/>
        <c:crossBetween val="between"/>
      </c:valAx>
      <c:spPr>
        <a:noFill/>
        <a:ln w="2540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0.1145</cdr:x>
      <cdr:y>0.9085</cdr:y>
    </cdr:from>
    <cdr:to>
      <cdr:x>0.1995</cdr:x>
      <cdr:y>1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80542" y="1628146"/>
          <a:ext cx="505206" cy="1621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0" rIns="0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lt-LT"/>
        </a:p>
      </cdr:txBody>
    </cdr:sp>
  </cdr:relSizeAnchor>
  <cdr:relSizeAnchor xmlns:cdr="http://schemas.openxmlformats.org/drawingml/2006/chartDrawing">
    <cdr:from>
      <cdr:x>0.01225</cdr:x>
      <cdr:y>0.00375</cdr:y>
    </cdr:from>
    <cdr:to>
      <cdr:x>0.1195</cdr:x>
      <cdr:y>0.11125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809" y="6644"/>
          <a:ext cx="637451" cy="1904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  <cdr:relSizeAnchor xmlns:cdr="http://schemas.openxmlformats.org/drawingml/2006/chartDrawing">
    <cdr:from>
      <cdr:x>0.62992</cdr:x>
      <cdr:y>0.88877</cdr:y>
    </cdr:from>
    <cdr:to>
      <cdr:x>0.70182</cdr:x>
      <cdr:y>0.97341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54798" y="2239416"/>
          <a:ext cx="439992" cy="21326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2021</a:t>
          </a:r>
        </a:p>
        <a:p xmlns:a="http://schemas.openxmlformats.org/drawingml/2006/main">
          <a:pPr algn="ctr" rtl="0">
            <a:defRPr sz="1000"/>
          </a:pPr>
          <a:endParaRPr lang="lt-LT" sz="900" b="0" i="0" u="none" strike="noStrike" baseline="0">
            <a:solidFill>
              <a:srgbClr val="000000"/>
            </a:solidFill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0.0443</cdr:x>
      <cdr:y>0.88839</cdr:y>
    </cdr:from>
    <cdr:to>
      <cdr:x>0.10312</cdr:x>
      <cdr:y>0.95983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065" y="2238459"/>
          <a:ext cx="360000" cy="180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2020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0.10725</cdr:x>
      <cdr:y>0.1075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56316" cy="270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0.10725</cdr:x>
      <cdr:y>0.1075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56316" cy="270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0EB76-4697-4A4D-B8D5-475343C7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Pr_spaudai_lt.dot</Template>
  <TotalTime>339</TotalTime>
  <Pages>1</Pages>
  <Words>5364</Words>
  <Characters>3059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Pranešimas spaudai</vt:lpstr>
      <vt:lpstr>Pranešimas spaudai</vt:lpstr>
    </vt:vector>
  </TitlesOfParts>
  <Company>Hewlett-Packard Company</Company>
  <LinksUpToDate>false</LinksUpToDate>
  <CharactersWithSpaces>8407</CharactersWithSpaces>
  <SharedDoc>false</SharedDoc>
  <HLinks>
    <vt:vector size="12" baseType="variant">
      <vt:variant>
        <vt:i4>655396</vt:i4>
      </vt:variant>
      <vt:variant>
        <vt:i4>15</vt:i4>
      </vt:variant>
      <vt:variant>
        <vt:i4>0</vt:i4>
      </vt:variant>
      <vt:variant>
        <vt:i4>5</vt:i4>
      </vt:variant>
      <vt:variant>
        <vt:lpwstr>mailto:nadiezda.alejeva@stat.gov.lt</vt:lpwstr>
      </vt:variant>
      <vt:variant>
        <vt:lpwstr/>
      </vt:variant>
      <vt:variant>
        <vt:i4>5439532</vt:i4>
      </vt:variant>
      <vt:variant>
        <vt:i4>12</vt:i4>
      </vt:variant>
      <vt:variant>
        <vt:i4>0</vt:i4>
      </vt:variant>
      <vt:variant>
        <vt:i4>5</vt:i4>
      </vt:variant>
      <vt:variant>
        <vt:lpwstr>https://osp.stat.gov.lt/statistiniu-rodikliu-analize</vt:lpwstr>
      </vt:variant>
      <vt:variant>
        <vt:lpwstr>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Pranešimas spaudai</dc:title>
  <dc:creator>std</dc:creator>
  <cp:lastModifiedBy>Dalia Skirelienė</cp:lastModifiedBy>
  <cp:revision>50</cp:revision>
  <cp:lastPrinted>2020-08-07T06:59:00Z</cp:lastPrinted>
  <dcterms:created xsi:type="dcterms:W3CDTF">2021-06-02T13:09:00Z</dcterms:created>
  <dcterms:modified xsi:type="dcterms:W3CDTF">2021-06-07T05:38:00Z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">
    <vt:lpwstr>2011-06-09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std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Dokumentas</vt:lpwstr>
  </property>
  <property fmtid="{D5CDD505-2E9C-101B-9397-08002B2CF9AE}" pid="12" name="ContentTypeId">
    <vt:lpwstr>0x010100746C7306863D1846938E13771A1E3FD6</vt:lpwstr>
  </property>
  <property fmtid="{D5CDD505-2E9C-101B-9397-08002B2CF9AE}" pid="13" name="Grupė">
    <vt:lpwstr>Vidaus dokumentų blankai</vt:lpwstr>
  </property>
</Properties>
</file>