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498" w:rsidRPr="00A01916" w:rsidRDefault="00E92498" w:rsidP="00E92498">
      <w:pPr>
        <w:pStyle w:val="Nrdata"/>
        <w:spacing w:before="120"/>
        <w:rPr>
          <w:lang w:val="lt-LT"/>
        </w:rPr>
      </w:pPr>
      <w:r w:rsidRPr="00A01916">
        <w:rPr>
          <w:lang w:val="lt-LT"/>
        </w:rPr>
        <w:t>202</w:t>
      </w:r>
      <w:r w:rsidR="0034796D">
        <w:rPr>
          <w:lang w:val="lt-LT"/>
        </w:rPr>
        <w:t>1</w:t>
      </w:r>
      <w:r w:rsidR="00971BBE">
        <w:rPr>
          <w:lang w:val="lt-LT"/>
        </w:rPr>
        <w:t> m.</w:t>
      </w:r>
      <w:r w:rsidRPr="00A01916">
        <w:rPr>
          <w:lang w:val="lt-LT"/>
        </w:rPr>
        <w:t xml:space="preserve"> </w:t>
      </w:r>
      <w:r w:rsidR="00E14798">
        <w:rPr>
          <w:lang w:val="lt-LT"/>
        </w:rPr>
        <w:t>liepos</w:t>
      </w:r>
      <w:r w:rsidR="0034796D" w:rsidRPr="00A01916">
        <w:rPr>
          <w:lang w:val="lt-LT"/>
        </w:rPr>
        <w:t xml:space="preserve"> </w:t>
      </w:r>
      <w:r w:rsidR="002B4FB7" w:rsidRPr="00A01916">
        <w:rPr>
          <w:lang w:val="lt-LT"/>
        </w:rPr>
        <w:t>2</w:t>
      </w:r>
      <w:r w:rsidR="00110B1B">
        <w:rPr>
          <w:lang w:val="lt-LT"/>
        </w:rPr>
        <w:t>8</w:t>
      </w:r>
      <w:r w:rsidRPr="00A01916">
        <w:rPr>
          <w:lang w:val="lt-LT"/>
        </w:rPr>
        <w:t xml:space="preserve"> d., Vilnius</w:t>
      </w:r>
    </w:p>
    <w:p w:rsidR="00BC51D3" w:rsidRPr="00A01916" w:rsidRDefault="009B5DFC">
      <w:pPr>
        <w:rPr>
          <w:lang w:val="lt-LT"/>
        </w:rPr>
      </w:pPr>
      <w:r>
        <w:rPr>
          <w:noProof/>
          <w:lang w:val="lt-LT" w:eastAsia="lt-LT"/>
        </w:rPr>
        <w:drawing>
          <wp:inline distT="0" distB="0" distL="0" distR="0" wp14:anchorId="4592E175" wp14:editId="2EE0263D">
            <wp:extent cx="660400" cy="780067"/>
            <wp:effectExtent l="0" t="0" r="6350" b="127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s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6997" cy="787859"/>
                    </a:xfrm>
                    <a:prstGeom prst="rect">
                      <a:avLst/>
                    </a:prstGeom>
                  </pic:spPr>
                </pic:pic>
              </a:graphicData>
            </a:graphic>
          </wp:inline>
        </w:drawing>
      </w:r>
    </w:p>
    <w:p w:rsidR="00BC51D3" w:rsidRPr="00A01916" w:rsidRDefault="00BC51D3">
      <w:pPr>
        <w:rPr>
          <w:lang w:val="lt-LT"/>
        </w:rPr>
      </w:pPr>
    </w:p>
    <w:p w:rsidR="00BC51D3" w:rsidRPr="00A01916" w:rsidRDefault="00BC51D3">
      <w:pPr>
        <w:rPr>
          <w:lang w:val="lt-LT"/>
        </w:rPr>
      </w:pPr>
    </w:p>
    <w:p w:rsidR="00E92498" w:rsidRPr="00A01916" w:rsidRDefault="00A54068" w:rsidP="00E92498">
      <w:pPr>
        <w:pStyle w:val="Antraste"/>
        <w:jc w:val="left"/>
        <w:rPr>
          <w:caps w:val="0"/>
          <w:szCs w:val="24"/>
          <w:lang w:val="lt-LT"/>
        </w:rPr>
      </w:pPr>
      <w:r w:rsidRPr="00A01916">
        <w:rPr>
          <w:caps w:val="0"/>
          <w:szCs w:val="24"/>
          <w:lang w:val="lt-LT"/>
        </w:rPr>
        <w:t>Mažmeninės prekybos ir maitinimo įmonių apyvarta</w:t>
      </w:r>
    </w:p>
    <w:p w:rsidR="00B74D9F" w:rsidRPr="00A01916" w:rsidRDefault="00B74D9F" w:rsidP="00E92498">
      <w:pPr>
        <w:pStyle w:val="Antraste"/>
        <w:jc w:val="left"/>
        <w:rPr>
          <w:caps w:val="0"/>
          <w:szCs w:val="24"/>
          <w:lang w:val="lt-LT"/>
        </w:rPr>
      </w:pPr>
    </w:p>
    <w:p w:rsidR="00DC0C32" w:rsidRPr="00041AC5" w:rsidRDefault="002421E8" w:rsidP="00DC0C32">
      <w:pPr>
        <w:pStyle w:val="Paantraste"/>
        <w:jc w:val="both"/>
        <w:rPr>
          <w:caps w:val="0"/>
          <w:lang w:val="lt-LT"/>
        </w:rPr>
      </w:pPr>
      <w:r>
        <w:rPr>
          <w:caps w:val="0"/>
          <w:lang w:val="lt-LT"/>
        </w:rPr>
        <w:t>Birželį</w:t>
      </w:r>
      <w:r w:rsidR="00BE6FB3">
        <w:rPr>
          <w:caps w:val="0"/>
          <w:lang w:val="lt-LT"/>
        </w:rPr>
        <w:t>,</w:t>
      </w:r>
      <w:r w:rsidR="00F01565">
        <w:rPr>
          <w:caps w:val="0"/>
          <w:lang w:val="lt-LT"/>
        </w:rPr>
        <w:t xml:space="preserve"> </w:t>
      </w:r>
      <w:r w:rsidR="00A11ACD">
        <w:rPr>
          <w:caps w:val="0"/>
          <w:lang w:val="lt-LT"/>
        </w:rPr>
        <w:t>šveln</w:t>
      </w:r>
      <w:r w:rsidR="002A2BDF">
        <w:rPr>
          <w:caps w:val="0"/>
          <w:lang w:val="lt-LT"/>
        </w:rPr>
        <w:t>ėjant</w:t>
      </w:r>
      <w:r w:rsidR="00BE6FB3">
        <w:rPr>
          <w:caps w:val="0"/>
          <w:lang w:val="lt-LT"/>
        </w:rPr>
        <w:t xml:space="preserve"> C</w:t>
      </w:r>
      <w:r w:rsidR="00550530">
        <w:rPr>
          <w:caps w:val="0"/>
          <w:lang w:val="lt-LT"/>
        </w:rPr>
        <w:t>OVID</w:t>
      </w:r>
      <w:r w:rsidR="00BE6FB3">
        <w:rPr>
          <w:caps w:val="0"/>
          <w:lang w:val="lt-LT"/>
        </w:rPr>
        <w:t>-</w:t>
      </w:r>
      <w:r w:rsidR="00BE6FB3">
        <w:rPr>
          <w:caps w:val="0"/>
        </w:rPr>
        <w:t xml:space="preserve">19 </w:t>
      </w:r>
      <w:r w:rsidR="00BE6FB3" w:rsidRPr="0064574D">
        <w:rPr>
          <w:caps w:val="0"/>
          <w:lang w:val="lt-LT"/>
        </w:rPr>
        <w:t>karantino</w:t>
      </w:r>
      <w:r w:rsidR="002A2BDF">
        <w:rPr>
          <w:caps w:val="0"/>
          <w:lang w:val="lt-LT"/>
        </w:rPr>
        <w:t xml:space="preserve"> sąlygoms</w:t>
      </w:r>
      <w:r w:rsidR="00BE6FB3">
        <w:rPr>
          <w:caps w:val="0"/>
          <w:lang w:val="lt-LT"/>
        </w:rPr>
        <w:t>,</w:t>
      </w:r>
      <w:r w:rsidR="00BE6FB3">
        <w:rPr>
          <w:caps w:val="0"/>
        </w:rPr>
        <w:t xml:space="preserve"> </w:t>
      </w:r>
      <w:r w:rsidR="00BE6FB3" w:rsidRPr="00DA6336">
        <w:rPr>
          <w:caps w:val="0"/>
          <w:lang w:val="lt-LT"/>
        </w:rPr>
        <w:t xml:space="preserve">mažmeninės prekybos įmonių apyvarta </w:t>
      </w:r>
      <w:r w:rsidR="00BE6FB3">
        <w:rPr>
          <w:caps w:val="0"/>
          <w:lang w:val="lt-LT"/>
        </w:rPr>
        <w:t>išaugo</w:t>
      </w:r>
      <w:r w:rsidR="00E14798">
        <w:rPr>
          <w:caps w:val="0"/>
          <w:lang w:val="lt-LT"/>
        </w:rPr>
        <w:t xml:space="preserve"> 2</w:t>
      </w:r>
      <w:r w:rsidR="00971BBE">
        <w:rPr>
          <w:caps w:val="0"/>
          <w:lang w:val="lt-LT"/>
        </w:rPr>
        <w:t> proc.</w:t>
      </w:r>
      <w:r w:rsidR="00565B94">
        <w:rPr>
          <w:caps w:val="0"/>
          <w:lang w:val="lt-LT"/>
        </w:rPr>
        <w:t>, m</w:t>
      </w:r>
      <w:r w:rsidR="00565B94" w:rsidRPr="00041AC5">
        <w:rPr>
          <w:caps w:val="0"/>
          <w:lang w:val="lt-LT"/>
        </w:rPr>
        <w:t>aitinimo ir gėrimų teikimo įmonių apyvarta</w:t>
      </w:r>
      <w:r w:rsidR="00DC7515">
        <w:rPr>
          <w:caps w:val="0"/>
          <w:lang w:val="lt-LT"/>
        </w:rPr>
        <w:t> </w:t>
      </w:r>
      <w:r w:rsidR="00565B94">
        <w:rPr>
          <w:caps w:val="0"/>
          <w:lang w:val="lt-LT"/>
        </w:rPr>
        <w:t>– 1</w:t>
      </w:r>
      <w:r w:rsidR="00F01565">
        <w:rPr>
          <w:caps w:val="0"/>
          <w:lang w:val="lt-LT"/>
        </w:rPr>
        <w:t>5</w:t>
      </w:r>
      <w:r w:rsidR="00565B94">
        <w:rPr>
          <w:caps w:val="0"/>
          <w:lang w:val="lt-LT"/>
        </w:rPr>
        <w:t>,</w:t>
      </w:r>
      <w:r w:rsidR="00E14798">
        <w:rPr>
          <w:caps w:val="0"/>
          <w:lang w:val="lt-LT"/>
        </w:rPr>
        <w:t>1</w:t>
      </w:r>
      <w:r w:rsidR="00971BBE">
        <w:rPr>
          <w:caps w:val="0"/>
          <w:lang w:val="lt-LT"/>
        </w:rPr>
        <w:t> proc.</w:t>
      </w:r>
      <w:r w:rsidR="00DC0C32" w:rsidRPr="00DC0C32">
        <w:rPr>
          <w:caps w:val="0"/>
          <w:lang w:val="lt-LT"/>
        </w:rPr>
        <w:t xml:space="preserve"> </w:t>
      </w:r>
    </w:p>
    <w:p w:rsidR="0071327A" w:rsidRPr="00A01916" w:rsidRDefault="0071327A" w:rsidP="00DC0C32">
      <w:pPr>
        <w:pStyle w:val="Paantraste"/>
        <w:jc w:val="both"/>
        <w:rPr>
          <w:szCs w:val="24"/>
          <w:lang w:val="lt-LT"/>
        </w:rPr>
      </w:pPr>
    </w:p>
    <w:p w:rsidR="00E92498" w:rsidRPr="00A01916" w:rsidRDefault="00E92498" w:rsidP="00E92498">
      <w:pPr>
        <w:pStyle w:val="Antraste"/>
        <w:numPr>
          <w:ilvl w:val="0"/>
          <w:numId w:val="1"/>
        </w:numPr>
        <w:spacing w:after="120"/>
        <w:ind w:left="714" w:hanging="357"/>
        <w:jc w:val="both"/>
        <w:outlineLvl w:val="9"/>
        <w:rPr>
          <w:b w:val="0"/>
          <w:caps w:val="0"/>
          <w:sz w:val="20"/>
          <w:lang w:val="lt-LT"/>
        </w:rPr>
      </w:pPr>
      <w:r w:rsidRPr="00A01916">
        <w:rPr>
          <w:b w:val="0"/>
          <w:caps w:val="0"/>
          <w:sz w:val="20"/>
          <w:lang w:val="lt-LT"/>
        </w:rPr>
        <w:t xml:space="preserve">Išankstiniais duomenimis, </w:t>
      </w:r>
      <w:r w:rsidRPr="00A01916">
        <w:rPr>
          <w:b w:val="0"/>
          <w:caps w:val="0"/>
          <w:color w:val="9BBB59" w:themeColor="accent3"/>
          <w:sz w:val="20"/>
          <w:lang w:val="lt-LT"/>
        </w:rPr>
        <w:t xml:space="preserve">mažmeninės prekybos </w:t>
      </w:r>
      <w:r w:rsidRPr="00A01916">
        <w:rPr>
          <w:b w:val="0"/>
          <w:caps w:val="0"/>
          <w:sz w:val="20"/>
          <w:lang w:val="lt-LT"/>
        </w:rPr>
        <w:t xml:space="preserve">įmonių </w:t>
      </w:r>
      <w:r w:rsidRPr="00A01916">
        <w:rPr>
          <w:b w:val="0"/>
          <w:caps w:val="0"/>
          <w:color w:val="9BBB59" w:themeColor="accent3"/>
          <w:sz w:val="20"/>
          <w:lang w:val="lt-LT"/>
        </w:rPr>
        <w:t>apyvarta</w:t>
      </w:r>
      <w:r w:rsidRPr="00A01916">
        <w:rPr>
          <w:b w:val="0"/>
          <w:caps w:val="0"/>
          <w:sz w:val="20"/>
          <w:lang w:val="lt-LT"/>
        </w:rPr>
        <w:t xml:space="preserve"> (be</w:t>
      </w:r>
      <w:r w:rsidR="00DA6336" w:rsidRPr="00A01916">
        <w:rPr>
          <w:b w:val="0"/>
          <w:caps w:val="0"/>
          <w:sz w:val="20"/>
          <w:lang w:val="lt-LT"/>
        </w:rPr>
        <w:t> </w:t>
      </w:r>
      <w:r w:rsidRPr="00A01916">
        <w:rPr>
          <w:b w:val="0"/>
          <w:caps w:val="0"/>
          <w:sz w:val="20"/>
          <w:lang w:val="lt-LT"/>
        </w:rPr>
        <w:t xml:space="preserve">PVM) </w:t>
      </w:r>
      <w:r w:rsidR="005A1800">
        <w:rPr>
          <w:b w:val="0"/>
          <w:caps w:val="0"/>
          <w:sz w:val="20"/>
          <w:lang w:val="lt-LT"/>
        </w:rPr>
        <w:t>2021</w:t>
      </w:r>
      <w:r w:rsidR="00971BBE">
        <w:rPr>
          <w:b w:val="0"/>
          <w:caps w:val="0"/>
          <w:sz w:val="20"/>
          <w:lang w:val="lt-LT"/>
        </w:rPr>
        <w:t> m.</w:t>
      </w:r>
      <w:r w:rsidRPr="00A01916">
        <w:rPr>
          <w:b w:val="0"/>
          <w:caps w:val="0"/>
          <w:sz w:val="20"/>
          <w:lang w:val="lt-LT"/>
        </w:rPr>
        <w:t xml:space="preserve"> </w:t>
      </w:r>
      <w:r w:rsidR="00E14798">
        <w:rPr>
          <w:b w:val="0"/>
          <w:caps w:val="0"/>
          <w:sz w:val="20"/>
          <w:lang w:val="lt-LT"/>
        </w:rPr>
        <w:t>birželį</w:t>
      </w:r>
      <w:r w:rsidRPr="00A01916">
        <w:rPr>
          <w:b w:val="0"/>
          <w:caps w:val="0"/>
          <w:sz w:val="20"/>
          <w:lang w:val="lt-LT"/>
        </w:rPr>
        <w:t xml:space="preserve"> sudarė </w:t>
      </w:r>
      <w:r w:rsidR="00E82EBC">
        <w:rPr>
          <w:b w:val="0"/>
          <w:caps w:val="0"/>
          <w:sz w:val="20"/>
          <w:lang w:val="lt-LT"/>
        </w:rPr>
        <w:t>1</w:t>
      </w:r>
      <w:r w:rsidR="00B568CE">
        <w:rPr>
          <w:b w:val="0"/>
          <w:caps w:val="0"/>
          <w:sz w:val="20"/>
          <w:lang w:val="lt-LT"/>
        </w:rPr>
        <w:t> </w:t>
      </w:r>
      <w:r w:rsidR="00E82EBC">
        <w:rPr>
          <w:b w:val="0"/>
          <w:caps w:val="0"/>
          <w:sz w:val="20"/>
          <w:lang w:val="lt-LT"/>
        </w:rPr>
        <w:t>mlrd.</w:t>
      </w:r>
      <w:r w:rsidR="00B568CE">
        <w:rPr>
          <w:b w:val="0"/>
          <w:caps w:val="0"/>
          <w:sz w:val="20"/>
          <w:lang w:val="lt-LT"/>
        </w:rPr>
        <w:t> </w:t>
      </w:r>
      <w:r w:rsidR="00E14798">
        <w:rPr>
          <w:b w:val="0"/>
          <w:caps w:val="0"/>
          <w:sz w:val="20"/>
          <w:lang w:val="lt-LT"/>
        </w:rPr>
        <w:t>308</w:t>
      </w:r>
      <w:r w:rsidR="00CC486F" w:rsidRPr="00A01916">
        <w:rPr>
          <w:b w:val="0"/>
          <w:caps w:val="0"/>
          <w:sz w:val="20"/>
          <w:lang w:val="lt-LT"/>
        </w:rPr>
        <w:t> </w:t>
      </w:r>
      <w:r w:rsidR="00B24193" w:rsidRPr="00A01916">
        <w:rPr>
          <w:b w:val="0"/>
          <w:caps w:val="0"/>
          <w:sz w:val="20"/>
          <w:lang w:val="lt-LT"/>
        </w:rPr>
        <w:t>mln.</w:t>
      </w:r>
      <w:r w:rsidR="00CC486F" w:rsidRPr="00A01916">
        <w:rPr>
          <w:b w:val="0"/>
          <w:caps w:val="0"/>
          <w:sz w:val="20"/>
          <w:lang w:val="lt-LT"/>
        </w:rPr>
        <w:t> </w:t>
      </w:r>
      <w:r w:rsidRPr="00A01916">
        <w:rPr>
          <w:b w:val="0"/>
          <w:caps w:val="0"/>
          <w:sz w:val="20"/>
          <w:lang w:val="lt-LT"/>
        </w:rPr>
        <w:t>EUR to</w:t>
      </w:r>
      <w:r w:rsidR="00DC7515">
        <w:rPr>
          <w:b w:val="0"/>
          <w:caps w:val="0"/>
          <w:sz w:val="20"/>
          <w:lang w:val="lt-LT"/>
        </w:rPr>
        <w:t xml:space="preserve"> </w:t>
      </w:r>
      <w:r w:rsidRPr="00A01916">
        <w:rPr>
          <w:b w:val="0"/>
          <w:caps w:val="0"/>
          <w:sz w:val="20"/>
          <w:lang w:val="lt-LT"/>
        </w:rPr>
        <w:t>meto kainomis ir, palyginti su 20</w:t>
      </w:r>
      <w:r w:rsidR="00595DBC" w:rsidRPr="00A01916">
        <w:rPr>
          <w:b w:val="0"/>
          <w:caps w:val="0"/>
          <w:sz w:val="20"/>
          <w:lang w:val="lt-LT"/>
        </w:rPr>
        <w:t>2</w:t>
      </w:r>
      <w:r w:rsidR="005A1800">
        <w:rPr>
          <w:b w:val="0"/>
          <w:caps w:val="0"/>
          <w:sz w:val="20"/>
          <w:lang w:val="lt-LT"/>
        </w:rPr>
        <w:t>1</w:t>
      </w:r>
      <w:r w:rsidR="00971BBE">
        <w:rPr>
          <w:b w:val="0"/>
          <w:caps w:val="0"/>
          <w:sz w:val="20"/>
          <w:lang w:val="lt-LT"/>
        </w:rPr>
        <w:t> m.</w:t>
      </w:r>
      <w:r w:rsidRPr="00A01916">
        <w:rPr>
          <w:b w:val="0"/>
          <w:caps w:val="0"/>
          <w:sz w:val="20"/>
          <w:lang w:val="lt-LT"/>
        </w:rPr>
        <w:t xml:space="preserve"> </w:t>
      </w:r>
      <w:r w:rsidR="00E14798">
        <w:rPr>
          <w:b w:val="0"/>
          <w:caps w:val="0"/>
          <w:sz w:val="20"/>
          <w:lang w:val="lt-LT"/>
        </w:rPr>
        <w:t>geguže</w:t>
      </w:r>
      <w:r w:rsidR="007178D2">
        <w:rPr>
          <w:b w:val="0"/>
          <w:caps w:val="0"/>
          <w:sz w:val="20"/>
          <w:lang w:val="lt-LT"/>
        </w:rPr>
        <w:t>,</w:t>
      </w:r>
      <w:r w:rsidRPr="00A01916">
        <w:rPr>
          <w:b w:val="0"/>
          <w:caps w:val="0"/>
          <w:sz w:val="20"/>
          <w:lang w:val="lt-LT"/>
        </w:rPr>
        <w:t xml:space="preserve"> pašalinus sezono ir darbo dienų skaičiaus įtaką, palyginamosiomis kainomis </w:t>
      </w:r>
      <w:r w:rsidR="005A1800">
        <w:rPr>
          <w:b w:val="0"/>
          <w:caps w:val="0"/>
          <w:sz w:val="20"/>
          <w:lang w:val="lt-LT"/>
        </w:rPr>
        <w:t>padidėjo</w:t>
      </w:r>
      <w:r w:rsidRPr="00A01916">
        <w:rPr>
          <w:b w:val="0"/>
          <w:caps w:val="0"/>
          <w:sz w:val="20"/>
          <w:lang w:val="lt-LT"/>
        </w:rPr>
        <w:t xml:space="preserve"> </w:t>
      </w:r>
      <w:r w:rsidR="00E14798">
        <w:rPr>
          <w:b w:val="0"/>
          <w:caps w:val="0"/>
          <w:sz w:val="20"/>
          <w:lang w:val="lt-LT"/>
        </w:rPr>
        <w:t>2</w:t>
      </w:r>
      <w:r w:rsidR="00971BBE">
        <w:rPr>
          <w:b w:val="0"/>
          <w:caps w:val="0"/>
          <w:sz w:val="20"/>
          <w:lang w:val="lt-LT"/>
        </w:rPr>
        <w:t> proc.</w:t>
      </w:r>
    </w:p>
    <w:p w:rsidR="00E92498" w:rsidRPr="00A01916" w:rsidRDefault="00E92498" w:rsidP="00E92498">
      <w:pPr>
        <w:pStyle w:val="Antraste"/>
        <w:numPr>
          <w:ilvl w:val="0"/>
          <w:numId w:val="1"/>
        </w:numPr>
        <w:spacing w:after="120"/>
        <w:ind w:left="714" w:hanging="357"/>
        <w:jc w:val="both"/>
        <w:outlineLvl w:val="9"/>
        <w:rPr>
          <w:sz w:val="20"/>
          <w:lang w:val="lt-LT"/>
        </w:rPr>
      </w:pPr>
      <w:r w:rsidRPr="00A01916">
        <w:rPr>
          <w:b w:val="0"/>
          <w:caps w:val="0"/>
          <w:sz w:val="20"/>
          <w:lang w:val="lt-LT"/>
        </w:rPr>
        <w:t>Per mėnesį, pašalinus sezono ir darbo dienų skaičiaus įtaką, maisto prekėmi</w:t>
      </w:r>
      <w:r w:rsidR="00097954" w:rsidRPr="00A01916">
        <w:rPr>
          <w:b w:val="0"/>
          <w:caps w:val="0"/>
          <w:sz w:val="20"/>
          <w:lang w:val="lt-LT"/>
        </w:rPr>
        <w:t xml:space="preserve">s prekiaujančių įmonių apyvarta </w:t>
      </w:r>
      <w:r w:rsidRPr="00A01916">
        <w:rPr>
          <w:b w:val="0"/>
          <w:caps w:val="0"/>
          <w:sz w:val="20"/>
          <w:lang w:val="lt-LT"/>
        </w:rPr>
        <w:t xml:space="preserve">palyginamosiomis kainomis </w:t>
      </w:r>
      <w:r w:rsidR="00AD1E01">
        <w:rPr>
          <w:b w:val="0"/>
          <w:caps w:val="0"/>
          <w:sz w:val="20"/>
          <w:lang w:val="lt-LT"/>
        </w:rPr>
        <w:t>padidėjo 0,6</w:t>
      </w:r>
      <w:r w:rsidR="00971BBE">
        <w:rPr>
          <w:b w:val="0"/>
          <w:caps w:val="0"/>
          <w:sz w:val="20"/>
          <w:lang w:val="lt-LT"/>
        </w:rPr>
        <w:t> proc.</w:t>
      </w:r>
      <w:r w:rsidR="0077259E" w:rsidRPr="00A01916">
        <w:rPr>
          <w:b w:val="0"/>
          <w:caps w:val="0"/>
          <w:sz w:val="20"/>
          <w:lang w:val="lt-LT"/>
        </w:rPr>
        <w:t>, ne</w:t>
      </w:r>
      <w:r w:rsidR="00AA0AA1" w:rsidRPr="00A01916">
        <w:rPr>
          <w:b w:val="0"/>
          <w:caps w:val="0"/>
          <w:sz w:val="20"/>
          <w:lang w:val="lt-LT"/>
        </w:rPr>
        <w:t> </w:t>
      </w:r>
      <w:r w:rsidR="0077259E" w:rsidRPr="00A01916">
        <w:rPr>
          <w:b w:val="0"/>
          <w:caps w:val="0"/>
          <w:sz w:val="20"/>
          <w:lang w:val="lt-LT"/>
        </w:rPr>
        <w:t>maisto prekėmis prekiaujančių</w:t>
      </w:r>
      <w:r w:rsidR="00DC7515">
        <w:rPr>
          <w:b w:val="0"/>
          <w:caps w:val="0"/>
          <w:sz w:val="20"/>
          <w:lang w:val="lt-LT"/>
        </w:rPr>
        <w:t> </w:t>
      </w:r>
      <w:r w:rsidR="003125E5" w:rsidRPr="00A01916">
        <w:rPr>
          <w:b w:val="0"/>
          <w:caps w:val="0"/>
          <w:sz w:val="20"/>
          <w:lang w:val="lt-LT"/>
        </w:rPr>
        <w:t>–</w:t>
      </w:r>
      <w:r w:rsidR="00971BBE">
        <w:rPr>
          <w:b w:val="0"/>
          <w:caps w:val="0"/>
          <w:sz w:val="20"/>
          <w:lang w:val="lt-LT"/>
        </w:rPr>
        <w:t xml:space="preserve"> </w:t>
      </w:r>
      <w:r w:rsidR="00AD1E01">
        <w:rPr>
          <w:b w:val="0"/>
          <w:caps w:val="0"/>
          <w:sz w:val="20"/>
          <w:lang w:val="lt-LT"/>
        </w:rPr>
        <w:t>1,7</w:t>
      </w:r>
      <w:r w:rsidR="00971BBE">
        <w:rPr>
          <w:b w:val="0"/>
          <w:caps w:val="0"/>
          <w:sz w:val="20"/>
          <w:lang w:val="lt-LT"/>
        </w:rPr>
        <w:t> proc.</w:t>
      </w:r>
      <w:r w:rsidR="00DF3776">
        <w:rPr>
          <w:b w:val="0"/>
          <w:caps w:val="0"/>
          <w:sz w:val="20"/>
          <w:lang w:val="lt-LT"/>
        </w:rPr>
        <w:t>,</w:t>
      </w:r>
      <w:r w:rsidR="00413DEC" w:rsidRPr="00A01916">
        <w:rPr>
          <w:b w:val="0"/>
          <w:caps w:val="0"/>
          <w:sz w:val="20"/>
          <w:lang w:val="lt-LT"/>
        </w:rPr>
        <w:t xml:space="preserve"> </w:t>
      </w:r>
      <w:r w:rsidRPr="00A01916">
        <w:rPr>
          <w:b w:val="0"/>
          <w:caps w:val="0"/>
          <w:sz w:val="20"/>
          <w:lang w:val="lt-LT"/>
        </w:rPr>
        <w:t>automobilių degalų mažmeninės prekybos įmonių</w:t>
      </w:r>
      <w:r w:rsidR="00DA6336" w:rsidRPr="00A01916">
        <w:rPr>
          <w:b w:val="0"/>
          <w:caps w:val="0"/>
          <w:sz w:val="20"/>
          <w:lang w:val="lt-LT"/>
        </w:rPr>
        <w:t xml:space="preserve"> </w:t>
      </w:r>
      <w:r w:rsidRPr="00A01916">
        <w:rPr>
          <w:b w:val="0"/>
          <w:caps w:val="0"/>
          <w:sz w:val="20"/>
          <w:lang w:val="lt-LT"/>
        </w:rPr>
        <w:t>apyvarta</w:t>
      </w:r>
      <w:r w:rsidR="00CC486F" w:rsidRPr="00A01916">
        <w:rPr>
          <w:b w:val="0"/>
          <w:caps w:val="0"/>
          <w:sz w:val="20"/>
          <w:lang w:val="lt-LT"/>
        </w:rPr>
        <w:t xml:space="preserve"> </w:t>
      </w:r>
      <w:r w:rsidR="00AD1E01">
        <w:rPr>
          <w:b w:val="0"/>
          <w:caps w:val="0"/>
          <w:sz w:val="20"/>
          <w:lang w:val="lt-LT"/>
        </w:rPr>
        <w:t>–</w:t>
      </w:r>
      <w:r w:rsidR="00413DEC" w:rsidRPr="00A01916">
        <w:rPr>
          <w:b w:val="0"/>
          <w:caps w:val="0"/>
          <w:sz w:val="20"/>
          <w:lang w:val="lt-LT"/>
        </w:rPr>
        <w:t xml:space="preserve"> </w:t>
      </w:r>
      <w:r w:rsidR="00AD1E01">
        <w:rPr>
          <w:b w:val="0"/>
          <w:caps w:val="0"/>
          <w:sz w:val="20"/>
          <w:lang w:val="lt-LT"/>
        </w:rPr>
        <w:t>4,7</w:t>
      </w:r>
      <w:r w:rsidR="00971BBE">
        <w:rPr>
          <w:b w:val="0"/>
          <w:caps w:val="0"/>
          <w:sz w:val="20"/>
          <w:lang w:val="lt-LT"/>
        </w:rPr>
        <w:t> proc.</w:t>
      </w:r>
      <w:r w:rsidRPr="00A01916">
        <w:rPr>
          <w:b w:val="0"/>
          <w:caps w:val="0"/>
          <w:sz w:val="20"/>
          <w:lang w:val="lt-LT"/>
        </w:rPr>
        <w:t xml:space="preserve"> </w:t>
      </w:r>
    </w:p>
    <w:p w:rsidR="00E92498" w:rsidRPr="00A01916" w:rsidRDefault="005A1800" w:rsidP="00E92498">
      <w:pPr>
        <w:pStyle w:val="Text"/>
        <w:numPr>
          <w:ilvl w:val="0"/>
          <w:numId w:val="1"/>
        </w:numPr>
        <w:spacing w:after="120" w:line="240" w:lineRule="auto"/>
        <w:ind w:left="714" w:hanging="357"/>
        <w:rPr>
          <w:b/>
          <w:sz w:val="20"/>
          <w:lang w:val="lt-LT"/>
        </w:rPr>
      </w:pPr>
      <w:r>
        <w:rPr>
          <w:sz w:val="20"/>
          <w:lang w:val="lt-LT"/>
        </w:rPr>
        <w:t>2021</w:t>
      </w:r>
      <w:r w:rsidR="00971BBE">
        <w:rPr>
          <w:sz w:val="20"/>
          <w:lang w:val="lt-LT"/>
        </w:rPr>
        <w:t> m.</w:t>
      </w:r>
      <w:r w:rsidR="00E92498" w:rsidRPr="00A01916">
        <w:rPr>
          <w:sz w:val="20"/>
          <w:lang w:val="lt-LT"/>
        </w:rPr>
        <w:t xml:space="preserve"> </w:t>
      </w:r>
      <w:r w:rsidR="00AD1E01">
        <w:rPr>
          <w:sz w:val="20"/>
          <w:lang w:val="lt-LT"/>
        </w:rPr>
        <w:t>birželį</w:t>
      </w:r>
      <w:r>
        <w:rPr>
          <w:sz w:val="20"/>
          <w:lang w:val="lt-LT"/>
        </w:rPr>
        <w:t>, palyginti su 2020</w:t>
      </w:r>
      <w:r w:rsidR="00971BBE">
        <w:rPr>
          <w:sz w:val="20"/>
          <w:lang w:val="lt-LT"/>
        </w:rPr>
        <w:t> m.</w:t>
      </w:r>
      <w:r w:rsidR="00E92498" w:rsidRPr="00A01916">
        <w:rPr>
          <w:sz w:val="20"/>
          <w:lang w:val="lt-LT"/>
        </w:rPr>
        <w:t xml:space="preserve"> </w:t>
      </w:r>
      <w:r w:rsidR="00AD1E01">
        <w:rPr>
          <w:sz w:val="20"/>
          <w:lang w:val="lt-LT"/>
        </w:rPr>
        <w:t>birželiu</w:t>
      </w:r>
      <w:r w:rsidR="00E92498" w:rsidRPr="00A01916">
        <w:rPr>
          <w:sz w:val="20"/>
          <w:lang w:val="lt-LT"/>
        </w:rPr>
        <w:t xml:space="preserve">, pašalinus darbo dienų skaičiaus įtaką, mažmeninės prekybos įmonių apyvarta (be PVM) palyginamosiomis kainomis </w:t>
      </w:r>
      <w:r w:rsidR="00E82EBC">
        <w:rPr>
          <w:sz w:val="20"/>
          <w:lang w:val="lt-LT"/>
        </w:rPr>
        <w:t>padidėjo</w:t>
      </w:r>
      <w:r w:rsidR="00E92498" w:rsidRPr="00A01916">
        <w:rPr>
          <w:sz w:val="20"/>
          <w:lang w:val="lt-LT"/>
        </w:rPr>
        <w:t xml:space="preserve"> </w:t>
      </w:r>
      <w:r w:rsidR="00AD1E01">
        <w:rPr>
          <w:sz w:val="20"/>
          <w:lang w:val="lt-LT"/>
        </w:rPr>
        <w:t>15,3</w:t>
      </w:r>
      <w:r w:rsidR="00971BBE">
        <w:rPr>
          <w:sz w:val="20"/>
          <w:lang w:val="lt-LT"/>
        </w:rPr>
        <w:t> proc.</w:t>
      </w:r>
      <w:r w:rsidR="00E92498" w:rsidRPr="00A01916">
        <w:rPr>
          <w:sz w:val="20"/>
          <w:lang w:val="lt-LT"/>
        </w:rPr>
        <w:t xml:space="preserve"> Maisto prekėmis prekiaujančių įmonių apyvarta palyginamosiomis kainomis</w:t>
      </w:r>
      <w:r w:rsidR="00E92498" w:rsidRPr="00A01916">
        <w:rPr>
          <w:sz w:val="20"/>
          <w:vertAlign w:val="superscript"/>
          <w:lang w:val="lt-LT"/>
        </w:rPr>
        <w:t xml:space="preserve"> </w:t>
      </w:r>
      <w:r w:rsidR="00B277DA" w:rsidRPr="00A01916">
        <w:rPr>
          <w:sz w:val="20"/>
          <w:lang w:val="lt-LT"/>
        </w:rPr>
        <w:t>padidėjo</w:t>
      </w:r>
      <w:r w:rsidR="002E74BA" w:rsidRPr="00A01916">
        <w:rPr>
          <w:sz w:val="20"/>
          <w:lang w:val="lt-LT"/>
        </w:rPr>
        <w:t xml:space="preserve"> </w:t>
      </w:r>
      <w:r w:rsidR="00AD1E01">
        <w:rPr>
          <w:sz w:val="20"/>
          <w:lang w:val="lt-LT"/>
        </w:rPr>
        <w:t>6,6</w:t>
      </w:r>
      <w:r w:rsidR="00971BBE">
        <w:rPr>
          <w:sz w:val="20"/>
          <w:lang w:val="lt-LT"/>
        </w:rPr>
        <w:t> proc.</w:t>
      </w:r>
      <w:r w:rsidR="00E92498" w:rsidRPr="00A01916">
        <w:rPr>
          <w:sz w:val="20"/>
          <w:lang w:val="lt-LT"/>
        </w:rPr>
        <w:t>, ne maisto prekėmis prekiaujančių</w:t>
      </w:r>
      <w:r w:rsidR="00DC7515">
        <w:rPr>
          <w:sz w:val="20"/>
          <w:lang w:val="lt-LT"/>
        </w:rPr>
        <w:t> </w:t>
      </w:r>
      <w:r w:rsidR="00BC6282">
        <w:rPr>
          <w:sz w:val="20"/>
          <w:lang w:val="lt-LT"/>
        </w:rPr>
        <w:t xml:space="preserve">– </w:t>
      </w:r>
      <w:r w:rsidR="00AD1E01">
        <w:rPr>
          <w:sz w:val="20"/>
          <w:lang w:val="lt-LT"/>
        </w:rPr>
        <w:t>23,</w:t>
      </w:r>
      <w:r w:rsidR="004F3E35">
        <w:rPr>
          <w:sz w:val="20"/>
          <w:lang w:val="lt-LT"/>
        </w:rPr>
        <w:t>3</w:t>
      </w:r>
      <w:r w:rsidR="00971BBE">
        <w:rPr>
          <w:sz w:val="20"/>
          <w:lang w:val="lt-LT"/>
        </w:rPr>
        <w:t> proc.</w:t>
      </w:r>
      <w:r w:rsidR="00BC6282">
        <w:rPr>
          <w:sz w:val="20"/>
          <w:lang w:val="lt-LT"/>
        </w:rPr>
        <w:t xml:space="preserve">, </w:t>
      </w:r>
      <w:r w:rsidR="00E92498" w:rsidRPr="00A01916">
        <w:rPr>
          <w:sz w:val="20"/>
          <w:lang w:val="lt-LT"/>
        </w:rPr>
        <w:t>automobilių degalų mažmeninės prekybos įmonių</w:t>
      </w:r>
      <w:r w:rsidR="000F6DA4" w:rsidRPr="00A01916">
        <w:rPr>
          <w:sz w:val="20"/>
          <w:lang w:val="lt-LT"/>
        </w:rPr>
        <w:t xml:space="preserve"> </w:t>
      </w:r>
      <w:r w:rsidR="00901B3A" w:rsidRPr="00A01916">
        <w:rPr>
          <w:sz w:val="20"/>
          <w:lang w:val="lt-LT"/>
        </w:rPr>
        <w:t>apyvarta</w:t>
      </w:r>
      <w:r w:rsidR="00DC7515">
        <w:rPr>
          <w:sz w:val="20"/>
          <w:lang w:val="lt-LT"/>
        </w:rPr>
        <w:t> </w:t>
      </w:r>
      <w:r w:rsidR="00E82EBC">
        <w:rPr>
          <w:sz w:val="20"/>
          <w:lang w:val="lt-LT"/>
        </w:rPr>
        <w:t>–</w:t>
      </w:r>
      <w:r w:rsidR="00B24193" w:rsidRPr="00A01916">
        <w:rPr>
          <w:sz w:val="20"/>
          <w:lang w:val="lt-LT"/>
        </w:rPr>
        <w:t xml:space="preserve"> </w:t>
      </w:r>
      <w:r w:rsidR="00AD1E01">
        <w:rPr>
          <w:sz w:val="20"/>
          <w:lang w:val="lt-LT"/>
        </w:rPr>
        <w:t>15,3</w:t>
      </w:r>
      <w:r w:rsidR="00971BBE">
        <w:rPr>
          <w:sz w:val="20"/>
          <w:lang w:val="lt-LT"/>
        </w:rPr>
        <w:t> proc.</w:t>
      </w:r>
    </w:p>
    <w:p w:rsidR="00E92498" w:rsidRPr="00A01916" w:rsidRDefault="00E92498" w:rsidP="00E92498">
      <w:pPr>
        <w:pStyle w:val="Lentelespav"/>
        <w:jc w:val="left"/>
        <w:rPr>
          <w:b w:val="0"/>
          <w:lang w:val="lt-LT"/>
        </w:rPr>
      </w:pPr>
    </w:p>
    <w:p w:rsidR="00E92498" w:rsidRPr="00A01916" w:rsidRDefault="00E92498" w:rsidP="00E92498">
      <w:pPr>
        <w:pStyle w:val="Lentelespav"/>
        <w:jc w:val="left"/>
        <w:rPr>
          <w:lang w:val="lt-LT"/>
        </w:rPr>
      </w:pPr>
      <w:r w:rsidRPr="00A01916">
        <w:rPr>
          <w:lang w:val="lt-LT"/>
        </w:rPr>
        <w:t>1 pav.</w:t>
      </w:r>
      <w:r w:rsidRPr="00A01916">
        <w:rPr>
          <w:b w:val="0"/>
          <w:lang w:val="lt-LT"/>
        </w:rPr>
        <w:t xml:space="preserve"> </w:t>
      </w:r>
      <w:r w:rsidRPr="00A01916">
        <w:rPr>
          <w:lang w:val="lt-LT"/>
        </w:rPr>
        <w:t>Mažmeninės prekybos įmonių apyvartos (be</w:t>
      </w:r>
      <w:r w:rsidR="00DA6336" w:rsidRPr="00A01916">
        <w:rPr>
          <w:lang w:val="lt-LT"/>
        </w:rPr>
        <w:t> </w:t>
      </w:r>
      <w:r w:rsidRPr="00A01916">
        <w:rPr>
          <w:lang w:val="lt-LT"/>
        </w:rPr>
        <w:t>PVM) indeksai</w:t>
      </w:r>
    </w:p>
    <w:p w:rsidR="00E92498" w:rsidRPr="00A01916" w:rsidRDefault="00E92498" w:rsidP="00E92498">
      <w:pPr>
        <w:pStyle w:val="Lentelespav"/>
        <w:keepNext/>
        <w:keepLines/>
        <w:spacing w:before="60"/>
        <w:jc w:val="left"/>
        <w:rPr>
          <w:b w:val="0"/>
          <w:sz w:val="18"/>
          <w:szCs w:val="18"/>
          <w:lang w:val="lt-LT"/>
        </w:rPr>
      </w:pPr>
      <w:r w:rsidRPr="00A01916">
        <w:rPr>
          <w:b w:val="0"/>
          <w:sz w:val="18"/>
          <w:szCs w:val="18"/>
          <w:lang w:val="lt-LT"/>
        </w:rPr>
        <w:t>Palyginamosiomis kainomis, 2015</w:t>
      </w:r>
      <w:r w:rsidR="00971BBE">
        <w:rPr>
          <w:b w:val="0"/>
          <w:sz w:val="18"/>
          <w:szCs w:val="18"/>
          <w:lang w:val="lt-LT"/>
        </w:rPr>
        <w:t> m.</w:t>
      </w:r>
      <w:r w:rsidRPr="00A01916">
        <w:rPr>
          <w:b w:val="0"/>
          <w:sz w:val="18"/>
          <w:szCs w:val="18"/>
          <w:lang w:val="lt-LT"/>
        </w:rPr>
        <w:t xml:space="preserve"> mėnesio vidurkis</w:t>
      </w:r>
      <w:r w:rsidR="003125E5" w:rsidRPr="00A01916">
        <w:rPr>
          <w:b w:val="0"/>
          <w:sz w:val="18"/>
          <w:szCs w:val="18"/>
          <w:lang w:val="lt-LT"/>
        </w:rPr>
        <w:t xml:space="preserve"> – </w:t>
      </w:r>
      <w:r w:rsidRPr="00A01916">
        <w:rPr>
          <w:b w:val="0"/>
          <w:sz w:val="18"/>
          <w:szCs w:val="18"/>
          <w:lang w:val="lt-LT"/>
        </w:rPr>
        <w:t>100</w:t>
      </w:r>
    </w:p>
    <w:p w:rsidR="00E92498" w:rsidRPr="00A01916" w:rsidRDefault="00CF286D" w:rsidP="00744F69">
      <w:pPr>
        <w:pStyle w:val="Lentelespav"/>
        <w:tabs>
          <w:tab w:val="left" w:pos="7088"/>
        </w:tabs>
        <w:jc w:val="left"/>
        <w:rPr>
          <w:lang w:val="lt-LT"/>
        </w:rPr>
      </w:pPr>
      <w:r w:rsidRPr="00565982">
        <w:rPr>
          <w:b w:val="0"/>
          <w:i/>
          <w:noProof/>
          <w:lang w:val="lt-LT" w:eastAsia="lt-LT"/>
        </w:rPr>
        <w:drawing>
          <wp:inline distT="0" distB="0" distL="0" distR="0" wp14:anchorId="54EA76D1" wp14:editId="41DD08B7">
            <wp:extent cx="6120130" cy="2884805"/>
            <wp:effectExtent l="0" t="0" r="0" b="0"/>
            <wp:docPr id="3"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92498" w:rsidRPr="00A01916" w:rsidRDefault="00E92498" w:rsidP="00E92498">
      <w:pPr>
        <w:pStyle w:val="Lentelespav"/>
        <w:jc w:val="left"/>
        <w:rPr>
          <w:b w:val="0"/>
          <w:sz w:val="18"/>
          <w:szCs w:val="18"/>
          <w:lang w:val="lt-LT"/>
        </w:rPr>
      </w:pPr>
    </w:p>
    <w:p w:rsidR="00E92498" w:rsidRPr="00A01916" w:rsidRDefault="00E92498" w:rsidP="00E92498">
      <w:pPr>
        <w:pStyle w:val="Lentelespav"/>
        <w:keepNext/>
        <w:keepLines/>
        <w:jc w:val="left"/>
        <w:rPr>
          <w:lang w:val="lt-LT"/>
        </w:rPr>
      </w:pPr>
      <w:r w:rsidRPr="00A01916">
        <w:rPr>
          <w:lang w:val="lt-LT"/>
        </w:rPr>
        <w:t>2 pav.</w:t>
      </w:r>
      <w:r w:rsidRPr="00A01916">
        <w:rPr>
          <w:b w:val="0"/>
          <w:lang w:val="lt-LT"/>
        </w:rPr>
        <w:t xml:space="preserve"> </w:t>
      </w:r>
      <w:r w:rsidRPr="00A01916">
        <w:rPr>
          <w:lang w:val="lt-LT"/>
        </w:rPr>
        <w:t>Mažmeninės prekybos įmonių apyvartos (be</w:t>
      </w:r>
      <w:r w:rsidR="00DA6336" w:rsidRPr="00A01916">
        <w:rPr>
          <w:lang w:val="lt-LT"/>
        </w:rPr>
        <w:t> </w:t>
      </w:r>
      <w:r w:rsidRPr="00A01916">
        <w:rPr>
          <w:lang w:val="lt-LT"/>
        </w:rPr>
        <w:t>PVM) pokyčiai, pašalinus darbo dienų skaičiaus įtaką</w:t>
      </w:r>
    </w:p>
    <w:p w:rsidR="00E92498" w:rsidRPr="00A01916" w:rsidRDefault="00E92498" w:rsidP="00E92498">
      <w:pPr>
        <w:pStyle w:val="Lentelespav"/>
        <w:keepNext/>
        <w:keepLines/>
        <w:spacing w:before="60"/>
        <w:jc w:val="left"/>
        <w:rPr>
          <w:b w:val="0"/>
          <w:sz w:val="18"/>
          <w:szCs w:val="18"/>
          <w:lang w:val="lt-LT"/>
        </w:rPr>
      </w:pPr>
      <w:r w:rsidRPr="00A01916">
        <w:rPr>
          <w:b w:val="0"/>
          <w:sz w:val="18"/>
          <w:szCs w:val="18"/>
          <w:lang w:val="lt-LT"/>
        </w:rPr>
        <w:t>Palyginamosiomis kainomis, palyginti su praėjusių metų atitinkamu mėnesiu, procentais</w:t>
      </w:r>
    </w:p>
    <w:p w:rsidR="00E92498" w:rsidRPr="0080379F" w:rsidRDefault="00433D6A" w:rsidP="00825EAA">
      <w:pPr>
        <w:pStyle w:val="Pagrtekstas"/>
        <w:keepNext/>
        <w:keepLines/>
        <w:ind w:left="-57" w:right="-113" w:firstLine="0"/>
        <w:jc w:val="left"/>
        <w:rPr>
          <w:lang w:val="en-US"/>
        </w:rPr>
      </w:pPr>
      <w:r w:rsidRPr="0080379F">
        <w:rPr>
          <w:noProof/>
          <w:lang w:val="lt-LT" w:eastAsia="lt-LT"/>
        </w:rPr>
        <w:drawing>
          <wp:inline distT="0" distB="0" distL="0" distR="0" wp14:anchorId="57A437AF" wp14:editId="51F9214B">
            <wp:extent cx="6120130" cy="2881499"/>
            <wp:effectExtent l="0" t="0" r="13970" b="0"/>
            <wp:docPr id="4" name="Object 2" title="xcvcxv"/>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92498" w:rsidRPr="00A01916" w:rsidRDefault="00E92498" w:rsidP="00E92498">
      <w:pPr>
        <w:pStyle w:val="Lentelespav"/>
        <w:jc w:val="left"/>
        <w:rPr>
          <w:b w:val="0"/>
          <w:lang w:val="lt-LT"/>
        </w:rPr>
      </w:pPr>
    </w:p>
    <w:p w:rsidR="00E92498" w:rsidRPr="00A01916" w:rsidRDefault="00E92498" w:rsidP="00E92498">
      <w:pPr>
        <w:pStyle w:val="Pagrtekstas"/>
        <w:numPr>
          <w:ilvl w:val="0"/>
          <w:numId w:val="2"/>
        </w:numPr>
        <w:spacing w:after="120"/>
        <w:ind w:left="714" w:hanging="357"/>
        <w:rPr>
          <w:lang w:val="lt-LT"/>
        </w:rPr>
      </w:pPr>
      <w:r w:rsidRPr="00A01916">
        <w:rPr>
          <w:b/>
          <w:lang w:val="lt-LT"/>
        </w:rPr>
        <w:t>Maitinimo ir gėrimų teikimo įmonių apyvarta</w:t>
      </w:r>
      <w:r w:rsidRPr="00A01916">
        <w:rPr>
          <w:lang w:val="lt-LT"/>
        </w:rPr>
        <w:t xml:space="preserve"> (be</w:t>
      </w:r>
      <w:r w:rsidR="00DA6336" w:rsidRPr="00A01916">
        <w:rPr>
          <w:lang w:val="lt-LT"/>
        </w:rPr>
        <w:t> </w:t>
      </w:r>
      <w:r w:rsidRPr="00A01916">
        <w:rPr>
          <w:lang w:val="lt-LT"/>
        </w:rPr>
        <w:t>PVM) 20</w:t>
      </w:r>
      <w:r w:rsidR="00212824">
        <w:rPr>
          <w:lang w:val="lt-LT"/>
        </w:rPr>
        <w:t>21</w:t>
      </w:r>
      <w:r w:rsidR="00971BBE">
        <w:rPr>
          <w:lang w:val="lt-LT"/>
        </w:rPr>
        <w:t> m.</w:t>
      </w:r>
      <w:r w:rsidRPr="00A01916">
        <w:rPr>
          <w:lang w:val="lt-LT"/>
        </w:rPr>
        <w:t xml:space="preserve"> </w:t>
      </w:r>
      <w:r w:rsidR="00AD1E01">
        <w:rPr>
          <w:lang w:val="lt-LT"/>
        </w:rPr>
        <w:t>birželį</w:t>
      </w:r>
      <w:r w:rsidRPr="00A01916">
        <w:rPr>
          <w:lang w:val="lt-LT"/>
        </w:rPr>
        <w:t xml:space="preserve"> sudarė </w:t>
      </w:r>
      <w:r w:rsidR="00AD1E01">
        <w:rPr>
          <w:lang w:val="lt-LT"/>
        </w:rPr>
        <w:t>70,9</w:t>
      </w:r>
      <w:r w:rsidRPr="00A01916">
        <w:rPr>
          <w:lang w:val="lt-LT"/>
        </w:rPr>
        <w:t> mln. EUR to</w:t>
      </w:r>
      <w:r w:rsidR="00CC486F" w:rsidRPr="00A01916">
        <w:rPr>
          <w:lang w:val="lt-LT"/>
        </w:rPr>
        <w:t> </w:t>
      </w:r>
      <w:r w:rsidRPr="00A01916">
        <w:rPr>
          <w:lang w:val="lt-LT"/>
        </w:rPr>
        <w:t>meto kainomis ir, palyginti su 20</w:t>
      </w:r>
      <w:r w:rsidR="00212824">
        <w:rPr>
          <w:lang w:val="lt-LT"/>
        </w:rPr>
        <w:t>21</w:t>
      </w:r>
      <w:r w:rsidR="00971BBE">
        <w:rPr>
          <w:lang w:val="lt-LT"/>
        </w:rPr>
        <w:t> m.</w:t>
      </w:r>
      <w:r w:rsidRPr="00A01916">
        <w:rPr>
          <w:lang w:val="lt-LT"/>
        </w:rPr>
        <w:t xml:space="preserve"> </w:t>
      </w:r>
      <w:r w:rsidR="00AD1E01">
        <w:rPr>
          <w:lang w:val="lt-LT"/>
        </w:rPr>
        <w:t>geguže</w:t>
      </w:r>
      <w:r w:rsidRPr="00A01916">
        <w:rPr>
          <w:lang w:val="lt-LT"/>
        </w:rPr>
        <w:t xml:space="preserve">, pašalinus sezono ir darbo dienų skaičiaus įtaką, palyginamosiomis kainomis </w:t>
      </w:r>
      <w:r w:rsidR="00212824">
        <w:rPr>
          <w:lang w:val="lt-LT"/>
        </w:rPr>
        <w:t>padidėjo</w:t>
      </w:r>
      <w:r w:rsidR="00D4638F" w:rsidRPr="00A01916">
        <w:rPr>
          <w:lang w:val="lt-LT"/>
        </w:rPr>
        <w:t xml:space="preserve"> </w:t>
      </w:r>
      <w:r w:rsidR="004F3E35">
        <w:rPr>
          <w:lang w:val="lt-LT"/>
        </w:rPr>
        <w:t>15,</w:t>
      </w:r>
      <w:r w:rsidR="00AD1E01">
        <w:rPr>
          <w:lang w:val="lt-LT"/>
        </w:rPr>
        <w:t>1</w:t>
      </w:r>
      <w:r w:rsidR="00971BBE">
        <w:rPr>
          <w:lang w:val="lt-LT"/>
        </w:rPr>
        <w:t> proc.</w:t>
      </w:r>
      <w:r w:rsidRPr="00A01916">
        <w:rPr>
          <w:lang w:val="lt-LT"/>
        </w:rPr>
        <w:t xml:space="preserve"> </w:t>
      </w:r>
    </w:p>
    <w:p w:rsidR="00E92498" w:rsidRPr="00A01916" w:rsidRDefault="00075FD7" w:rsidP="00E92498">
      <w:pPr>
        <w:pStyle w:val="Pagrtekstas"/>
        <w:numPr>
          <w:ilvl w:val="0"/>
          <w:numId w:val="2"/>
        </w:numPr>
        <w:spacing w:after="120"/>
        <w:ind w:left="714" w:hanging="357"/>
        <w:rPr>
          <w:lang w:val="lt-LT"/>
        </w:rPr>
      </w:pPr>
      <w:r w:rsidRPr="00A01916">
        <w:rPr>
          <w:lang w:val="lt-LT"/>
        </w:rPr>
        <w:t>202</w:t>
      </w:r>
      <w:r w:rsidR="00212824">
        <w:rPr>
          <w:lang w:val="lt-LT"/>
        </w:rPr>
        <w:t>1</w:t>
      </w:r>
      <w:r w:rsidR="00971BBE">
        <w:rPr>
          <w:lang w:val="lt-LT"/>
        </w:rPr>
        <w:t> m.</w:t>
      </w:r>
      <w:r w:rsidR="00E92498" w:rsidRPr="00A01916">
        <w:rPr>
          <w:lang w:val="lt-LT"/>
        </w:rPr>
        <w:t xml:space="preserve"> </w:t>
      </w:r>
      <w:r w:rsidR="00AD1E01">
        <w:rPr>
          <w:lang w:val="lt-LT"/>
        </w:rPr>
        <w:t>birželį</w:t>
      </w:r>
      <w:r w:rsidR="00212824">
        <w:rPr>
          <w:lang w:val="lt-LT"/>
        </w:rPr>
        <w:t>, palyginti su 2020</w:t>
      </w:r>
      <w:r w:rsidR="00971BBE">
        <w:rPr>
          <w:lang w:val="lt-LT"/>
        </w:rPr>
        <w:t> m.</w:t>
      </w:r>
      <w:r w:rsidR="00E92498" w:rsidRPr="00A01916">
        <w:rPr>
          <w:lang w:val="lt-LT"/>
        </w:rPr>
        <w:t xml:space="preserve"> </w:t>
      </w:r>
      <w:r w:rsidR="00AD1E01">
        <w:rPr>
          <w:lang w:val="lt-LT"/>
        </w:rPr>
        <w:t>birželiu</w:t>
      </w:r>
      <w:r w:rsidR="00E92498" w:rsidRPr="00A01916">
        <w:rPr>
          <w:lang w:val="lt-LT"/>
        </w:rPr>
        <w:t xml:space="preserve">, pašalinus darbo dienų skaičiaus įtaką, maitinimo ir gėrimų teikimo įmonių apyvarta palyginamosiomis kainomis </w:t>
      </w:r>
      <w:r w:rsidR="00110B1B">
        <w:rPr>
          <w:lang w:val="lt-LT"/>
        </w:rPr>
        <w:t>padidėjo</w:t>
      </w:r>
      <w:r w:rsidR="00E92498" w:rsidRPr="00A01916">
        <w:rPr>
          <w:lang w:val="lt-LT"/>
        </w:rPr>
        <w:t xml:space="preserve"> </w:t>
      </w:r>
      <w:r w:rsidR="00AD1E01">
        <w:rPr>
          <w:lang w:val="lt-LT"/>
        </w:rPr>
        <w:t>9,6</w:t>
      </w:r>
      <w:r w:rsidR="00971BBE">
        <w:rPr>
          <w:lang w:val="lt-LT"/>
        </w:rPr>
        <w:t> proc.</w:t>
      </w:r>
      <w:r w:rsidR="00E92498" w:rsidRPr="00A01916">
        <w:rPr>
          <w:lang w:val="lt-LT"/>
        </w:rPr>
        <w:t xml:space="preserve"> </w:t>
      </w:r>
    </w:p>
    <w:p w:rsidR="00E92498" w:rsidRPr="00A01916" w:rsidRDefault="00E92498" w:rsidP="00E92498">
      <w:pPr>
        <w:rPr>
          <w:lang w:val="lt-LT"/>
        </w:rPr>
      </w:pPr>
    </w:p>
    <w:p w:rsidR="00E92498" w:rsidRPr="00A01916" w:rsidRDefault="00E92498" w:rsidP="00E92498">
      <w:pPr>
        <w:pStyle w:val="Lentelespav"/>
        <w:jc w:val="left"/>
        <w:rPr>
          <w:b w:val="0"/>
          <w:lang w:val="lt-LT"/>
        </w:rPr>
      </w:pPr>
      <w:r w:rsidRPr="00A01916">
        <w:rPr>
          <w:lang w:val="lt-LT"/>
        </w:rPr>
        <w:t>3 pav. Maitinimo ir gėrimų teikimo įmonių apyvartos (be</w:t>
      </w:r>
      <w:r w:rsidR="00DA6336" w:rsidRPr="00A01916">
        <w:rPr>
          <w:lang w:val="lt-LT"/>
        </w:rPr>
        <w:t> </w:t>
      </w:r>
      <w:r w:rsidRPr="00A01916">
        <w:rPr>
          <w:lang w:val="lt-LT"/>
        </w:rPr>
        <w:t>PVM) indeksai</w:t>
      </w:r>
    </w:p>
    <w:p w:rsidR="00E92498" w:rsidRPr="00A01916" w:rsidRDefault="00E92498" w:rsidP="00E92498">
      <w:pPr>
        <w:pStyle w:val="Lentelespav"/>
        <w:keepNext/>
        <w:keepLines/>
        <w:spacing w:before="60"/>
        <w:jc w:val="left"/>
        <w:rPr>
          <w:b w:val="0"/>
          <w:sz w:val="18"/>
          <w:szCs w:val="18"/>
          <w:lang w:val="lt-LT"/>
        </w:rPr>
      </w:pPr>
      <w:r w:rsidRPr="00A01916">
        <w:rPr>
          <w:b w:val="0"/>
          <w:sz w:val="18"/>
          <w:szCs w:val="18"/>
          <w:lang w:val="lt-LT"/>
        </w:rPr>
        <w:t>Palyginamosiomis kainomis, 2015</w:t>
      </w:r>
      <w:r w:rsidR="00971BBE">
        <w:rPr>
          <w:b w:val="0"/>
          <w:sz w:val="18"/>
          <w:szCs w:val="18"/>
          <w:lang w:val="lt-LT"/>
        </w:rPr>
        <w:t> m.</w:t>
      </w:r>
      <w:r w:rsidRPr="00A01916">
        <w:rPr>
          <w:b w:val="0"/>
          <w:sz w:val="18"/>
          <w:szCs w:val="18"/>
          <w:lang w:val="lt-LT"/>
        </w:rPr>
        <w:t xml:space="preserve"> mėnesio vidurkis</w:t>
      </w:r>
      <w:r w:rsidR="003125E5" w:rsidRPr="00A01916">
        <w:rPr>
          <w:b w:val="0"/>
          <w:sz w:val="18"/>
          <w:szCs w:val="18"/>
          <w:lang w:val="lt-LT"/>
        </w:rPr>
        <w:t xml:space="preserve"> – </w:t>
      </w:r>
      <w:r w:rsidRPr="00A01916">
        <w:rPr>
          <w:b w:val="0"/>
          <w:sz w:val="18"/>
          <w:szCs w:val="18"/>
          <w:lang w:val="lt-LT"/>
        </w:rPr>
        <w:t>100</w:t>
      </w:r>
    </w:p>
    <w:p w:rsidR="00E92498" w:rsidRPr="0080379F" w:rsidRDefault="00CF286D" w:rsidP="0080379F">
      <w:pPr>
        <w:pStyle w:val="Pagrtekstas"/>
        <w:keepNext/>
        <w:keepLines/>
        <w:ind w:left="-57" w:right="-113" w:firstLine="0"/>
        <w:jc w:val="left"/>
      </w:pPr>
      <w:r w:rsidRPr="00565982">
        <w:rPr>
          <w:noProof/>
          <w:lang w:val="lt-LT" w:eastAsia="lt-LT"/>
        </w:rPr>
        <w:drawing>
          <wp:inline distT="0" distB="0" distL="0" distR="0" wp14:anchorId="03871714" wp14:editId="708D17DB">
            <wp:extent cx="6120130" cy="2880995"/>
            <wp:effectExtent l="0" t="0" r="0" b="0"/>
            <wp:docPr id="5"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825A4" w:rsidRPr="00A01916" w:rsidRDefault="00A825A4" w:rsidP="00A825A4">
      <w:pPr>
        <w:pStyle w:val="Lentelespav"/>
        <w:jc w:val="left"/>
        <w:rPr>
          <w:b w:val="0"/>
          <w:sz w:val="18"/>
          <w:szCs w:val="18"/>
          <w:lang w:val="lt-LT"/>
        </w:rPr>
      </w:pPr>
    </w:p>
    <w:p w:rsidR="00E92498" w:rsidRPr="00A01916" w:rsidRDefault="00E92498" w:rsidP="00E92498">
      <w:pPr>
        <w:pStyle w:val="Lentelespav"/>
        <w:keepNext/>
        <w:keepLines/>
        <w:jc w:val="left"/>
        <w:rPr>
          <w:lang w:val="lt-LT"/>
        </w:rPr>
      </w:pPr>
      <w:r w:rsidRPr="00A01916">
        <w:rPr>
          <w:lang w:val="lt-LT"/>
        </w:rPr>
        <w:t>4 pav.</w:t>
      </w:r>
      <w:r w:rsidRPr="00A01916">
        <w:rPr>
          <w:b w:val="0"/>
          <w:lang w:val="lt-LT"/>
        </w:rPr>
        <w:t xml:space="preserve"> </w:t>
      </w:r>
      <w:r w:rsidRPr="00A01916">
        <w:rPr>
          <w:lang w:val="lt-LT"/>
        </w:rPr>
        <w:t>Maitinimo ir gėrimų teikimo įmonių apyvartos (be</w:t>
      </w:r>
      <w:r w:rsidR="00DA6336" w:rsidRPr="00A01916">
        <w:rPr>
          <w:lang w:val="lt-LT"/>
        </w:rPr>
        <w:t> </w:t>
      </w:r>
      <w:r w:rsidRPr="00A01916">
        <w:rPr>
          <w:lang w:val="lt-LT"/>
        </w:rPr>
        <w:t>PVM) pokyčiai, pašalinus darbo dienų skaičiaus įtaką</w:t>
      </w:r>
    </w:p>
    <w:p w:rsidR="00E92498" w:rsidRPr="00A01916" w:rsidRDefault="00E92498" w:rsidP="00E92498">
      <w:pPr>
        <w:pStyle w:val="Lentelespav"/>
        <w:keepNext/>
        <w:keepLines/>
        <w:spacing w:before="60"/>
        <w:jc w:val="left"/>
        <w:rPr>
          <w:b w:val="0"/>
          <w:sz w:val="18"/>
          <w:szCs w:val="18"/>
          <w:lang w:val="lt-LT"/>
        </w:rPr>
      </w:pPr>
      <w:r w:rsidRPr="00A01916">
        <w:rPr>
          <w:b w:val="0"/>
          <w:sz w:val="18"/>
          <w:szCs w:val="18"/>
          <w:lang w:val="lt-LT"/>
        </w:rPr>
        <w:t>Palyginamosiomis kainomis, palyginti su praėjusių metų atitinkamu mėnesiu, procentais</w:t>
      </w:r>
    </w:p>
    <w:p w:rsidR="00E92498" w:rsidRPr="0080379F" w:rsidRDefault="00E92498" w:rsidP="0080379F">
      <w:pPr>
        <w:pStyle w:val="Pagrtekstas"/>
        <w:keepNext/>
        <w:keepLines/>
        <w:ind w:left="-57" w:right="-113" w:firstLine="0"/>
        <w:jc w:val="left"/>
        <w:rPr>
          <w:lang w:val="lt-LT"/>
        </w:rPr>
      </w:pPr>
      <w:r w:rsidRPr="0080379F">
        <w:rPr>
          <w:noProof/>
          <w:lang w:val="lt-LT" w:eastAsia="lt-LT"/>
        </w:rPr>
        <w:drawing>
          <wp:inline distT="0" distB="0" distL="0" distR="0" wp14:anchorId="6FD9123C" wp14:editId="759D745D">
            <wp:extent cx="6192000" cy="2412000"/>
            <wp:effectExtent l="0" t="0" r="0" b="7620"/>
            <wp:docPr id="6"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825A4" w:rsidRPr="00A01916" w:rsidRDefault="00A825A4" w:rsidP="00A825A4">
      <w:pPr>
        <w:pStyle w:val="Lentelespav"/>
        <w:jc w:val="left"/>
        <w:rPr>
          <w:b w:val="0"/>
          <w:sz w:val="18"/>
          <w:szCs w:val="18"/>
          <w:lang w:val="lt-LT"/>
        </w:rPr>
      </w:pPr>
    </w:p>
    <w:p w:rsidR="00595DBC" w:rsidRPr="00A01916" w:rsidRDefault="00595DBC" w:rsidP="00595DBC">
      <w:pPr>
        <w:pStyle w:val="Lentelespav"/>
        <w:jc w:val="left"/>
        <w:rPr>
          <w:lang w:val="lt-LT"/>
        </w:rPr>
      </w:pPr>
      <w:r w:rsidRPr="00A01916">
        <w:rPr>
          <w:lang w:val="lt-LT"/>
        </w:rPr>
        <w:t>Apyvartos (be PVM) pokyčiai</w:t>
      </w:r>
    </w:p>
    <w:p w:rsidR="00595DBC" w:rsidRPr="00A01916" w:rsidRDefault="00595DBC" w:rsidP="00595DBC">
      <w:pPr>
        <w:spacing w:before="60" w:after="60"/>
        <w:outlineLvl w:val="1"/>
        <w:rPr>
          <w:sz w:val="18"/>
          <w:szCs w:val="18"/>
          <w:lang w:val="lt-LT"/>
        </w:rPr>
      </w:pPr>
      <w:r w:rsidRPr="00A01916">
        <w:rPr>
          <w:sz w:val="18"/>
          <w:szCs w:val="18"/>
          <w:lang w:val="lt-LT"/>
        </w:rPr>
        <w:t>Palyginamosiomis kainomis, procentais</w:t>
      </w:r>
    </w:p>
    <w:tbl>
      <w:tblPr>
        <w:tblW w:w="5000" w:type="pct"/>
        <w:tblLook w:val="0000" w:firstRow="0" w:lastRow="0" w:firstColumn="0" w:lastColumn="0" w:noHBand="0" w:noVBand="0"/>
      </w:tblPr>
      <w:tblGrid>
        <w:gridCol w:w="4675"/>
        <w:gridCol w:w="1585"/>
        <w:gridCol w:w="1504"/>
        <w:gridCol w:w="1864"/>
      </w:tblGrid>
      <w:tr w:rsidR="00595DBC" w:rsidRPr="001870C1" w:rsidTr="00B568CE">
        <w:trPr>
          <w:cantSplit/>
          <w:tblHeader/>
        </w:trPr>
        <w:tc>
          <w:tcPr>
            <w:tcW w:w="2428" w:type="pct"/>
            <w:vMerge w:val="restart"/>
            <w:tcBorders>
              <w:top w:val="single" w:sz="4" w:space="0" w:color="auto"/>
              <w:left w:val="single" w:sz="4" w:space="0" w:color="auto"/>
              <w:right w:val="single" w:sz="4" w:space="0" w:color="auto"/>
            </w:tcBorders>
            <w:shd w:val="clear" w:color="auto" w:fill="FCE0E6"/>
          </w:tcPr>
          <w:p w:rsidR="00595DBC" w:rsidRPr="001870C1" w:rsidRDefault="00595DBC" w:rsidP="006B2443">
            <w:pPr>
              <w:spacing w:before="40" w:after="40"/>
              <w:ind w:right="-85"/>
              <w:rPr>
                <w:sz w:val="19"/>
                <w:szCs w:val="19"/>
                <w:lang w:val="lt-LT"/>
              </w:rPr>
            </w:pPr>
            <w:r w:rsidRPr="001870C1">
              <w:rPr>
                <w:sz w:val="19"/>
                <w:szCs w:val="19"/>
                <w:lang w:val="lt-LT"/>
              </w:rPr>
              <w:t>Ekonominės veiklos rūšys (EVRK 2 red.)</w:t>
            </w:r>
          </w:p>
        </w:tc>
        <w:tc>
          <w:tcPr>
            <w:tcW w:w="1604" w:type="pct"/>
            <w:gridSpan w:val="2"/>
            <w:tcBorders>
              <w:top w:val="single" w:sz="4" w:space="0" w:color="auto"/>
              <w:left w:val="single" w:sz="4" w:space="0" w:color="auto"/>
              <w:bottom w:val="single" w:sz="4" w:space="0" w:color="auto"/>
              <w:right w:val="single" w:sz="4" w:space="0" w:color="auto"/>
            </w:tcBorders>
            <w:shd w:val="clear" w:color="auto" w:fill="FCE0E6"/>
          </w:tcPr>
          <w:p w:rsidR="00595DBC" w:rsidRPr="001870C1" w:rsidRDefault="00595DBC" w:rsidP="00AD1E01">
            <w:pPr>
              <w:spacing w:before="40" w:after="40"/>
              <w:ind w:right="-85"/>
              <w:rPr>
                <w:sz w:val="19"/>
                <w:szCs w:val="19"/>
                <w:lang w:val="lt-LT"/>
              </w:rPr>
            </w:pPr>
            <w:r w:rsidRPr="001870C1">
              <w:rPr>
                <w:sz w:val="19"/>
                <w:szCs w:val="19"/>
                <w:lang w:val="lt-LT"/>
              </w:rPr>
              <w:t>20</w:t>
            </w:r>
            <w:r w:rsidR="00212824" w:rsidRPr="001870C1">
              <w:rPr>
                <w:sz w:val="19"/>
                <w:szCs w:val="19"/>
                <w:lang w:val="lt-LT"/>
              </w:rPr>
              <w:t>21</w:t>
            </w:r>
            <w:r w:rsidR="00971BBE">
              <w:rPr>
                <w:sz w:val="19"/>
                <w:szCs w:val="19"/>
                <w:lang w:val="lt-LT"/>
              </w:rPr>
              <w:t> m.</w:t>
            </w:r>
            <w:r w:rsidR="00FC6FD7" w:rsidRPr="001870C1">
              <w:rPr>
                <w:sz w:val="19"/>
                <w:szCs w:val="19"/>
                <w:lang w:val="lt-LT"/>
              </w:rPr>
              <w:t xml:space="preserve"> </w:t>
            </w:r>
            <w:r w:rsidR="00AD1E01">
              <w:rPr>
                <w:sz w:val="19"/>
                <w:szCs w:val="19"/>
                <w:lang w:val="lt-LT"/>
              </w:rPr>
              <w:t>birželio</w:t>
            </w:r>
            <w:r w:rsidRPr="001870C1">
              <w:rPr>
                <w:sz w:val="19"/>
                <w:szCs w:val="19"/>
                <w:lang w:val="lt-LT"/>
              </w:rPr>
              <w:t xml:space="preserve"> mėn., palyginti su</w:t>
            </w:r>
          </w:p>
        </w:tc>
        <w:tc>
          <w:tcPr>
            <w:tcW w:w="968" w:type="pct"/>
            <w:vMerge w:val="restart"/>
            <w:tcBorders>
              <w:top w:val="single" w:sz="4" w:space="0" w:color="auto"/>
              <w:left w:val="single" w:sz="4" w:space="0" w:color="auto"/>
              <w:right w:val="single" w:sz="4" w:space="0" w:color="auto"/>
            </w:tcBorders>
            <w:shd w:val="clear" w:color="auto" w:fill="FCE0E6"/>
          </w:tcPr>
          <w:p w:rsidR="00595DBC" w:rsidRPr="001870C1" w:rsidRDefault="00595DBC" w:rsidP="00AD1E01">
            <w:pPr>
              <w:spacing w:before="40" w:after="40"/>
              <w:ind w:right="-85"/>
              <w:rPr>
                <w:sz w:val="19"/>
                <w:szCs w:val="19"/>
                <w:lang w:val="lt-LT"/>
              </w:rPr>
            </w:pPr>
            <w:r w:rsidRPr="001870C1">
              <w:rPr>
                <w:sz w:val="19"/>
                <w:szCs w:val="19"/>
                <w:lang w:val="lt-LT"/>
              </w:rPr>
              <w:t>20</w:t>
            </w:r>
            <w:r w:rsidR="00212824" w:rsidRPr="001870C1">
              <w:rPr>
                <w:sz w:val="19"/>
                <w:szCs w:val="19"/>
                <w:lang w:val="lt-LT"/>
              </w:rPr>
              <w:t>21</w:t>
            </w:r>
            <w:r w:rsidR="00971BBE">
              <w:rPr>
                <w:sz w:val="19"/>
                <w:szCs w:val="19"/>
                <w:lang w:val="lt-LT"/>
              </w:rPr>
              <w:t> m.</w:t>
            </w:r>
            <w:r w:rsidRPr="001870C1">
              <w:rPr>
                <w:sz w:val="19"/>
                <w:szCs w:val="19"/>
                <w:lang w:val="lt-LT"/>
              </w:rPr>
              <w:t xml:space="preserve"> sausio–</w:t>
            </w:r>
            <w:r w:rsidR="00AD1E01">
              <w:rPr>
                <w:sz w:val="19"/>
                <w:szCs w:val="19"/>
                <w:lang w:val="lt-LT"/>
              </w:rPr>
              <w:t>birželio</w:t>
            </w:r>
            <w:r w:rsidR="00212824" w:rsidRPr="001870C1">
              <w:rPr>
                <w:sz w:val="19"/>
                <w:szCs w:val="19"/>
                <w:lang w:val="lt-LT"/>
              </w:rPr>
              <w:t xml:space="preserve"> mėn., palyginti su 2020</w:t>
            </w:r>
            <w:r w:rsidR="00971BBE">
              <w:rPr>
                <w:sz w:val="19"/>
                <w:szCs w:val="19"/>
                <w:lang w:val="lt-LT"/>
              </w:rPr>
              <w:t> m.</w:t>
            </w:r>
            <w:r w:rsidRPr="001870C1">
              <w:rPr>
                <w:sz w:val="19"/>
                <w:szCs w:val="19"/>
                <w:lang w:val="lt-LT"/>
              </w:rPr>
              <w:t xml:space="preserve"> sausio–</w:t>
            </w:r>
            <w:r w:rsidR="00AD1E01">
              <w:rPr>
                <w:sz w:val="19"/>
                <w:szCs w:val="19"/>
                <w:lang w:val="lt-LT"/>
              </w:rPr>
              <w:t>birželio</w:t>
            </w:r>
            <w:r w:rsidR="00E7408A" w:rsidRPr="001870C1">
              <w:rPr>
                <w:sz w:val="19"/>
                <w:szCs w:val="19"/>
                <w:lang w:val="lt-LT"/>
              </w:rPr>
              <w:t xml:space="preserve"> </w:t>
            </w:r>
            <w:r w:rsidRPr="001870C1">
              <w:rPr>
                <w:sz w:val="19"/>
                <w:szCs w:val="19"/>
                <w:lang w:val="lt-LT"/>
              </w:rPr>
              <w:t>mėn., pašalinus darbo dienų skaičiaus įtaką</w:t>
            </w:r>
          </w:p>
        </w:tc>
      </w:tr>
      <w:tr w:rsidR="00B568CE" w:rsidRPr="001870C1" w:rsidTr="00B568CE">
        <w:trPr>
          <w:cantSplit/>
          <w:tblHeader/>
        </w:trPr>
        <w:tc>
          <w:tcPr>
            <w:tcW w:w="2428" w:type="pct"/>
            <w:vMerge/>
            <w:tcBorders>
              <w:left w:val="single" w:sz="4" w:space="0" w:color="auto"/>
              <w:bottom w:val="single" w:sz="4" w:space="0" w:color="auto"/>
              <w:right w:val="single" w:sz="4" w:space="0" w:color="auto"/>
            </w:tcBorders>
            <w:shd w:val="clear" w:color="auto" w:fill="FCE0E6"/>
          </w:tcPr>
          <w:p w:rsidR="00595DBC" w:rsidRPr="001870C1" w:rsidRDefault="00595DBC" w:rsidP="006B2443">
            <w:pPr>
              <w:spacing w:before="40" w:after="40"/>
              <w:ind w:right="-85"/>
              <w:rPr>
                <w:sz w:val="19"/>
                <w:szCs w:val="19"/>
                <w:lang w:val="lt-LT"/>
              </w:rPr>
            </w:pPr>
          </w:p>
        </w:tc>
        <w:tc>
          <w:tcPr>
            <w:tcW w:w="823" w:type="pct"/>
            <w:tcBorders>
              <w:top w:val="single" w:sz="4" w:space="0" w:color="auto"/>
              <w:left w:val="single" w:sz="4" w:space="0" w:color="auto"/>
              <w:bottom w:val="single" w:sz="4" w:space="0" w:color="auto"/>
              <w:right w:val="single" w:sz="4" w:space="0" w:color="auto"/>
            </w:tcBorders>
            <w:shd w:val="clear" w:color="auto" w:fill="FCE0E6"/>
          </w:tcPr>
          <w:p w:rsidR="00595DBC" w:rsidRPr="001870C1" w:rsidRDefault="00595DBC" w:rsidP="00AD1E01">
            <w:pPr>
              <w:spacing w:before="40" w:after="40"/>
              <w:ind w:right="-85"/>
              <w:rPr>
                <w:sz w:val="19"/>
                <w:szCs w:val="19"/>
                <w:lang w:val="lt-LT"/>
              </w:rPr>
            </w:pPr>
            <w:r w:rsidRPr="001870C1">
              <w:rPr>
                <w:sz w:val="19"/>
                <w:szCs w:val="19"/>
                <w:lang w:val="lt-LT"/>
              </w:rPr>
              <w:t>20</w:t>
            </w:r>
            <w:r w:rsidR="00212824" w:rsidRPr="001870C1">
              <w:rPr>
                <w:sz w:val="19"/>
                <w:szCs w:val="19"/>
                <w:lang w:val="lt-LT"/>
              </w:rPr>
              <w:t>21</w:t>
            </w:r>
            <w:r w:rsidR="00971BBE">
              <w:rPr>
                <w:sz w:val="19"/>
                <w:szCs w:val="19"/>
                <w:lang w:val="lt-LT"/>
              </w:rPr>
              <w:t> m.</w:t>
            </w:r>
            <w:r w:rsidRPr="001870C1">
              <w:rPr>
                <w:sz w:val="19"/>
                <w:szCs w:val="19"/>
                <w:lang w:val="lt-LT"/>
              </w:rPr>
              <w:t xml:space="preserve"> </w:t>
            </w:r>
            <w:r w:rsidR="00AD1E01">
              <w:rPr>
                <w:sz w:val="19"/>
                <w:szCs w:val="19"/>
                <w:lang w:val="lt-LT"/>
              </w:rPr>
              <w:t>gegužės</w:t>
            </w:r>
            <w:r w:rsidRPr="001870C1">
              <w:rPr>
                <w:sz w:val="19"/>
                <w:szCs w:val="19"/>
                <w:lang w:val="lt-LT"/>
              </w:rPr>
              <w:t> mėn., pašalinus sezono ir darbo dienų skaičiaus įtaką</w:t>
            </w:r>
          </w:p>
        </w:tc>
        <w:tc>
          <w:tcPr>
            <w:tcW w:w="781" w:type="pct"/>
            <w:tcBorders>
              <w:top w:val="single" w:sz="4" w:space="0" w:color="auto"/>
              <w:left w:val="single" w:sz="4" w:space="0" w:color="auto"/>
              <w:bottom w:val="single" w:sz="4" w:space="0" w:color="auto"/>
              <w:right w:val="single" w:sz="4" w:space="0" w:color="auto"/>
            </w:tcBorders>
            <w:shd w:val="clear" w:color="auto" w:fill="FCE0E6"/>
          </w:tcPr>
          <w:p w:rsidR="00595DBC" w:rsidRPr="001870C1" w:rsidRDefault="00595DBC" w:rsidP="00AD1E01">
            <w:pPr>
              <w:spacing w:before="40" w:after="40"/>
              <w:ind w:right="-85"/>
              <w:rPr>
                <w:sz w:val="19"/>
                <w:szCs w:val="19"/>
                <w:lang w:val="lt-LT"/>
              </w:rPr>
            </w:pPr>
            <w:r w:rsidRPr="001870C1">
              <w:rPr>
                <w:sz w:val="19"/>
                <w:szCs w:val="19"/>
                <w:lang w:val="lt-LT"/>
              </w:rPr>
              <w:t>20</w:t>
            </w:r>
            <w:r w:rsidR="00212824" w:rsidRPr="001870C1">
              <w:rPr>
                <w:sz w:val="19"/>
                <w:szCs w:val="19"/>
                <w:lang w:val="lt-LT"/>
              </w:rPr>
              <w:t>20</w:t>
            </w:r>
            <w:r w:rsidR="00971BBE">
              <w:rPr>
                <w:sz w:val="19"/>
                <w:szCs w:val="19"/>
                <w:lang w:val="lt-LT"/>
              </w:rPr>
              <w:t> m.</w:t>
            </w:r>
            <w:r w:rsidRPr="001870C1">
              <w:rPr>
                <w:sz w:val="19"/>
                <w:szCs w:val="19"/>
                <w:lang w:val="lt-LT"/>
              </w:rPr>
              <w:t xml:space="preserve"> </w:t>
            </w:r>
            <w:r w:rsidR="00AD1E01">
              <w:rPr>
                <w:sz w:val="19"/>
                <w:szCs w:val="19"/>
                <w:lang w:val="lt-LT"/>
              </w:rPr>
              <w:t>birželio</w:t>
            </w:r>
            <w:r w:rsidRPr="001870C1">
              <w:rPr>
                <w:sz w:val="19"/>
                <w:szCs w:val="19"/>
                <w:lang w:val="lt-LT"/>
              </w:rPr>
              <w:t> mėn., pašalinus darbo dienų skaičiaus įtaką</w:t>
            </w:r>
          </w:p>
        </w:tc>
        <w:tc>
          <w:tcPr>
            <w:tcW w:w="968" w:type="pct"/>
            <w:vMerge/>
            <w:tcBorders>
              <w:left w:val="single" w:sz="4" w:space="0" w:color="auto"/>
              <w:bottom w:val="single" w:sz="4" w:space="0" w:color="auto"/>
              <w:right w:val="single" w:sz="4" w:space="0" w:color="auto"/>
            </w:tcBorders>
            <w:shd w:val="clear" w:color="auto" w:fill="FCE0E6"/>
          </w:tcPr>
          <w:p w:rsidR="00595DBC" w:rsidRPr="001870C1" w:rsidRDefault="00595DBC" w:rsidP="006B2443">
            <w:pPr>
              <w:spacing w:before="40" w:after="40"/>
              <w:ind w:right="-85"/>
              <w:rPr>
                <w:sz w:val="19"/>
                <w:szCs w:val="19"/>
                <w:lang w:val="lt-LT"/>
              </w:rPr>
            </w:pPr>
          </w:p>
        </w:tc>
      </w:tr>
      <w:tr w:rsidR="00B568CE" w:rsidRPr="001870C1" w:rsidTr="00B568CE">
        <w:trPr>
          <w:cantSplit/>
        </w:trPr>
        <w:tc>
          <w:tcPr>
            <w:tcW w:w="2428" w:type="pct"/>
            <w:tcBorders>
              <w:top w:val="single" w:sz="4" w:space="0" w:color="auto"/>
              <w:left w:val="single" w:sz="4" w:space="0" w:color="auto"/>
              <w:right w:val="single" w:sz="4" w:space="0" w:color="auto"/>
            </w:tcBorders>
            <w:shd w:val="clear" w:color="auto" w:fill="FABEC3"/>
            <w:vAlign w:val="bottom"/>
          </w:tcPr>
          <w:p w:rsidR="00595DBC" w:rsidRPr="001870C1" w:rsidRDefault="00595DBC" w:rsidP="001870C1">
            <w:pPr>
              <w:pStyle w:val="skaic"/>
              <w:spacing w:before="40" w:after="40"/>
              <w:ind w:right="-85"/>
              <w:jc w:val="left"/>
              <w:rPr>
                <w:rFonts w:cs="Arial"/>
                <w:b/>
                <w:szCs w:val="19"/>
              </w:rPr>
            </w:pPr>
            <w:r w:rsidRPr="001870C1">
              <w:rPr>
                <w:rFonts w:cs="Arial"/>
                <w:b/>
                <w:szCs w:val="19"/>
              </w:rPr>
              <w:t xml:space="preserve">47 skyrius. </w:t>
            </w:r>
            <w:r w:rsidRPr="001870C1">
              <w:rPr>
                <w:rFonts w:cs="Arial"/>
                <w:b/>
                <w:color w:val="9BBB59" w:themeColor="accent3"/>
                <w:szCs w:val="19"/>
              </w:rPr>
              <w:t>Mažmeninė prekyba</w:t>
            </w:r>
          </w:p>
        </w:tc>
        <w:tc>
          <w:tcPr>
            <w:tcW w:w="823" w:type="pct"/>
            <w:tcBorders>
              <w:top w:val="single" w:sz="4" w:space="0" w:color="auto"/>
              <w:left w:val="single" w:sz="4" w:space="0" w:color="auto"/>
              <w:right w:val="single" w:sz="4" w:space="0" w:color="auto"/>
            </w:tcBorders>
            <w:shd w:val="clear" w:color="auto" w:fill="FABEC3"/>
            <w:vAlign w:val="bottom"/>
          </w:tcPr>
          <w:p w:rsidR="00595DBC" w:rsidRPr="00971BBE" w:rsidRDefault="00AD1E01" w:rsidP="00971BBE">
            <w:pPr>
              <w:spacing w:before="40" w:after="40"/>
              <w:ind w:left="-57"/>
              <w:jc w:val="right"/>
              <w:rPr>
                <w:b/>
                <w:sz w:val="19"/>
                <w:szCs w:val="19"/>
              </w:rPr>
            </w:pPr>
            <w:r w:rsidRPr="00971BBE">
              <w:rPr>
                <w:b/>
                <w:sz w:val="19"/>
                <w:szCs w:val="19"/>
              </w:rPr>
              <w:t>2,0</w:t>
            </w:r>
          </w:p>
        </w:tc>
        <w:tc>
          <w:tcPr>
            <w:tcW w:w="781" w:type="pct"/>
            <w:tcBorders>
              <w:top w:val="single" w:sz="4" w:space="0" w:color="auto"/>
              <w:left w:val="single" w:sz="4" w:space="0" w:color="auto"/>
              <w:right w:val="single" w:sz="4" w:space="0" w:color="auto"/>
            </w:tcBorders>
            <w:shd w:val="clear" w:color="auto" w:fill="FABEC3"/>
            <w:vAlign w:val="bottom"/>
          </w:tcPr>
          <w:p w:rsidR="00595DBC" w:rsidRPr="00971BBE" w:rsidRDefault="00AD1E01" w:rsidP="00971BBE">
            <w:pPr>
              <w:spacing w:before="40" w:after="40"/>
              <w:ind w:left="-57"/>
              <w:jc w:val="right"/>
              <w:rPr>
                <w:b/>
                <w:sz w:val="19"/>
                <w:szCs w:val="19"/>
              </w:rPr>
            </w:pPr>
            <w:r w:rsidRPr="00971BBE">
              <w:rPr>
                <w:b/>
                <w:sz w:val="19"/>
                <w:szCs w:val="19"/>
              </w:rPr>
              <w:t>15,3</w:t>
            </w:r>
          </w:p>
        </w:tc>
        <w:tc>
          <w:tcPr>
            <w:tcW w:w="968" w:type="pct"/>
            <w:tcBorders>
              <w:top w:val="single" w:sz="4" w:space="0" w:color="auto"/>
              <w:left w:val="single" w:sz="4" w:space="0" w:color="auto"/>
              <w:right w:val="single" w:sz="4" w:space="0" w:color="auto"/>
            </w:tcBorders>
            <w:shd w:val="clear" w:color="auto" w:fill="FABEC3"/>
            <w:vAlign w:val="bottom"/>
          </w:tcPr>
          <w:p w:rsidR="00595DBC" w:rsidRPr="00971BBE" w:rsidRDefault="00B04C0F" w:rsidP="00971BBE">
            <w:pPr>
              <w:spacing w:before="40" w:after="40"/>
              <w:ind w:left="-57"/>
              <w:jc w:val="right"/>
              <w:rPr>
                <w:b/>
                <w:sz w:val="19"/>
                <w:szCs w:val="19"/>
              </w:rPr>
            </w:pPr>
            <w:r w:rsidRPr="00971BBE">
              <w:rPr>
                <w:b/>
                <w:sz w:val="19"/>
                <w:szCs w:val="19"/>
              </w:rPr>
              <w:t>14,2</w:t>
            </w:r>
          </w:p>
        </w:tc>
      </w:tr>
      <w:tr w:rsidR="00595DBC" w:rsidRPr="001870C1" w:rsidTr="00B568CE">
        <w:trPr>
          <w:cantSplit/>
        </w:trPr>
        <w:tc>
          <w:tcPr>
            <w:tcW w:w="2428" w:type="pct"/>
            <w:tcBorders>
              <w:left w:val="single" w:sz="4" w:space="0" w:color="auto"/>
              <w:right w:val="single" w:sz="4" w:space="0" w:color="auto"/>
            </w:tcBorders>
            <w:vAlign w:val="bottom"/>
          </w:tcPr>
          <w:p w:rsidR="00595DBC" w:rsidRPr="001870C1" w:rsidRDefault="00595DBC" w:rsidP="001870C1">
            <w:pPr>
              <w:pStyle w:val="skaic"/>
              <w:spacing w:before="40" w:after="40"/>
              <w:ind w:left="113" w:right="-85"/>
              <w:jc w:val="left"/>
              <w:rPr>
                <w:rFonts w:cs="Arial"/>
                <w:szCs w:val="19"/>
              </w:rPr>
            </w:pPr>
            <w:r w:rsidRPr="001870C1">
              <w:rPr>
                <w:rFonts w:cs="Arial"/>
                <w:szCs w:val="19"/>
              </w:rPr>
              <w:t>Mažmeninė prekyba, neįskaitant automobilių degalų</w:t>
            </w:r>
          </w:p>
        </w:tc>
        <w:tc>
          <w:tcPr>
            <w:tcW w:w="823"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1,3</w:t>
            </w:r>
          </w:p>
        </w:tc>
        <w:tc>
          <w:tcPr>
            <w:tcW w:w="781"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15,3</w:t>
            </w:r>
          </w:p>
        </w:tc>
        <w:tc>
          <w:tcPr>
            <w:tcW w:w="968" w:type="pct"/>
            <w:tcBorders>
              <w:left w:val="single" w:sz="4" w:space="0" w:color="auto"/>
              <w:right w:val="single" w:sz="4" w:space="0" w:color="auto"/>
            </w:tcBorders>
            <w:vAlign w:val="bottom"/>
          </w:tcPr>
          <w:p w:rsidR="00595DBC" w:rsidRPr="00971BBE" w:rsidRDefault="00B04C0F" w:rsidP="00971BBE">
            <w:pPr>
              <w:spacing w:before="40" w:after="40"/>
              <w:ind w:left="-57"/>
              <w:jc w:val="right"/>
              <w:rPr>
                <w:sz w:val="19"/>
                <w:szCs w:val="19"/>
              </w:rPr>
            </w:pPr>
            <w:r w:rsidRPr="00971BBE">
              <w:rPr>
                <w:sz w:val="19"/>
                <w:szCs w:val="19"/>
              </w:rPr>
              <w:t>14,6</w:t>
            </w:r>
          </w:p>
        </w:tc>
      </w:tr>
      <w:tr w:rsidR="00595DBC" w:rsidRPr="001870C1" w:rsidTr="00B568CE">
        <w:trPr>
          <w:cantSplit/>
        </w:trPr>
        <w:tc>
          <w:tcPr>
            <w:tcW w:w="2428" w:type="pct"/>
            <w:tcBorders>
              <w:left w:val="single" w:sz="4" w:space="0" w:color="auto"/>
              <w:right w:val="single" w:sz="4" w:space="0" w:color="auto"/>
            </w:tcBorders>
            <w:vAlign w:val="bottom"/>
          </w:tcPr>
          <w:p w:rsidR="00595DBC" w:rsidRPr="001870C1" w:rsidRDefault="00595DBC" w:rsidP="001870C1">
            <w:pPr>
              <w:pStyle w:val="skaic"/>
              <w:spacing w:before="40" w:after="40"/>
              <w:ind w:left="113" w:right="-85"/>
              <w:jc w:val="left"/>
              <w:rPr>
                <w:rFonts w:cs="Arial"/>
                <w:szCs w:val="19"/>
              </w:rPr>
            </w:pPr>
            <w:r w:rsidRPr="001870C1">
              <w:rPr>
                <w:rFonts w:cs="Arial"/>
                <w:szCs w:val="19"/>
              </w:rPr>
              <w:t>Maisto prekės, alkoholiniai gėrimai ir tabako gaminiai</w:t>
            </w:r>
          </w:p>
        </w:tc>
        <w:tc>
          <w:tcPr>
            <w:tcW w:w="823"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0,6</w:t>
            </w:r>
          </w:p>
        </w:tc>
        <w:tc>
          <w:tcPr>
            <w:tcW w:w="781"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6,6</w:t>
            </w:r>
          </w:p>
        </w:tc>
        <w:tc>
          <w:tcPr>
            <w:tcW w:w="968" w:type="pct"/>
            <w:tcBorders>
              <w:left w:val="single" w:sz="4" w:space="0" w:color="auto"/>
              <w:right w:val="single" w:sz="4" w:space="0" w:color="auto"/>
            </w:tcBorders>
            <w:vAlign w:val="bottom"/>
          </w:tcPr>
          <w:p w:rsidR="00595DBC" w:rsidRPr="00971BBE" w:rsidRDefault="00B04C0F" w:rsidP="00971BBE">
            <w:pPr>
              <w:spacing w:before="40" w:after="40"/>
              <w:ind w:left="-57"/>
              <w:jc w:val="right"/>
              <w:rPr>
                <w:sz w:val="19"/>
                <w:szCs w:val="19"/>
              </w:rPr>
            </w:pPr>
            <w:r w:rsidRPr="00971BBE">
              <w:rPr>
                <w:sz w:val="19"/>
                <w:szCs w:val="19"/>
              </w:rPr>
              <w:t>8,2</w:t>
            </w:r>
          </w:p>
        </w:tc>
      </w:tr>
      <w:tr w:rsidR="00595DBC" w:rsidRPr="001870C1" w:rsidTr="00B568CE">
        <w:trPr>
          <w:cantSplit/>
        </w:trPr>
        <w:tc>
          <w:tcPr>
            <w:tcW w:w="2428" w:type="pct"/>
            <w:tcBorders>
              <w:left w:val="single" w:sz="4" w:space="0" w:color="auto"/>
              <w:right w:val="single" w:sz="4" w:space="0" w:color="auto"/>
            </w:tcBorders>
            <w:vAlign w:val="bottom"/>
          </w:tcPr>
          <w:p w:rsidR="00595DBC" w:rsidRPr="001870C1" w:rsidRDefault="00595DBC" w:rsidP="001870C1">
            <w:pPr>
              <w:pStyle w:val="skaic"/>
              <w:spacing w:before="40" w:after="40"/>
              <w:ind w:left="227" w:right="-85"/>
              <w:jc w:val="left"/>
              <w:rPr>
                <w:rFonts w:cs="Arial"/>
                <w:szCs w:val="19"/>
              </w:rPr>
            </w:pPr>
            <w:r w:rsidRPr="001870C1">
              <w:rPr>
                <w:rFonts w:cs="Arial"/>
                <w:szCs w:val="19"/>
              </w:rPr>
              <w:t>Nespecializuotose parduotuvėse</w:t>
            </w:r>
          </w:p>
        </w:tc>
        <w:tc>
          <w:tcPr>
            <w:tcW w:w="823"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0,7</w:t>
            </w:r>
          </w:p>
        </w:tc>
        <w:tc>
          <w:tcPr>
            <w:tcW w:w="781"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6,1</w:t>
            </w:r>
          </w:p>
        </w:tc>
        <w:tc>
          <w:tcPr>
            <w:tcW w:w="968" w:type="pct"/>
            <w:tcBorders>
              <w:left w:val="single" w:sz="4" w:space="0" w:color="auto"/>
              <w:right w:val="single" w:sz="4" w:space="0" w:color="auto"/>
            </w:tcBorders>
            <w:vAlign w:val="bottom"/>
          </w:tcPr>
          <w:p w:rsidR="00595DBC" w:rsidRPr="00971BBE" w:rsidRDefault="00B04C0F" w:rsidP="00971BBE">
            <w:pPr>
              <w:spacing w:before="40" w:after="40"/>
              <w:ind w:left="-57"/>
              <w:jc w:val="right"/>
              <w:rPr>
                <w:sz w:val="19"/>
                <w:szCs w:val="19"/>
              </w:rPr>
            </w:pPr>
            <w:r w:rsidRPr="00971BBE">
              <w:rPr>
                <w:sz w:val="19"/>
                <w:szCs w:val="19"/>
              </w:rPr>
              <w:t>7,8</w:t>
            </w:r>
          </w:p>
        </w:tc>
      </w:tr>
      <w:tr w:rsidR="00595DBC" w:rsidRPr="001870C1" w:rsidTr="00B568CE">
        <w:trPr>
          <w:cantSplit/>
        </w:trPr>
        <w:tc>
          <w:tcPr>
            <w:tcW w:w="2428" w:type="pct"/>
            <w:tcBorders>
              <w:left w:val="single" w:sz="4" w:space="0" w:color="auto"/>
              <w:right w:val="single" w:sz="4" w:space="0" w:color="auto"/>
            </w:tcBorders>
            <w:vAlign w:val="bottom"/>
          </w:tcPr>
          <w:p w:rsidR="00595DBC" w:rsidRPr="001870C1" w:rsidRDefault="00595DBC" w:rsidP="001870C1">
            <w:pPr>
              <w:pStyle w:val="skaic"/>
              <w:tabs>
                <w:tab w:val="left" w:pos="420"/>
              </w:tabs>
              <w:spacing w:before="40" w:after="40"/>
              <w:ind w:left="227" w:right="-85"/>
              <w:jc w:val="left"/>
              <w:rPr>
                <w:rFonts w:cs="Arial"/>
                <w:szCs w:val="19"/>
              </w:rPr>
            </w:pPr>
            <w:r w:rsidRPr="001870C1">
              <w:rPr>
                <w:rFonts w:cs="Arial"/>
                <w:szCs w:val="19"/>
              </w:rPr>
              <w:t>Specializuotose parduotuvėse</w:t>
            </w:r>
          </w:p>
        </w:tc>
        <w:tc>
          <w:tcPr>
            <w:tcW w:w="823" w:type="pct"/>
            <w:tcBorders>
              <w:left w:val="single" w:sz="4" w:space="0" w:color="auto"/>
              <w:right w:val="single" w:sz="4" w:space="0" w:color="auto"/>
            </w:tcBorders>
            <w:vAlign w:val="bottom"/>
          </w:tcPr>
          <w:p w:rsidR="00595DBC" w:rsidRPr="00971BBE" w:rsidRDefault="006A1CBD" w:rsidP="00971BBE">
            <w:pPr>
              <w:spacing w:before="40" w:after="40"/>
              <w:ind w:left="-57"/>
              <w:jc w:val="right"/>
              <w:rPr>
                <w:sz w:val="19"/>
                <w:szCs w:val="19"/>
              </w:rPr>
            </w:pPr>
            <w:r w:rsidRPr="00971BBE">
              <w:rPr>
                <w:sz w:val="19"/>
                <w:szCs w:val="19"/>
              </w:rPr>
              <w:t>–0,</w:t>
            </w:r>
            <w:r w:rsidR="00AD1E01" w:rsidRPr="00971BBE">
              <w:rPr>
                <w:sz w:val="19"/>
                <w:szCs w:val="19"/>
              </w:rPr>
              <w:t>5</w:t>
            </w:r>
          </w:p>
        </w:tc>
        <w:tc>
          <w:tcPr>
            <w:tcW w:w="781"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38,2</w:t>
            </w:r>
          </w:p>
        </w:tc>
        <w:tc>
          <w:tcPr>
            <w:tcW w:w="968" w:type="pct"/>
            <w:tcBorders>
              <w:left w:val="single" w:sz="4" w:space="0" w:color="auto"/>
              <w:right w:val="single" w:sz="4" w:space="0" w:color="auto"/>
            </w:tcBorders>
            <w:vAlign w:val="bottom"/>
          </w:tcPr>
          <w:p w:rsidR="00595DBC" w:rsidRPr="00971BBE" w:rsidRDefault="00B04C0F" w:rsidP="00971BBE">
            <w:pPr>
              <w:spacing w:before="40" w:after="40"/>
              <w:ind w:left="-57"/>
              <w:jc w:val="right"/>
              <w:rPr>
                <w:sz w:val="19"/>
                <w:szCs w:val="19"/>
              </w:rPr>
            </w:pPr>
            <w:r w:rsidRPr="00971BBE">
              <w:rPr>
                <w:sz w:val="19"/>
                <w:szCs w:val="19"/>
              </w:rPr>
              <w:t>35,0</w:t>
            </w:r>
          </w:p>
        </w:tc>
      </w:tr>
      <w:tr w:rsidR="00595DBC" w:rsidRPr="001870C1" w:rsidTr="00B568CE">
        <w:trPr>
          <w:cantSplit/>
        </w:trPr>
        <w:tc>
          <w:tcPr>
            <w:tcW w:w="2428" w:type="pct"/>
            <w:tcBorders>
              <w:left w:val="single" w:sz="4" w:space="0" w:color="auto"/>
              <w:right w:val="single" w:sz="4" w:space="0" w:color="auto"/>
            </w:tcBorders>
            <w:vAlign w:val="bottom"/>
          </w:tcPr>
          <w:p w:rsidR="00595DBC" w:rsidRPr="001870C1" w:rsidRDefault="00595DBC" w:rsidP="001870C1">
            <w:pPr>
              <w:pStyle w:val="skaic"/>
              <w:tabs>
                <w:tab w:val="left" w:pos="408"/>
              </w:tabs>
              <w:spacing w:before="40" w:after="40"/>
              <w:ind w:left="113" w:right="-85"/>
              <w:jc w:val="left"/>
              <w:rPr>
                <w:rFonts w:cs="Arial"/>
                <w:szCs w:val="19"/>
              </w:rPr>
            </w:pPr>
            <w:r w:rsidRPr="001870C1">
              <w:rPr>
                <w:rFonts w:cs="Arial"/>
                <w:szCs w:val="19"/>
              </w:rPr>
              <w:t>Ne maisto prekės</w:t>
            </w:r>
          </w:p>
        </w:tc>
        <w:tc>
          <w:tcPr>
            <w:tcW w:w="823"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1,7</w:t>
            </w:r>
          </w:p>
        </w:tc>
        <w:tc>
          <w:tcPr>
            <w:tcW w:w="781"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23,3</w:t>
            </w:r>
          </w:p>
        </w:tc>
        <w:tc>
          <w:tcPr>
            <w:tcW w:w="968" w:type="pct"/>
            <w:tcBorders>
              <w:left w:val="single" w:sz="4" w:space="0" w:color="auto"/>
              <w:right w:val="single" w:sz="4" w:space="0" w:color="auto"/>
            </w:tcBorders>
            <w:vAlign w:val="bottom"/>
          </w:tcPr>
          <w:p w:rsidR="00595DBC" w:rsidRPr="00971BBE" w:rsidRDefault="00B04C0F" w:rsidP="00971BBE">
            <w:pPr>
              <w:spacing w:before="40" w:after="40"/>
              <w:ind w:left="-57"/>
              <w:jc w:val="right"/>
              <w:rPr>
                <w:sz w:val="19"/>
                <w:szCs w:val="19"/>
              </w:rPr>
            </w:pPr>
            <w:r w:rsidRPr="00971BBE">
              <w:rPr>
                <w:sz w:val="19"/>
                <w:szCs w:val="19"/>
              </w:rPr>
              <w:t>21,0</w:t>
            </w:r>
          </w:p>
        </w:tc>
      </w:tr>
      <w:tr w:rsidR="00595DBC" w:rsidRPr="001870C1" w:rsidTr="00B568CE">
        <w:trPr>
          <w:cantSplit/>
        </w:trPr>
        <w:tc>
          <w:tcPr>
            <w:tcW w:w="2428" w:type="pct"/>
            <w:tcBorders>
              <w:left w:val="single" w:sz="4" w:space="0" w:color="auto"/>
              <w:right w:val="single" w:sz="4" w:space="0" w:color="auto"/>
            </w:tcBorders>
            <w:vAlign w:val="bottom"/>
          </w:tcPr>
          <w:p w:rsidR="00595DBC" w:rsidRPr="001870C1" w:rsidRDefault="00595DBC" w:rsidP="001870C1">
            <w:pPr>
              <w:pStyle w:val="skaic"/>
              <w:spacing w:before="40" w:after="40"/>
              <w:ind w:left="227" w:right="-85"/>
              <w:jc w:val="left"/>
              <w:rPr>
                <w:rFonts w:cs="Arial"/>
                <w:szCs w:val="19"/>
              </w:rPr>
            </w:pPr>
            <w:r w:rsidRPr="001870C1">
              <w:rPr>
                <w:rFonts w:cs="Arial"/>
                <w:szCs w:val="19"/>
              </w:rPr>
              <w:t>Specializuotose parduotuvėse</w:t>
            </w:r>
          </w:p>
        </w:tc>
        <w:tc>
          <w:tcPr>
            <w:tcW w:w="823" w:type="pct"/>
            <w:tcBorders>
              <w:left w:val="single" w:sz="4" w:space="0" w:color="auto"/>
              <w:right w:val="single" w:sz="4" w:space="0" w:color="auto"/>
            </w:tcBorders>
            <w:vAlign w:val="bottom"/>
          </w:tcPr>
          <w:p w:rsidR="00595DBC" w:rsidRPr="00971BBE" w:rsidRDefault="00595DBC" w:rsidP="00971BBE">
            <w:pPr>
              <w:spacing w:before="40" w:after="40"/>
              <w:ind w:left="-57"/>
              <w:jc w:val="right"/>
              <w:rPr>
                <w:sz w:val="19"/>
                <w:szCs w:val="19"/>
              </w:rPr>
            </w:pPr>
          </w:p>
        </w:tc>
        <w:tc>
          <w:tcPr>
            <w:tcW w:w="781" w:type="pct"/>
            <w:tcBorders>
              <w:left w:val="single" w:sz="4" w:space="0" w:color="auto"/>
              <w:right w:val="single" w:sz="4" w:space="0" w:color="auto"/>
            </w:tcBorders>
            <w:vAlign w:val="bottom"/>
          </w:tcPr>
          <w:p w:rsidR="00595DBC" w:rsidRPr="00971BBE" w:rsidRDefault="00595DBC" w:rsidP="00971BBE">
            <w:pPr>
              <w:spacing w:before="40" w:after="40"/>
              <w:ind w:left="-57"/>
              <w:jc w:val="right"/>
              <w:rPr>
                <w:sz w:val="19"/>
                <w:szCs w:val="19"/>
              </w:rPr>
            </w:pPr>
          </w:p>
        </w:tc>
        <w:tc>
          <w:tcPr>
            <w:tcW w:w="968" w:type="pct"/>
            <w:tcBorders>
              <w:left w:val="single" w:sz="4" w:space="0" w:color="auto"/>
              <w:right w:val="single" w:sz="4" w:space="0" w:color="auto"/>
            </w:tcBorders>
            <w:vAlign w:val="bottom"/>
          </w:tcPr>
          <w:p w:rsidR="00595DBC" w:rsidRPr="00971BBE" w:rsidRDefault="00595DBC" w:rsidP="00971BBE">
            <w:pPr>
              <w:spacing w:before="40" w:after="40"/>
              <w:ind w:left="-57"/>
              <w:jc w:val="right"/>
              <w:rPr>
                <w:sz w:val="19"/>
                <w:szCs w:val="19"/>
              </w:rPr>
            </w:pPr>
          </w:p>
        </w:tc>
      </w:tr>
      <w:tr w:rsidR="00595DBC" w:rsidRPr="001870C1" w:rsidTr="00B568CE">
        <w:trPr>
          <w:cantSplit/>
        </w:trPr>
        <w:tc>
          <w:tcPr>
            <w:tcW w:w="2428" w:type="pct"/>
            <w:tcBorders>
              <w:left w:val="single" w:sz="4" w:space="0" w:color="auto"/>
              <w:right w:val="single" w:sz="4" w:space="0" w:color="auto"/>
            </w:tcBorders>
            <w:vAlign w:val="bottom"/>
          </w:tcPr>
          <w:p w:rsidR="00595DBC" w:rsidRPr="001870C1" w:rsidRDefault="00595DBC" w:rsidP="001870C1">
            <w:pPr>
              <w:pStyle w:val="skaic"/>
              <w:spacing w:before="40" w:after="40"/>
              <w:ind w:left="340" w:right="-85"/>
              <w:jc w:val="left"/>
              <w:rPr>
                <w:rFonts w:cs="Arial"/>
                <w:szCs w:val="19"/>
              </w:rPr>
            </w:pPr>
            <w:r w:rsidRPr="001870C1">
              <w:rPr>
                <w:rFonts w:cs="Arial"/>
                <w:szCs w:val="19"/>
              </w:rPr>
              <w:t>Tekstilė, drabužiai ir avalynė</w:t>
            </w:r>
          </w:p>
        </w:tc>
        <w:tc>
          <w:tcPr>
            <w:tcW w:w="823" w:type="pct"/>
            <w:tcBorders>
              <w:left w:val="single" w:sz="4" w:space="0" w:color="auto"/>
              <w:right w:val="single" w:sz="4" w:space="0" w:color="auto"/>
            </w:tcBorders>
            <w:vAlign w:val="bottom"/>
          </w:tcPr>
          <w:p w:rsidR="00595DBC" w:rsidRPr="00971BBE" w:rsidRDefault="006A1CBD" w:rsidP="00971BBE">
            <w:pPr>
              <w:spacing w:before="40" w:after="40"/>
              <w:ind w:left="-57"/>
              <w:jc w:val="right"/>
              <w:rPr>
                <w:sz w:val="19"/>
                <w:szCs w:val="19"/>
              </w:rPr>
            </w:pPr>
            <w:r w:rsidRPr="00971BBE">
              <w:rPr>
                <w:sz w:val="19"/>
                <w:szCs w:val="19"/>
              </w:rPr>
              <w:t>1</w:t>
            </w:r>
            <w:r w:rsidR="00AD1E01" w:rsidRPr="00971BBE">
              <w:rPr>
                <w:sz w:val="19"/>
                <w:szCs w:val="19"/>
              </w:rPr>
              <w:t>8</w:t>
            </w:r>
            <w:r w:rsidRPr="00971BBE">
              <w:rPr>
                <w:sz w:val="19"/>
                <w:szCs w:val="19"/>
              </w:rPr>
              <w:t>,</w:t>
            </w:r>
            <w:r w:rsidR="00AD1E01" w:rsidRPr="00971BBE">
              <w:rPr>
                <w:sz w:val="19"/>
                <w:szCs w:val="19"/>
              </w:rPr>
              <w:t>4</w:t>
            </w:r>
          </w:p>
        </w:tc>
        <w:tc>
          <w:tcPr>
            <w:tcW w:w="781"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14,7</w:t>
            </w:r>
          </w:p>
        </w:tc>
        <w:tc>
          <w:tcPr>
            <w:tcW w:w="968" w:type="pct"/>
            <w:tcBorders>
              <w:left w:val="single" w:sz="4" w:space="0" w:color="auto"/>
              <w:right w:val="single" w:sz="4" w:space="0" w:color="auto"/>
            </w:tcBorders>
            <w:vAlign w:val="bottom"/>
          </w:tcPr>
          <w:p w:rsidR="00595DBC" w:rsidRPr="00971BBE" w:rsidRDefault="0098025C" w:rsidP="00971BBE">
            <w:pPr>
              <w:spacing w:before="40" w:after="40"/>
              <w:ind w:left="-57"/>
              <w:jc w:val="right"/>
              <w:rPr>
                <w:sz w:val="19"/>
                <w:szCs w:val="19"/>
              </w:rPr>
            </w:pPr>
            <w:r w:rsidRPr="00971BBE">
              <w:rPr>
                <w:sz w:val="19"/>
                <w:szCs w:val="19"/>
              </w:rPr>
              <w:t>–</w:t>
            </w:r>
            <w:r w:rsidR="00B04C0F" w:rsidRPr="00971BBE">
              <w:rPr>
                <w:sz w:val="19"/>
                <w:szCs w:val="19"/>
              </w:rPr>
              <w:t>2,0</w:t>
            </w:r>
          </w:p>
        </w:tc>
      </w:tr>
      <w:tr w:rsidR="00595DBC" w:rsidRPr="001870C1" w:rsidTr="00B568CE">
        <w:trPr>
          <w:cantSplit/>
        </w:trPr>
        <w:tc>
          <w:tcPr>
            <w:tcW w:w="2428" w:type="pct"/>
            <w:tcBorders>
              <w:left w:val="single" w:sz="4" w:space="0" w:color="auto"/>
              <w:right w:val="single" w:sz="4" w:space="0" w:color="auto"/>
            </w:tcBorders>
            <w:vAlign w:val="bottom"/>
          </w:tcPr>
          <w:p w:rsidR="00595DBC" w:rsidRPr="001870C1" w:rsidRDefault="00595DBC" w:rsidP="001870C1">
            <w:pPr>
              <w:pStyle w:val="skaic"/>
              <w:spacing w:before="40" w:after="40"/>
              <w:ind w:left="340" w:right="-85"/>
              <w:jc w:val="left"/>
              <w:rPr>
                <w:rFonts w:cs="Arial"/>
                <w:szCs w:val="19"/>
              </w:rPr>
            </w:pPr>
            <w:r w:rsidRPr="001870C1">
              <w:rPr>
                <w:rFonts w:cs="Arial"/>
                <w:szCs w:val="19"/>
              </w:rPr>
              <w:t>Garso ir vaizdo įranga, įrašai, metalo dirbiniai, dažai ir stiklas, elektriniai buitiniai prietaisai, baldai ir apšvietimo įranga</w:t>
            </w:r>
          </w:p>
        </w:tc>
        <w:tc>
          <w:tcPr>
            <w:tcW w:w="823" w:type="pct"/>
            <w:tcBorders>
              <w:left w:val="single" w:sz="4" w:space="0" w:color="auto"/>
              <w:right w:val="single" w:sz="4" w:space="0" w:color="auto"/>
            </w:tcBorders>
            <w:vAlign w:val="bottom"/>
          </w:tcPr>
          <w:p w:rsidR="00595DBC" w:rsidRPr="00971BBE" w:rsidRDefault="006A1CBD" w:rsidP="00971BBE">
            <w:pPr>
              <w:spacing w:before="40" w:after="40"/>
              <w:ind w:left="-57"/>
              <w:jc w:val="right"/>
              <w:rPr>
                <w:sz w:val="19"/>
                <w:szCs w:val="19"/>
              </w:rPr>
            </w:pPr>
            <w:r w:rsidRPr="00971BBE">
              <w:rPr>
                <w:sz w:val="19"/>
                <w:szCs w:val="19"/>
              </w:rPr>
              <w:t>–</w:t>
            </w:r>
            <w:r w:rsidR="00AD1E01" w:rsidRPr="00971BBE">
              <w:rPr>
                <w:sz w:val="19"/>
                <w:szCs w:val="19"/>
              </w:rPr>
              <w:t>2,7</w:t>
            </w:r>
          </w:p>
        </w:tc>
        <w:tc>
          <w:tcPr>
            <w:tcW w:w="781"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23,6</w:t>
            </w:r>
          </w:p>
        </w:tc>
        <w:tc>
          <w:tcPr>
            <w:tcW w:w="968" w:type="pct"/>
            <w:tcBorders>
              <w:left w:val="single" w:sz="4" w:space="0" w:color="auto"/>
              <w:right w:val="single" w:sz="4" w:space="0" w:color="auto"/>
            </w:tcBorders>
            <w:vAlign w:val="bottom"/>
          </w:tcPr>
          <w:p w:rsidR="00595DBC" w:rsidRPr="00971BBE" w:rsidRDefault="00F01565" w:rsidP="00971BBE">
            <w:pPr>
              <w:spacing w:before="40" w:after="40"/>
              <w:ind w:left="-57"/>
              <w:jc w:val="right"/>
              <w:rPr>
                <w:sz w:val="19"/>
                <w:szCs w:val="19"/>
              </w:rPr>
            </w:pPr>
            <w:r w:rsidRPr="00971BBE">
              <w:rPr>
                <w:sz w:val="19"/>
                <w:szCs w:val="19"/>
              </w:rPr>
              <w:t>21,</w:t>
            </w:r>
            <w:r w:rsidR="00B04C0F" w:rsidRPr="00971BBE">
              <w:rPr>
                <w:sz w:val="19"/>
                <w:szCs w:val="19"/>
              </w:rPr>
              <w:t>7</w:t>
            </w:r>
          </w:p>
        </w:tc>
      </w:tr>
      <w:tr w:rsidR="00595DBC" w:rsidRPr="001870C1" w:rsidTr="00B568CE">
        <w:trPr>
          <w:cantSplit/>
        </w:trPr>
        <w:tc>
          <w:tcPr>
            <w:tcW w:w="2428" w:type="pct"/>
            <w:tcBorders>
              <w:left w:val="single" w:sz="4" w:space="0" w:color="auto"/>
              <w:right w:val="single" w:sz="4" w:space="0" w:color="auto"/>
            </w:tcBorders>
            <w:vAlign w:val="bottom"/>
          </w:tcPr>
          <w:p w:rsidR="00595DBC" w:rsidRPr="001870C1" w:rsidRDefault="00595DBC" w:rsidP="001870C1">
            <w:pPr>
              <w:pStyle w:val="skaic"/>
              <w:spacing w:before="40" w:after="40"/>
              <w:ind w:left="340" w:right="-85"/>
              <w:jc w:val="left"/>
              <w:rPr>
                <w:rFonts w:cs="Arial"/>
                <w:szCs w:val="19"/>
              </w:rPr>
            </w:pPr>
            <w:r w:rsidRPr="001870C1">
              <w:rPr>
                <w:rFonts w:cs="Arial"/>
                <w:szCs w:val="19"/>
              </w:rPr>
              <w:t>Informacijos ir ryšių technologijų įranga, kultūros ir poilsio prekės, laikrodžiai, juvelyriniai dirbiniai bei kitos naujos prekės</w:t>
            </w:r>
          </w:p>
        </w:tc>
        <w:tc>
          <w:tcPr>
            <w:tcW w:w="823"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1,0</w:t>
            </w:r>
          </w:p>
        </w:tc>
        <w:tc>
          <w:tcPr>
            <w:tcW w:w="781"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29,5</w:t>
            </w:r>
          </w:p>
        </w:tc>
        <w:tc>
          <w:tcPr>
            <w:tcW w:w="968" w:type="pct"/>
            <w:tcBorders>
              <w:left w:val="single" w:sz="4" w:space="0" w:color="auto"/>
              <w:right w:val="single" w:sz="4" w:space="0" w:color="auto"/>
            </w:tcBorders>
            <w:vAlign w:val="bottom"/>
          </w:tcPr>
          <w:p w:rsidR="00595DBC" w:rsidRPr="00971BBE" w:rsidRDefault="00B04C0F" w:rsidP="00971BBE">
            <w:pPr>
              <w:spacing w:before="40" w:after="40"/>
              <w:ind w:left="-57"/>
              <w:jc w:val="right"/>
              <w:rPr>
                <w:sz w:val="19"/>
                <w:szCs w:val="19"/>
              </w:rPr>
            </w:pPr>
            <w:r w:rsidRPr="00971BBE">
              <w:rPr>
                <w:sz w:val="19"/>
                <w:szCs w:val="19"/>
              </w:rPr>
              <w:t>28,2</w:t>
            </w:r>
          </w:p>
        </w:tc>
      </w:tr>
      <w:tr w:rsidR="00595DBC" w:rsidRPr="001870C1" w:rsidTr="00B568CE">
        <w:trPr>
          <w:cantSplit/>
        </w:trPr>
        <w:tc>
          <w:tcPr>
            <w:tcW w:w="2428" w:type="pct"/>
            <w:tcBorders>
              <w:left w:val="single" w:sz="4" w:space="0" w:color="auto"/>
              <w:right w:val="single" w:sz="4" w:space="0" w:color="auto"/>
            </w:tcBorders>
            <w:vAlign w:val="bottom"/>
          </w:tcPr>
          <w:p w:rsidR="00595DBC" w:rsidRPr="001870C1" w:rsidRDefault="00595DBC" w:rsidP="001870C1">
            <w:pPr>
              <w:pStyle w:val="skaic"/>
              <w:spacing w:before="40" w:after="40"/>
              <w:ind w:left="340" w:right="-85"/>
              <w:jc w:val="left"/>
              <w:rPr>
                <w:rFonts w:cs="Arial"/>
                <w:szCs w:val="19"/>
              </w:rPr>
            </w:pPr>
            <w:r w:rsidRPr="001870C1">
              <w:rPr>
                <w:rFonts w:cs="Arial"/>
                <w:szCs w:val="19"/>
              </w:rPr>
              <w:t>Farmacijos, medicinos ir kosmetikos prekės</w:t>
            </w:r>
          </w:p>
        </w:tc>
        <w:tc>
          <w:tcPr>
            <w:tcW w:w="823"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2,9</w:t>
            </w:r>
          </w:p>
        </w:tc>
        <w:tc>
          <w:tcPr>
            <w:tcW w:w="781"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15,8</w:t>
            </w:r>
          </w:p>
        </w:tc>
        <w:tc>
          <w:tcPr>
            <w:tcW w:w="968" w:type="pct"/>
            <w:tcBorders>
              <w:left w:val="single" w:sz="4" w:space="0" w:color="auto"/>
              <w:right w:val="single" w:sz="4" w:space="0" w:color="auto"/>
            </w:tcBorders>
            <w:vAlign w:val="bottom"/>
          </w:tcPr>
          <w:p w:rsidR="00595DBC" w:rsidRPr="00971BBE" w:rsidRDefault="00B04C0F" w:rsidP="00971BBE">
            <w:pPr>
              <w:spacing w:before="40" w:after="40"/>
              <w:ind w:left="-57"/>
              <w:jc w:val="right"/>
              <w:rPr>
                <w:sz w:val="19"/>
                <w:szCs w:val="19"/>
              </w:rPr>
            </w:pPr>
            <w:r w:rsidRPr="00971BBE">
              <w:rPr>
                <w:sz w:val="19"/>
                <w:szCs w:val="19"/>
              </w:rPr>
              <w:t>3,3</w:t>
            </w:r>
          </w:p>
        </w:tc>
      </w:tr>
      <w:tr w:rsidR="00595DBC" w:rsidRPr="001870C1" w:rsidTr="00B568CE">
        <w:trPr>
          <w:cantSplit/>
        </w:trPr>
        <w:tc>
          <w:tcPr>
            <w:tcW w:w="2428" w:type="pct"/>
            <w:tcBorders>
              <w:left w:val="single" w:sz="4" w:space="0" w:color="auto"/>
              <w:right w:val="single" w:sz="4" w:space="0" w:color="auto"/>
            </w:tcBorders>
            <w:vAlign w:val="bottom"/>
          </w:tcPr>
          <w:p w:rsidR="00595DBC" w:rsidRPr="001870C1" w:rsidRDefault="00595DBC" w:rsidP="001870C1">
            <w:pPr>
              <w:pStyle w:val="skaic"/>
              <w:spacing w:before="40" w:after="40"/>
              <w:ind w:left="227" w:right="-85"/>
              <w:jc w:val="left"/>
              <w:rPr>
                <w:rFonts w:cs="Arial"/>
                <w:szCs w:val="19"/>
              </w:rPr>
            </w:pPr>
            <w:r w:rsidRPr="001870C1">
              <w:rPr>
                <w:rFonts w:cs="Arial"/>
                <w:szCs w:val="19"/>
              </w:rPr>
              <w:t>Užsakomasis pardavimas paštu arba internetu</w:t>
            </w:r>
          </w:p>
        </w:tc>
        <w:tc>
          <w:tcPr>
            <w:tcW w:w="823" w:type="pct"/>
            <w:tcBorders>
              <w:left w:val="single" w:sz="4" w:space="0" w:color="auto"/>
              <w:right w:val="single" w:sz="4" w:space="0" w:color="auto"/>
            </w:tcBorders>
            <w:vAlign w:val="bottom"/>
          </w:tcPr>
          <w:p w:rsidR="00595DBC" w:rsidRPr="00971BBE" w:rsidRDefault="00110B1B" w:rsidP="00971BBE">
            <w:pPr>
              <w:spacing w:before="40" w:after="40"/>
              <w:ind w:left="-57"/>
              <w:jc w:val="right"/>
              <w:rPr>
                <w:sz w:val="19"/>
                <w:szCs w:val="19"/>
              </w:rPr>
            </w:pPr>
            <w:r w:rsidRPr="00971BBE">
              <w:rPr>
                <w:sz w:val="19"/>
                <w:szCs w:val="19"/>
              </w:rPr>
              <w:t>–</w:t>
            </w:r>
            <w:r w:rsidR="00AD1E01" w:rsidRPr="00971BBE">
              <w:rPr>
                <w:sz w:val="19"/>
                <w:szCs w:val="19"/>
              </w:rPr>
              <w:t>0,9</w:t>
            </w:r>
          </w:p>
        </w:tc>
        <w:tc>
          <w:tcPr>
            <w:tcW w:w="781"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41,3</w:t>
            </w:r>
          </w:p>
        </w:tc>
        <w:tc>
          <w:tcPr>
            <w:tcW w:w="968" w:type="pct"/>
            <w:tcBorders>
              <w:left w:val="single" w:sz="4" w:space="0" w:color="auto"/>
              <w:right w:val="single" w:sz="4" w:space="0" w:color="auto"/>
            </w:tcBorders>
            <w:vAlign w:val="bottom"/>
          </w:tcPr>
          <w:p w:rsidR="00595DBC" w:rsidRPr="00971BBE" w:rsidRDefault="00B04C0F" w:rsidP="00971BBE">
            <w:pPr>
              <w:spacing w:before="40" w:after="40"/>
              <w:ind w:left="-57"/>
              <w:jc w:val="right"/>
              <w:rPr>
                <w:sz w:val="19"/>
                <w:szCs w:val="19"/>
              </w:rPr>
            </w:pPr>
            <w:r w:rsidRPr="00971BBE">
              <w:rPr>
                <w:sz w:val="19"/>
                <w:szCs w:val="19"/>
              </w:rPr>
              <w:t>60,8</w:t>
            </w:r>
          </w:p>
        </w:tc>
      </w:tr>
      <w:tr w:rsidR="00595DBC" w:rsidRPr="001870C1" w:rsidTr="00B568CE">
        <w:trPr>
          <w:cantSplit/>
        </w:trPr>
        <w:tc>
          <w:tcPr>
            <w:tcW w:w="2428" w:type="pct"/>
            <w:tcBorders>
              <w:left w:val="single" w:sz="4" w:space="0" w:color="auto"/>
              <w:right w:val="single" w:sz="4" w:space="0" w:color="auto"/>
            </w:tcBorders>
            <w:vAlign w:val="bottom"/>
          </w:tcPr>
          <w:p w:rsidR="00595DBC" w:rsidRPr="001870C1" w:rsidRDefault="00595DBC" w:rsidP="001870C1">
            <w:pPr>
              <w:pStyle w:val="skaic"/>
              <w:spacing w:before="40" w:after="40"/>
              <w:ind w:left="227" w:right="-85"/>
              <w:jc w:val="left"/>
              <w:rPr>
                <w:rFonts w:cs="Arial"/>
                <w:szCs w:val="19"/>
              </w:rPr>
            </w:pPr>
            <w:r w:rsidRPr="001870C1">
              <w:rPr>
                <w:rFonts w:cs="Arial"/>
                <w:szCs w:val="19"/>
              </w:rPr>
              <w:t>Nespecializuotose parduotuvėse</w:t>
            </w:r>
          </w:p>
        </w:tc>
        <w:tc>
          <w:tcPr>
            <w:tcW w:w="823"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3,3</w:t>
            </w:r>
          </w:p>
        </w:tc>
        <w:tc>
          <w:tcPr>
            <w:tcW w:w="781"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15,3</w:t>
            </w:r>
          </w:p>
        </w:tc>
        <w:tc>
          <w:tcPr>
            <w:tcW w:w="968" w:type="pct"/>
            <w:tcBorders>
              <w:left w:val="single" w:sz="4" w:space="0" w:color="auto"/>
              <w:right w:val="single" w:sz="4" w:space="0" w:color="auto"/>
            </w:tcBorders>
            <w:vAlign w:val="bottom"/>
          </w:tcPr>
          <w:p w:rsidR="00595DBC" w:rsidRPr="00971BBE" w:rsidRDefault="00B04C0F" w:rsidP="00971BBE">
            <w:pPr>
              <w:spacing w:before="40" w:after="40"/>
              <w:ind w:left="-57"/>
              <w:jc w:val="right"/>
              <w:rPr>
                <w:sz w:val="19"/>
                <w:szCs w:val="19"/>
              </w:rPr>
            </w:pPr>
            <w:r w:rsidRPr="00971BBE">
              <w:rPr>
                <w:sz w:val="19"/>
                <w:szCs w:val="19"/>
              </w:rPr>
              <w:t>13,1</w:t>
            </w:r>
          </w:p>
        </w:tc>
      </w:tr>
      <w:tr w:rsidR="00595DBC" w:rsidRPr="001870C1" w:rsidTr="00B568CE">
        <w:trPr>
          <w:cantSplit/>
        </w:trPr>
        <w:tc>
          <w:tcPr>
            <w:tcW w:w="2428" w:type="pct"/>
            <w:tcBorders>
              <w:left w:val="single" w:sz="4" w:space="0" w:color="auto"/>
              <w:right w:val="single" w:sz="4" w:space="0" w:color="auto"/>
            </w:tcBorders>
            <w:vAlign w:val="bottom"/>
          </w:tcPr>
          <w:p w:rsidR="00595DBC" w:rsidRPr="001870C1" w:rsidRDefault="00595DBC" w:rsidP="001870C1">
            <w:pPr>
              <w:pStyle w:val="skaic"/>
              <w:spacing w:before="40" w:after="40"/>
              <w:ind w:left="113" w:right="-85"/>
              <w:jc w:val="left"/>
              <w:rPr>
                <w:rFonts w:cs="Arial"/>
                <w:szCs w:val="19"/>
              </w:rPr>
            </w:pPr>
            <w:r w:rsidRPr="001870C1">
              <w:rPr>
                <w:rFonts w:cs="Arial"/>
                <w:szCs w:val="19"/>
              </w:rPr>
              <w:t>Automobilių degalų mažmeninė prekyba</w:t>
            </w:r>
          </w:p>
        </w:tc>
        <w:tc>
          <w:tcPr>
            <w:tcW w:w="823"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4,7</w:t>
            </w:r>
          </w:p>
        </w:tc>
        <w:tc>
          <w:tcPr>
            <w:tcW w:w="781" w:type="pct"/>
            <w:tcBorders>
              <w:left w:val="single" w:sz="4" w:space="0" w:color="auto"/>
              <w:right w:val="single" w:sz="4" w:space="0" w:color="auto"/>
            </w:tcBorders>
            <w:vAlign w:val="bottom"/>
          </w:tcPr>
          <w:p w:rsidR="00595DBC" w:rsidRPr="00971BBE" w:rsidRDefault="00AD1E01" w:rsidP="00971BBE">
            <w:pPr>
              <w:spacing w:before="40" w:after="40"/>
              <w:ind w:left="-57"/>
              <w:jc w:val="right"/>
              <w:rPr>
                <w:sz w:val="19"/>
                <w:szCs w:val="19"/>
              </w:rPr>
            </w:pPr>
            <w:r w:rsidRPr="00971BBE">
              <w:rPr>
                <w:sz w:val="19"/>
                <w:szCs w:val="19"/>
              </w:rPr>
              <w:t>15,3</w:t>
            </w:r>
          </w:p>
        </w:tc>
        <w:tc>
          <w:tcPr>
            <w:tcW w:w="968" w:type="pct"/>
            <w:tcBorders>
              <w:left w:val="single" w:sz="4" w:space="0" w:color="auto"/>
              <w:right w:val="single" w:sz="4" w:space="0" w:color="auto"/>
            </w:tcBorders>
            <w:vAlign w:val="bottom"/>
          </w:tcPr>
          <w:p w:rsidR="00595DBC" w:rsidRPr="00971BBE" w:rsidRDefault="00B04C0F" w:rsidP="00971BBE">
            <w:pPr>
              <w:spacing w:before="40" w:after="40"/>
              <w:ind w:left="-57"/>
              <w:jc w:val="right"/>
              <w:rPr>
                <w:sz w:val="19"/>
                <w:szCs w:val="19"/>
              </w:rPr>
            </w:pPr>
            <w:r w:rsidRPr="00971BBE">
              <w:rPr>
                <w:sz w:val="19"/>
                <w:szCs w:val="19"/>
              </w:rPr>
              <w:t>12,6</w:t>
            </w:r>
          </w:p>
        </w:tc>
      </w:tr>
      <w:tr w:rsidR="00B568CE" w:rsidRPr="001870C1" w:rsidTr="00B568CE">
        <w:trPr>
          <w:cantSplit/>
        </w:trPr>
        <w:tc>
          <w:tcPr>
            <w:tcW w:w="2428" w:type="pct"/>
            <w:tcBorders>
              <w:left w:val="single" w:sz="4" w:space="0" w:color="auto"/>
              <w:bottom w:val="single" w:sz="4" w:space="0" w:color="auto"/>
              <w:right w:val="single" w:sz="4" w:space="0" w:color="auto"/>
            </w:tcBorders>
            <w:shd w:val="clear" w:color="auto" w:fill="FABEC3"/>
            <w:vAlign w:val="bottom"/>
          </w:tcPr>
          <w:p w:rsidR="00595DBC" w:rsidRPr="001870C1" w:rsidRDefault="00595DBC" w:rsidP="001870C1">
            <w:pPr>
              <w:pStyle w:val="skaic"/>
              <w:spacing w:before="40" w:after="40"/>
              <w:ind w:right="-85"/>
              <w:jc w:val="left"/>
              <w:rPr>
                <w:rFonts w:cs="Arial"/>
                <w:b/>
                <w:szCs w:val="19"/>
              </w:rPr>
            </w:pPr>
            <w:r w:rsidRPr="001870C1">
              <w:rPr>
                <w:rFonts w:cs="Arial"/>
                <w:b/>
                <w:szCs w:val="19"/>
              </w:rPr>
              <w:t>56 skyrius. Maitinimo ir gėrimų teikimo veikla</w:t>
            </w:r>
          </w:p>
        </w:tc>
        <w:tc>
          <w:tcPr>
            <w:tcW w:w="823" w:type="pct"/>
            <w:tcBorders>
              <w:left w:val="single" w:sz="4" w:space="0" w:color="auto"/>
              <w:bottom w:val="single" w:sz="4" w:space="0" w:color="auto"/>
              <w:right w:val="single" w:sz="4" w:space="0" w:color="auto"/>
            </w:tcBorders>
            <w:shd w:val="clear" w:color="auto" w:fill="FABEC3"/>
            <w:vAlign w:val="bottom"/>
          </w:tcPr>
          <w:p w:rsidR="00595DBC" w:rsidRPr="00971BBE" w:rsidRDefault="00110B1B" w:rsidP="00971BBE">
            <w:pPr>
              <w:spacing w:before="40" w:after="40"/>
              <w:ind w:left="-57"/>
              <w:jc w:val="right"/>
              <w:rPr>
                <w:b/>
                <w:sz w:val="19"/>
                <w:szCs w:val="19"/>
              </w:rPr>
            </w:pPr>
            <w:r w:rsidRPr="00971BBE">
              <w:rPr>
                <w:b/>
                <w:sz w:val="19"/>
                <w:szCs w:val="19"/>
              </w:rPr>
              <w:t>1</w:t>
            </w:r>
            <w:r w:rsidR="006A1CBD" w:rsidRPr="00971BBE">
              <w:rPr>
                <w:b/>
                <w:sz w:val="19"/>
                <w:szCs w:val="19"/>
              </w:rPr>
              <w:t>5</w:t>
            </w:r>
            <w:r w:rsidRPr="00971BBE">
              <w:rPr>
                <w:b/>
                <w:sz w:val="19"/>
                <w:szCs w:val="19"/>
              </w:rPr>
              <w:t>,</w:t>
            </w:r>
            <w:r w:rsidR="00AD1E01" w:rsidRPr="00971BBE">
              <w:rPr>
                <w:b/>
                <w:sz w:val="19"/>
                <w:szCs w:val="19"/>
              </w:rPr>
              <w:t>1</w:t>
            </w:r>
          </w:p>
        </w:tc>
        <w:tc>
          <w:tcPr>
            <w:tcW w:w="781" w:type="pct"/>
            <w:tcBorders>
              <w:left w:val="single" w:sz="4" w:space="0" w:color="auto"/>
              <w:bottom w:val="single" w:sz="4" w:space="0" w:color="auto"/>
              <w:right w:val="single" w:sz="4" w:space="0" w:color="auto"/>
            </w:tcBorders>
            <w:shd w:val="clear" w:color="auto" w:fill="FABEC3"/>
            <w:vAlign w:val="bottom"/>
          </w:tcPr>
          <w:p w:rsidR="00595DBC" w:rsidRPr="00971BBE" w:rsidRDefault="00AD1E01" w:rsidP="00971BBE">
            <w:pPr>
              <w:spacing w:before="40" w:after="40"/>
              <w:ind w:left="-57"/>
              <w:jc w:val="right"/>
              <w:rPr>
                <w:b/>
                <w:sz w:val="19"/>
                <w:szCs w:val="19"/>
              </w:rPr>
            </w:pPr>
            <w:r w:rsidRPr="00971BBE">
              <w:rPr>
                <w:b/>
                <w:sz w:val="19"/>
                <w:szCs w:val="19"/>
              </w:rPr>
              <w:t>9,6</w:t>
            </w:r>
          </w:p>
        </w:tc>
        <w:tc>
          <w:tcPr>
            <w:tcW w:w="968" w:type="pct"/>
            <w:tcBorders>
              <w:left w:val="single" w:sz="4" w:space="0" w:color="auto"/>
              <w:bottom w:val="single" w:sz="4" w:space="0" w:color="auto"/>
              <w:right w:val="single" w:sz="4" w:space="0" w:color="auto"/>
            </w:tcBorders>
            <w:shd w:val="clear" w:color="auto" w:fill="FABEC3"/>
            <w:vAlign w:val="bottom"/>
          </w:tcPr>
          <w:p w:rsidR="0098025C" w:rsidRPr="00971BBE" w:rsidRDefault="0098025C" w:rsidP="00971BBE">
            <w:pPr>
              <w:spacing w:before="40" w:after="40"/>
              <w:ind w:left="-57"/>
              <w:jc w:val="right"/>
              <w:rPr>
                <w:b/>
                <w:sz w:val="19"/>
                <w:szCs w:val="19"/>
              </w:rPr>
            </w:pPr>
            <w:r w:rsidRPr="00971BBE">
              <w:rPr>
                <w:b/>
                <w:sz w:val="19"/>
                <w:szCs w:val="19"/>
              </w:rPr>
              <w:t>–</w:t>
            </w:r>
            <w:r w:rsidR="00B04C0F" w:rsidRPr="00971BBE">
              <w:rPr>
                <w:b/>
                <w:sz w:val="19"/>
                <w:szCs w:val="19"/>
              </w:rPr>
              <w:t>12,4</w:t>
            </w:r>
          </w:p>
        </w:tc>
      </w:tr>
    </w:tbl>
    <w:p w:rsidR="000F6DA4" w:rsidRPr="00A01916" w:rsidRDefault="000F6DA4" w:rsidP="00C87950">
      <w:pPr>
        <w:pStyle w:val="Pasiteirauti"/>
        <w:rPr>
          <w:color w:val="000000"/>
          <w:sz w:val="20"/>
        </w:rPr>
      </w:pPr>
    </w:p>
    <w:p w:rsidR="00C87950" w:rsidRPr="00A01916" w:rsidRDefault="00BC6282" w:rsidP="00C87950">
      <w:pPr>
        <w:pStyle w:val="Pagrtekstas"/>
        <w:ind w:firstLine="567"/>
        <w:rPr>
          <w:lang w:val="lt-LT"/>
        </w:rPr>
      </w:pPr>
      <w:r>
        <w:rPr>
          <w:lang w:val="lt-LT"/>
        </w:rPr>
        <w:t>2021</w:t>
      </w:r>
      <w:r w:rsidR="00971BBE">
        <w:rPr>
          <w:lang w:val="lt-LT"/>
        </w:rPr>
        <w:t> m.</w:t>
      </w:r>
      <w:r w:rsidR="00C87950" w:rsidRPr="00A01916">
        <w:rPr>
          <w:lang w:val="lt-LT"/>
        </w:rPr>
        <w:t xml:space="preserve"> </w:t>
      </w:r>
      <w:r w:rsidR="003B60CE">
        <w:rPr>
          <w:lang w:val="lt-LT"/>
        </w:rPr>
        <w:t>liepos</w:t>
      </w:r>
      <w:r w:rsidR="00C87950" w:rsidRPr="00A01916">
        <w:rPr>
          <w:lang w:val="lt-LT"/>
        </w:rPr>
        <w:t> mėn. mažmeninės prekybos bei maitinimo ir gėrimų teikimo veiklos įmonių a</w:t>
      </w:r>
      <w:r w:rsidR="00E7408A">
        <w:rPr>
          <w:lang w:val="lt-LT"/>
        </w:rPr>
        <w:t>pyvartos pokyčius skelbsime 2021</w:t>
      </w:r>
      <w:r w:rsidR="00971BBE">
        <w:rPr>
          <w:lang w:val="lt-LT"/>
        </w:rPr>
        <w:t> m.</w:t>
      </w:r>
      <w:r w:rsidR="00C87950" w:rsidRPr="00A01916">
        <w:rPr>
          <w:lang w:val="lt-LT"/>
        </w:rPr>
        <w:t xml:space="preserve"> </w:t>
      </w:r>
      <w:r w:rsidR="00B04C0F">
        <w:rPr>
          <w:lang w:val="lt-LT"/>
        </w:rPr>
        <w:t>rugpjūčio</w:t>
      </w:r>
      <w:r w:rsidR="00C87950" w:rsidRPr="00A01916">
        <w:rPr>
          <w:lang w:val="lt-LT"/>
        </w:rPr>
        <w:t xml:space="preserve"> </w:t>
      </w:r>
      <w:r w:rsidR="005E0E70" w:rsidRPr="00A01916">
        <w:rPr>
          <w:lang w:val="lt-LT"/>
        </w:rPr>
        <w:t>2</w:t>
      </w:r>
      <w:r w:rsidR="00B04C0F">
        <w:rPr>
          <w:lang w:val="lt-LT"/>
        </w:rPr>
        <w:t>7</w:t>
      </w:r>
      <w:r w:rsidR="00C87950" w:rsidRPr="00A01916">
        <w:rPr>
          <w:lang w:val="lt-LT"/>
        </w:rPr>
        <w:t> d.</w:t>
      </w:r>
    </w:p>
    <w:p w:rsidR="00C87950" w:rsidRPr="00A01916" w:rsidRDefault="00C87950" w:rsidP="00C87950">
      <w:pPr>
        <w:pStyle w:val="Pasiteirauti"/>
        <w:rPr>
          <w:color w:val="000000"/>
          <w:sz w:val="20"/>
        </w:rPr>
      </w:pPr>
    </w:p>
    <w:p w:rsidR="00E92498" w:rsidRPr="00A01916" w:rsidRDefault="00E92498" w:rsidP="00E92498">
      <w:pPr>
        <w:pStyle w:val="Pasiteirauti"/>
        <w:tabs>
          <w:tab w:val="left" w:pos="7848"/>
        </w:tabs>
        <w:rPr>
          <w:sz w:val="20"/>
          <w:szCs w:val="19"/>
        </w:rPr>
      </w:pPr>
      <w:r w:rsidRPr="00A01916">
        <w:rPr>
          <w:sz w:val="20"/>
          <w:szCs w:val="19"/>
        </w:rPr>
        <w:t xml:space="preserve">Daugiau informacijos šia tema rasite </w:t>
      </w:r>
      <w:hyperlink r:id="rId16" w:history="1">
        <w:r w:rsidR="00416725" w:rsidRPr="00A01916">
          <w:rPr>
            <w:rStyle w:val="Hyperlink"/>
            <w:sz w:val="20"/>
            <w:szCs w:val="19"/>
          </w:rPr>
          <w:t>Rodiklių duomenų bazėje</w:t>
        </w:r>
      </w:hyperlink>
      <w:r w:rsidRPr="00A01916">
        <w:rPr>
          <w:sz w:val="20"/>
          <w:szCs w:val="19"/>
        </w:rPr>
        <w:t>.</w:t>
      </w:r>
    </w:p>
    <w:p w:rsidR="00E92498" w:rsidRPr="00A01916" w:rsidRDefault="00E92498" w:rsidP="00E92498">
      <w:pPr>
        <w:pStyle w:val="Pasiteirauti"/>
        <w:rPr>
          <w:color w:val="000000"/>
          <w:sz w:val="20"/>
        </w:rPr>
      </w:pPr>
    </w:p>
    <w:p w:rsidR="00E92498" w:rsidRPr="00A01916" w:rsidRDefault="00E92498" w:rsidP="00E92498">
      <w:pPr>
        <w:rPr>
          <w:color w:val="1F497D"/>
          <w:lang w:val="lt-LT"/>
        </w:rPr>
      </w:pPr>
      <w:r w:rsidRPr="00A01916">
        <w:rPr>
          <w:lang w:val="lt-LT"/>
        </w:rPr>
        <w:t>Statistinė informacija rengiama ir skleidžiama vadovaujantis</w:t>
      </w:r>
      <w:r w:rsidRPr="00A01916">
        <w:rPr>
          <w:rFonts w:cs="Arial"/>
          <w:color w:val="1F497D"/>
          <w:lang w:val="lt-LT"/>
        </w:rPr>
        <w:t xml:space="preserve"> </w:t>
      </w:r>
      <w:hyperlink r:id="rId17" w:history="1">
        <w:r w:rsidR="00497985" w:rsidRPr="00A01916">
          <w:rPr>
            <w:rStyle w:val="Hyperlink"/>
            <w:lang w:val="lt-LT"/>
          </w:rPr>
          <w:t>Europos statistikos praktikos kodeksu</w:t>
        </w:r>
      </w:hyperlink>
      <w:r w:rsidR="00497985" w:rsidRPr="00A01916">
        <w:rPr>
          <w:color w:val="1F497D"/>
          <w:lang w:val="lt-LT"/>
        </w:rPr>
        <w:t>.</w:t>
      </w:r>
    </w:p>
    <w:p w:rsidR="00E92498" w:rsidRPr="00A01916" w:rsidRDefault="00E92498" w:rsidP="00E92498">
      <w:pPr>
        <w:pStyle w:val="Pasiteirauti"/>
        <w:rPr>
          <w:color w:val="000000"/>
          <w:sz w:val="20"/>
        </w:rPr>
      </w:pPr>
    </w:p>
    <w:p w:rsidR="00E92498" w:rsidRDefault="00E92498" w:rsidP="00E92498">
      <w:pPr>
        <w:jc w:val="both"/>
        <w:rPr>
          <w:sz w:val="19"/>
          <w:lang w:val="lt-LT"/>
        </w:rPr>
      </w:pPr>
      <w:r w:rsidRPr="00A01916">
        <w:rPr>
          <w:sz w:val="19"/>
          <w:lang w:val="lt-LT"/>
        </w:rPr>
        <w:t xml:space="preserve">Daugiau susijusių terminų </w:t>
      </w:r>
      <w:r w:rsidR="00C16E77" w:rsidRPr="00A01916">
        <w:rPr>
          <w:sz w:val="19"/>
          <w:lang w:val="lt-LT"/>
        </w:rPr>
        <w:t xml:space="preserve">ir paaiškinimų </w:t>
      </w:r>
      <w:r w:rsidRPr="00A01916">
        <w:rPr>
          <w:sz w:val="19"/>
          <w:lang w:val="lt-LT"/>
        </w:rPr>
        <w:t xml:space="preserve">ieškokite </w:t>
      </w:r>
      <w:hyperlink r:id="rId18" w:history="1">
        <w:r w:rsidR="00416725" w:rsidRPr="00A01916">
          <w:rPr>
            <w:rStyle w:val="Hyperlink"/>
            <w:sz w:val="19"/>
            <w:lang w:val="lt-LT"/>
          </w:rPr>
          <w:t>Statistikos terminų žodyne</w:t>
        </w:r>
      </w:hyperlink>
      <w:r w:rsidR="00497985" w:rsidRPr="00A01916">
        <w:rPr>
          <w:sz w:val="19"/>
          <w:lang w:val="lt-LT"/>
        </w:rPr>
        <w:t>.</w:t>
      </w:r>
    </w:p>
    <w:p w:rsidR="00B568CE" w:rsidRPr="00A01916" w:rsidRDefault="00B568CE" w:rsidP="00E92498">
      <w:pPr>
        <w:jc w:val="both"/>
        <w:rPr>
          <w:sz w:val="19"/>
          <w:lang w:val="lt-LT"/>
        </w:rPr>
      </w:pPr>
    </w:p>
    <w:p w:rsidR="00E92498" w:rsidRPr="00A01916" w:rsidRDefault="00E92498" w:rsidP="00967C2B">
      <w:pPr>
        <w:pStyle w:val="Pasiteirauti"/>
        <w:spacing w:after="120"/>
        <w:rPr>
          <w:rFonts w:cs="Arial"/>
          <w:b/>
          <w:color w:val="000000"/>
          <w:sz w:val="20"/>
        </w:rPr>
      </w:pPr>
      <w:r w:rsidRPr="00A01916">
        <w:rPr>
          <w:rFonts w:cs="Arial"/>
          <w:b/>
          <w:color w:val="000000"/>
          <w:sz w:val="20"/>
        </w:rPr>
        <w:t>Paaiškinimai</w:t>
      </w:r>
    </w:p>
    <w:p w:rsidR="00E92498" w:rsidRPr="00A01916" w:rsidRDefault="00E92498" w:rsidP="00967C2B">
      <w:pPr>
        <w:pStyle w:val="term-definition"/>
        <w:shd w:val="clear" w:color="auto" w:fill="FFFFFF"/>
        <w:spacing w:before="0" w:beforeAutospacing="0" w:after="120" w:afterAutospacing="0"/>
        <w:jc w:val="both"/>
        <w:rPr>
          <w:rFonts w:ascii="Arial" w:hAnsi="Arial" w:cs="Arial"/>
          <w:sz w:val="20"/>
          <w:szCs w:val="20"/>
        </w:rPr>
      </w:pPr>
      <w:r w:rsidRPr="00A01916">
        <w:rPr>
          <w:rStyle w:val="term-name"/>
          <w:rFonts w:ascii="Arial" w:hAnsi="Arial" w:cs="Arial"/>
          <w:b/>
          <w:bCs/>
          <w:sz w:val="20"/>
          <w:szCs w:val="20"/>
        </w:rPr>
        <w:t>Apyvarta</w:t>
      </w:r>
      <w:r w:rsidR="003125E5" w:rsidRPr="00A01916">
        <w:rPr>
          <w:rStyle w:val="term-name"/>
          <w:rFonts w:ascii="Arial" w:hAnsi="Arial" w:cs="Arial"/>
          <w:b/>
          <w:bCs/>
          <w:sz w:val="20"/>
          <w:szCs w:val="20"/>
        </w:rPr>
        <w:t> </w:t>
      </w:r>
      <w:r w:rsidR="003125E5" w:rsidRPr="00B568CE">
        <w:rPr>
          <w:rStyle w:val="term-name"/>
          <w:rFonts w:ascii="Arial" w:hAnsi="Arial" w:cs="Arial"/>
          <w:bCs/>
          <w:sz w:val="20"/>
          <w:szCs w:val="20"/>
        </w:rPr>
        <w:t>–</w:t>
      </w:r>
      <w:r w:rsidR="003125E5" w:rsidRPr="00A01916">
        <w:rPr>
          <w:rStyle w:val="term-name"/>
          <w:rFonts w:ascii="Arial" w:hAnsi="Arial" w:cs="Arial"/>
          <w:b/>
          <w:bCs/>
          <w:sz w:val="20"/>
          <w:szCs w:val="20"/>
        </w:rPr>
        <w:t xml:space="preserve"> </w:t>
      </w:r>
      <w:r w:rsidR="00497985" w:rsidRPr="00A01916">
        <w:rPr>
          <w:rStyle w:val="term-description"/>
          <w:rFonts w:ascii="Arial" w:hAnsi="Arial" w:cs="Arial"/>
          <w:sz w:val="20"/>
          <w:szCs w:val="20"/>
        </w:rPr>
        <w:t>ūkio subjekto per ataskaitinį laikotarpį pripažintos arba gautos pajamos pardavus prekes ir (arba) suteikus paslaugas, iš kurių atimtos grąžintų prekių pardavimo, nukainojimo, nuolaidų sumos. Neįskaitomos pajamos, kurios pelno (nuostolių) ataskaitoje parodomos, kaip kitos veiklos rezultatas, taip pat finansinės ir investicinės veiklos pajamos.</w:t>
      </w:r>
    </w:p>
    <w:p w:rsidR="00E92498" w:rsidRPr="00A01916" w:rsidRDefault="00E92498" w:rsidP="00967C2B">
      <w:pPr>
        <w:pStyle w:val="term-definition"/>
        <w:shd w:val="clear" w:color="auto" w:fill="FFFFFF"/>
        <w:spacing w:before="0" w:beforeAutospacing="0" w:after="120" w:afterAutospacing="0"/>
        <w:rPr>
          <w:rFonts w:ascii="Arial" w:hAnsi="Arial" w:cs="Arial"/>
          <w:sz w:val="20"/>
          <w:szCs w:val="20"/>
        </w:rPr>
      </w:pPr>
      <w:r w:rsidRPr="00A01916">
        <w:rPr>
          <w:rStyle w:val="term-name"/>
          <w:rFonts w:ascii="Arial" w:hAnsi="Arial" w:cs="Arial"/>
          <w:b/>
          <w:bCs/>
          <w:sz w:val="20"/>
          <w:szCs w:val="20"/>
        </w:rPr>
        <w:t>Mažmeninė prekyba</w:t>
      </w:r>
      <w:r w:rsidR="003125E5" w:rsidRPr="00A01916">
        <w:rPr>
          <w:rStyle w:val="term-name"/>
          <w:rFonts w:ascii="Arial" w:hAnsi="Arial" w:cs="Arial"/>
          <w:b/>
          <w:bCs/>
          <w:sz w:val="20"/>
          <w:szCs w:val="20"/>
        </w:rPr>
        <w:t> </w:t>
      </w:r>
      <w:r w:rsidR="003125E5" w:rsidRPr="00B568CE">
        <w:rPr>
          <w:rStyle w:val="term-name"/>
          <w:rFonts w:ascii="Arial" w:hAnsi="Arial" w:cs="Arial"/>
          <w:bCs/>
          <w:sz w:val="20"/>
          <w:szCs w:val="20"/>
        </w:rPr>
        <w:t>–</w:t>
      </w:r>
      <w:r w:rsidR="003125E5" w:rsidRPr="00A01916">
        <w:rPr>
          <w:rStyle w:val="term-name"/>
          <w:rFonts w:ascii="Arial" w:hAnsi="Arial" w:cs="Arial"/>
          <w:b/>
          <w:bCs/>
          <w:sz w:val="20"/>
          <w:szCs w:val="20"/>
        </w:rPr>
        <w:t xml:space="preserve"> </w:t>
      </w:r>
      <w:r w:rsidRPr="00A01916">
        <w:rPr>
          <w:rStyle w:val="term-description"/>
          <w:rFonts w:ascii="Arial" w:hAnsi="Arial" w:cs="Arial"/>
          <w:sz w:val="20"/>
          <w:szCs w:val="20"/>
        </w:rPr>
        <w:t>išskyrus variklinių transporto priemonių ir motociklų prekybą.</w:t>
      </w:r>
    </w:p>
    <w:p w:rsidR="00E92498" w:rsidRPr="00A01916" w:rsidRDefault="00E92498" w:rsidP="00E92498">
      <w:pPr>
        <w:pStyle w:val="Pasiteirauti"/>
        <w:rPr>
          <w:color w:val="000000"/>
          <w:sz w:val="18"/>
          <w:szCs w:val="18"/>
        </w:rPr>
      </w:pPr>
    </w:p>
    <w:p w:rsidR="00E92498" w:rsidRPr="00A01916" w:rsidRDefault="00E92498" w:rsidP="00967C2B">
      <w:pPr>
        <w:spacing w:after="60"/>
        <w:jc w:val="both"/>
        <w:rPr>
          <w:rFonts w:cs="Arial"/>
          <w:sz w:val="19"/>
          <w:szCs w:val="19"/>
          <w:lang w:val="lt-LT"/>
        </w:rPr>
      </w:pPr>
      <w:r w:rsidRPr="00A01916">
        <w:rPr>
          <w:rFonts w:cs="Arial"/>
          <w:sz w:val="19"/>
          <w:szCs w:val="19"/>
          <w:lang w:val="lt-LT"/>
        </w:rPr>
        <w:t>Kontaktinė informacija</w:t>
      </w:r>
    </w:p>
    <w:p w:rsidR="00E92498" w:rsidRPr="00A01916" w:rsidRDefault="00E92498" w:rsidP="00E92498">
      <w:pPr>
        <w:pStyle w:val="Pasiteirauti"/>
        <w:rPr>
          <w:szCs w:val="19"/>
        </w:rPr>
      </w:pPr>
      <w:r w:rsidRPr="00A01916">
        <w:rPr>
          <w:szCs w:val="19"/>
        </w:rPr>
        <w:t>Alina Ramaškevičienė</w:t>
      </w:r>
    </w:p>
    <w:p w:rsidR="00E92498" w:rsidRPr="00A01916" w:rsidRDefault="00E92498" w:rsidP="00E92498">
      <w:pPr>
        <w:pStyle w:val="Pasiteirauti"/>
        <w:rPr>
          <w:szCs w:val="19"/>
        </w:rPr>
      </w:pPr>
      <w:r w:rsidRPr="00A01916">
        <w:rPr>
          <w:szCs w:val="19"/>
        </w:rPr>
        <w:t>Trumpojo laikotarpio verslo statistikos skyriaus vyriausioji specialistė</w:t>
      </w:r>
    </w:p>
    <w:p w:rsidR="00E92498" w:rsidRPr="00A01916" w:rsidRDefault="00E92498" w:rsidP="00E92498">
      <w:pPr>
        <w:pStyle w:val="Pasiteirauti"/>
        <w:rPr>
          <w:szCs w:val="19"/>
        </w:rPr>
      </w:pPr>
      <w:r w:rsidRPr="00A01916">
        <w:rPr>
          <w:szCs w:val="19"/>
        </w:rPr>
        <w:t>Tel. (8 5)  236 4994</w:t>
      </w:r>
    </w:p>
    <w:p w:rsidR="00E92498" w:rsidRPr="00A01916" w:rsidRDefault="00E92498" w:rsidP="00E92498">
      <w:pPr>
        <w:pStyle w:val="Pasiteirauti"/>
        <w:rPr>
          <w:szCs w:val="19"/>
        </w:rPr>
      </w:pPr>
      <w:r w:rsidRPr="00A01916">
        <w:rPr>
          <w:szCs w:val="19"/>
        </w:rPr>
        <w:t xml:space="preserve">El. p. </w:t>
      </w:r>
      <w:hyperlink r:id="rId19" w:history="1">
        <w:r w:rsidR="00565982" w:rsidRPr="00E6649E">
          <w:rPr>
            <w:rStyle w:val="Hyperlink"/>
            <w:szCs w:val="19"/>
          </w:rPr>
          <w:t>alina.ramaskeviciene@stat.gov.lt</w:t>
        </w:r>
      </w:hyperlink>
      <w:r w:rsidR="00565982">
        <w:rPr>
          <w:szCs w:val="19"/>
        </w:rPr>
        <w:t xml:space="preserve"> </w:t>
      </w:r>
    </w:p>
    <w:p w:rsidR="00E92498" w:rsidRPr="00A01916" w:rsidRDefault="00E92498" w:rsidP="00E92498">
      <w:pPr>
        <w:pStyle w:val="Pasiteirauti"/>
        <w:rPr>
          <w:color w:val="000000"/>
          <w:sz w:val="18"/>
          <w:szCs w:val="18"/>
        </w:rPr>
      </w:pPr>
    </w:p>
    <w:p w:rsidR="00E92498" w:rsidRPr="00A01916" w:rsidRDefault="00E92498" w:rsidP="00E92498">
      <w:pPr>
        <w:pStyle w:val="Pasiteirauti"/>
        <w:rPr>
          <w:szCs w:val="19"/>
        </w:rPr>
      </w:pPr>
      <w:r w:rsidRPr="00A01916">
        <w:rPr>
          <w:color w:val="000000"/>
          <w:szCs w:val="19"/>
        </w:rPr>
        <w:t xml:space="preserve">© Lietuvos </w:t>
      </w:r>
      <w:r w:rsidRPr="00A01916">
        <w:rPr>
          <w:szCs w:val="19"/>
        </w:rPr>
        <w:t xml:space="preserve">statistikos departamentas </w:t>
      </w:r>
    </w:p>
    <w:p w:rsidR="00E92498" w:rsidRPr="00A01916" w:rsidRDefault="00E92498" w:rsidP="00E92498">
      <w:pPr>
        <w:pStyle w:val="Pasiteirauti"/>
        <w:rPr>
          <w:szCs w:val="19"/>
        </w:rPr>
      </w:pPr>
      <w:r w:rsidRPr="00A01916">
        <w:rPr>
          <w:szCs w:val="19"/>
        </w:rPr>
        <w:t>Naudojant Lietuvos statistikos departamento duomenis, būtina nurodyti šaltinį.</w:t>
      </w:r>
    </w:p>
    <w:p w:rsidR="00E92498" w:rsidRPr="00A01916" w:rsidRDefault="00E92498" w:rsidP="00E92498">
      <w:pPr>
        <w:pStyle w:val="Pasiteirauti"/>
        <w:rPr>
          <w:color w:val="000000"/>
          <w:sz w:val="18"/>
          <w:szCs w:val="18"/>
        </w:rPr>
      </w:pPr>
    </w:p>
    <w:p w:rsidR="00E92498" w:rsidRPr="00A01916" w:rsidRDefault="00E92498" w:rsidP="00E92498">
      <w:pPr>
        <w:pStyle w:val="Pasiteirauti"/>
        <w:rPr>
          <w:szCs w:val="19"/>
        </w:rPr>
      </w:pPr>
      <w:r w:rsidRPr="00A01916">
        <w:rPr>
          <w:szCs w:val="19"/>
        </w:rPr>
        <w:t>Žymos: mažmeninės prekybos įmonė, maitinimo įmonė, įmonių apyvarta.</w:t>
      </w:r>
    </w:p>
    <w:sectPr w:rsidR="00E92498" w:rsidRPr="00A01916" w:rsidSect="00B03AF6">
      <w:headerReference w:type="even" r:id="rId20"/>
      <w:headerReference w:type="default" r:id="rId21"/>
      <w:headerReference w:type="first" r:id="rId22"/>
      <w:footerReference w:type="first" r:id="rId23"/>
      <w:pgSz w:w="11906" w:h="16838" w:code="9"/>
      <w:pgMar w:top="1134" w:right="1134" w:bottom="851" w:left="1134" w:header="851"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4A9" w:rsidRDefault="004F14A9">
      <w:r>
        <w:separator/>
      </w:r>
    </w:p>
  </w:endnote>
  <w:endnote w:type="continuationSeparator" w:id="0">
    <w:p w:rsidR="004F14A9" w:rsidRDefault="004F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8B5" w:rsidRDefault="00D758B5" w:rsidP="007F74C2">
    <w:pPr>
      <w:ind w:right="-113"/>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4A9" w:rsidRDefault="004F14A9">
      <w:r>
        <w:separator/>
      </w:r>
    </w:p>
  </w:footnote>
  <w:footnote w:type="continuationSeparator" w:id="0">
    <w:p w:rsidR="004F14A9" w:rsidRDefault="004F1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8B5" w:rsidRDefault="002A02D2">
    <w:pPr>
      <w:pStyle w:val="Header"/>
      <w:framePr w:wrap="around" w:vAnchor="text" w:hAnchor="margin" w:xAlign="center" w:y="1"/>
      <w:rPr>
        <w:rStyle w:val="PageNumber"/>
      </w:rPr>
    </w:pPr>
    <w:r>
      <w:rPr>
        <w:rStyle w:val="PageNumber"/>
      </w:rPr>
      <w:fldChar w:fldCharType="begin"/>
    </w:r>
    <w:r w:rsidR="00D758B5">
      <w:rPr>
        <w:rStyle w:val="PageNumber"/>
      </w:rPr>
      <w:instrText xml:space="preserve">PAGE  </w:instrText>
    </w:r>
    <w:r>
      <w:rPr>
        <w:rStyle w:val="PageNumber"/>
      </w:rPr>
      <w:fldChar w:fldCharType="separate"/>
    </w:r>
    <w:r w:rsidR="00D758B5">
      <w:rPr>
        <w:rStyle w:val="PageNumber"/>
        <w:noProof/>
      </w:rPr>
      <w:t>1</w:t>
    </w:r>
    <w:r>
      <w:rPr>
        <w:rStyle w:val="PageNumber"/>
      </w:rPr>
      <w:fldChar w:fldCharType="end"/>
    </w:r>
  </w:p>
  <w:p w:rsidR="00D758B5" w:rsidRDefault="00D75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8B5" w:rsidRPr="00317478" w:rsidRDefault="002A02D2">
    <w:pPr>
      <w:pStyle w:val="Header"/>
      <w:framePr w:wrap="around" w:vAnchor="text" w:hAnchor="margin" w:xAlign="center" w:y="1"/>
      <w:rPr>
        <w:rStyle w:val="PageNumber"/>
        <w:sz w:val="18"/>
        <w:szCs w:val="18"/>
      </w:rPr>
    </w:pPr>
    <w:r w:rsidRPr="00317478">
      <w:rPr>
        <w:rStyle w:val="PageNumber"/>
        <w:sz w:val="18"/>
        <w:szCs w:val="18"/>
      </w:rPr>
      <w:fldChar w:fldCharType="begin"/>
    </w:r>
    <w:r w:rsidR="00D758B5" w:rsidRPr="00317478">
      <w:rPr>
        <w:rStyle w:val="PageNumber"/>
        <w:sz w:val="18"/>
        <w:szCs w:val="18"/>
      </w:rPr>
      <w:instrText xml:space="preserve">PAGE  </w:instrText>
    </w:r>
    <w:r w:rsidRPr="00317478">
      <w:rPr>
        <w:rStyle w:val="PageNumber"/>
        <w:sz w:val="18"/>
        <w:szCs w:val="18"/>
      </w:rPr>
      <w:fldChar w:fldCharType="separate"/>
    </w:r>
    <w:r w:rsidR="00BC1717">
      <w:rPr>
        <w:rStyle w:val="PageNumber"/>
        <w:noProof/>
        <w:sz w:val="18"/>
        <w:szCs w:val="18"/>
      </w:rPr>
      <w:t>2</w:t>
    </w:r>
    <w:r w:rsidRPr="00317478">
      <w:rPr>
        <w:rStyle w:val="PageNumber"/>
        <w:sz w:val="18"/>
        <w:szCs w:val="18"/>
      </w:rPr>
      <w:fldChar w:fldCharType="end"/>
    </w:r>
  </w:p>
  <w:p w:rsidR="00D758B5" w:rsidRPr="00317478" w:rsidRDefault="00D758B5">
    <w:pPr>
      <w:pStyle w:val="Header"/>
      <w:ind w:left="-57" w:right="-57"/>
      <w:rPr>
        <w:sz w:val="18"/>
        <w:szCs w:val="18"/>
      </w:rPr>
    </w:pPr>
  </w:p>
  <w:p w:rsidR="00D758B5" w:rsidRPr="00317478" w:rsidRDefault="00D758B5">
    <w:pPr>
      <w:pStyle w:val="Header"/>
      <w:ind w:left="-57" w:right="-57"/>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4819"/>
      <w:gridCol w:w="4819"/>
    </w:tblGrid>
    <w:tr w:rsidR="00D758B5" w:rsidTr="002B6634">
      <w:tc>
        <w:tcPr>
          <w:tcW w:w="2500" w:type="pct"/>
          <w:vAlign w:val="center"/>
        </w:tcPr>
        <w:p w:rsidR="00D758B5" w:rsidRDefault="00B2451F" w:rsidP="001825D1">
          <w:pPr>
            <w:pStyle w:val="Header"/>
            <w:ind w:right="-113"/>
          </w:pPr>
          <w:r>
            <w:rPr>
              <w:noProof/>
              <w:lang w:val="lt-LT" w:eastAsia="lt-LT"/>
            </w:rPr>
            <w:drawing>
              <wp:inline distT="0" distB="0" distL="0" distR="0" wp14:anchorId="25BCD50C" wp14:editId="5845E0FC">
                <wp:extent cx="1358900" cy="429260"/>
                <wp:effectExtent l="0" t="0" r="0" b="8890"/>
                <wp:docPr id="9" name="Picture 5" descr="Q:\Exchange\SSKS\Firminis stilius\Galutinės priemonės\LS ir OSP\LS ir OSP Logopack\LS\Skaitmeninems priemonems\Spalvoti\LT\PNG\LS-horizontalus-spalvotas-baltam fonui-L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Exchange\SSKS\Firminis stilius\Galutinės priemonės\LS ir OSP\LS ir OSP Logopack\LS\Skaitmeninems priemonems\Spalvoti\LT\PNG\LS-horizontalus-spalvotas-baltam fonui-LT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29260"/>
                        </a:xfrm>
                        <a:prstGeom prst="rect">
                          <a:avLst/>
                        </a:prstGeom>
                        <a:noFill/>
                        <a:ln>
                          <a:noFill/>
                        </a:ln>
                      </pic:spPr>
                    </pic:pic>
                  </a:graphicData>
                </a:graphic>
              </wp:inline>
            </w:drawing>
          </w:r>
        </w:p>
      </w:tc>
      <w:tc>
        <w:tcPr>
          <w:tcW w:w="2500" w:type="pct"/>
          <w:vAlign w:val="center"/>
        </w:tcPr>
        <w:p w:rsidR="00795D65" w:rsidRPr="00991C9F" w:rsidRDefault="00B2451F" w:rsidP="002B6634">
          <w:pPr>
            <w:jc w:val="right"/>
            <w:rPr>
              <w:lang w:val="lt-LT"/>
            </w:rPr>
          </w:pPr>
          <w:r>
            <w:rPr>
              <w:noProof/>
              <w:lang w:val="lt-LT" w:eastAsia="lt-LT"/>
            </w:rPr>
            <w:drawing>
              <wp:inline distT="0" distB="0" distL="0" distR="0" wp14:anchorId="0BD50329" wp14:editId="05E6E6AF">
                <wp:extent cx="1338580" cy="434340"/>
                <wp:effectExtent l="0" t="0" r="0" b="3810"/>
                <wp:docPr id="10" name="Picture 10" descr="C:\Users\BiruteGa\Documents\11_BLANKAI\Mediu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iruteGa\Documents\11_BLANKAI\Medium-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8580" cy="434340"/>
                        </a:xfrm>
                        <a:prstGeom prst="rect">
                          <a:avLst/>
                        </a:prstGeom>
                        <a:noFill/>
                        <a:ln>
                          <a:noFill/>
                        </a:ln>
                      </pic:spPr>
                    </pic:pic>
                  </a:graphicData>
                </a:graphic>
              </wp:inline>
            </w:drawing>
          </w:r>
        </w:p>
      </w:tc>
    </w:tr>
  </w:tbl>
  <w:p w:rsidR="00D758B5" w:rsidRDefault="00D758B5">
    <w:pPr>
      <w:pStyle w:val="Header"/>
      <w:pBdr>
        <w:bottom w:val="double" w:sz="6" w:space="1" w:color="auto"/>
      </w:pBdr>
      <w:rPr>
        <w:sz w:val="16"/>
      </w:rPr>
    </w:pPr>
  </w:p>
  <w:p w:rsidR="00D758B5" w:rsidRDefault="00D758B5">
    <w:pPr>
      <w:pStyle w:val="Header"/>
      <w:ind w:left="-57" w:right="-57"/>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66B0D"/>
    <w:multiLevelType w:val="hybridMultilevel"/>
    <w:tmpl w:val="1D0CC90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6C023A9"/>
    <w:multiLevelType w:val="hybridMultilevel"/>
    <w:tmpl w:val="3DFA25A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83"/>
    <w:rsid w:val="000124DA"/>
    <w:rsid w:val="0001547A"/>
    <w:rsid w:val="00016EA8"/>
    <w:rsid w:val="000250F5"/>
    <w:rsid w:val="00025CDB"/>
    <w:rsid w:val="00041AC5"/>
    <w:rsid w:val="00053997"/>
    <w:rsid w:val="0006201F"/>
    <w:rsid w:val="000664F2"/>
    <w:rsid w:val="00070C17"/>
    <w:rsid w:val="00075FD7"/>
    <w:rsid w:val="00084042"/>
    <w:rsid w:val="000849BD"/>
    <w:rsid w:val="00087978"/>
    <w:rsid w:val="0009494D"/>
    <w:rsid w:val="00097954"/>
    <w:rsid w:val="00097B85"/>
    <w:rsid w:val="000A134D"/>
    <w:rsid w:val="000A792F"/>
    <w:rsid w:val="000B4DA8"/>
    <w:rsid w:val="000B63F7"/>
    <w:rsid w:val="000C3B2A"/>
    <w:rsid w:val="000C6057"/>
    <w:rsid w:val="000C75AB"/>
    <w:rsid w:val="000D3E46"/>
    <w:rsid w:val="000E5B0C"/>
    <w:rsid w:val="000F24C4"/>
    <w:rsid w:val="000F660B"/>
    <w:rsid w:val="000F6DA4"/>
    <w:rsid w:val="00110B1B"/>
    <w:rsid w:val="00112970"/>
    <w:rsid w:val="00123BE4"/>
    <w:rsid w:val="0013447A"/>
    <w:rsid w:val="00134EC2"/>
    <w:rsid w:val="00136ACB"/>
    <w:rsid w:val="00162584"/>
    <w:rsid w:val="0017517E"/>
    <w:rsid w:val="001825D1"/>
    <w:rsid w:val="00182ADD"/>
    <w:rsid w:val="001870C1"/>
    <w:rsid w:val="00194D6C"/>
    <w:rsid w:val="001A2F0E"/>
    <w:rsid w:val="001A3E7B"/>
    <w:rsid w:val="001C4EBB"/>
    <w:rsid w:val="001C6A9F"/>
    <w:rsid w:val="001E5268"/>
    <w:rsid w:val="0020335B"/>
    <w:rsid w:val="00212824"/>
    <w:rsid w:val="002129ED"/>
    <w:rsid w:val="002145C8"/>
    <w:rsid w:val="002148B9"/>
    <w:rsid w:val="00215ED2"/>
    <w:rsid w:val="002252F2"/>
    <w:rsid w:val="00231ABB"/>
    <w:rsid w:val="002421E8"/>
    <w:rsid w:val="00257279"/>
    <w:rsid w:val="002601ED"/>
    <w:rsid w:val="00267DD8"/>
    <w:rsid w:val="00273456"/>
    <w:rsid w:val="00274CDA"/>
    <w:rsid w:val="002764F8"/>
    <w:rsid w:val="002878F8"/>
    <w:rsid w:val="00290E87"/>
    <w:rsid w:val="00295686"/>
    <w:rsid w:val="002A02D2"/>
    <w:rsid w:val="002A2BDF"/>
    <w:rsid w:val="002A4595"/>
    <w:rsid w:val="002B4FB7"/>
    <w:rsid w:val="002B55C1"/>
    <w:rsid w:val="002B6634"/>
    <w:rsid w:val="002C398D"/>
    <w:rsid w:val="002C71D7"/>
    <w:rsid w:val="002E30A2"/>
    <w:rsid w:val="002E74BA"/>
    <w:rsid w:val="002E7548"/>
    <w:rsid w:val="002F4EF0"/>
    <w:rsid w:val="002F5320"/>
    <w:rsid w:val="00306CA4"/>
    <w:rsid w:val="00306FDA"/>
    <w:rsid w:val="003125E5"/>
    <w:rsid w:val="00317478"/>
    <w:rsid w:val="003217FE"/>
    <w:rsid w:val="003241DF"/>
    <w:rsid w:val="003254FA"/>
    <w:rsid w:val="00343EDF"/>
    <w:rsid w:val="0034495D"/>
    <w:rsid w:val="003462D6"/>
    <w:rsid w:val="0034796D"/>
    <w:rsid w:val="0035173B"/>
    <w:rsid w:val="003550BE"/>
    <w:rsid w:val="00361783"/>
    <w:rsid w:val="00363314"/>
    <w:rsid w:val="003727AA"/>
    <w:rsid w:val="003819F8"/>
    <w:rsid w:val="00384C89"/>
    <w:rsid w:val="00390106"/>
    <w:rsid w:val="003A1769"/>
    <w:rsid w:val="003B60CE"/>
    <w:rsid w:val="003C3B58"/>
    <w:rsid w:val="003D30D0"/>
    <w:rsid w:val="003D793E"/>
    <w:rsid w:val="003E77B1"/>
    <w:rsid w:val="00405C3D"/>
    <w:rsid w:val="00413DEC"/>
    <w:rsid w:val="00415B04"/>
    <w:rsid w:val="00416725"/>
    <w:rsid w:val="004260E8"/>
    <w:rsid w:val="0043375C"/>
    <w:rsid w:val="00433D4C"/>
    <w:rsid w:val="00433D6A"/>
    <w:rsid w:val="00455F3D"/>
    <w:rsid w:val="00466838"/>
    <w:rsid w:val="0046772B"/>
    <w:rsid w:val="00483178"/>
    <w:rsid w:val="00485DCE"/>
    <w:rsid w:val="00497985"/>
    <w:rsid w:val="004A6306"/>
    <w:rsid w:val="004B46FF"/>
    <w:rsid w:val="004C44FE"/>
    <w:rsid w:val="004E2E32"/>
    <w:rsid w:val="004E5917"/>
    <w:rsid w:val="004F14A9"/>
    <w:rsid w:val="004F22B2"/>
    <w:rsid w:val="004F3E35"/>
    <w:rsid w:val="00500BB9"/>
    <w:rsid w:val="005222D5"/>
    <w:rsid w:val="00532FF7"/>
    <w:rsid w:val="005359B9"/>
    <w:rsid w:val="00550530"/>
    <w:rsid w:val="00560134"/>
    <w:rsid w:val="00562A5F"/>
    <w:rsid w:val="00565982"/>
    <w:rsid w:val="00565B94"/>
    <w:rsid w:val="00582308"/>
    <w:rsid w:val="00582A45"/>
    <w:rsid w:val="00592293"/>
    <w:rsid w:val="00595DBC"/>
    <w:rsid w:val="00597A10"/>
    <w:rsid w:val="005A067B"/>
    <w:rsid w:val="005A1800"/>
    <w:rsid w:val="005A2CB4"/>
    <w:rsid w:val="005C3B82"/>
    <w:rsid w:val="005C56B4"/>
    <w:rsid w:val="005E0E70"/>
    <w:rsid w:val="005E0FF1"/>
    <w:rsid w:val="005E2B5F"/>
    <w:rsid w:val="005F361D"/>
    <w:rsid w:val="00604B7F"/>
    <w:rsid w:val="00622495"/>
    <w:rsid w:val="00630ACE"/>
    <w:rsid w:val="00633120"/>
    <w:rsid w:val="00640CFD"/>
    <w:rsid w:val="0064574D"/>
    <w:rsid w:val="006465B2"/>
    <w:rsid w:val="00646679"/>
    <w:rsid w:val="00653C0D"/>
    <w:rsid w:val="00663F66"/>
    <w:rsid w:val="0066741F"/>
    <w:rsid w:val="00676936"/>
    <w:rsid w:val="00687C9B"/>
    <w:rsid w:val="00687F01"/>
    <w:rsid w:val="0069190B"/>
    <w:rsid w:val="006A1CBD"/>
    <w:rsid w:val="006B1EA0"/>
    <w:rsid w:val="006B2443"/>
    <w:rsid w:val="006C3858"/>
    <w:rsid w:val="006C44D7"/>
    <w:rsid w:val="006C63EA"/>
    <w:rsid w:val="006E13E9"/>
    <w:rsid w:val="006E149C"/>
    <w:rsid w:val="006F4F64"/>
    <w:rsid w:val="006F5D2E"/>
    <w:rsid w:val="006F7A96"/>
    <w:rsid w:val="0070082A"/>
    <w:rsid w:val="00705A32"/>
    <w:rsid w:val="0071327A"/>
    <w:rsid w:val="007178D2"/>
    <w:rsid w:val="007220BE"/>
    <w:rsid w:val="007321B3"/>
    <w:rsid w:val="0073561E"/>
    <w:rsid w:val="0074005D"/>
    <w:rsid w:val="00744F69"/>
    <w:rsid w:val="0076312D"/>
    <w:rsid w:val="0077259E"/>
    <w:rsid w:val="00774493"/>
    <w:rsid w:val="00780E28"/>
    <w:rsid w:val="00793716"/>
    <w:rsid w:val="0079439F"/>
    <w:rsid w:val="00795B88"/>
    <w:rsid w:val="00795D65"/>
    <w:rsid w:val="00796401"/>
    <w:rsid w:val="007A0437"/>
    <w:rsid w:val="007A3684"/>
    <w:rsid w:val="007B1E24"/>
    <w:rsid w:val="007B60CA"/>
    <w:rsid w:val="007C12AB"/>
    <w:rsid w:val="007C45FE"/>
    <w:rsid w:val="007E05AE"/>
    <w:rsid w:val="007F217F"/>
    <w:rsid w:val="007F74C2"/>
    <w:rsid w:val="007F7625"/>
    <w:rsid w:val="008027A8"/>
    <w:rsid w:val="0080379F"/>
    <w:rsid w:val="00805EA4"/>
    <w:rsid w:val="008062D5"/>
    <w:rsid w:val="00806748"/>
    <w:rsid w:val="00807090"/>
    <w:rsid w:val="00812013"/>
    <w:rsid w:val="00821C79"/>
    <w:rsid w:val="008256A5"/>
    <w:rsid w:val="00825EAA"/>
    <w:rsid w:val="008264F2"/>
    <w:rsid w:val="00830B94"/>
    <w:rsid w:val="008340A1"/>
    <w:rsid w:val="008363D8"/>
    <w:rsid w:val="008542E3"/>
    <w:rsid w:val="00870787"/>
    <w:rsid w:val="008773F2"/>
    <w:rsid w:val="00886A9E"/>
    <w:rsid w:val="008A55A8"/>
    <w:rsid w:val="008A7DB0"/>
    <w:rsid w:val="008B2FEB"/>
    <w:rsid w:val="008B5B28"/>
    <w:rsid w:val="008B625E"/>
    <w:rsid w:val="008C5AAC"/>
    <w:rsid w:val="008D4227"/>
    <w:rsid w:val="008D5DDC"/>
    <w:rsid w:val="008F7681"/>
    <w:rsid w:val="009002A8"/>
    <w:rsid w:val="00901B3A"/>
    <w:rsid w:val="009065B0"/>
    <w:rsid w:val="00910E57"/>
    <w:rsid w:val="00917858"/>
    <w:rsid w:val="00930189"/>
    <w:rsid w:val="00945DD1"/>
    <w:rsid w:val="00952F87"/>
    <w:rsid w:val="009650ED"/>
    <w:rsid w:val="00967C2B"/>
    <w:rsid w:val="00971BBE"/>
    <w:rsid w:val="0098025C"/>
    <w:rsid w:val="00981796"/>
    <w:rsid w:val="00987E72"/>
    <w:rsid w:val="00991C9F"/>
    <w:rsid w:val="009B5DFC"/>
    <w:rsid w:val="009C2EA0"/>
    <w:rsid w:val="009E214C"/>
    <w:rsid w:val="009F2327"/>
    <w:rsid w:val="009F4CCB"/>
    <w:rsid w:val="00A01916"/>
    <w:rsid w:val="00A032C7"/>
    <w:rsid w:val="00A03EA0"/>
    <w:rsid w:val="00A07B07"/>
    <w:rsid w:val="00A11ACD"/>
    <w:rsid w:val="00A21A29"/>
    <w:rsid w:val="00A32543"/>
    <w:rsid w:val="00A33337"/>
    <w:rsid w:val="00A43790"/>
    <w:rsid w:val="00A45A9F"/>
    <w:rsid w:val="00A4690F"/>
    <w:rsid w:val="00A47885"/>
    <w:rsid w:val="00A54068"/>
    <w:rsid w:val="00A708D0"/>
    <w:rsid w:val="00A825A4"/>
    <w:rsid w:val="00A93F96"/>
    <w:rsid w:val="00A95A13"/>
    <w:rsid w:val="00AA0AA1"/>
    <w:rsid w:val="00AA2278"/>
    <w:rsid w:val="00AA2D41"/>
    <w:rsid w:val="00AA6A56"/>
    <w:rsid w:val="00AB55A5"/>
    <w:rsid w:val="00AC57AB"/>
    <w:rsid w:val="00AD1E01"/>
    <w:rsid w:val="00AD298F"/>
    <w:rsid w:val="00B03AF6"/>
    <w:rsid w:val="00B04C0F"/>
    <w:rsid w:val="00B24193"/>
    <w:rsid w:val="00B2451F"/>
    <w:rsid w:val="00B277DA"/>
    <w:rsid w:val="00B412C0"/>
    <w:rsid w:val="00B4242F"/>
    <w:rsid w:val="00B44E6D"/>
    <w:rsid w:val="00B52317"/>
    <w:rsid w:val="00B567D2"/>
    <w:rsid w:val="00B568CE"/>
    <w:rsid w:val="00B57A7E"/>
    <w:rsid w:val="00B57CDA"/>
    <w:rsid w:val="00B6568D"/>
    <w:rsid w:val="00B720A2"/>
    <w:rsid w:val="00B74D9F"/>
    <w:rsid w:val="00B85896"/>
    <w:rsid w:val="00B95F73"/>
    <w:rsid w:val="00BA5120"/>
    <w:rsid w:val="00BB0B36"/>
    <w:rsid w:val="00BB2115"/>
    <w:rsid w:val="00BC1635"/>
    <w:rsid w:val="00BC1717"/>
    <w:rsid w:val="00BC51D3"/>
    <w:rsid w:val="00BC6282"/>
    <w:rsid w:val="00BE3CCF"/>
    <w:rsid w:val="00BE6FB3"/>
    <w:rsid w:val="00BF0F59"/>
    <w:rsid w:val="00BF1F93"/>
    <w:rsid w:val="00C049F1"/>
    <w:rsid w:val="00C13C77"/>
    <w:rsid w:val="00C16E77"/>
    <w:rsid w:val="00C17BBE"/>
    <w:rsid w:val="00C565B1"/>
    <w:rsid w:val="00C61CFB"/>
    <w:rsid w:val="00C63017"/>
    <w:rsid w:val="00C63191"/>
    <w:rsid w:val="00C66AB6"/>
    <w:rsid w:val="00C72D36"/>
    <w:rsid w:val="00C73F49"/>
    <w:rsid w:val="00C80C73"/>
    <w:rsid w:val="00C87950"/>
    <w:rsid w:val="00C91975"/>
    <w:rsid w:val="00C92651"/>
    <w:rsid w:val="00C941B7"/>
    <w:rsid w:val="00CA706E"/>
    <w:rsid w:val="00CB371B"/>
    <w:rsid w:val="00CB4487"/>
    <w:rsid w:val="00CB7339"/>
    <w:rsid w:val="00CC486F"/>
    <w:rsid w:val="00CC7CC2"/>
    <w:rsid w:val="00CD1BC8"/>
    <w:rsid w:val="00CF286D"/>
    <w:rsid w:val="00CF4B99"/>
    <w:rsid w:val="00D034BD"/>
    <w:rsid w:val="00D1200E"/>
    <w:rsid w:val="00D21327"/>
    <w:rsid w:val="00D42267"/>
    <w:rsid w:val="00D4638F"/>
    <w:rsid w:val="00D54AE3"/>
    <w:rsid w:val="00D553EB"/>
    <w:rsid w:val="00D555F7"/>
    <w:rsid w:val="00D64C94"/>
    <w:rsid w:val="00D72607"/>
    <w:rsid w:val="00D73151"/>
    <w:rsid w:val="00D758B5"/>
    <w:rsid w:val="00D8021D"/>
    <w:rsid w:val="00D8772E"/>
    <w:rsid w:val="00D96265"/>
    <w:rsid w:val="00DA6336"/>
    <w:rsid w:val="00DA7A50"/>
    <w:rsid w:val="00DA7DFE"/>
    <w:rsid w:val="00DB171D"/>
    <w:rsid w:val="00DC0C32"/>
    <w:rsid w:val="00DC562B"/>
    <w:rsid w:val="00DC7515"/>
    <w:rsid w:val="00DD55A4"/>
    <w:rsid w:val="00DF3776"/>
    <w:rsid w:val="00E011F8"/>
    <w:rsid w:val="00E1061F"/>
    <w:rsid w:val="00E14798"/>
    <w:rsid w:val="00E310DE"/>
    <w:rsid w:val="00E460CC"/>
    <w:rsid w:val="00E53FEF"/>
    <w:rsid w:val="00E55FB3"/>
    <w:rsid w:val="00E62EC2"/>
    <w:rsid w:val="00E7408A"/>
    <w:rsid w:val="00E82C08"/>
    <w:rsid w:val="00E82EBC"/>
    <w:rsid w:val="00E87031"/>
    <w:rsid w:val="00E92063"/>
    <w:rsid w:val="00E92498"/>
    <w:rsid w:val="00EA3135"/>
    <w:rsid w:val="00EA5D4E"/>
    <w:rsid w:val="00EB791A"/>
    <w:rsid w:val="00ED6E71"/>
    <w:rsid w:val="00EF2641"/>
    <w:rsid w:val="00F01565"/>
    <w:rsid w:val="00F12092"/>
    <w:rsid w:val="00F15330"/>
    <w:rsid w:val="00F36D74"/>
    <w:rsid w:val="00F467D6"/>
    <w:rsid w:val="00F653D0"/>
    <w:rsid w:val="00F65B7F"/>
    <w:rsid w:val="00F67EA7"/>
    <w:rsid w:val="00F70701"/>
    <w:rsid w:val="00F75726"/>
    <w:rsid w:val="00F81305"/>
    <w:rsid w:val="00F950C0"/>
    <w:rsid w:val="00F97F3A"/>
    <w:rsid w:val="00FC6FD7"/>
    <w:rsid w:val="00FC7CEF"/>
    <w:rsid w:val="00FD0C03"/>
    <w:rsid w:val="00FE50D9"/>
    <w:rsid w:val="00FF39C0"/>
    <w:rsid w:val="00FF64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F251B3-2542-4DFB-B20A-95BB20F8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2D2"/>
    <w:rPr>
      <w:rFonts w:ascii="Arial" w:hAnsi="Arial"/>
      <w:lang w:val="en-GB"/>
    </w:rPr>
  </w:style>
  <w:style w:type="paragraph" w:styleId="Heading1">
    <w:name w:val="heading 1"/>
    <w:basedOn w:val="Normal"/>
    <w:next w:val="Normal"/>
    <w:qFormat/>
    <w:rsid w:val="002A02D2"/>
    <w:pPr>
      <w:keepNext/>
      <w:ind w:right="-85"/>
      <w:jc w:val="right"/>
      <w:outlineLvl w:val="0"/>
    </w:pPr>
    <w:rPr>
      <w:rFonts w:ascii="AvantGarde Bk BT" w:hAnsi="AvantGarde Bk BT"/>
      <w:sz w:val="35"/>
    </w:rPr>
  </w:style>
  <w:style w:type="paragraph" w:styleId="Heading2">
    <w:name w:val="heading 2"/>
    <w:basedOn w:val="Normal"/>
    <w:next w:val="Normal"/>
    <w:qFormat/>
    <w:rsid w:val="002A02D2"/>
    <w:pPr>
      <w:keepNext/>
      <w:ind w:right="-113"/>
      <w:outlineLvl w:val="1"/>
    </w:pPr>
    <w:rPr>
      <w:i/>
      <w:sz w:val="18"/>
      <w:lang w:val="en-US"/>
    </w:rPr>
  </w:style>
  <w:style w:type="paragraph" w:styleId="Heading3">
    <w:name w:val="heading 3"/>
    <w:basedOn w:val="Normal"/>
    <w:next w:val="Normal"/>
    <w:qFormat/>
    <w:rsid w:val="002A02D2"/>
    <w:pPr>
      <w:keepNext/>
      <w:jc w:val="right"/>
      <w:outlineLvl w:val="2"/>
    </w:pPr>
    <w:rPr>
      <w:i/>
      <w:sz w:val="17"/>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02D2"/>
    <w:pPr>
      <w:tabs>
        <w:tab w:val="center" w:pos="4153"/>
        <w:tab w:val="right" w:pos="8306"/>
      </w:tabs>
    </w:pPr>
  </w:style>
  <w:style w:type="paragraph" w:styleId="Footer">
    <w:name w:val="footer"/>
    <w:basedOn w:val="Normal"/>
    <w:rsid w:val="002A02D2"/>
    <w:pPr>
      <w:tabs>
        <w:tab w:val="center" w:pos="4153"/>
        <w:tab w:val="right" w:pos="8306"/>
      </w:tabs>
    </w:pPr>
  </w:style>
  <w:style w:type="character" w:styleId="PageNumber">
    <w:name w:val="page number"/>
    <w:rsid w:val="002A02D2"/>
    <w:rPr>
      <w:rFonts w:ascii="Arial" w:hAnsi="Arial"/>
      <w:dstrike w:val="0"/>
      <w:color w:val="auto"/>
      <w:vertAlign w:val="baseline"/>
    </w:rPr>
  </w:style>
  <w:style w:type="character" w:styleId="Hyperlink">
    <w:name w:val="Hyperlink"/>
    <w:rsid w:val="002A02D2"/>
    <w:rPr>
      <w:color w:val="0000FF"/>
      <w:u w:val="single"/>
    </w:rPr>
  </w:style>
  <w:style w:type="paragraph" w:customStyle="1" w:styleId="Pasiteirauti">
    <w:name w:val="Pasiteirauti"/>
    <w:basedOn w:val="Normal"/>
    <w:rsid w:val="002A02D2"/>
    <w:pPr>
      <w:outlineLvl w:val="1"/>
    </w:pPr>
    <w:rPr>
      <w:sz w:val="19"/>
      <w:lang w:val="lt-LT"/>
    </w:rPr>
  </w:style>
  <w:style w:type="paragraph" w:customStyle="1" w:styleId="Nrdata">
    <w:name w:val="Nr_data"/>
    <w:basedOn w:val="Normal"/>
    <w:rsid w:val="002A02D2"/>
    <w:pPr>
      <w:jc w:val="right"/>
    </w:pPr>
    <w:rPr>
      <w:sz w:val="22"/>
    </w:rPr>
  </w:style>
  <w:style w:type="paragraph" w:customStyle="1" w:styleId="Antraste">
    <w:name w:val="Antraste"/>
    <w:basedOn w:val="Heading2"/>
    <w:rsid w:val="002A02D2"/>
    <w:pPr>
      <w:keepNext w:val="0"/>
      <w:ind w:right="0"/>
      <w:jc w:val="center"/>
    </w:pPr>
    <w:rPr>
      <w:b/>
      <w:i w:val="0"/>
      <w:caps/>
      <w:sz w:val="24"/>
    </w:rPr>
  </w:style>
  <w:style w:type="paragraph" w:customStyle="1" w:styleId="Paantraste">
    <w:name w:val="Paantraste"/>
    <w:basedOn w:val="Antraste"/>
    <w:rsid w:val="002A02D2"/>
    <w:rPr>
      <w:sz w:val="20"/>
    </w:rPr>
  </w:style>
  <w:style w:type="paragraph" w:customStyle="1" w:styleId="Galva">
    <w:name w:val="Galva"/>
    <w:basedOn w:val="Normal"/>
    <w:rsid w:val="002A02D2"/>
    <w:pPr>
      <w:spacing w:before="40" w:after="40"/>
      <w:ind w:left="-57" w:right="-57"/>
      <w:jc w:val="center"/>
    </w:pPr>
    <w:rPr>
      <w:sz w:val="19"/>
      <w:lang w:val="lt-LT"/>
    </w:rPr>
  </w:style>
  <w:style w:type="paragraph" w:styleId="BodyText2">
    <w:name w:val="Body Text 2"/>
    <w:basedOn w:val="Normal"/>
    <w:rsid w:val="002A02D2"/>
    <w:pPr>
      <w:widowControl w:val="0"/>
      <w:spacing w:before="40" w:after="20"/>
      <w:jc w:val="center"/>
    </w:pPr>
    <w:rPr>
      <w:sz w:val="22"/>
      <w:lang w:val="en-AU"/>
    </w:rPr>
  </w:style>
  <w:style w:type="paragraph" w:customStyle="1" w:styleId="0atitr">
    <w:name w:val="0_atitr"/>
    <w:basedOn w:val="Normal"/>
    <w:rsid w:val="002A02D2"/>
    <w:pPr>
      <w:spacing w:before="20" w:after="20"/>
      <w:ind w:left="113" w:hanging="113"/>
    </w:pPr>
    <w:rPr>
      <w:sz w:val="19"/>
      <w:lang w:val="lt-LT"/>
    </w:rPr>
  </w:style>
  <w:style w:type="paragraph" w:customStyle="1" w:styleId="1atitr">
    <w:name w:val="1_atitr"/>
    <w:basedOn w:val="0atitr"/>
    <w:rsid w:val="002A02D2"/>
    <w:pPr>
      <w:ind w:left="226"/>
    </w:pPr>
  </w:style>
  <w:style w:type="paragraph" w:customStyle="1" w:styleId="2atitr">
    <w:name w:val="2_atitr"/>
    <w:basedOn w:val="1atitr"/>
    <w:rsid w:val="002A02D2"/>
    <w:pPr>
      <w:ind w:left="340"/>
    </w:pPr>
  </w:style>
  <w:style w:type="paragraph" w:customStyle="1" w:styleId="skaic">
    <w:name w:val="skaic"/>
    <w:basedOn w:val="Normal"/>
    <w:rsid w:val="002A02D2"/>
    <w:pPr>
      <w:spacing w:before="20" w:after="20"/>
      <w:ind w:right="284"/>
      <w:jc w:val="right"/>
    </w:pPr>
    <w:rPr>
      <w:sz w:val="19"/>
      <w:lang w:val="lt-LT"/>
    </w:rPr>
  </w:style>
  <w:style w:type="paragraph" w:customStyle="1" w:styleId="Pagrtekstas">
    <w:name w:val="Pagr_tekstas"/>
    <w:basedOn w:val="Normal"/>
    <w:rsid w:val="002A02D2"/>
    <w:pPr>
      <w:ind w:firstLine="720"/>
      <w:jc w:val="both"/>
    </w:pPr>
  </w:style>
  <w:style w:type="paragraph" w:customStyle="1" w:styleId="Lentelespav">
    <w:name w:val="Lenteles pav"/>
    <w:basedOn w:val="Paantraste"/>
    <w:rsid w:val="002A02D2"/>
    <w:rPr>
      <w:caps w:val="0"/>
      <w:lang w:val="en-GB"/>
    </w:rPr>
  </w:style>
  <w:style w:type="paragraph" w:customStyle="1" w:styleId="Parasas">
    <w:name w:val="Parasas"/>
    <w:basedOn w:val="Normal"/>
    <w:rsid w:val="002A02D2"/>
    <w:rPr>
      <w:lang w:val="lt-LT"/>
    </w:rPr>
  </w:style>
  <w:style w:type="paragraph" w:customStyle="1" w:styleId="Pranesimas">
    <w:name w:val="Pranesimas"/>
    <w:basedOn w:val="Normal"/>
    <w:rsid w:val="002A02D2"/>
    <w:rPr>
      <w:sz w:val="12"/>
      <w:lang w:val="lt-LT"/>
    </w:rPr>
  </w:style>
  <w:style w:type="paragraph" w:customStyle="1" w:styleId="Saltinis">
    <w:name w:val="Saltinis"/>
    <w:basedOn w:val="Normal"/>
    <w:rsid w:val="002A02D2"/>
    <w:rPr>
      <w:sz w:val="18"/>
    </w:rPr>
  </w:style>
  <w:style w:type="paragraph" w:styleId="BalloonText">
    <w:name w:val="Balloon Text"/>
    <w:basedOn w:val="Normal"/>
    <w:link w:val="BalloonTextChar"/>
    <w:rsid w:val="00CB371B"/>
    <w:rPr>
      <w:rFonts w:ascii="Tahoma" w:hAnsi="Tahoma"/>
      <w:sz w:val="16"/>
      <w:szCs w:val="16"/>
    </w:rPr>
  </w:style>
  <w:style w:type="character" w:customStyle="1" w:styleId="BalloonTextChar">
    <w:name w:val="Balloon Text Char"/>
    <w:link w:val="BalloonText"/>
    <w:rsid w:val="00CB371B"/>
    <w:rPr>
      <w:rFonts w:ascii="Tahoma" w:hAnsi="Tahoma" w:cs="Tahoma"/>
      <w:sz w:val="16"/>
      <w:szCs w:val="16"/>
      <w:lang w:val="en-GB" w:eastAsia="en-US"/>
    </w:rPr>
  </w:style>
  <w:style w:type="character" w:styleId="FollowedHyperlink">
    <w:name w:val="FollowedHyperlink"/>
    <w:rsid w:val="00D8021D"/>
    <w:rPr>
      <w:color w:val="800080"/>
      <w:u w:val="single"/>
    </w:rPr>
  </w:style>
  <w:style w:type="character" w:customStyle="1" w:styleId="TextDiagrama">
    <w:name w:val="Text Diagrama"/>
    <w:link w:val="Text"/>
    <w:locked/>
    <w:rsid w:val="00E92498"/>
    <w:rPr>
      <w:rFonts w:ascii="Arial" w:hAnsi="Arial" w:cs="Arial"/>
      <w:sz w:val="18"/>
    </w:rPr>
  </w:style>
  <w:style w:type="paragraph" w:customStyle="1" w:styleId="Text">
    <w:name w:val="Text"/>
    <w:basedOn w:val="Normal"/>
    <w:link w:val="TextDiagrama"/>
    <w:rsid w:val="00E92498"/>
    <w:pPr>
      <w:spacing w:line="280" w:lineRule="atLeast"/>
      <w:ind w:firstLine="284"/>
      <w:jc w:val="both"/>
    </w:pPr>
    <w:rPr>
      <w:rFonts w:cs="Arial"/>
      <w:sz w:val="18"/>
      <w:lang w:val="en-US"/>
    </w:rPr>
  </w:style>
  <w:style w:type="paragraph" w:customStyle="1" w:styleId="term-definition">
    <w:name w:val="term-definition"/>
    <w:basedOn w:val="Normal"/>
    <w:rsid w:val="00E92498"/>
    <w:pPr>
      <w:spacing w:before="100" w:beforeAutospacing="1" w:after="100" w:afterAutospacing="1"/>
    </w:pPr>
    <w:rPr>
      <w:rFonts w:ascii="Times New Roman" w:hAnsi="Times New Roman"/>
      <w:sz w:val="24"/>
      <w:szCs w:val="24"/>
      <w:lang w:val="lt-LT" w:eastAsia="lt-LT"/>
    </w:rPr>
  </w:style>
  <w:style w:type="character" w:customStyle="1" w:styleId="term-name">
    <w:name w:val="term-name"/>
    <w:basedOn w:val="DefaultParagraphFont"/>
    <w:rsid w:val="00E92498"/>
  </w:style>
  <w:style w:type="character" w:customStyle="1" w:styleId="term-description">
    <w:name w:val="term-description"/>
    <w:basedOn w:val="DefaultParagraphFont"/>
    <w:rsid w:val="00E92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07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yperlink" Target="https://osp.stat.gov.lt/statistikos-terminu-zodyna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ec.europa.eu/eurostat/documents/4031688/9394165/KS-02-18-142-LT-N.pdf/2c6787ed-aaf1-4f30-bad1-aa65bf1e964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sp.stat.gov.lt/vidaus-prekyb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lina.ramaskeviciene@stat.gov.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naRa\AppData\Local\Temp\Temp1_Dokumentu_blankai.zip\Su_Tikime_laisve_30_logotipu\Informacinis_pranesimas.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127819548872182E-2"/>
          <c:y val="4.0404040404040407E-2"/>
          <c:w val="0.92030075187969929"/>
          <c:h val="0.75757575757575757"/>
        </c:manualLayout>
      </c:layout>
      <c:lineChart>
        <c:grouping val="standard"/>
        <c:varyColors val="0"/>
        <c:ser>
          <c:idx val="0"/>
          <c:order val="0"/>
          <c:tx>
            <c:strRef>
              <c:f>Sheet1!$A$2</c:f>
              <c:strCache>
                <c:ptCount val="1"/>
                <c:pt idx="0">
                  <c:v>Nepašalinus sezono ir darbo dienų skaičiaus įtakos</c:v>
                </c:pt>
              </c:strCache>
            </c:strRef>
          </c:tx>
          <c:spPr>
            <a:ln w="12701">
              <a:solidFill>
                <a:srgbClr val="FAB4B9"/>
              </a:solidFill>
              <a:prstDash val="solid"/>
            </a:ln>
          </c:spPr>
          <c:marker>
            <c:symbol val="none"/>
          </c:marker>
          <c:cat>
            <c:numRef>
              <c:f>Sheet1!$B$1:$BO$1</c:f>
              <c:numCache>
                <c:formatCode>General</c:formatCode>
                <c:ptCount val="66"/>
                <c:pt idx="0">
                  <c:v>2016</c:v>
                </c:pt>
                <c:pt idx="12">
                  <c:v>2017</c:v>
                </c:pt>
                <c:pt idx="24">
                  <c:v>2018</c:v>
                </c:pt>
                <c:pt idx="36">
                  <c:v>2019</c:v>
                </c:pt>
                <c:pt idx="48">
                  <c:v>2020</c:v>
                </c:pt>
                <c:pt idx="60">
                  <c:v>2021</c:v>
                </c:pt>
              </c:numCache>
            </c:numRef>
          </c:cat>
          <c:val>
            <c:numRef>
              <c:f>Sheet1!$B$2:$BO$2</c:f>
              <c:numCache>
                <c:formatCode>General</c:formatCode>
                <c:ptCount val="66"/>
                <c:pt idx="0">
                  <c:v>91.1</c:v>
                </c:pt>
                <c:pt idx="1">
                  <c:v>89.3</c:v>
                </c:pt>
                <c:pt idx="2">
                  <c:v>100</c:v>
                </c:pt>
                <c:pt idx="3">
                  <c:v>101.7</c:v>
                </c:pt>
                <c:pt idx="4">
                  <c:v>107.7</c:v>
                </c:pt>
                <c:pt idx="5">
                  <c:v>108.7</c:v>
                </c:pt>
                <c:pt idx="6">
                  <c:v>112.3</c:v>
                </c:pt>
                <c:pt idx="7">
                  <c:v>116.7</c:v>
                </c:pt>
                <c:pt idx="8">
                  <c:v>108.9</c:v>
                </c:pt>
                <c:pt idx="9">
                  <c:v>111.5</c:v>
                </c:pt>
                <c:pt idx="10">
                  <c:v>106.3</c:v>
                </c:pt>
                <c:pt idx="11">
                  <c:v>127.4</c:v>
                </c:pt>
                <c:pt idx="12">
                  <c:v>100</c:v>
                </c:pt>
                <c:pt idx="13">
                  <c:v>93.9</c:v>
                </c:pt>
                <c:pt idx="14">
                  <c:v>106.6</c:v>
                </c:pt>
                <c:pt idx="15">
                  <c:v>105.5</c:v>
                </c:pt>
                <c:pt idx="16">
                  <c:v>114.9</c:v>
                </c:pt>
                <c:pt idx="17">
                  <c:v>112.6</c:v>
                </c:pt>
                <c:pt idx="18">
                  <c:v>115.8</c:v>
                </c:pt>
                <c:pt idx="19">
                  <c:v>120.1</c:v>
                </c:pt>
                <c:pt idx="20">
                  <c:v>111</c:v>
                </c:pt>
                <c:pt idx="21">
                  <c:v>113.7</c:v>
                </c:pt>
                <c:pt idx="22">
                  <c:v>111.1</c:v>
                </c:pt>
                <c:pt idx="23">
                  <c:v>132.80000000000001</c:v>
                </c:pt>
                <c:pt idx="24">
                  <c:v>105.4</c:v>
                </c:pt>
                <c:pt idx="25">
                  <c:v>96.4</c:v>
                </c:pt>
                <c:pt idx="26">
                  <c:v>114.4</c:v>
                </c:pt>
                <c:pt idx="27">
                  <c:v>111.1</c:v>
                </c:pt>
                <c:pt idx="28">
                  <c:v>123.1</c:v>
                </c:pt>
                <c:pt idx="29">
                  <c:v>121.3</c:v>
                </c:pt>
                <c:pt idx="30">
                  <c:v>124.6</c:v>
                </c:pt>
                <c:pt idx="31">
                  <c:v>129.69999999999999</c:v>
                </c:pt>
                <c:pt idx="32">
                  <c:v>118.3</c:v>
                </c:pt>
                <c:pt idx="33">
                  <c:v>124</c:v>
                </c:pt>
                <c:pt idx="34">
                  <c:v>119.1</c:v>
                </c:pt>
                <c:pt idx="35">
                  <c:v>137.69999999999999</c:v>
                </c:pt>
                <c:pt idx="36">
                  <c:v>110.7</c:v>
                </c:pt>
                <c:pt idx="37">
                  <c:v>104.6</c:v>
                </c:pt>
                <c:pt idx="38">
                  <c:v>118.9</c:v>
                </c:pt>
                <c:pt idx="39">
                  <c:v>127</c:v>
                </c:pt>
                <c:pt idx="40">
                  <c:v>127.3</c:v>
                </c:pt>
                <c:pt idx="41">
                  <c:v>125.9</c:v>
                </c:pt>
                <c:pt idx="42">
                  <c:v>133.19999999999999</c:v>
                </c:pt>
                <c:pt idx="43">
                  <c:v>133.80000000000001</c:v>
                </c:pt>
                <c:pt idx="44">
                  <c:v>124.1</c:v>
                </c:pt>
                <c:pt idx="45">
                  <c:v>128.69999999999999</c:v>
                </c:pt>
                <c:pt idx="46">
                  <c:v>123.8</c:v>
                </c:pt>
                <c:pt idx="47">
                  <c:v>143.4</c:v>
                </c:pt>
                <c:pt idx="48">
                  <c:v>116.5</c:v>
                </c:pt>
                <c:pt idx="49">
                  <c:v>114.7</c:v>
                </c:pt>
                <c:pt idx="50">
                  <c:v>112.2</c:v>
                </c:pt>
                <c:pt idx="51">
                  <c:v>105</c:v>
                </c:pt>
                <c:pt idx="52">
                  <c:v>126.5</c:v>
                </c:pt>
                <c:pt idx="53">
                  <c:v>134.1</c:v>
                </c:pt>
                <c:pt idx="54">
                  <c:v>142.5</c:v>
                </c:pt>
                <c:pt idx="55">
                  <c:v>142.4</c:v>
                </c:pt>
                <c:pt idx="56">
                  <c:v>134.19999999999999</c:v>
                </c:pt>
                <c:pt idx="57">
                  <c:v>138.69999999999999</c:v>
                </c:pt>
                <c:pt idx="58">
                  <c:v>132.30000000000001</c:v>
                </c:pt>
                <c:pt idx="59">
                  <c:v>145.1</c:v>
                </c:pt>
                <c:pt idx="60">
                  <c:v>110.1</c:v>
                </c:pt>
                <c:pt idx="61">
                  <c:v>111.3</c:v>
                </c:pt>
                <c:pt idx="62">
                  <c:v>136.4</c:v>
                </c:pt>
                <c:pt idx="63">
                  <c:v>142.9</c:v>
                </c:pt>
                <c:pt idx="64">
                  <c:v>151.1</c:v>
                </c:pt>
                <c:pt idx="65">
                  <c:v>156.19999999999999</c:v>
                </c:pt>
              </c:numCache>
            </c:numRef>
          </c:val>
          <c:smooth val="0"/>
          <c:extLst>
            <c:ext xmlns:c16="http://schemas.microsoft.com/office/drawing/2014/chart" uri="{C3380CC4-5D6E-409C-BE32-E72D297353CC}">
              <c16:uniqueId val="{00000000-4046-4E73-87C9-C7985AA436B4}"/>
            </c:ext>
          </c:extLst>
        </c:ser>
        <c:ser>
          <c:idx val="2"/>
          <c:order val="1"/>
          <c:tx>
            <c:strRef>
              <c:f>Sheet1!$A$3</c:f>
              <c:strCache>
                <c:ptCount val="1"/>
                <c:pt idx="0">
                  <c:v>Pašalinus sezono ir darbo dienų skaičiaus įtaką</c:v>
                </c:pt>
              </c:strCache>
            </c:strRef>
          </c:tx>
          <c:spPr>
            <a:ln w="25402">
              <a:solidFill>
                <a:srgbClr val="E66482"/>
              </a:solidFill>
              <a:prstDash val="solid"/>
            </a:ln>
          </c:spPr>
          <c:marker>
            <c:symbol val="none"/>
          </c:marker>
          <c:cat>
            <c:numRef>
              <c:f>Sheet1!$B$1:$BO$1</c:f>
              <c:numCache>
                <c:formatCode>General</c:formatCode>
                <c:ptCount val="66"/>
                <c:pt idx="0">
                  <c:v>2016</c:v>
                </c:pt>
                <c:pt idx="12">
                  <c:v>2017</c:v>
                </c:pt>
                <c:pt idx="24">
                  <c:v>2018</c:v>
                </c:pt>
                <c:pt idx="36">
                  <c:v>2019</c:v>
                </c:pt>
                <c:pt idx="48">
                  <c:v>2020</c:v>
                </c:pt>
                <c:pt idx="60">
                  <c:v>2021</c:v>
                </c:pt>
              </c:numCache>
            </c:numRef>
          </c:cat>
          <c:val>
            <c:numRef>
              <c:f>Sheet1!$B$3:$BO$3</c:f>
              <c:numCache>
                <c:formatCode>General</c:formatCode>
                <c:ptCount val="66"/>
                <c:pt idx="0">
                  <c:v>102.8</c:v>
                </c:pt>
                <c:pt idx="1">
                  <c:v>103.6</c:v>
                </c:pt>
                <c:pt idx="2">
                  <c:v>103.4</c:v>
                </c:pt>
                <c:pt idx="3">
                  <c:v>105.4</c:v>
                </c:pt>
                <c:pt idx="4">
                  <c:v>105.1</c:v>
                </c:pt>
                <c:pt idx="5">
                  <c:v>107</c:v>
                </c:pt>
                <c:pt idx="6">
                  <c:v>107.1</c:v>
                </c:pt>
                <c:pt idx="7">
                  <c:v>107.5</c:v>
                </c:pt>
                <c:pt idx="8">
                  <c:v>108.7</c:v>
                </c:pt>
                <c:pt idx="9">
                  <c:v>110.1</c:v>
                </c:pt>
                <c:pt idx="10">
                  <c:v>108.5</c:v>
                </c:pt>
                <c:pt idx="11">
                  <c:v>109.3</c:v>
                </c:pt>
                <c:pt idx="12">
                  <c:v>110.4</c:v>
                </c:pt>
                <c:pt idx="13">
                  <c:v>110.8</c:v>
                </c:pt>
                <c:pt idx="14">
                  <c:v>109.2</c:v>
                </c:pt>
                <c:pt idx="15">
                  <c:v>110.6</c:v>
                </c:pt>
                <c:pt idx="16">
                  <c:v>110.9</c:v>
                </c:pt>
                <c:pt idx="17">
                  <c:v>110</c:v>
                </c:pt>
                <c:pt idx="18">
                  <c:v>110.6</c:v>
                </c:pt>
                <c:pt idx="19">
                  <c:v>111</c:v>
                </c:pt>
                <c:pt idx="20">
                  <c:v>111.6</c:v>
                </c:pt>
                <c:pt idx="21">
                  <c:v>111.9</c:v>
                </c:pt>
                <c:pt idx="22">
                  <c:v>113.9</c:v>
                </c:pt>
                <c:pt idx="23">
                  <c:v>115.3</c:v>
                </c:pt>
                <c:pt idx="24">
                  <c:v>115.8</c:v>
                </c:pt>
                <c:pt idx="25">
                  <c:v>114.2</c:v>
                </c:pt>
                <c:pt idx="26">
                  <c:v>117.4</c:v>
                </c:pt>
                <c:pt idx="27">
                  <c:v>116.4</c:v>
                </c:pt>
                <c:pt idx="28">
                  <c:v>119.4</c:v>
                </c:pt>
                <c:pt idx="29">
                  <c:v>118.5</c:v>
                </c:pt>
                <c:pt idx="30">
                  <c:v>118.8</c:v>
                </c:pt>
                <c:pt idx="31">
                  <c:v>120.2</c:v>
                </c:pt>
                <c:pt idx="32">
                  <c:v>120.2</c:v>
                </c:pt>
                <c:pt idx="33">
                  <c:v>120.8</c:v>
                </c:pt>
                <c:pt idx="34">
                  <c:v>121.3</c:v>
                </c:pt>
                <c:pt idx="35">
                  <c:v>122</c:v>
                </c:pt>
                <c:pt idx="36">
                  <c:v>121.7</c:v>
                </c:pt>
                <c:pt idx="37">
                  <c:v>122.3</c:v>
                </c:pt>
                <c:pt idx="38">
                  <c:v>123.4</c:v>
                </c:pt>
                <c:pt idx="39">
                  <c:v>131.19999999999999</c:v>
                </c:pt>
                <c:pt idx="40">
                  <c:v>123.7</c:v>
                </c:pt>
                <c:pt idx="41">
                  <c:v>124.9</c:v>
                </c:pt>
                <c:pt idx="42">
                  <c:v>124.6</c:v>
                </c:pt>
                <c:pt idx="43" formatCode="0.0">
                  <c:v>124.3</c:v>
                </c:pt>
                <c:pt idx="44" formatCode="0.0">
                  <c:v>125.8</c:v>
                </c:pt>
                <c:pt idx="45">
                  <c:v>125.3</c:v>
                </c:pt>
                <c:pt idx="46">
                  <c:v>126.8</c:v>
                </c:pt>
                <c:pt idx="47">
                  <c:v>127.5</c:v>
                </c:pt>
                <c:pt idx="48">
                  <c:v>128.19999999999999</c:v>
                </c:pt>
                <c:pt idx="49">
                  <c:v>130.5</c:v>
                </c:pt>
                <c:pt idx="50">
                  <c:v>116.2</c:v>
                </c:pt>
                <c:pt idx="51">
                  <c:v>108</c:v>
                </c:pt>
                <c:pt idx="52">
                  <c:v>124.7</c:v>
                </c:pt>
                <c:pt idx="53">
                  <c:v>132.80000000000001</c:v>
                </c:pt>
                <c:pt idx="54">
                  <c:v>133.4</c:v>
                </c:pt>
                <c:pt idx="55">
                  <c:v>134.19999999999999</c:v>
                </c:pt>
                <c:pt idx="56">
                  <c:v>134</c:v>
                </c:pt>
                <c:pt idx="57">
                  <c:v>136</c:v>
                </c:pt>
                <c:pt idx="58">
                  <c:v>134.5</c:v>
                </c:pt>
                <c:pt idx="59">
                  <c:v>127.7</c:v>
                </c:pt>
                <c:pt idx="60">
                  <c:v>121.2</c:v>
                </c:pt>
                <c:pt idx="61">
                  <c:v>128.4</c:v>
                </c:pt>
                <c:pt idx="62">
                  <c:v>139.19999999999999</c:v>
                </c:pt>
                <c:pt idx="63">
                  <c:v>145.1</c:v>
                </c:pt>
                <c:pt idx="64">
                  <c:v>148.6</c:v>
                </c:pt>
                <c:pt idx="65">
                  <c:v>151.5</c:v>
                </c:pt>
              </c:numCache>
            </c:numRef>
          </c:val>
          <c:smooth val="0"/>
          <c:extLst>
            <c:ext xmlns:c16="http://schemas.microsoft.com/office/drawing/2014/chart" uri="{C3380CC4-5D6E-409C-BE32-E72D297353CC}">
              <c16:uniqueId val="{00000001-4046-4E73-87C9-C7985AA436B4}"/>
            </c:ext>
          </c:extLst>
        </c:ser>
        <c:dLbls>
          <c:showLegendKey val="0"/>
          <c:showVal val="0"/>
          <c:showCatName val="0"/>
          <c:showSerName val="0"/>
          <c:showPercent val="0"/>
          <c:showBubbleSize val="0"/>
        </c:dLbls>
        <c:smooth val="0"/>
        <c:axId val="207905536"/>
        <c:axId val="207907072"/>
      </c:lineChart>
      <c:catAx>
        <c:axId val="2079055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lt-LT"/>
          </a:p>
        </c:txPr>
        <c:crossAx val="207907072"/>
        <c:crosses val="autoZero"/>
        <c:auto val="1"/>
        <c:lblAlgn val="ctr"/>
        <c:lblOffset val="100"/>
        <c:tickLblSkip val="3"/>
        <c:tickMarkSkip val="12"/>
        <c:noMultiLvlLbl val="0"/>
      </c:catAx>
      <c:valAx>
        <c:axId val="207907072"/>
        <c:scaling>
          <c:orientation val="minMax"/>
          <c:min val="70"/>
        </c:scaling>
        <c:delete val="0"/>
        <c:axPos val="l"/>
        <c:majorGridlines>
          <c:spPr>
            <a:ln w="3175">
              <a:solidFill>
                <a:srgbClr val="808080"/>
              </a:solidFill>
              <a:prstDash val="lgDash"/>
            </a:ln>
          </c:spPr>
        </c:majorGridlines>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lt-LT"/>
          </a:p>
        </c:txPr>
        <c:crossAx val="207905536"/>
        <c:crosses val="autoZero"/>
        <c:crossBetween val="between"/>
        <c:majorUnit val="20"/>
      </c:valAx>
      <c:spPr>
        <a:noFill/>
        <a:ln w="25402">
          <a:noFill/>
        </a:ln>
      </c:spPr>
    </c:plotArea>
    <c:legend>
      <c:legendPos val="b"/>
      <c:layout>
        <c:manualLayout>
          <c:xMode val="edge"/>
          <c:yMode val="edge"/>
          <c:x val="9.0225640191540127E-2"/>
          <c:y val="0.89944284079457526"/>
          <c:w val="0.837593984962406"/>
          <c:h val="8.7542087542087546E-2"/>
        </c:manualLayout>
      </c:layout>
      <c:overlay val="0"/>
      <c:spPr>
        <a:noFill/>
        <a:ln w="12701">
          <a:noFill/>
          <a:prstDash val="solid"/>
        </a:ln>
      </c:spPr>
      <c:txPr>
        <a:bodyPr/>
        <a:lstStyle/>
        <a:p>
          <a:pPr>
            <a:defRPr sz="735" b="0"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06015037593985E-2"/>
          <c:y val="3.8313796892582061E-2"/>
          <c:w val="0.94488488284198913"/>
          <c:h val="0.70517442758491422"/>
        </c:manualLayout>
      </c:layout>
      <c:barChart>
        <c:barDir val="col"/>
        <c:grouping val="clustered"/>
        <c:varyColors val="0"/>
        <c:ser>
          <c:idx val="0"/>
          <c:order val="0"/>
          <c:tx>
            <c:strRef>
              <c:f>Sheet1!$A$2</c:f>
              <c:strCache>
                <c:ptCount val="1"/>
                <c:pt idx="0">
                  <c:v>Mažmeninė prekyba</c:v>
                </c:pt>
              </c:strCache>
            </c:strRef>
          </c:tx>
          <c:spPr>
            <a:solidFill>
              <a:srgbClr val="F08CA0"/>
            </a:solidFill>
            <a:ln w="3169">
              <a:solidFill>
                <a:srgbClr val="000000"/>
              </a:solidFill>
              <a:prstDash val="solid"/>
            </a:ln>
          </c:spPr>
          <c:invertIfNegative val="0"/>
          <c:dPt>
            <c:idx val="0"/>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01-1A60-4AFA-A761-4F181F0E6C4A}"/>
              </c:ext>
            </c:extLst>
          </c:dPt>
          <c:dPt>
            <c:idx val="1"/>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03-1A60-4AFA-A761-4F181F0E6C4A}"/>
              </c:ext>
            </c:extLst>
          </c:dPt>
          <c:dPt>
            <c:idx val="2"/>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05-1A60-4AFA-A761-4F181F0E6C4A}"/>
              </c:ext>
            </c:extLst>
          </c:dPt>
          <c:dPt>
            <c:idx val="3"/>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07-1A60-4AFA-A761-4F181F0E6C4A}"/>
              </c:ext>
            </c:extLst>
          </c:dPt>
          <c:dPt>
            <c:idx val="4"/>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09-1A60-4AFA-A761-4F181F0E6C4A}"/>
              </c:ext>
            </c:extLst>
          </c:dPt>
          <c:dPt>
            <c:idx val="5"/>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0B-1A60-4AFA-A761-4F181F0E6C4A}"/>
              </c:ext>
            </c:extLst>
          </c:dPt>
          <c:dPt>
            <c:idx val="6"/>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0D-1A60-4AFA-A761-4F181F0E6C4A}"/>
              </c:ext>
            </c:extLst>
          </c:dPt>
          <c:dPt>
            <c:idx val="7"/>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0F-1A60-4AFA-A761-4F181F0E6C4A}"/>
              </c:ext>
            </c:extLst>
          </c:dPt>
          <c:dPt>
            <c:idx val="8"/>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11-1A60-4AFA-A761-4F181F0E6C4A}"/>
              </c:ext>
            </c:extLst>
          </c:dPt>
          <c:dPt>
            <c:idx val="9"/>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13-1A60-4AFA-A761-4F181F0E6C4A}"/>
              </c:ext>
            </c:extLst>
          </c:dPt>
          <c:dPt>
            <c:idx val="10"/>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15-1A60-4AFA-A761-4F181F0E6C4A}"/>
              </c:ext>
            </c:extLst>
          </c:dPt>
          <c:dPt>
            <c:idx val="11"/>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17-1A60-4AFA-A761-4F181F0E6C4A}"/>
              </c:ext>
            </c:extLst>
          </c:dPt>
          <c:dPt>
            <c:idx val="12"/>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19-1A60-4AFA-A761-4F181F0E6C4A}"/>
              </c:ext>
            </c:extLst>
          </c:dPt>
          <c:dPt>
            <c:idx val="14"/>
            <c:invertIfNegative val="0"/>
            <c:bubble3D val="0"/>
            <c:extLst>
              <c:ext xmlns:c16="http://schemas.microsoft.com/office/drawing/2014/chart" uri="{C3380CC4-5D6E-409C-BE32-E72D297353CC}">
                <c16:uniqueId val="{0000001A-1A60-4AFA-A761-4F181F0E6C4A}"/>
              </c:ext>
            </c:extLst>
          </c:dPt>
          <c:dPt>
            <c:idx val="15"/>
            <c:invertIfNegative val="0"/>
            <c:bubble3D val="0"/>
            <c:extLst>
              <c:ext xmlns:c16="http://schemas.microsoft.com/office/drawing/2014/chart" uri="{C3380CC4-5D6E-409C-BE32-E72D297353CC}">
                <c16:uniqueId val="{0000001B-1A60-4AFA-A761-4F181F0E6C4A}"/>
              </c:ext>
            </c:extLst>
          </c:dPt>
          <c:dPt>
            <c:idx val="16"/>
            <c:invertIfNegative val="0"/>
            <c:bubble3D val="0"/>
            <c:extLst>
              <c:ext xmlns:c16="http://schemas.microsoft.com/office/drawing/2014/chart" uri="{C3380CC4-5D6E-409C-BE32-E72D297353CC}">
                <c16:uniqueId val="{0000001C-1A60-4AFA-A761-4F181F0E6C4A}"/>
              </c:ext>
            </c:extLst>
          </c:dPt>
          <c:dPt>
            <c:idx val="17"/>
            <c:invertIfNegative val="0"/>
            <c:bubble3D val="0"/>
            <c:extLst>
              <c:ext xmlns:c16="http://schemas.microsoft.com/office/drawing/2014/chart" uri="{C3380CC4-5D6E-409C-BE32-E72D297353CC}">
                <c16:uniqueId val="{0000001D-1A60-4AFA-A761-4F181F0E6C4A}"/>
              </c:ext>
            </c:extLst>
          </c:dPt>
          <c:dPt>
            <c:idx val="18"/>
            <c:invertIfNegative val="0"/>
            <c:bubble3D val="0"/>
            <c:extLst>
              <c:ext xmlns:c16="http://schemas.microsoft.com/office/drawing/2014/chart" uri="{C3380CC4-5D6E-409C-BE32-E72D297353CC}">
                <c16:uniqueId val="{0000001E-1A60-4AFA-A761-4F181F0E6C4A}"/>
              </c:ext>
            </c:extLst>
          </c:dPt>
          <c:dPt>
            <c:idx val="19"/>
            <c:invertIfNegative val="0"/>
            <c:bubble3D val="0"/>
            <c:extLst>
              <c:ext xmlns:c16="http://schemas.microsoft.com/office/drawing/2014/chart" uri="{C3380CC4-5D6E-409C-BE32-E72D297353CC}">
                <c16:uniqueId val="{0000001F-1A60-4AFA-A761-4F181F0E6C4A}"/>
              </c:ext>
            </c:extLst>
          </c:dPt>
          <c:dPt>
            <c:idx val="20"/>
            <c:invertIfNegative val="0"/>
            <c:bubble3D val="0"/>
            <c:extLst>
              <c:ext xmlns:c16="http://schemas.microsoft.com/office/drawing/2014/chart" uri="{C3380CC4-5D6E-409C-BE32-E72D297353CC}">
                <c16:uniqueId val="{00000020-1A60-4AFA-A761-4F181F0E6C4A}"/>
              </c:ext>
            </c:extLst>
          </c:dPt>
          <c:dPt>
            <c:idx val="21"/>
            <c:invertIfNegative val="0"/>
            <c:bubble3D val="0"/>
            <c:extLst>
              <c:ext xmlns:c16="http://schemas.microsoft.com/office/drawing/2014/chart" uri="{C3380CC4-5D6E-409C-BE32-E72D297353CC}">
                <c16:uniqueId val="{00000021-1A60-4AFA-A761-4F181F0E6C4A}"/>
              </c:ext>
            </c:extLst>
          </c:dPt>
          <c:dPt>
            <c:idx val="22"/>
            <c:invertIfNegative val="0"/>
            <c:bubble3D val="0"/>
            <c:extLst>
              <c:ext xmlns:c16="http://schemas.microsoft.com/office/drawing/2014/chart" uri="{C3380CC4-5D6E-409C-BE32-E72D297353CC}">
                <c16:uniqueId val="{00000022-1A60-4AFA-A761-4F181F0E6C4A}"/>
              </c:ext>
            </c:extLst>
          </c:dPt>
          <c:dPt>
            <c:idx val="23"/>
            <c:invertIfNegative val="0"/>
            <c:bubble3D val="0"/>
            <c:extLst>
              <c:ext xmlns:c16="http://schemas.microsoft.com/office/drawing/2014/chart" uri="{C3380CC4-5D6E-409C-BE32-E72D297353CC}">
                <c16:uniqueId val="{00000023-1A60-4AFA-A761-4F181F0E6C4A}"/>
              </c:ext>
            </c:extLst>
          </c:dPt>
          <c:dPt>
            <c:idx val="24"/>
            <c:invertIfNegative val="0"/>
            <c:bubble3D val="0"/>
            <c:extLst>
              <c:ext xmlns:c16="http://schemas.microsoft.com/office/drawing/2014/chart" uri="{C3380CC4-5D6E-409C-BE32-E72D297353CC}">
                <c16:uniqueId val="{00000024-1A60-4AFA-A761-4F181F0E6C4A}"/>
              </c:ext>
            </c:extLst>
          </c:dPt>
          <c:dPt>
            <c:idx val="25"/>
            <c:invertIfNegative val="0"/>
            <c:bubble3D val="0"/>
            <c:extLst>
              <c:ext xmlns:c16="http://schemas.microsoft.com/office/drawing/2014/chart" uri="{C3380CC4-5D6E-409C-BE32-E72D297353CC}">
                <c16:uniqueId val="{00000025-1A60-4AFA-A761-4F181F0E6C4A}"/>
              </c:ext>
            </c:extLst>
          </c:dPt>
          <c:dPt>
            <c:idx val="26"/>
            <c:invertIfNegative val="0"/>
            <c:bubble3D val="0"/>
            <c:extLst>
              <c:ext xmlns:c16="http://schemas.microsoft.com/office/drawing/2014/chart" uri="{C3380CC4-5D6E-409C-BE32-E72D297353CC}">
                <c16:uniqueId val="{00000026-1A60-4AFA-A761-4F181F0E6C4A}"/>
              </c:ext>
            </c:extLst>
          </c:dPt>
          <c:dPt>
            <c:idx val="28"/>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28-1A60-4AFA-A761-4F181F0E6C4A}"/>
              </c:ext>
            </c:extLst>
          </c:dPt>
          <c:dPt>
            <c:idx val="29"/>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2A-1A60-4AFA-A761-4F181F0E6C4A}"/>
              </c:ext>
            </c:extLst>
          </c:dPt>
          <c:dPt>
            <c:idx val="30"/>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2C-1A60-4AFA-A761-4F181F0E6C4A}"/>
              </c:ext>
            </c:extLst>
          </c:dPt>
          <c:dPt>
            <c:idx val="31"/>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2E-1A60-4AFA-A761-4F181F0E6C4A}"/>
              </c:ext>
            </c:extLst>
          </c:dPt>
          <c:dPt>
            <c:idx val="32"/>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30-1A60-4AFA-A761-4F181F0E6C4A}"/>
              </c:ext>
            </c:extLst>
          </c:dPt>
          <c:dPt>
            <c:idx val="33"/>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32-1A60-4AFA-A761-4F181F0E6C4A}"/>
              </c:ext>
            </c:extLst>
          </c:dPt>
          <c:dPt>
            <c:idx val="34"/>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34-1A60-4AFA-A761-4F181F0E6C4A}"/>
              </c:ext>
            </c:extLst>
          </c:dPt>
          <c:dPt>
            <c:idx val="35"/>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36-1A60-4AFA-A761-4F181F0E6C4A}"/>
              </c:ext>
            </c:extLst>
          </c:dPt>
          <c:dPt>
            <c:idx val="36"/>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38-1A60-4AFA-A761-4F181F0E6C4A}"/>
              </c:ext>
            </c:extLst>
          </c:dPt>
          <c:dPt>
            <c:idx val="37"/>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3A-1A60-4AFA-A761-4F181F0E6C4A}"/>
              </c:ext>
            </c:extLst>
          </c:dPt>
          <c:dPt>
            <c:idx val="38"/>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3C-1A60-4AFA-A761-4F181F0E6C4A}"/>
              </c:ext>
            </c:extLst>
          </c:dPt>
          <c:dPt>
            <c:idx val="39"/>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3E-1A60-4AFA-A761-4F181F0E6C4A}"/>
              </c:ext>
            </c:extLst>
          </c:dPt>
          <c:dPt>
            <c:idx val="40"/>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40-1A60-4AFA-A761-4F181F0E6C4A}"/>
              </c:ext>
            </c:extLst>
          </c:dPt>
          <c:dLbls>
            <c:dLbl>
              <c:idx val="4"/>
              <c:numFmt formatCode="#,##0.0;\–#,##0.0" sourceLinked="0"/>
              <c:spPr>
                <a:noFill/>
                <a:ln w="25351">
                  <a:noFill/>
                </a:ln>
              </c:spPr>
              <c:txPr>
                <a:bodyPr/>
                <a:lstStyle/>
                <a:p>
                  <a:pPr>
                    <a:defRPr sz="5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9-1A60-4AFA-A761-4F181F0E6C4A}"/>
                </c:ext>
              </c:extLst>
            </c:dLbl>
            <c:dLbl>
              <c:idx val="9"/>
              <c:layout>
                <c:manualLayout>
                  <c:x val="-2.074206958817355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A60-4AFA-A761-4F181F0E6C4A}"/>
                </c:ext>
              </c:extLst>
            </c:dLbl>
            <c:dLbl>
              <c:idx val="11"/>
              <c:numFmt formatCode="#,##0.0;\–#,##0.0" sourceLinked="0"/>
              <c:spPr>
                <a:noFill/>
                <a:ln w="25351">
                  <a:noFill/>
                </a:ln>
              </c:spPr>
              <c:txPr>
                <a:bodyPr/>
                <a:lstStyle/>
                <a:p>
                  <a:pPr>
                    <a:defRPr sz="5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17-1A60-4AFA-A761-4F181F0E6C4A}"/>
                </c:ext>
              </c:extLst>
            </c:dLbl>
            <c:dLbl>
              <c:idx val="12"/>
              <c:layout>
                <c:manualLayout>
                  <c:x val="2.074206958817318E-3"/>
                  <c:y val="0"/>
                </c:manualLayout>
              </c:layout>
              <c:numFmt formatCode="#,##0.0;\–#,##0.0" sourceLinked="0"/>
              <c:spPr>
                <a:noFill/>
                <a:ln w="25351">
                  <a:noFill/>
                </a:ln>
              </c:spPr>
              <c:txPr>
                <a:bodyPr/>
                <a:lstStyle/>
                <a:p>
                  <a:pPr>
                    <a:defRPr sz="5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A60-4AFA-A761-4F181F0E6C4A}"/>
                </c:ext>
              </c:extLst>
            </c:dLbl>
            <c:dLbl>
              <c:idx val="13"/>
              <c:delete val="1"/>
              <c:extLst>
                <c:ext xmlns:c15="http://schemas.microsoft.com/office/drawing/2012/chart" uri="{CE6537A1-D6FC-4f65-9D91-7224C49458BB}"/>
                <c:ext xmlns:c16="http://schemas.microsoft.com/office/drawing/2014/chart" uri="{C3380CC4-5D6E-409C-BE32-E72D297353CC}">
                  <c16:uniqueId val="{00000041-1A60-4AFA-A761-4F181F0E6C4A}"/>
                </c:ext>
              </c:extLst>
            </c:dLbl>
            <c:dLbl>
              <c:idx val="27"/>
              <c:delete val="1"/>
              <c:extLst>
                <c:ext xmlns:c15="http://schemas.microsoft.com/office/drawing/2012/chart" uri="{CE6537A1-D6FC-4f65-9D91-7224C49458BB}"/>
                <c:ext xmlns:c16="http://schemas.microsoft.com/office/drawing/2014/chart" uri="{C3380CC4-5D6E-409C-BE32-E72D297353CC}">
                  <c16:uniqueId val="{00000042-1A60-4AFA-A761-4F181F0E6C4A}"/>
                </c:ext>
              </c:extLst>
            </c:dLbl>
            <c:dLbl>
              <c:idx val="28"/>
              <c:layout>
                <c:manualLayout>
                  <c:x val="-4.150038574233588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1A60-4AFA-A761-4F181F0E6C4A}"/>
                </c:ext>
              </c:extLst>
            </c:dLbl>
            <c:dLbl>
              <c:idx val="29"/>
              <c:layout>
                <c:manualLayout>
                  <c:x val="-2.0749375966602327E-3"/>
                  <c:y val="-4.40876545888479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1A60-4AFA-A761-4F181F0E6C4A}"/>
                </c:ext>
              </c:extLst>
            </c:dLbl>
            <c:dLbl>
              <c:idx val="30"/>
              <c:layout>
                <c:manualLayout>
                  <c:x val="-2.074937596660232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1A60-4AFA-A761-4F181F0E6C4A}"/>
                </c:ext>
              </c:extLst>
            </c:dLbl>
            <c:dLbl>
              <c:idx val="33"/>
              <c:layout>
                <c:manualLayout>
                  <c:x val="2.074937596660232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1A60-4AFA-A761-4F181F0E6C4A}"/>
                </c:ext>
              </c:extLst>
            </c:dLbl>
            <c:dLbl>
              <c:idx val="37"/>
              <c:layout>
                <c:manualLayout>
                  <c:x val="-2.074937596660232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1A60-4AFA-A761-4F181F0E6C4A}"/>
                </c:ext>
              </c:extLst>
            </c:dLbl>
            <c:dLbl>
              <c:idx val="39"/>
              <c:layout>
                <c:manualLayout>
                  <c:x val="2.0749375966602327E-3"/>
                  <c:y val="-4.041321651618479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E-1A60-4AFA-A761-4F181F0E6C4A}"/>
                </c:ext>
              </c:extLst>
            </c:dLbl>
            <c:dLbl>
              <c:idx val="40"/>
              <c:layout>
                <c:manualLayout>
                  <c:x val="2.074937596660232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0-1A60-4AFA-A761-4F181F0E6C4A}"/>
                </c:ext>
              </c:extLst>
            </c:dLbl>
            <c:numFmt formatCode="#,##0.0;\–#,##0.0" sourceLinked="0"/>
            <c:spPr>
              <a:noFill/>
              <a:ln w="25351">
                <a:noFill/>
              </a:ln>
            </c:spPr>
            <c:txPr>
              <a:bodyPr wrap="square" lIns="38100" tIns="19050" rIns="38100" bIns="19050" anchor="ctr">
                <a:spAutoFit/>
              </a:bodyPr>
              <a:lstStyle/>
              <a:p>
                <a:pPr>
                  <a:defRPr sz="5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Sheet1!$B$1:$AP$1</c:f>
              <c:strCache>
                <c:ptCount val="41"/>
                <c:pt idx="0">
                  <c:v>VI</c:v>
                </c:pt>
                <c:pt idx="1">
                  <c:v>VII</c:v>
                </c:pt>
                <c:pt idx="2">
                  <c:v>VIII</c:v>
                </c:pt>
                <c:pt idx="3">
                  <c:v>IX</c:v>
                </c:pt>
                <c:pt idx="4">
                  <c:v>X</c:v>
                </c:pt>
                <c:pt idx="5">
                  <c:v>XI</c:v>
                </c:pt>
                <c:pt idx="6">
                  <c:v>XII</c:v>
                </c:pt>
                <c:pt idx="7">
                  <c:v>I</c:v>
                </c:pt>
                <c:pt idx="8">
                  <c:v>II</c:v>
                </c:pt>
                <c:pt idx="9">
                  <c:v>III</c:v>
                </c:pt>
                <c:pt idx="10">
                  <c:v>IV</c:v>
                </c:pt>
                <c:pt idx="11">
                  <c:v>V</c:v>
                </c:pt>
                <c:pt idx="12">
                  <c:v>VI</c:v>
                </c:pt>
                <c:pt idx="14">
                  <c:v>VI</c:v>
                </c:pt>
                <c:pt idx="15">
                  <c:v>VII</c:v>
                </c:pt>
                <c:pt idx="16">
                  <c:v>VIII</c:v>
                </c:pt>
                <c:pt idx="17">
                  <c:v>IX</c:v>
                </c:pt>
                <c:pt idx="18">
                  <c:v>X</c:v>
                </c:pt>
                <c:pt idx="19">
                  <c:v>XI</c:v>
                </c:pt>
                <c:pt idx="20">
                  <c:v>XII</c:v>
                </c:pt>
                <c:pt idx="21">
                  <c:v>I</c:v>
                </c:pt>
                <c:pt idx="22">
                  <c:v>II</c:v>
                </c:pt>
                <c:pt idx="23">
                  <c:v>III</c:v>
                </c:pt>
                <c:pt idx="24">
                  <c:v>IV</c:v>
                </c:pt>
                <c:pt idx="25">
                  <c:v>V</c:v>
                </c:pt>
                <c:pt idx="26">
                  <c:v>VI</c:v>
                </c:pt>
                <c:pt idx="28">
                  <c:v>VI</c:v>
                </c:pt>
                <c:pt idx="29">
                  <c:v>VII</c:v>
                </c:pt>
                <c:pt idx="30">
                  <c:v>VIII</c:v>
                </c:pt>
                <c:pt idx="31">
                  <c:v>IX</c:v>
                </c:pt>
                <c:pt idx="32">
                  <c:v>X</c:v>
                </c:pt>
                <c:pt idx="33">
                  <c:v>XI</c:v>
                </c:pt>
                <c:pt idx="34">
                  <c:v>XII</c:v>
                </c:pt>
                <c:pt idx="35">
                  <c:v>I</c:v>
                </c:pt>
                <c:pt idx="36">
                  <c:v>II</c:v>
                </c:pt>
                <c:pt idx="37">
                  <c:v>III</c:v>
                </c:pt>
                <c:pt idx="38">
                  <c:v>IV</c:v>
                </c:pt>
                <c:pt idx="39">
                  <c:v>V</c:v>
                </c:pt>
                <c:pt idx="40">
                  <c:v>VI</c:v>
                </c:pt>
              </c:strCache>
            </c:strRef>
          </c:cat>
          <c:val>
            <c:numRef>
              <c:f>Sheet1!$B$2:$AP$2</c:f>
              <c:numCache>
                <c:formatCode>General</c:formatCode>
                <c:ptCount val="41"/>
                <c:pt idx="0">
                  <c:v>6</c:v>
                </c:pt>
                <c:pt idx="1">
                  <c:v>6.9</c:v>
                </c:pt>
                <c:pt idx="2">
                  <c:v>7.4</c:v>
                </c:pt>
                <c:pt idx="3">
                  <c:v>6.5</c:v>
                </c:pt>
                <c:pt idx="4">
                  <c:v>8.5</c:v>
                </c:pt>
                <c:pt idx="5">
                  <c:v>6.4</c:v>
                </c:pt>
                <c:pt idx="6">
                  <c:v>-0.3</c:v>
                </c:pt>
                <c:pt idx="7">
                  <c:v>-4.0999999999999996</c:v>
                </c:pt>
                <c:pt idx="8">
                  <c:v>0</c:v>
                </c:pt>
                <c:pt idx="9">
                  <c:v>19.600000000000001</c:v>
                </c:pt>
                <c:pt idx="10">
                  <c:v>36.200000000000003</c:v>
                </c:pt>
                <c:pt idx="11">
                  <c:v>19.3</c:v>
                </c:pt>
                <c:pt idx="12">
                  <c:v>15.3</c:v>
                </c:pt>
                <c:pt idx="13">
                  <c:v>0</c:v>
                </c:pt>
                <c:pt idx="14">
                  <c:v>2</c:v>
                </c:pt>
                <c:pt idx="15">
                  <c:v>3.5</c:v>
                </c:pt>
                <c:pt idx="16">
                  <c:v>5</c:v>
                </c:pt>
                <c:pt idx="17">
                  <c:v>3.9</c:v>
                </c:pt>
                <c:pt idx="18">
                  <c:v>5.9</c:v>
                </c:pt>
                <c:pt idx="19">
                  <c:v>4.4000000000000004</c:v>
                </c:pt>
                <c:pt idx="20">
                  <c:v>4.5999999999999996</c:v>
                </c:pt>
                <c:pt idx="21">
                  <c:v>8.1999999999999993</c:v>
                </c:pt>
                <c:pt idx="22">
                  <c:v>8.5</c:v>
                </c:pt>
                <c:pt idx="23">
                  <c:v>7.6</c:v>
                </c:pt>
                <c:pt idx="24">
                  <c:v>11.4</c:v>
                </c:pt>
                <c:pt idx="25">
                  <c:v>7.4</c:v>
                </c:pt>
                <c:pt idx="26">
                  <c:v>6.6</c:v>
                </c:pt>
                <c:pt idx="27">
                  <c:v>0</c:v>
                </c:pt>
                <c:pt idx="28">
                  <c:v>12</c:v>
                </c:pt>
                <c:pt idx="29">
                  <c:v>12.3</c:v>
                </c:pt>
                <c:pt idx="30">
                  <c:v>10.9</c:v>
                </c:pt>
                <c:pt idx="31">
                  <c:v>11.1</c:v>
                </c:pt>
                <c:pt idx="32">
                  <c:v>15.7</c:v>
                </c:pt>
                <c:pt idx="33">
                  <c:v>13.3</c:v>
                </c:pt>
                <c:pt idx="34">
                  <c:v>0.2</c:v>
                </c:pt>
                <c:pt idx="35">
                  <c:v>-14.1</c:v>
                </c:pt>
                <c:pt idx="36">
                  <c:v>-6.7</c:v>
                </c:pt>
                <c:pt idx="37">
                  <c:v>39.200000000000003</c:v>
                </c:pt>
                <c:pt idx="38">
                  <c:v>64.3</c:v>
                </c:pt>
                <c:pt idx="39">
                  <c:v>28.9</c:v>
                </c:pt>
                <c:pt idx="40">
                  <c:v>23.3</c:v>
                </c:pt>
              </c:numCache>
            </c:numRef>
          </c:val>
          <c:extLst>
            <c:ext xmlns:c16="http://schemas.microsoft.com/office/drawing/2014/chart" uri="{C3380CC4-5D6E-409C-BE32-E72D297353CC}">
              <c16:uniqueId val="{00000003-FFA7-49E8-A2B9-D532701E7EDD}"/>
            </c:ext>
          </c:extLst>
        </c:ser>
        <c:dLbls>
          <c:showLegendKey val="0"/>
          <c:showVal val="1"/>
          <c:showCatName val="0"/>
          <c:showSerName val="0"/>
          <c:showPercent val="0"/>
          <c:showBubbleSize val="0"/>
        </c:dLbls>
        <c:gapWidth val="15"/>
        <c:axId val="208489472"/>
        <c:axId val="208519936"/>
      </c:barChart>
      <c:catAx>
        <c:axId val="208489472"/>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lt-LT"/>
          </a:p>
        </c:txPr>
        <c:crossAx val="208519936"/>
        <c:crosses val="autoZero"/>
        <c:auto val="1"/>
        <c:lblAlgn val="ctr"/>
        <c:lblOffset val="100"/>
        <c:tickLblSkip val="1"/>
        <c:tickMarkSkip val="1"/>
        <c:noMultiLvlLbl val="0"/>
      </c:catAx>
      <c:valAx>
        <c:axId val="208519936"/>
        <c:scaling>
          <c:orientation val="minMax"/>
        </c:scaling>
        <c:delete val="0"/>
        <c:axPos val="l"/>
        <c:numFmt formatCode="#,##0;\–#,##0" sourceLinked="0"/>
        <c:majorTickMark val="out"/>
        <c:minorTickMark val="none"/>
        <c:tickLblPos val="nextTo"/>
        <c:spPr>
          <a:ln w="3169">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lt-LT"/>
          </a:p>
        </c:txPr>
        <c:crossAx val="208489472"/>
        <c:crosses val="autoZero"/>
        <c:crossBetween val="between"/>
        <c:minorUnit val="0.5"/>
      </c:valAx>
      <c:spPr>
        <a:noFill/>
        <a:ln w="25351">
          <a:noFill/>
        </a:ln>
      </c:spPr>
    </c:plotArea>
    <c:plotVisOnly val="1"/>
    <c:dispBlanksAs val="gap"/>
    <c:showDLblsOverMax val="0"/>
  </c:chart>
  <c:spPr>
    <a:solidFill>
      <a:srgbClr val="FFFFFF"/>
    </a:solidFill>
    <a:ln>
      <a:noFill/>
    </a:ln>
  </c:spPr>
  <c:txPr>
    <a:bodyPr/>
    <a:lstStyle/>
    <a:p>
      <a:pPr>
        <a:defRPr sz="1198" b="1" i="0" u="none" strike="noStrike" baseline="0">
          <a:solidFill>
            <a:srgbClr val="000000"/>
          </a:solidFill>
          <a:latin typeface="Calibri"/>
          <a:ea typeface="Calibri"/>
          <a:cs typeface="Calibri"/>
        </a:defRPr>
      </a:pPr>
      <a:endParaRPr lang="lt-LT"/>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127819548872182E-2"/>
          <c:y val="4.0404040404040407E-2"/>
          <c:w val="0.92815740617142795"/>
          <c:h val="0.76767676767676762"/>
        </c:manualLayout>
      </c:layout>
      <c:lineChart>
        <c:grouping val="standard"/>
        <c:varyColors val="0"/>
        <c:ser>
          <c:idx val="0"/>
          <c:order val="0"/>
          <c:tx>
            <c:strRef>
              <c:f>Sheet1!$A$2</c:f>
              <c:strCache>
                <c:ptCount val="1"/>
                <c:pt idx="0">
                  <c:v>Nepašalinus sezono ir darbo dienų skaičiaus įtakos</c:v>
                </c:pt>
              </c:strCache>
            </c:strRef>
          </c:tx>
          <c:spPr>
            <a:ln w="12675">
              <a:solidFill>
                <a:srgbClr val="FAB4B9"/>
              </a:solidFill>
              <a:prstDash val="solid"/>
            </a:ln>
          </c:spPr>
          <c:marker>
            <c:symbol val="none"/>
          </c:marker>
          <c:cat>
            <c:numRef>
              <c:f>Sheet1!$B$1:$BO$1</c:f>
              <c:numCache>
                <c:formatCode>General</c:formatCode>
                <c:ptCount val="66"/>
                <c:pt idx="0">
                  <c:v>2016</c:v>
                </c:pt>
                <c:pt idx="12">
                  <c:v>2017</c:v>
                </c:pt>
                <c:pt idx="24">
                  <c:v>2018</c:v>
                </c:pt>
                <c:pt idx="36">
                  <c:v>2019</c:v>
                </c:pt>
                <c:pt idx="48">
                  <c:v>2020</c:v>
                </c:pt>
                <c:pt idx="60">
                  <c:v>2021</c:v>
                </c:pt>
              </c:numCache>
            </c:numRef>
          </c:cat>
          <c:val>
            <c:numRef>
              <c:f>Sheet1!$B$2:$BO$2</c:f>
              <c:numCache>
                <c:formatCode>General</c:formatCode>
                <c:ptCount val="66"/>
                <c:pt idx="0">
                  <c:v>94</c:v>
                </c:pt>
                <c:pt idx="1">
                  <c:v>88.9</c:v>
                </c:pt>
                <c:pt idx="2">
                  <c:v>96.3</c:v>
                </c:pt>
                <c:pt idx="3">
                  <c:v>98.5</c:v>
                </c:pt>
                <c:pt idx="4">
                  <c:v>112.1</c:v>
                </c:pt>
                <c:pt idx="5">
                  <c:v>107.5</c:v>
                </c:pt>
                <c:pt idx="6">
                  <c:v>122.6</c:v>
                </c:pt>
                <c:pt idx="7">
                  <c:v>122.7</c:v>
                </c:pt>
                <c:pt idx="8">
                  <c:v>115.7</c:v>
                </c:pt>
                <c:pt idx="9">
                  <c:v>106.5</c:v>
                </c:pt>
                <c:pt idx="10">
                  <c:v>98.7</c:v>
                </c:pt>
                <c:pt idx="11">
                  <c:v>110.8</c:v>
                </c:pt>
                <c:pt idx="12">
                  <c:v>98.1</c:v>
                </c:pt>
                <c:pt idx="13">
                  <c:v>93</c:v>
                </c:pt>
                <c:pt idx="14">
                  <c:v>101.1</c:v>
                </c:pt>
                <c:pt idx="15">
                  <c:v>102</c:v>
                </c:pt>
                <c:pt idx="16">
                  <c:v>114.5</c:v>
                </c:pt>
                <c:pt idx="17">
                  <c:v>113.7</c:v>
                </c:pt>
                <c:pt idx="18">
                  <c:v>121.9</c:v>
                </c:pt>
                <c:pt idx="19">
                  <c:v>121</c:v>
                </c:pt>
                <c:pt idx="20">
                  <c:v>108.4</c:v>
                </c:pt>
                <c:pt idx="21">
                  <c:v>102.6</c:v>
                </c:pt>
                <c:pt idx="22">
                  <c:v>101.6</c:v>
                </c:pt>
                <c:pt idx="23">
                  <c:v>118.1</c:v>
                </c:pt>
                <c:pt idx="24">
                  <c:v>108.4</c:v>
                </c:pt>
                <c:pt idx="25">
                  <c:v>98.1</c:v>
                </c:pt>
                <c:pt idx="26">
                  <c:v>111.7</c:v>
                </c:pt>
                <c:pt idx="27">
                  <c:v>112.6</c:v>
                </c:pt>
                <c:pt idx="28">
                  <c:v>124</c:v>
                </c:pt>
                <c:pt idx="29">
                  <c:v>127.9</c:v>
                </c:pt>
                <c:pt idx="30">
                  <c:v>137.4</c:v>
                </c:pt>
                <c:pt idx="31">
                  <c:v>141.30000000000001</c:v>
                </c:pt>
                <c:pt idx="32">
                  <c:v>125.2</c:v>
                </c:pt>
                <c:pt idx="33">
                  <c:v>118.6</c:v>
                </c:pt>
                <c:pt idx="34">
                  <c:v>110.7</c:v>
                </c:pt>
                <c:pt idx="35">
                  <c:v>123.8</c:v>
                </c:pt>
                <c:pt idx="36">
                  <c:v>105.3</c:v>
                </c:pt>
                <c:pt idx="37">
                  <c:v>102.3</c:v>
                </c:pt>
                <c:pt idx="38">
                  <c:v>117.6</c:v>
                </c:pt>
                <c:pt idx="39">
                  <c:v>115.9</c:v>
                </c:pt>
                <c:pt idx="40">
                  <c:v>129.6</c:v>
                </c:pt>
                <c:pt idx="41">
                  <c:v>139.1</c:v>
                </c:pt>
                <c:pt idx="42">
                  <c:v>147.5</c:v>
                </c:pt>
                <c:pt idx="43">
                  <c:v>151.4</c:v>
                </c:pt>
                <c:pt idx="44">
                  <c:v>130.5</c:v>
                </c:pt>
                <c:pt idx="45">
                  <c:v>127</c:v>
                </c:pt>
                <c:pt idx="46">
                  <c:v>120</c:v>
                </c:pt>
                <c:pt idx="47">
                  <c:v>131.1</c:v>
                </c:pt>
                <c:pt idx="48">
                  <c:v>115.8</c:v>
                </c:pt>
                <c:pt idx="49">
                  <c:v>109.2</c:v>
                </c:pt>
                <c:pt idx="50">
                  <c:v>65.900000000000006</c:v>
                </c:pt>
                <c:pt idx="51">
                  <c:v>36.700000000000003</c:v>
                </c:pt>
                <c:pt idx="52">
                  <c:v>67.8</c:v>
                </c:pt>
                <c:pt idx="53">
                  <c:v>106.2</c:v>
                </c:pt>
                <c:pt idx="54">
                  <c:v>136.4</c:v>
                </c:pt>
                <c:pt idx="55">
                  <c:v>138.69999999999999</c:v>
                </c:pt>
                <c:pt idx="56">
                  <c:v>120</c:v>
                </c:pt>
                <c:pt idx="57">
                  <c:v>106.7</c:v>
                </c:pt>
                <c:pt idx="58">
                  <c:v>62</c:v>
                </c:pt>
                <c:pt idx="59">
                  <c:v>58.6</c:v>
                </c:pt>
                <c:pt idx="60">
                  <c:v>49.2</c:v>
                </c:pt>
                <c:pt idx="61">
                  <c:v>50.4</c:v>
                </c:pt>
                <c:pt idx="62">
                  <c:v>61.6</c:v>
                </c:pt>
                <c:pt idx="63">
                  <c:v>67</c:v>
                </c:pt>
                <c:pt idx="64">
                  <c:v>93.3</c:v>
                </c:pt>
                <c:pt idx="65">
                  <c:v>116.4</c:v>
                </c:pt>
              </c:numCache>
            </c:numRef>
          </c:val>
          <c:smooth val="0"/>
          <c:extLst>
            <c:ext xmlns:c16="http://schemas.microsoft.com/office/drawing/2014/chart" uri="{C3380CC4-5D6E-409C-BE32-E72D297353CC}">
              <c16:uniqueId val="{00000000-B763-44B4-9B74-163B5DB47DA7}"/>
            </c:ext>
          </c:extLst>
        </c:ser>
        <c:ser>
          <c:idx val="2"/>
          <c:order val="1"/>
          <c:tx>
            <c:strRef>
              <c:f>Sheet1!$A$3</c:f>
              <c:strCache>
                <c:ptCount val="1"/>
                <c:pt idx="0">
                  <c:v>Pašalinus sezono ir darbo dienų skaičiaus įtaką</c:v>
                </c:pt>
              </c:strCache>
            </c:strRef>
          </c:tx>
          <c:spPr>
            <a:ln w="25351">
              <a:solidFill>
                <a:srgbClr val="E66482"/>
              </a:solidFill>
              <a:prstDash val="solid"/>
            </a:ln>
          </c:spPr>
          <c:marker>
            <c:symbol val="none"/>
          </c:marker>
          <c:cat>
            <c:numRef>
              <c:f>Sheet1!$B$1:$BO$1</c:f>
              <c:numCache>
                <c:formatCode>General</c:formatCode>
                <c:ptCount val="66"/>
                <c:pt idx="0">
                  <c:v>2016</c:v>
                </c:pt>
                <c:pt idx="12">
                  <c:v>2017</c:v>
                </c:pt>
                <c:pt idx="24">
                  <c:v>2018</c:v>
                </c:pt>
                <c:pt idx="36">
                  <c:v>2019</c:v>
                </c:pt>
                <c:pt idx="48">
                  <c:v>2020</c:v>
                </c:pt>
                <c:pt idx="60">
                  <c:v>2021</c:v>
                </c:pt>
              </c:numCache>
            </c:numRef>
          </c:cat>
          <c:val>
            <c:numRef>
              <c:f>Sheet1!$B$3:$BO$3</c:f>
              <c:numCache>
                <c:formatCode>General</c:formatCode>
                <c:ptCount val="66"/>
                <c:pt idx="0">
                  <c:v>103.8</c:v>
                </c:pt>
                <c:pt idx="1">
                  <c:v>103.4</c:v>
                </c:pt>
                <c:pt idx="2">
                  <c:v>104.4</c:v>
                </c:pt>
                <c:pt idx="3">
                  <c:v>105.2</c:v>
                </c:pt>
                <c:pt idx="4">
                  <c:v>106.8</c:v>
                </c:pt>
                <c:pt idx="5">
                  <c:v>104.2</c:v>
                </c:pt>
                <c:pt idx="6">
                  <c:v>106.7</c:v>
                </c:pt>
                <c:pt idx="7">
                  <c:v>106.8</c:v>
                </c:pt>
                <c:pt idx="8">
                  <c:v>109.5</c:v>
                </c:pt>
                <c:pt idx="9">
                  <c:v>108.2</c:v>
                </c:pt>
                <c:pt idx="10">
                  <c:v>106.9</c:v>
                </c:pt>
                <c:pt idx="11">
                  <c:v>106.4</c:v>
                </c:pt>
                <c:pt idx="12">
                  <c:v>106.3</c:v>
                </c:pt>
                <c:pt idx="13">
                  <c:v>107.9</c:v>
                </c:pt>
                <c:pt idx="14">
                  <c:v>106.5</c:v>
                </c:pt>
                <c:pt idx="15">
                  <c:v>106.7</c:v>
                </c:pt>
                <c:pt idx="16">
                  <c:v>107.5</c:v>
                </c:pt>
                <c:pt idx="17">
                  <c:v>107.8</c:v>
                </c:pt>
                <c:pt idx="18">
                  <c:v>106.9</c:v>
                </c:pt>
                <c:pt idx="19">
                  <c:v>107</c:v>
                </c:pt>
                <c:pt idx="20">
                  <c:v>107</c:v>
                </c:pt>
                <c:pt idx="21">
                  <c:v>107.9</c:v>
                </c:pt>
                <c:pt idx="22">
                  <c:v>111.4</c:v>
                </c:pt>
                <c:pt idx="23">
                  <c:v>113</c:v>
                </c:pt>
                <c:pt idx="24">
                  <c:v>117.3</c:v>
                </c:pt>
                <c:pt idx="25">
                  <c:v>114.8</c:v>
                </c:pt>
                <c:pt idx="26">
                  <c:v>117.2</c:v>
                </c:pt>
                <c:pt idx="27">
                  <c:v>118.7</c:v>
                </c:pt>
                <c:pt idx="28">
                  <c:v>118.7</c:v>
                </c:pt>
                <c:pt idx="29">
                  <c:v>119.9</c:v>
                </c:pt>
                <c:pt idx="30">
                  <c:v>120.2</c:v>
                </c:pt>
                <c:pt idx="31">
                  <c:v>122.2</c:v>
                </c:pt>
                <c:pt idx="32">
                  <c:v>122.8</c:v>
                </c:pt>
                <c:pt idx="33">
                  <c:v>123.1</c:v>
                </c:pt>
                <c:pt idx="34">
                  <c:v>122.2</c:v>
                </c:pt>
                <c:pt idx="35">
                  <c:v>122.5</c:v>
                </c:pt>
                <c:pt idx="36">
                  <c:v>120.2</c:v>
                </c:pt>
                <c:pt idx="37">
                  <c:v>123.7</c:v>
                </c:pt>
                <c:pt idx="38">
                  <c:v>125.1</c:v>
                </c:pt>
                <c:pt idx="39">
                  <c:v>124.2</c:v>
                </c:pt>
                <c:pt idx="40">
                  <c:v>125.3</c:v>
                </c:pt>
                <c:pt idx="41" formatCode="0.0">
                  <c:v>129.5</c:v>
                </c:pt>
                <c:pt idx="42" formatCode="0.0">
                  <c:v>125.4</c:v>
                </c:pt>
                <c:pt idx="43" formatCode="0.0">
                  <c:v>127.9</c:v>
                </c:pt>
                <c:pt idx="44" formatCode="0.0">
                  <c:v>126.8</c:v>
                </c:pt>
                <c:pt idx="45">
                  <c:v>130.69999999999999</c:v>
                </c:pt>
                <c:pt idx="46">
                  <c:v>130.4</c:v>
                </c:pt>
                <c:pt idx="47">
                  <c:v>128.19999999999999</c:v>
                </c:pt>
                <c:pt idx="48">
                  <c:v>130.5</c:v>
                </c:pt>
                <c:pt idx="49">
                  <c:v>128.80000000000001</c:v>
                </c:pt>
                <c:pt idx="50">
                  <c:v>70.400000000000006</c:v>
                </c:pt>
                <c:pt idx="51">
                  <c:v>39.6</c:v>
                </c:pt>
                <c:pt idx="52">
                  <c:v>66.2</c:v>
                </c:pt>
                <c:pt idx="53">
                  <c:v>101.3</c:v>
                </c:pt>
                <c:pt idx="54">
                  <c:v>112.3</c:v>
                </c:pt>
                <c:pt idx="55">
                  <c:v>115</c:v>
                </c:pt>
                <c:pt idx="56">
                  <c:v>116.4</c:v>
                </c:pt>
                <c:pt idx="57">
                  <c:v>114.3</c:v>
                </c:pt>
                <c:pt idx="58">
                  <c:v>69.3</c:v>
                </c:pt>
                <c:pt idx="59">
                  <c:v>57.8</c:v>
                </c:pt>
                <c:pt idx="60">
                  <c:v>55.4</c:v>
                </c:pt>
                <c:pt idx="61">
                  <c:v>60.1</c:v>
                </c:pt>
                <c:pt idx="62">
                  <c:v>65.400000000000006</c:v>
                </c:pt>
                <c:pt idx="63">
                  <c:v>75.099999999999994</c:v>
                </c:pt>
                <c:pt idx="64">
                  <c:v>91.9</c:v>
                </c:pt>
                <c:pt idx="65">
                  <c:v>105.8</c:v>
                </c:pt>
              </c:numCache>
            </c:numRef>
          </c:val>
          <c:smooth val="0"/>
          <c:extLst>
            <c:ext xmlns:c16="http://schemas.microsoft.com/office/drawing/2014/chart" uri="{C3380CC4-5D6E-409C-BE32-E72D297353CC}">
              <c16:uniqueId val="{00000001-B763-44B4-9B74-163B5DB47DA7}"/>
            </c:ext>
          </c:extLst>
        </c:ser>
        <c:dLbls>
          <c:showLegendKey val="0"/>
          <c:showVal val="0"/>
          <c:showCatName val="0"/>
          <c:showSerName val="0"/>
          <c:showPercent val="0"/>
          <c:showBubbleSize val="0"/>
        </c:dLbls>
        <c:smooth val="0"/>
        <c:axId val="208320768"/>
        <c:axId val="208322560"/>
      </c:lineChart>
      <c:catAx>
        <c:axId val="208320768"/>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lt-LT"/>
          </a:p>
        </c:txPr>
        <c:crossAx val="208322560"/>
        <c:crosses val="autoZero"/>
        <c:auto val="1"/>
        <c:lblAlgn val="ctr"/>
        <c:lblOffset val="100"/>
        <c:tickMarkSkip val="12"/>
        <c:noMultiLvlLbl val="0"/>
      </c:catAx>
      <c:valAx>
        <c:axId val="208322560"/>
        <c:scaling>
          <c:orientation val="minMax"/>
          <c:min val="20"/>
        </c:scaling>
        <c:delete val="0"/>
        <c:axPos val="l"/>
        <c:majorGridlines>
          <c:spPr>
            <a:ln w="3169">
              <a:solidFill>
                <a:srgbClr val="808080"/>
              </a:solidFill>
              <a:prstDash val="lgDash"/>
            </a:ln>
          </c:spPr>
        </c:majorGridlines>
        <c:numFmt formatCode="General" sourceLinked="1"/>
        <c:majorTickMark val="out"/>
        <c:minorTickMark val="none"/>
        <c:tickLblPos val="nextTo"/>
        <c:spPr>
          <a:ln w="3169">
            <a:solidFill>
              <a:srgbClr val="000000"/>
            </a:solidFill>
            <a:prstDash val="solid"/>
          </a:ln>
        </c:spPr>
        <c:txPr>
          <a:bodyPr rot="0" vert="horz"/>
          <a:lstStyle/>
          <a:p>
            <a:pPr>
              <a:defRPr sz="898" b="0" i="0" u="none" strike="noStrike" baseline="0">
                <a:solidFill>
                  <a:srgbClr val="000000"/>
                </a:solidFill>
                <a:latin typeface="Arial"/>
                <a:ea typeface="Arial"/>
                <a:cs typeface="Arial"/>
              </a:defRPr>
            </a:pPr>
            <a:endParaRPr lang="lt-LT"/>
          </a:p>
        </c:txPr>
        <c:crossAx val="208320768"/>
        <c:crosses val="autoZero"/>
        <c:crossBetween val="between"/>
      </c:valAx>
      <c:spPr>
        <a:noFill/>
        <a:ln w="25400">
          <a:noFill/>
        </a:ln>
      </c:spPr>
    </c:plotArea>
    <c:legend>
      <c:legendPos val="b"/>
      <c:layout>
        <c:manualLayout>
          <c:xMode val="edge"/>
          <c:yMode val="edge"/>
          <c:x val="5.5222884039068491E-2"/>
          <c:y val="0.91722924679374696"/>
          <c:w val="0.88711167350332043"/>
          <c:h val="8.2770707839065802E-2"/>
        </c:manualLayout>
      </c:layout>
      <c:overlay val="0"/>
      <c:spPr>
        <a:noFill/>
        <a:ln w="3169">
          <a:noFill/>
          <a:prstDash val="solid"/>
        </a:ln>
      </c:spPr>
      <c:txPr>
        <a:bodyPr/>
        <a:lstStyle/>
        <a:p>
          <a:pPr>
            <a:defRPr sz="823" b="0"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1198" b="1" i="0" u="none" strike="noStrike" baseline="0">
          <a:solidFill>
            <a:srgbClr val="000000"/>
          </a:solidFill>
          <a:latin typeface="Calibri"/>
          <a:ea typeface="Calibri"/>
          <a:cs typeface="Calibri"/>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7062053346290371E-2"/>
          <c:y val="6.7857142857142852E-2"/>
          <c:w val="0.94354736285914187"/>
          <c:h val="0.75815873227366459"/>
        </c:manualLayout>
      </c:layout>
      <c:barChart>
        <c:barDir val="col"/>
        <c:grouping val="clustered"/>
        <c:varyColors val="0"/>
        <c:ser>
          <c:idx val="0"/>
          <c:order val="0"/>
          <c:tx>
            <c:strRef>
              <c:f>Sheet1!$A$2</c:f>
              <c:strCache>
                <c:ptCount val="1"/>
                <c:pt idx="0">
                  <c:v>Maitinimas ir gėrimų teikimas</c:v>
                </c:pt>
              </c:strCache>
            </c:strRef>
          </c:tx>
          <c:spPr>
            <a:solidFill>
              <a:srgbClr val="E66482"/>
            </a:solidFill>
            <a:ln w="3174">
              <a:solidFill>
                <a:srgbClr val="000000"/>
              </a:solidFill>
              <a:prstDash val="solid"/>
            </a:ln>
          </c:spPr>
          <c:invertIfNegative val="0"/>
          <c:dLbls>
            <c:dLbl>
              <c:idx val="7"/>
              <c:numFmt formatCode="#,##0.0;\–#,##0.0" sourceLinked="0"/>
              <c:spPr>
                <a:noFill/>
                <a:ln w="25390">
                  <a:noFill/>
                </a:ln>
              </c:spPr>
              <c:txPr>
                <a:bodyPr/>
                <a:lstStyle/>
                <a:p>
                  <a:pPr>
                    <a:defRPr sz="80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0-DF3E-4F5E-BC6A-D101DECAC61B}"/>
                </c:ext>
              </c:extLst>
            </c:dLbl>
            <c:dLbl>
              <c:idx val="8"/>
              <c:numFmt formatCode="#,##0.0;\–#,##0.0" sourceLinked="0"/>
              <c:spPr>
                <a:noFill/>
                <a:ln w="25390">
                  <a:noFill/>
                </a:ln>
              </c:spPr>
              <c:txPr>
                <a:bodyPr/>
                <a:lstStyle/>
                <a:p>
                  <a:pPr>
                    <a:defRPr sz="80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1-DF3E-4F5E-BC6A-D101DECAC61B}"/>
                </c:ext>
              </c:extLst>
            </c:dLbl>
            <c:dLbl>
              <c:idx val="9"/>
              <c:numFmt formatCode="#,##0.0;\–#,##0.0" sourceLinked="0"/>
              <c:spPr>
                <a:noFill/>
                <a:ln w="25390">
                  <a:noFill/>
                </a:ln>
              </c:spPr>
              <c:txPr>
                <a:bodyPr/>
                <a:lstStyle/>
                <a:p>
                  <a:pPr>
                    <a:defRPr sz="80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2-DF3E-4F5E-BC6A-D101DECAC61B}"/>
                </c:ext>
              </c:extLst>
            </c:dLbl>
            <c:dLbl>
              <c:idx val="11"/>
              <c:numFmt formatCode="#,##0.0;\–#,##0.0" sourceLinked="0"/>
              <c:spPr>
                <a:noFill/>
                <a:ln w="25390">
                  <a:noFill/>
                </a:ln>
              </c:spPr>
              <c:txPr>
                <a:bodyPr/>
                <a:lstStyle/>
                <a:p>
                  <a:pPr>
                    <a:defRPr sz="80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3-DF3E-4F5E-BC6A-D101DECAC61B}"/>
                </c:ext>
              </c:extLst>
            </c:dLbl>
            <c:numFmt formatCode="#,##0.0;\–#,##0.0" sourceLinked="0"/>
            <c:spPr>
              <a:noFill/>
              <a:ln w="2539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Sheet1!$B$1:$N$1</c:f>
              <c:strCache>
                <c:ptCount val="13"/>
                <c:pt idx="0">
                  <c:v>VI</c:v>
                </c:pt>
                <c:pt idx="1">
                  <c:v>VII</c:v>
                </c:pt>
                <c:pt idx="2">
                  <c:v>VIII</c:v>
                </c:pt>
                <c:pt idx="3">
                  <c:v>IX</c:v>
                </c:pt>
                <c:pt idx="4">
                  <c:v>X</c:v>
                </c:pt>
                <c:pt idx="5">
                  <c:v>XI</c:v>
                </c:pt>
                <c:pt idx="6">
                  <c:v>XI</c:v>
                </c:pt>
                <c:pt idx="7">
                  <c:v>I</c:v>
                </c:pt>
                <c:pt idx="8">
                  <c:v>II</c:v>
                </c:pt>
                <c:pt idx="9">
                  <c:v>III</c:v>
                </c:pt>
                <c:pt idx="10">
                  <c:v>IV</c:v>
                </c:pt>
                <c:pt idx="11">
                  <c:v>V</c:v>
                </c:pt>
                <c:pt idx="12">
                  <c:v>VI</c:v>
                </c:pt>
              </c:strCache>
            </c:strRef>
          </c:cat>
          <c:val>
            <c:numRef>
              <c:f>Sheet1!$B$2:$N$2</c:f>
              <c:numCache>
                <c:formatCode>General</c:formatCode>
                <c:ptCount val="13"/>
                <c:pt idx="0">
                  <c:v>-23.7</c:v>
                </c:pt>
                <c:pt idx="1">
                  <c:v>-7.6</c:v>
                </c:pt>
                <c:pt idx="2">
                  <c:v>-8.5</c:v>
                </c:pt>
                <c:pt idx="3">
                  <c:v>-8.1</c:v>
                </c:pt>
                <c:pt idx="4">
                  <c:v>-16</c:v>
                </c:pt>
                <c:pt idx="5">
                  <c:v>-48.3</c:v>
                </c:pt>
                <c:pt idx="6">
                  <c:v>-55.4</c:v>
                </c:pt>
                <c:pt idx="7">
                  <c:v>-57.5</c:v>
                </c:pt>
                <c:pt idx="8">
                  <c:v>-53.2</c:v>
                </c:pt>
                <c:pt idx="9">
                  <c:v>-6.4</c:v>
                </c:pt>
                <c:pt idx="10">
                  <c:v>82.3</c:v>
                </c:pt>
                <c:pt idx="11">
                  <c:v>37.799999999999997</c:v>
                </c:pt>
                <c:pt idx="12">
                  <c:v>9.6</c:v>
                </c:pt>
              </c:numCache>
            </c:numRef>
          </c:val>
          <c:extLst>
            <c:ext xmlns:c16="http://schemas.microsoft.com/office/drawing/2014/chart" uri="{C3380CC4-5D6E-409C-BE32-E72D297353CC}">
              <c16:uniqueId val="{00000004-6A7C-487E-ADC7-803EB72338CA}"/>
            </c:ext>
          </c:extLst>
        </c:ser>
        <c:dLbls>
          <c:showLegendKey val="0"/>
          <c:showVal val="1"/>
          <c:showCatName val="0"/>
          <c:showSerName val="0"/>
          <c:showPercent val="0"/>
          <c:showBubbleSize val="0"/>
        </c:dLbls>
        <c:gapWidth val="70"/>
        <c:axId val="212715392"/>
        <c:axId val="212716928"/>
      </c:barChart>
      <c:catAx>
        <c:axId val="212715392"/>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lt-LT"/>
          </a:p>
        </c:txPr>
        <c:crossAx val="212716928"/>
        <c:crosses val="autoZero"/>
        <c:auto val="1"/>
        <c:lblAlgn val="ctr"/>
        <c:lblOffset val="160"/>
        <c:tickLblSkip val="1"/>
        <c:tickMarkSkip val="1"/>
        <c:noMultiLvlLbl val="0"/>
      </c:catAx>
      <c:valAx>
        <c:axId val="212716928"/>
        <c:scaling>
          <c:orientation val="minMax"/>
        </c:scaling>
        <c:delete val="0"/>
        <c:axPos val="l"/>
        <c:numFmt formatCode="#,##0;\–#,##0" sourceLinked="0"/>
        <c:majorTickMark val="out"/>
        <c:minorTickMark val="none"/>
        <c:tickLblPos val="nextTo"/>
        <c:spPr>
          <a:ln w="3174">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lt-LT"/>
          </a:p>
        </c:txPr>
        <c:crossAx val="212715392"/>
        <c:crosses val="autoZero"/>
        <c:crossBetween val="between"/>
      </c:valAx>
      <c:spPr>
        <a:noFill/>
        <a:ln w="25390">
          <a:noFill/>
        </a:ln>
      </c:spPr>
    </c:plotArea>
    <c:plotVisOnly val="1"/>
    <c:dispBlanksAs val="gap"/>
    <c:showDLblsOverMax val="0"/>
  </c:chart>
  <c:spPr>
    <a:solidFill>
      <a:srgbClr val="FFFFFF"/>
    </a:solidFill>
    <a:ln>
      <a:noFill/>
    </a:ln>
  </c:spPr>
  <c:txPr>
    <a:bodyPr/>
    <a:lstStyle/>
    <a:p>
      <a:pPr>
        <a:defRPr sz="1200" b="1" i="0" u="none" strike="noStrike" baseline="0">
          <a:solidFill>
            <a:srgbClr val="000000"/>
          </a:solidFill>
          <a:latin typeface="Calibri"/>
          <a:ea typeface="Calibri"/>
          <a:cs typeface="Calibri"/>
        </a:defRPr>
      </a:pPr>
      <a:endParaRPr lang="lt-LT"/>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0.2914</cdr:x>
      <cdr:y>0.79895</cdr:y>
    </cdr:from>
    <cdr:to>
      <cdr:x>0.36337</cdr:x>
      <cdr:y>0.87599</cdr:y>
    </cdr:to>
    <cdr:sp macro="" textlink="">
      <cdr:nvSpPr>
        <cdr:cNvPr id="2" name="Text Box 1"/>
        <cdr:cNvSpPr txBox="1"/>
      </cdr:nvSpPr>
      <cdr:spPr>
        <a:xfrm xmlns:a="http://schemas.openxmlformats.org/drawingml/2006/main">
          <a:off x="1807457" y="2333226"/>
          <a:ext cx="446407" cy="224998"/>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pPr algn="ctr"/>
          <a:r>
            <a:rPr lang="lt-LT" sz="900">
              <a:latin typeface="Arial" panose="020B0604020202020204" pitchFamily="34" charset="0"/>
              <a:cs typeface="Arial" panose="020B0604020202020204" pitchFamily="34" charset="0"/>
            </a:rPr>
            <a:t>2020</a:t>
          </a:r>
        </a:p>
      </cdr:txBody>
    </cdr:sp>
  </cdr:relSizeAnchor>
  <cdr:relSizeAnchor xmlns:cdr="http://schemas.openxmlformats.org/drawingml/2006/chartDrawing">
    <cdr:from>
      <cdr:x>0.3432</cdr:x>
      <cdr:y>0.79895</cdr:y>
    </cdr:from>
    <cdr:to>
      <cdr:x>0.41517</cdr:x>
      <cdr:y>0.87599</cdr:y>
    </cdr:to>
    <cdr:sp macro="" textlink="">
      <cdr:nvSpPr>
        <cdr:cNvPr id="3" name="Text Box 2"/>
        <cdr:cNvSpPr txBox="1"/>
      </cdr:nvSpPr>
      <cdr:spPr>
        <a:xfrm xmlns:a="http://schemas.openxmlformats.org/drawingml/2006/main">
          <a:off x="2128751" y="2333226"/>
          <a:ext cx="446407" cy="224998"/>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pPr algn="ctr"/>
          <a:r>
            <a:rPr lang="lt-LT" sz="900">
              <a:latin typeface="Arial" panose="020B0604020202020204" pitchFamily="34" charset="0"/>
              <a:cs typeface="Arial" panose="020B0604020202020204" pitchFamily="34" charset="0"/>
            </a:rPr>
            <a:t>2019</a:t>
          </a:r>
        </a:p>
      </cdr:txBody>
    </cdr:sp>
  </cdr:relSizeAnchor>
  <cdr:relSizeAnchor xmlns:cdr="http://schemas.openxmlformats.org/drawingml/2006/chartDrawing">
    <cdr:from>
      <cdr:x>0.61295</cdr:x>
      <cdr:y>0.79895</cdr:y>
    </cdr:from>
    <cdr:to>
      <cdr:x>0.68492</cdr:x>
      <cdr:y>0.87599</cdr:y>
    </cdr:to>
    <cdr:sp macro="" textlink="">
      <cdr:nvSpPr>
        <cdr:cNvPr id="9" name="Text Box 8"/>
        <cdr:cNvSpPr txBox="1"/>
      </cdr:nvSpPr>
      <cdr:spPr>
        <a:xfrm xmlns:a="http://schemas.openxmlformats.org/drawingml/2006/main">
          <a:off x="3801940" y="2333226"/>
          <a:ext cx="446407" cy="224998"/>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pPr algn="ctr"/>
          <a:r>
            <a:rPr lang="lt-LT" sz="900">
              <a:latin typeface="Arial" panose="020B0604020202020204" pitchFamily="34" charset="0"/>
              <a:cs typeface="Arial" panose="020B0604020202020204" pitchFamily="34" charset="0"/>
            </a:rPr>
            <a:t>2020</a:t>
          </a:r>
        </a:p>
      </cdr:txBody>
    </cdr:sp>
  </cdr:relSizeAnchor>
  <cdr:relSizeAnchor xmlns:cdr="http://schemas.openxmlformats.org/drawingml/2006/chartDrawing">
    <cdr:from>
      <cdr:x>0.66239</cdr:x>
      <cdr:y>0.79895</cdr:y>
    </cdr:from>
    <cdr:to>
      <cdr:x>0.73436</cdr:x>
      <cdr:y>0.87599</cdr:y>
    </cdr:to>
    <cdr:sp macro="" textlink="">
      <cdr:nvSpPr>
        <cdr:cNvPr id="10" name="Text Box 9"/>
        <cdr:cNvSpPr txBox="1"/>
      </cdr:nvSpPr>
      <cdr:spPr>
        <a:xfrm xmlns:a="http://schemas.openxmlformats.org/drawingml/2006/main">
          <a:off x="4108605" y="2333226"/>
          <a:ext cx="446407" cy="224998"/>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pPr algn="ctr"/>
          <a:r>
            <a:rPr lang="lt-LT" sz="900">
              <a:latin typeface="Arial" panose="020B0604020202020204" pitchFamily="34" charset="0"/>
              <a:cs typeface="Arial" panose="020B0604020202020204" pitchFamily="34" charset="0"/>
            </a:rPr>
            <a:t>2019</a:t>
          </a:r>
        </a:p>
      </cdr:txBody>
    </cdr:sp>
  </cdr:relSizeAnchor>
  <cdr:relSizeAnchor xmlns:cdr="http://schemas.openxmlformats.org/drawingml/2006/chartDrawing">
    <cdr:from>
      <cdr:x>0.01575</cdr:x>
      <cdr:y>0.79895</cdr:y>
    </cdr:from>
    <cdr:to>
      <cdr:x>0.08771</cdr:x>
      <cdr:y>0.87599</cdr:y>
    </cdr:to>
    <cdr:sp macro="" textlink="">
      <cdr:nvSpPr>
        <cdr:cNvPr id="12" name="Text Box 11"/>
        <cdr:cNvSpPr txBox="1"/>
      </cdr:nvSpPr>
      <cdr:spPr>
        <a:xfrm xmlns:a="http://schemas.openxmlformats.org/drawingml/2006/main">
          <a:off x="97692" y="2333226"/>
          <a:ext cx="446345" cy="224998"/>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pPr algn="ctr"/>
          <a:r>
            <a:rPr lang="lt-LT" sz="900">
              <a:latin typeface="Arial" panose="020B0604020202020204" pitchFamily="34" charset="0"/>
              <a:cs typeface="Arial" panose="020B0604020202020204" pitchFamily="34" charset="0"/>
            </a:rPr>
            <a:t>2019</a:t>
          </a:r>
        </a:p>
      </cdr:txBody>
    </cdr:sp>
  </cdr:relSizeAnchor>
  <cdr:relSizeAnchor xmlns:cdr="http://schemas.openxmlformats.org/drawingml/2006/chartDrawing">
    <cdr:from>
      <cdr:x>0.92803</cdr:x>
      <cdr:y>0.79895</cdr:y>
    </cdr:from>
    <cdr:to>
      <cdr:x>1</cdr:x>
      <cdr:y>0.87599</cdr:y>
    </cdr:to>
    <cdr:sp macro="" textlink="">
      <cdr:nvSpPr>
        <cdr:cNvPr id="13" name="Text Box 12"/>
        <cdr:cNvSpPr txBox="1"/>
      </cdr:nvSpPr>
      <cdr:spPr>
        <a:xfrm xmlns:a="http://schemas.openxmlformats.org/drawingml/2006/main">
          <a:off x="5756273" y="2333226"/>
          <a:ext cx="446407" cy="224998"/>
        </a:xfrm>
        <a:prstGeom xmlns:a="http://schemas.openxmlformats.org/drawingml/2006/main" prst="rect">
          <a:avLst/>
        </a:prstGeom>
      </cdr:spPr>
      <cdr:txBody>
        <a:bodyPr xmlns:a="http://schemas.openxmlformats.org/drawingml/2006/main" vertOverflow="clip" wrap="square" rIns="36000" rtlCol="0">
          <a:spAutoFit/>
        </a:bodyPr>
        <a:lstStyle xmlns:a="http://schemas.openxmlformats.org/drawingml/2006/main"/>
        <a:p xmlns:a="http://schemas.openxmlformats.org/drawingml/2006/main">
          <a:pPr algn="r"/>
          <a:r>
            <a:rPr lang="lt-LT" sz="900">
              <a:latin typeface="Arial" panose="020B0604020202020204" pitchFamily="34" charset="0"/>
              <a:cs typeface="Arial" panose="020B0604020202020204" pitchFamily="34" charset="0"/>
            </a:rPr>
            <a:t>2020</a:t>
          </a:r>
        </a:p>
      </cdr:txBody>
    </cdr:sp>
  </cdr:relSizeAnchor>
  <cdr:relSizeAnchor xmlns:cdr="http://schemas.openxmlformats.org/drawingml/2006/chartDrawing">
    <cdr:from>
      <cdr:x>0.07874</cdr:x>
      <cdr:y>0.88982</cdr:y>
    </cdr:from>
    <cdr:to>
      <cdr:x>0.29134</cdr:x>
      <cdr:y>0.96691</cdr:y>
    </cdr:to>
    <cdr:grpSp>
      <cdr:nvGrpSpPr>
        <cdr:cNvPr id="26" name="Group 25"/>
        <cdr:cNvGrpSpPr/>
      </cdr:nvGrpSpPr>
      <cdr:grpSpPr>
        <a:xfrm xmlns:a="http://schemas.openxmlformats.org/drawingml/2006/main">
          <a:off x="512063" y="2596896"/>
          <a:ext cx="1382531" cy="224998"/>
          <a:chOff x="512063" y="2582265"/>
          <a:chExt cx="1382531" cy="224998"/>
        </a:xfrm>
      </cdr:grpSpPr>
      <cdr:sp macro="" textlink="">
        <cdr:nvSpPr>
          <cdr:cNvPr id="16" name="Rectangle 15"/>
          <cdr:cNvSpPr/>
        </cdr:nvSpPr>
        <cdr:spPr>
          <a:xfrm xmlns:a="http://schemas.openxmlformats.org/drawingml/2006/main">
            <a:off x="512063" y="2640764"/>
            <a:ext cx="108000" cy="108000"/>
          </a:xfrm>
          <a:prstGeom xmlns:a="http://schemas.openxmlformats.org/drawingml/2006/main" prst="rect">
            <a:avLst/>
          </a:prstGeom>
          <a:solidFill xmlns:a="http://schemas.openxmlformats.org/drawingml/2006/main">
            <a:srgbClr val="E66482"/>
          </a:solidFill>
          <a:ln xmlns:a="http://schemas.openxmlformats.org/drawingml/2006/main" w="635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lt-LT"/>
          </a:p>
        </cdr:txBody>
      </cdr:sp>
      <cdr:sp macro="" textlink="">
        <cdr:nvSpPr>
          <cdr:cNvPr id="18" name="Text Box 17"/>
          <cdr:cNvSpPr txBox="1"/>
        </cdr:nvSpPr>
        <cdr:spPr>
          <a:xfrm xmlns:a="http://schemas.openxmlformats.org/drawingml/2006/main">
            <a:off x="634594" y="2582265"/>
            <a:ext cx="1260000" cy="224998"/>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r>
              <a:rPr lang="lt-LT" sz="900">
                <a:latin typeface="Arial" panose="020B0604020202020204" pitchFamily="34" charset="0"/>
                <a:cs typeface="Arial" panose="020B0604020202020204" pitchFamily="34" charset="0"/>
              </a:rPr>
              <a:t>Mažmeninė prekyba</a:t>
            </a:r>
          </a:p>
        </cdr:txBody>
      </cdr:sp>
    </cdr:grpSp>
  </cdr:relSizeAnchor>
  <cdr:relSizeAnchor xmlns:cdr="http://schemas.openxmlformats.org/drawingml/2006/chartDrawing">
    <cdr:from>
      <cdr:x>0.40265</cdr:x>
      <cdr:y>0.88982</cdr:y>
    </cdr:from>
    <cdr:to>
      <cdr:x>0.61446</cdr:x>
      <cdr:y>0.96691</cdr:y>
    </cdr:to>
    <cdr:grpSp>
      <cdr:nvGrpSpPr>
        <cdr:cNvPr id="25" name="Group 24"/>
        <cdr:cNvGrpSpPr/>
      </cdr:nvGrpSpPr>
      <cdr:grpSpPr>
        <a:xfrm xmlns:a="http://schemas.openxmlformats.org/drawingml/2006/main">
          <a:off x="2618433" y="2596896"/>
          <a:ext cx="1377451" cy="224998"/>
          <a:chOff x="2618433" y="2626156"/>
          <a:chExt cx="1377451" cy="224998"/>
        </a:xfrm>
      </cdr:grpSpPr>
      <cdr:sp macro="" textlink="">
        <cdr:nvSpPr>
          <cdr:cNvPr id="19" name="Rectangle 18"/>
          <cdr:cNvSpPr/>
        </cdr:nvSpPr>
        <cdr:spPr>
          <a:xfrm xmlns:a="http://schemas.openxmlformats.org/drawingml/2006/main">
            <a:off x="2618433" y="2684655"/>
            <a:ext cx="108000" cy="108000"/>
          </a:xfrm>
          <a:prstGeom xmlns:a="http://schemas.openxmlformats.org/drawingml/2006/main" prst="rect">
            <a:avLst/>
          </a:prstGeom>
          <a:solidFill xmlns:a="http://schemas.openxmlformats.org/drawingml/2006/main">
            <a:srgbClr val="F08CA0"/>
          </a:solidFill>
          <a:ln xmlns:a="http://schemas.openxmlformats.org/drawingml/2006/main" w="635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sp macro="" textlink="">
        <cdr:nvSpPr>
          <cdr:cNvPr id="21" name="Text Box 20"/>
          <cdr:cNvSpPr txBox="1"/>
        </cdr:nvSpPr>
        <cdr:spPr>
          <a:xfrm xmlns:a="http://schemas.openxmlformats.org/drawingml/2006/main">
            <a:off x="2735884" y="2626156"/>
            <a:ext cx="1260000" cy="224998"/>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r>
              <a:rPr lang="lt-LT" sz="900">
                <a:latin typeface="Arial" panose="020B0604020202020204" pitchFamily="34" charset="0"/>
                <a:cs typeface="Arial" panose="020B0604020202020204" pitchFamily="34" charset="0"/>
              </a:rPr>
              <a:t>Maisto prekės</a:t>
            </a:r>
          </a:p>
        </cdr:txBody>
      </cdr:sp>
    </cdr:grpSp>
  </cdr:relSizeAnchor>
  <cdr:relSizeAnchor xmlns:cdr="http://schemas.openxmlformats.org/drawingml/2006/chartDrawing">
    <cdr:from>
      <cdr:x>0.73218</cdr:x>
      <cdr:y>0.88982</cdr:y>
    </cdr:from>
    <cdr:to>
      <cdr:x>0.94406</cdr:x>
      <cdr:y>0.96691</cdr:y>
    </cdr:to>
    <cdr:grpSp>
      <cdr:nvGrpSpPr>
        <cdr:cNvPr id="24" name="Group 23"/>
        <cdr:cNvGrpSpPr/>
      </cdr:nvGrpSpPr>
      <cdr:grpSpPr>
        <a:xfrm xmlns:a="http://schemas.openxmlformats.org/drawingml/2006/main">
          <a:off x="4761380" y="2596896"/>
          <a:ext cx="1377858" cy="224998"/>
          <a:chOff x="4761380" y="2567636"/>
          <a:chExt cx="1377858" cy="224998"/>
        </a:xfrm>
      </cdr:grpSpPr>
      <cdr:sp macro="" textlink="">
        <cdr:nvSpPr>
          <cdr:cNvPr id="20" name="Rectangle 19"/>
          <cdr:cNvSpPr/>
        </cdr:nvSpPr>
        <cdr:spPr>
          <a:xfrm xmlns:a="http://schemas.openxmlformats.org/drawingml/2006/main">
            <a:off x="4761380" y="2626135"/>
            <a:ext cx="108000" cy="108000"/>
          </a:xfrm>
          <a:prstGeom xmlns:a="http://schemas.openxmlformats.org/drawingml/2006/main" prst="rect">
            <a:avLst/>
          </a:prstGeom>
          <a:solidFill xmlns:a="http://schemas.openxmlformats.org/drawingml/2006/main">
            <a:srgbClr val="FABEC3"/>
          </a:solidFill>
          <a:ln xmlns:a="http://schemas.openxmlformats.org/drawingml/2006/main" w="635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sp macro="" textlink="">
        <cdr:nvSpPr>
          <cdr:cNvPr id="22" name="Text Box 21"/>
          <cdr:cNvSpPr txBox="1"/>
        </cdr:nvSpPr>
        <cdr:spPr>
          <a:xfrm xmlns:a="http://schemas.openxmlformats.org/drawingml/2006/main">
            <a:off x="4879238" y="2567636"/>
            <a:ext cx="1260000" cy="224998"/>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r>
              <a:rPr lang="lt-LT" sz="900">
                <a:latin typeface="Arial" panose="020B0604020202020204" pitchFamily="34" charset="0"/>
                <a:cs typeface="Arial" panose="020B0604020202020204" pitchFamily="34" charset="0"/>
              </a:rPr>
              <a:t>Ne maisto prekės</a:t>
            </a:r>
          </a:p>
        </cdr:txBody>
      </cdr:sp>
    </cdr:grpSp>
  </cdr:relSizeAnchor>
</c:userShapes>
</file>

<file path=word/drawings/drawing2.xml><?xml version="1.0" encoding="utf-8"?>
<c:userShapes xmlns:c="http://schemas.openxmlformats.org/drawingml/2006/chart">
  <cdr:relSizeAnchor xmlns:cdr="http://schemas.openxmlformats.org/drawingml/2006/chartDrawing">
    <cdr:from>
      <cdr:x>0.04852</cdr:x>
      <cdr:y>0.91792</cdr:y>
    </cdr:from>
    <cdr:to>
      <cdr:x>0.11627</cdr:x>
      <cdr:y>0.98667</cdr:y>
    </cdr:to>
    <cdr:sp macro="" textlink="">
      <cdr:nvSpPr>
        <cdr:cNvPr id="1025" name="Text Box 1"/>
        <cdr:cNvSpPr txBox="1">
          <a:spLocks xmlns:a="http://schemas.openxmlformats.org/drawingml/2006/main" noChangeArrowheads="1"/>
        </cdr:cNvSpPr>
      </cdr:nvSpPr>
      <cdr:spPr bwMode="auto">
        <a:xfrm xmlns:a="http://schemas.openxmlformats.org/drawingml/2006/main">
          <a:off x="302402" y="2121680"/>
          <a:ext cx="422254" cy="15890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0">
            <a:defRPr sz="1000"/>
          </a:pPr>
          <a:r>
            <a:rPr lang="lt-LT" sz="900" b="0" i="0" u="none" strike="noStrike" baseline="0">
              <a:solidFill>
                <a:srgbClr val="000000"/>
              </a:solidFill>
              <a:latin typeface="Arial"/>
              <a:cs typeface="Arial"/>
            </a:rPr>
            <a:t>2019</a:t>
          </a:r>
          <a:r>
            <a:rPr lang="lt-LT" sz="900" b="0" i="0" u="none" strike="noStrike" baseline="0">
              <a:solidFill>
                <a:srgbClr val="000000"/>
              </a:solidFill>
              <a:latin typeface="Arial"/>
              <a:ea typeface="+mn-ea"/>
              <a:cs typeface="Arial"/>
            </a:rPr>
            <a:t>                </a:t>
          </a:r>
          <a:r>
            <a:rPr lang="lt-LT" sz="900" b="1" i="0" u="none" strike="noStrike" baseline="0">
              <a:solidFill>
                <a:srgbClr val="000000"/>
              </a:solidFill>
              <a:latin typeface="Arial"/>
              <a:cs typeface="Arial"/>
            </a:rPr>
            <a:t>                                                                                                                                                                          </a:t>
          </a:r>
          <a:r>
            <a:rPr lang="lt-LT" sz="900" b="0" i="0" u="none" strike="noStrike" baseline="0">
              <a:solidFill>
                <a:srgbClr val="000000"/>
              </a:solidFill>
              <a:latin typeface="Arial"/>
              <a:cs typeface="Arial"/>
            </a:rPr>
            <a:t>  </a:t>
          </a:r>
        </a:p>
      </cdr:txBody>
    </cdr:sp>
  </cdr:relSizeAnchor>
  <cdr:relSizeAnchor xmlns:cdr="http://schemas.openxmlformats.org/drawingml/2006/chartDrawing">
    <cdr:from>
      <cdr:x>0.92515</cdr:x>
      <cdr:y>0.91489</cdr:y>
    </cdr:from>
    <cdr:to>
      <cdr:x>0.99215</cdr:x>
      <cdr:y>0.98089</cdr:y>
    </cdr:to>
    <cdr:sp macro="" textlink="">
      <cdr:nvSpPr>
        <cdr:cNvPr id="1026" name="Text Box 2"/>
        <cdr:cNvSpPr txBox="1">
          <a:spLocks xmlns:a="http://schemas.openxmlformats.org/drawingml/2006/main" noChangeArrowheads="1"/>
        </cdr:cNvSpPr>
      </cdr:nvSpPr>
      <cdr:spPr bwMode="auto">
        <a:xfrm xmlns:a="http://schemas.openxmlformats.org/drawingml/2006/main">
          <a:off x="5728404" y="2206460"/>
          <a:ext cx="414857" cy="15917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0">
            <a:defRPr sz="1000"/>
          </a:pPr>
          <a:r>
            <a:rPr lang="lt-LT" sz="900" b="0" i="0" u="none" strike="noStrike" baseline="0">
              <a:solidFill>
                <a:srgbClr val="000000"/>
              </a:solidFill>
              <a:latin typeface="Arial"/>
              <a:cs typeface="Arial"/>
            </a:rPr>
            <a:t>2020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0AB7D2F86D9524992F7F662FE4E933A" ma:contentTypeVersion="2" ma:contentTypeDescription="Kurkite naują dokumentą." ma:contentTypeScope="" ma:versionID="43e88be6171ac7401bd42ef43466c362">
  <xsd:schema xmlns:xsd="http://www.w3.org/2001/XMLSchema" xmlns:p="http://schemas.microsoft.com/office/2006/metadata/properties" xmlns:ns2="a341d734-d208-4b9c-bc9c-37362a563ed6" targetNamespace="http://schemas.microsoft.com/office/2006/metadata/properties" ma:root="true" ma:fieldsID="7a5b57ee6bfd0abd9d234b156c77817b" ns2:_="">
    <xsd:import namespace="a341d734-d208-4b9c-bc9c-37362a563ed6"/>
    <xsd:element name="properties">
      <xsd:complexType>
        <xsd:sequence>
          <xsd:element name="documentManagement">
            <xsd:complexType>
              <xsd:all>
                <xsd:element ref="ns2:Data" minOccurs="0"/>
                <xsd:element ref="ns2:Grup_x0117_" minOccurs="0"/>
              </xsd:all>
            </xsd:complexType>
          </xsd:element>
        </xsd:sequence>
      </xsd:complexType>
    </xsd:element>
  </xsd:schema>
  <xsd:schema xmlns:xsd="http://www.w3.org/2001/XMLSchema" xmlns:dms="http://schemas.microsoft.com/office/2006/documentManagement/types" targetNamespace="a341d734-d208-4b9c-bc9c-37362a563ed6" elementFormDefault="qualified">
    <xsd:import namespace="http://schemas.microsoft.com/office/2006/documentManagement/types"/>
    <xsd:element name="Data" ma:index="2" nillable="true" ma:displayName="Data" ma:internalName="Data">
      <xsd:simpleType>
        <xsd:restriction base="dms:Text">
          <xsd:maxLength value="255"/>
        </xsd:restriction>
      </xsd:simpleType>
    </xsd:element>
    <xsd:element name="Grup_x0117_" ma:index="3" nillable="true" ma:displayName="Grupė" ma:default="-" ma:format="Dropdown" ma:internalName="Grup_x0117_">
      <xsd:simpleType>
        <xsd:restriction base="dms:Choice">
          <xsd:enumeration value="-"/>
          <xsd:enumeration value="Įveskite pasirinkimą #2"/>
          <xsd:enumeration value="Įveskite pasirinkimą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urinio tipas" ma:readOnly="true"/>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Grup_x0117_ xmlns="a341d734-d208-4b9c-bc9c-37362a563ed6">-</Grup_x0117_>
    <Data xmlns="a341d734-d208-4b9c-bc9c-37362a563ed6">2019-09-10</Dat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5C736-504B-44FB-8C06-D757E8951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1d734-d208-4b9c-bc9c-37362a563e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367BCEA-10A1-466A-B082-67BADAB9580E}">
  <ds:schemaRefs>
    <ds:schemaRef ds:uri="http://schemas.microsoft.com/sharepoint/v3/contenttype/forms"/>
  </ds:schemaRefs>
</ds:datastoreItem>
</file>

<file path=customXml/itemProps3.xml><?xml version="1.0" encoding="utf-8"?>
<ds:datastoreItem xmlns:ds="http://schemas.openxmlformats.org/officeDocument/2006/customXml" ds:itemID="{6E91B09E-A455-416F-925B-74863D595E86}">
  <ds:schemaRefs>
    <ds:schemaRef ds:uri="http://schemas.microsoft.com/office/2006/metadata/properties"/>
    <ds:schemaRef ds:uri="a341d734-d208-4b9c-bc9c-37362a563ed6"/>
  </ds:schemaRefs>
</ds:datastoreItem>
</file>

<file path=customXml/itemProps4.xml><?xml version="1.0" encoding="utf-8"?>
<ds:datastoreItem xmlns:ds="http://schemas.openxmlformats.org/officeDocument/2006/customXml" ds:itemID="{F2168DF9-E567-46D5-A5FF-03468161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Informacinis_pranesimas.dotx</Template>
  <TotalTime>3</TotalTime>
  <Pages>1</Pages>
  <Words>3224</Words>
  <Characters>1838</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Informaciniai pranešimai (naujas ženklas - LOGO)</vt:lpstr>
      <vt:lpstr>Informaciniai pranešimai (naujas ženklas - LOGO)</vt:lpstr>
    </vt:vector>
  </TitlesOfParts>
  <Company>Hewlett-Packard Company</Company>
  <LinksUpToDate>false</LinksUpToDate>
  <CharactersWithSpaces>5052</CharactersWithSpaces>
  <SharedDoc>false</SharedDoc>
  <HLinks>
    <vt:vector size="12" baseType="variant">
      <vt:variant>
        <vt:i4>3997808</vt:i4>
      </vt:variant>
      <vt:variant>
        <vt:i4>3</vt:i4>
      </vt:variant>
      <vt:variant>
        <vt:i4>0</vt:i4>
      </vt:variant>
      <vt:variant>
        <vt:i4>5</vt:i4>
      </vt:variant>
      <vt:variant>
        <vt:lpwstr>http://www.osp.stat.gov.lt/</vt:lpwstr>
      </vt:variant>
      <vt:variant>
        <vt:lpwstr/>
      </vt:variant>
      <vt:variant>
        <vt:i4>7340112</vt:i4>
      </vt:variant>
      <vt:variant>
        <vt:i4>0</vt:i4>
      </vt:variant>
      <vt:variant>
        <vt:i4>0</vt:i4>
      </vt:variant>
      <vt:variant>
        <vt:i4>5</vt:i4>
      </vt:variant>
      <vt:variant>
        <vt:lpwstr>mailto:vardas.pavarde@stat.gov.lt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Informaciniai pranešimai (naujas ženklas - LOGO)</dc:title>
  <dc:creator>Alina Ramaškevičienė</dc:creator>
  <cp:lastModifiedBy>Alina Ramaškevičienė</cp:lastModifiedBy>
  <cp:revision>3</cp:revision>
  <cp:lastPrinted>2020-08-25T04:56:00Z</cp:lastPrinted>
  <dcterms:created xsi:type="dcterms:W3CDTF">2021-07-27T07:57:00Z</dcterms:created>
  <dcterms:modified xsi:type="dcterms:W3CDTF">2021-07-27T07:59:00Z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property>
  <property fmtid="{D5CDD505-2E9C-101B-9397-08002B2CF9AE}" pid="3" name="Keywords">
    <vt:lpwstr/>
  </property>
  <property fmtid="{D5CDD505-2E9C-101B-9397-08002B2CF9AE}" pid="4" name="_Author">
    <vt:lpwstr>std</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ContentType">
    <vt:lpwstr>Dokumentas</vt:lpwstr>
  </property>
  <property fmtid="{D5CDD505-2E9C-101B-9397-08002B2CF9AE}" pid="11" name="ContentTypeId">
    <vt:lpwstr>0x010100D0AB7D2F86D9524992F7F662FE4E933A</vt:lpwstr>
  </property>
  <property fmtid="{D5CDD505-2E9C-101B-9397-08002B2CF9AE}" pid="12" name="Data">
    <vt:lpwstr>2019-09-10</vt:lpwstr>
  </property>
</Properties>
</file>