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charts/chart3.xml" ContentType="application/vnd.openxmlformats-officedocument.drawingml.chart+xml"/>
  <Override PartName="/word/drawings/drawing2.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BFE" w:rsidRPr="009658BB" w:rsidRDefault="00336BFE" w:rsidP="00336BFE">
      <w:pPr>
        <w:pStyle w:val="Nrdata"/>
        <w:spacing w:before="120"/>
        <w:rPr>
          <w:lang w:val="lt-LT"/>
        </w:rPr>
      </w:pPr>
      <w:r w:rsidRPr="009658BB">
        <w:rPr>
          <w:lang w:val="lt-LT"/>
        </w:rPr>
        <w:t>20</w:t>
      </w:r>
      <w:r w:rsidR="00785498" w:rsidRPr="009658BB">
        <w:rPr>
          <w:lang w:val="lt-LT"/>
        </w:rPr>
        <w:t>2</w:t>
      </w:r>
      <w:r w:rsidR="00B8251B" w:rsidRPr="009658BB">
        <w:rPr>
          <w:lang w:val="lt-LT"/>
        </w:rPr>
        <w:t>1</w:t>
      </w:r>
      <w:r w:rsidR="00F57ACF" w:rsidRPr="009658BB">
        <w:rPr>
          <w:lang w:val="lt-LT"/>
        </w:rPr>
        <w:t> m.</w:t>
      </w:r>
      <w:r w:rsidRPr="009658BB">
        <w:rPr>
          <w:lang w:val="lt-LT"/>
        </w:rPr>
        <w:t xml:space="preserve"> </w:t>
      </w:r>
      <w:r w:rsidR="00B8251B" w:rsidRPr="009658BB">
        <w:rPr>
          <w:lang w:val="lt-LT"/>
        </w:rPr>
        <w:t>vasar</w:t>
      </w:r>
      <w:r w:rsidR="00B61FED" w:rsidRPr="009658BB">
        <w:rPr>
          <w:lang w:val="lt-LT"/>
        </w:rPr>
        <w:t>io</w:t>
      </w:r>
      <w:r w:rsidRPr="009658BB">
        <w:rPr>
          <w:lang w:val="lt-LT"/>
        </w:rPr>
        <w:t xml:space="preserve"> 2</w:t>
      </w:r>
      <w:r w:rsidR="00F04CE3" w:rsidRPr="009658BB">
        <w:rPr>
          <w:lang w:val="lt-LT"/>
        </w:rPr>
        <w:t>3</w:t>
      </w:r>
      <w:r w:rsidRPr="009658BB">
        <w:rPr>
          <w:lang w:val="lt-LT"/>
        </w:rPr>
        <w:t xml:space="preserve"> d., Vilnius</w:t>
      </w:r>
    </w:p>
    <w:p w:rsidR="00336BFE" w:rsidRPr="009658BB" w:rsidRDefault="002A20FB" w:rsidP="00336BFE">
      <w:pPr>
        <w:pStyle w:val="Lentelespav"/>
        <w:jc w:val="both"/>
        <w:rPr>
          <w:b w:val="0"/>
          <w:sz w:val="18"/>
          <w:szCs w:val="18"/>
          <w:lang w:val="lt-LT"/>
        </w:rPr>
      </w:pPr>
      <w:r>
        <w:rPr>
          <w:noProof/>
          <w:color w:val="1F497D"/>
          <w:lang w:val="lt-LT" w:eastAsia="lt-LT"/>
        </w:rPr>
        <w:drawing>
          <wp:inline distT="0" distB="0" distL="0" distR="0">
            <wp:extent cx="648335" cy="757555"/>
            <wp:effectExtent l="0" t="0" r="0" b="4445"/>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8335" cy="757555"/>
                    </a:xfrm>
                    <a:prstGeom prst="rect">
                      <a:avLst/>
                    </a:prstGeom>
                    <a:noFill/>
                    <a:ln>
                      <a:noFill/>
                    </a:ln>
                  </pic:spPr>
                </pic:pic>
              </a:graphicData>
            </a:graphic>
          </wp:inline>
        </w:drawing>
      </w:r>
    </w:p>
    <w:p w:rsidR="00336BFE" w:rsidRDefault="00336BFE" w:rsidP="00336BFE">
      <w:pPr>
        <w:pStyle w:val="Lentelespav"/>
        <w:jc w:val="both"/>
        <w:rPr>
          <w:b w:val="0"/>
          <w:sz w:val="18"/>
          <w:szCs w:val="18"/>
          <w:lang w:val="lt-LT"/>
        </w:rPr>
      </w:pPr>
    </w:p>
    <w:p w:rsidR="002A20FB" w:rsidRPr="009658BB" w:rsidRDefault="002A20FB" w:rsidP="00336BFE">
      <w:pPr>
        <w:pStyle w:val="Lentelespav"/>
        <w:jc w:val="both"/>
        <w:rPr>
          <w:b w:val="0"/>
          <w:sz w:val="18"/>
          <w:szCs w:val="18"/>
          <w:lang w:val="lt-LT"/>
        </w:rPr>
      </w:pPr>
    </w:p>
    <w:p w:rsidR="00336BFE" w:rsidRPr="009658BB" w:rsidRDefault="005700EC" w:rsidP="00336BFE">
      <w:pPr>
        <w:pStyle w:val="Antraste"/>
        <w:jc w:val="left"/>
        <w:rPr>
          <w:lang w:val="lt-LT"/>
        </w:rPr>
      </w:pPr>
      <w:r w:rsidRPr="009658BB">
        <w:rPr>
          <w:caps w:val="0"/>
          <w:lang w:val="lt-LT"/>
        </w:rPr>
        <w:t>Laisvos darbo vietos</w:t>
      </w:r>
    </w:p>
    <w:p w:rsidR="00336BFE" w:rsidRPr="009658BB" w:rsidRDefault="00336BFE" w:rsidP="00336BFE">
      <w:pPr>
        <w:pStyle w:val="Lentelespav"/>
        <w:jc w:val="both"/>
        <w:rPr>
          <w:b w:val="0"/>
          <w:sz w:val="18"/>
          <w:szCs w:val="18"/>
          <w:lang w:val="lt-LT"/>
        </w:rPr>
      </w:pPr>
    </w:p>
    <w:p w:rsidR="00336BFE" w:rsidRPr="009658BB" w:rsidRDefault="00336BFE" w:rsidP="000A6EAC">
      <w:pPr>
        <w:pStyle w:val="Pagrtekstas"/>
        <w:numPr>
          <w:ilvl w:val="0"/>
          <w:numId w:val="4"/>
        </w:numPr>
        <w:spacing w:before="120"/>
        <w:ind w:left="284" w:hanging="284"/>
        <w:rPr>
          <w:lang w:val="lt-LT"/>
        </w:rPr>
      </w:pPr>
      <w:r w:rsidRPr="009658BB">
        <w:rPr>
          <w:b/>
          <w:lang w:val="lt-LT"/>
        </w:rPr>
        <w:t>20</w:t>
      </w:r>
      <w:r w:rsidR="00B81BD9" w:rsidRPr="009658BB">
        <w:rPr>
          <w:b/>
          <w:lang w:val="lt-LT"/>
        </w:rPr>
        <w:t>20</w:t>
      </w:r>
      <w:r w:rsidR="00F57ACF" w:rsidRPr="009658BB">
        <w:rPr>
          <w:b/>
          <w:lang w:val="lt-LT"/>
        </w:rPr>
        <w:t> m.</w:t>
      </w:r>
      <w:r w:rsidRPr="009658BB">
        <w:rPr>
          <w:b/>
          <w:lang w:val="lt-LT"/>
        </w:rPr>
        <w:t xml:space="preserve"> </w:t>
      </w:r>
      <w:r w:rsidR="00B8251B" w:rsidRPr="009658BB">
        <w:rPr>
          <w:b/>
          <w:lang w:val="lt-LT"/>
        </w:rPr>
        <w:t>ketvirtojo</w:t>
      </w:r>
      <w:r w:rsidRPr="009658BB">
        <w:rPr>
          <w:b/>
          <w:lang w:val="lt-LT"/>
        </w:rPr>
        <w:t xml:space="preserve"> ketvirčio pabaigoje šalyje buvo 1</w:t>
      </w:r>
      <w:r w:rsidR="00B8251B" w:rsidRPr="009658BB">
        <w:rPr>
          <w:b/>
          <w:lang w:val="lt-LT"/>
        </w:rPr>
        <w:t>5</w:t>
      </w:r>
      <w:r w:rsidR="00787422" w:rsidRPr="009658BB">
        <w:rPr>
          <w:b/>
          <w:lang w:val="lt-LT"/>
        </w:rPr>
        <w:t>,</w:t>
      </w:r>
      <w:r w:rsidR="002F3541" w:rsidRPr="009658BB">
        <w:rPr>
          <w:b/>
          <w:lang w:val="lt-LT"/>
        </w:rPr>
        <w:t>6</w:t>
      </w:r>
      <w:r w:rsidR="009658BB" w:rsidRPr="009658BB">
        <w:rPr>
          <w:b/>
          <w:lang w:val="lt-LT"/>
        </w:rPr>
        <w:t> tūkst.</w:t>
      </w:r>
      <w:r w:rsidRPr="009658BB">
        <w:rPr>
          <w:b/>
          <w:lang w:val="lt-LT"/>
        </w:rPr>
        <w:t xml:space="preserve"> </w:t>
      </w:r>
      <w:r w:rsidRPr="009658BB">
        <w:rPr>
          <w:b/>
          <w:color w:val="9BBB59" w:themeColor="accent3"/>
          <w:lang w:val="lt-LT"/>
        </w:rPr>
        <w:t xml:space="preserve">laisvų darbo vietų </w:t>
      </w:r>
      <w:r w:rsidRPr="009658BB">
        <w:rPr>
          <w:b/>
          <w:lang w:val="lt-LT"/>
        </w:rPr>
        <w:t>samdomiesiems darbuotojams</w:t>
      </w:r>
      <w:r w:rsidR="003C0C7C" w:rsidRPr="009658BB">
        <w:rPr>
          <w:lang w:val="lt-LT"/>
        </w:rPr>
        <w:t xml:space="preserve"> – </w:t>
      </w:r>
      <w:r w:rsidR="00B8251B" w:rsidRPr="009658BB">
        <w:rPr>
          <w:lang w:val="lt-LT"/>
        </w:rPr>
        <w:t>2</w:t>
      </w:r>
      <w:r w:rsidR="00B224DD" w:rsidRPr="009658BB">
        <w:rPr>
          <w:lang w:val="lt-LT"/>
        </w:rPr>
        <w:t>,</w:t>
      </w:r>
      <w:r w:rsidR="00B8251B" w:rsidRPr="009658BB">
        <w:rPr>
          <w:lang w:val="lt-LT"/>
        </w:rPr>
        <w:t>7</w:t>
      </w:r>
      <w:r w:rsidR="009658BB" w:rsidRPr="009658BB">
        <w:rPr>
          <w:lang w:val="lt-LT"/>
        </w:rPr>
        <w:t> tūkst.</w:t>
      </w:r>
      <w:r w:rsidRPr="009658BB">
        <w:rPr>
          <w:lang w:val="lt-LT"/>
        </w:rPr>
        <w:t xml:space="preserve">, arba </w:t>
      </w:r>
      <w:r w:rsidR="00B8251B" w:rsidRPr="009658BB">
        <w:rPr>
          <w:lang w:val="lt-LT"/>
        </w:rPr>
        <w:t>14</w:t>
      </w:r>
      <w:r w:rsidR="00632802" w:rsidRPr="009658BB">
        <w:rPr>
          <w:lang w:val="lt-LT"/>
        </w:rPr>
        <w:t>,</w:t>
      </w:r>
      <w:r w:rsidR="00BB2ED3" w:rsidRPr="009658BB">
        <w:rPr>
          <w:lang w:val="lt-LT"/>
        </w:rPr>
        <w:t>9</w:t>
      </w:r>
      <w:r w:rsidR="009658BB" w:rsidRPr="009658BB">
        <w:rPr>
          <w:lang w:val="lt-LT"/>
        </w:rPr>
        <w:t> proc.</w:t>
      </w:r>
      <w:r w:rsidRPr="009658BB">
        <w:rPr>
          <w:lang w:val="lt-LT"/>
        </w:rPr>
        <w:t xml:space="preserve">, </w:t>
      </w:r>
      <w:r w:rsidR="00B8251B" w:rsidRPr="009658BB">
        <w:rPr>
          <w:lang w:val="lt-LT"/>
        </w:rPr>
        <w:t>mažiau</w:t>
      </w:r>
      <w:r w:rsidRPr="009658BB">
        <w:rPr>
          <w:lang w:val="lt-LT"/>
        </w:rPr>
        <w:t xml:space="preserve"> nei 20</w:t>
      </w:r>
      <w:r w:rsidR="00B61FED" w:rsidRPr="009658BB">
        <w:rPr>
          <w:lang w:val="lt-LT"/>
        </w:rPr>
        <w:t>20</w:t>
      </w:r>
      <w:r w:rsidR="00F57ACF" w:rsidRPr="009658BB">
        <w:rPr>
          <w:lang w:val="lt-LT"/>
        </w:rPr>
        <w:t> m.</w:t>
      </w:r>
      <w:r w:rsidRPr="009658BB">
        <w:rPr>
          <w:lang w:val="lt-LT"/>
        </w:rPr>
        <w:t xml:space="preserve"> </w:t>
      </w:r>
      <w:r w:rsidR="00B8251B" w:rsidRPr="009658BB">
        <w:rPr>
          <w:lang w:val="lt-LT"/>
        </w:rPr>
        <w:t>trečiąjį</w:t>
      </w:r>
      <w:r w:rsidRPr="009658BB">
        <w:rPr>
          <w:lang w:val="lt-LT"/>
        </w:rPr>
        <w:t xml:space="preserve"> ketvirtį</w:t>
      </w:r>
      <w:r w:rsidR="006524D3" w:rsidRPr="009658BB">
        <w:rPr>
          <w:lang w:val="lt-LT"/>
        </w:rPr>
        <w:t xml:space="preserve"> </w:t>
      </w:r>
      <w:r w:rsidR="000A6EAC" w:rsidRPr="009658BB">
        <w:rPr>
          <w:lang w:val="lt-LT"/>
        </w:rPr>
        <w:t>ir 1,6</w:t>
      </w:r>
      <w:r w:rsidR="009658BB" w:rsidRPr="009658BB">
        <w:rPr>
          <w:lang w:val="lt-LT"/>
        </w:rPr>
        <w:t> tūkst.</w:t>
      </w:r>
      <w:r w:rsidR="000A6EAC" w:rsidRPr="009658BB">
        <w:rPr>
          <w:lang w:val="lt-LT"/>
        </w:rPr>
        <w:t>, arba</w:t>
      </w:r>
      <w:r w:rsidR="009658BB">
        <w:rPr>
          <w:lang w:val="lt-LT"/>
        </w:rPr>
        <w:t xml:space="preserve"> </w:t>
      </w:r>
      <w:r w:rsidR="000A6EAC" w:rsidRPr="009658BB">
        <w:rPr>
          <w:lang w:val="lt-LT"/>
        </w:rPr>
        <w:t>9,</w:t>
      </w:r>
      <w:r w:rsidR="00002CB3" w:rsidRPr="009658BB">
        <w:rPr>
          <w:lang w:val="lt-LT"/>
        </w:rPr>
        <w:t>4</w:t>
      </w:r>
      <w:r w:rsidR="009658BB" w:rsidRPr="009658BB">
        <w:rPr>
          <w:lang w:val="lt-LT"/>
        </w:rPr>
        <w:t> proc.</w:t>
      </w:r>
      <w:r w:rsidR="000A6EAC" w:rsidRPr="009658BB">
        <w:rPr>
          <w:lang w:val="lt-LT"/>
        </w:rPr>
        <w:t>, mažiau nei prieš metus.</w:t>
      </w:r>
    </w:p>
    <w:p w:rsidR="00336BFE" w:rsidRPr="009658BB" w:rsidRDefault="000A6EAC" w:rsidP="00B61FED">
      <w:pPr>
        <w:pStyle w:val="Pagrtekstas"/>
        <w:numPr>
          <w:ilvl w:val="0"/>
          <w:numId w:val="4"/>
        </w:numPr>
        <w:spacing w:before="120"/>
        <w:ind w:left="284" w:hanging="284"/>
        <w:rPr>
          <w:lang w:val="lt-LT"/>
        </w:rPr>
      </w:pPr>
      <w:r w:rsidRPr="009658BB">
        <w:rPr>
          <w:lang w:val="lt-LT"/>
        </w:rPr>
        <w:t>Labiausiai</w:t>
      </w:r>
      <w:r w:rsidR="009658BB">
        <w:rPr>
          <w:lang w:val="lt-LT"/>
        </w:rPr>
        <w:t xml:space="preserve"> </w:t>
      </w:r>
      <w:r w:rsidRPr="009658BB">
        <w:rPr>
          <w:lang w:val="lt-LT"/>
        </w:rPr>
        <w:t>– 1,1</w:t>
      </w:r>
      <w:r w:rsidR="009658BB" w:rsidRPr="009658BB">
        <w:rPr>
          <w:lang w:val="lt-LT"/>
        </w:rPr>
        <w:t> tūkst.</w:t>
      </w:r>
      <w:r w:rsidR="009658BB">
        <w:rPr>
          <w:lang w:val="lt-LT"/>
        </w:rPr>
        <w:t xml:space="preserve"> </w:t>
      </w:r>
      <w:r w:rsidRPr="009658BB">
        <w:rPr>
          <w:lang w:val="lt-LT"/>
        </w:rPr>
        <w:t xml:space="preserve">– laisvų darbo vietų sumažėjo transporto </w:t>
      </w:r>
      <w:r w:rsidR="00AC484F" w:rsidRPr="009658BB">
        <w:rPr>
          <w:lang w:val="lt-LT"/>
        </w:rPr>
        <w:t xml:space="preserve">ir saugojimo veiklos </w:t>
      </w:r>
      <w:r w:rsidRPr="009658BB">
        <w:rPr>
          <w:lang w:val="lt-LT"/>
        </w:rPr>
        <w:t xml:space="preserve">įmonėse. </w:t>
      </w:r>
      <w:r w:rsidR="00457528" w:rsidRPr="009658BB">
        <w:rPr>
          <w:lang w:val="lt-LT"/>
        </w:rPr>
        <w:t xml:space="preserve">Prekybos įmonėse </w:t>
      </w:r>
      <w:r w:rsidRPr="009658BB">
        <w:rPr>
          <w:lang w:val="lt-LT"/>
        </w:rPr>
        <w:t>jų buvo 0,6</w:t>
      </w:r>
      <w:r w:rsidR="009658BB" w:rsidRPr="009658BB">
        <w:rPr>
          <w:lang w:val="lt-LT"/>
        </w:rPr>
        <w:t> tūkst.</w:t>
      </w:r>
      <w:r w:rsidRPr="009658BB">
        <w:rPr>
          <w:lang w:val="lt-LT"/>
        </w:rPr>
        <w:t xml:space="preserve"> mažiau, statybos</w:t>
      </w:r>
      <w:r w:rsidR="009658BB">
        <w:rPr>
          <w:lang w:val="lt-LT"/>
        </w:rPr>
        <w:t xml:space="preserve"> </w:t>
      </w:r>
      <w:r w:rsidRPr="009658BB">
        <w:rPr>
          <w:lang w:val="lt-LT"/>
        </w:rPr>
        <w:t>–</w:t>
      </w:r>
      <w:r w:rsidR="009658BB">
        <w:rPr>
          <w:lang w:val="lt-LT"/>
        </w:rPr>
        <w:t xml:space="preserve"> </w:t>
      </w:r>
      <w:r w:rsidRPr="009658BB">
        <w:rPr>
          <w:lang w:val="lt-LT"/>
        </w:rPr>
        <w:t>0,3</w:t>
      </w:r>
      <w:r w:rsidR="009658BB" w:rsidRPr="009658BB">
        <w:rPr>
          <w:lang w:val="lt-LT"/>
        </w:rPr>
        <w:t> tūkst.</w:t>
      </w:r>
      <w:r w:rsidRPr="009658BB">
        <w:rPr>
          <w:lang w:val="lt-LT"/>
        </w:rPr>
        <w:t xml:space="preserve"> mažiau nei 2020 m. trečiąjį ketvirtį</w:t>
      </w:r>
      <w:r w:rsidR="00336BFE" w:rsidRPr="009658BB">
        <w:rPr>
          <w:lang w:val="lt-LT"/>
        </w:rPr>
        <w:t>.</w:t>
      </w:r>
      <w:r w:rsidR="00E327F9" w:rsidRPr="009658BB">
        <w:rPr>
          <w:lang w:val="lt-LT"/>
        </w:rPr>
        <w:t xml:space="preserve"> </w:t>
      </w:r>
    </w:p>
    <w:p w:rsidR="00593305" w:rsidRPr="009658BB" w:rsidRDefault="00593305" w:rsidP="00593305">
      <w:pPr>
        <w:pStyle w:val="Pagrtekstas"/>
        <w:numPr>
          <w:ilvl w:val="0"/>
          <w:numId w:val="4"/>
        </w:numPr>
        <w:spacing w:before="120"/>
        <w:ind w:left="284" w:hanging="284"/>
        <w:rPr>
          <w:lang w:val="lt-LT"/>
        </w:rPr>
      </w:pPr>
      <w:r w:rsidRPr="009658BB">
        <w:rPr>
          <w:lang w:val="lt-LT"/>
        </w:rPr>
        <w:t xml:space="preserve">Laisvų darbo vietų šiek tiek padaugėjo </w:t>
      </w:r>
      <w:r w:rsidRPr="009658BB">
        <w:rPr>
          <w:rFonts w:cs="Arial"/>
          <w:szCs w:val="19"/>
          <w:lang w:val="lt-LT"/>
        </w:rPr>
        <w:t>administracinės ir aptarnavimo veiklos</w:t>
      </w:r>
      <w:r w:rsidRPr="009658BB">
        <w:rPr>
          <w:lang w:val="lt-LT"/>
        </w:rPr>
        <w:t xml:space="preserve"> įmonėse – jų buvo</w:t>
      </w:r>
      <w:r w:rsidR="009658BB">
        <w:rPr>
          <w:lang w:val="lt-LT"/>
        </w:rPr>
        <w:t xml:space="preserve"> </w:t>
      </w:r>
      <w:r w:rsidRPr="009658BB">
        <w:rPr>
          <w:lang w:val="lt-LT"/>
        </w:rPr>
        <w:t>0,1</w:t>
      </w:r>
      <w:r w:rsidR="009658BB" w:rsidRPr="009658BB">
        <w:rPr>
          <w:lang w:val="lt-LT"/>
        </w:rPr>
        <w:t> tūkst.</w:t>
      </w:r>
      <w:r w:rsidRPr="009658BB">
        <w:rPr>
          <w:lang w:val="lt-LT"/>
        </w:rPr>
        <w:t xml:space="preserve"> daugiau nei 2020 m. trečiąjį ketvirtį.</w:t>
      </w:r>
    </w:p>
    <w:p w:rsidR="00336BFE" w:rsidRPr="009658BB" w:rsidRDefault="00336BFE" w:rsidP="009E278E">
      <w:pPr>
        <w:pStyle w:val="Pagrtekstas"/>
        <w:numPr>
          <w:ilvl w:val="0"/>
          <w:numId w:val="5"/>
        </w:numPr>
        <w:spacing w:before="120"/>
        <w:ind w:left="284" w:hanging="284"/>
        <w:rPr>
          <w:lang w:val="lt-LT"/>
        </w:rPr>
      </w:pPr>
      <w:r w:rsidRPr="009658BB">
        <w:rPr>
          <w:lang w:val="lt-LT"/>
        </w:rPr>
        <w:t>20</w:t>
      </w:r>
      <w:r w:rsidR="00B81BD9" w:rsidRPr="009658BB">
        <w:rPr>
          <w:lang w:val="lt-LT"/>
        </w:rPr>
        <w:t>20</w:t>
      </w:r>
      <w:r w:rsidR="00F57ACF" w:rsidRPr="009658BB">
        <w:rPr>
          <w:lang w:val="lt-LT"/>
        </w:rPr>
        <w:t> m.</w:t>
      </w:r>
      <w:r w:rsidRPr="009658BB">
        <w:rPr>
          <w:lang w:val="lt-LT"/>
        </w:rPr>
        <w:t xml:space="preserve"> </w:t>
      </w:r>
      <w:r w:rsidR="00593305" w:rsidRPr="009658BB">
        <w:rPr>
          <w:lang w:val="lt-LT"/>
        </w:rPr>
        <w:t>ketvirtojo</w:t>
      </w:r>
      <w:r w:rsidRPr="009658BB">
        <w:rPr>
          <w:lang w:val="lt-LT"/>
        </w:rPr>
        <w:t xml:space="preserve"> ketvirčio pabaigoje </w:t>
      </w:r>
      <w:r w:rsidRPr="009658BB">
        <w:rPr>
          <w:color w:val="9BBB59" w:themeColor="accent3"/>
          <w:lang w:val="lt-LT"/>
        </w:rPr>
        <w:t xml:space="preserve">laisvų darbo vietų lygis </w:t>
      </w:r>
      <w:r w:rsidRPr="009658BB">
        <w:rPr>
          <w:lang w:val="lt-LT"/>
        </w:rPr>
        <w:t>šalyje siekė 1,</w:t>
      </w:r>
      <w:r w:rsidR="00593305" w:rsidRPr="009658BB">
        <w:rPr>
          <w:lang w:val="lt-LT"/>
        </w:rPr>
        <w:t>2</w:t>
      </w:r>
      <w:r w:rsidR="009658BB" w:rsidRPr="009658BB">
        <w:rPr>
          <w:lang w:val="lt-LT"/>
        </w:rPr>
        <w:t> proc.</w:t>
      </w:r>
      <w:r w:rsidR="003C0C7C" w:rsidRPr="009658BB">
        <w:rPr>
          <w:lang w:val="lt-LT"/>
        </w:rPr>
        <w:t xml:space="preserve"> – </w:t>
      </w:r>
      <w:r w:rsidR="00AB06CC" w:rsidRPr="009658BB">
        <w:rPr>
          <w:lang w:val="lt-LT"/>
        </w:rPr>
        <w:t>tai 0,</w:t>
      </w:r>
      <w:r w:rsidR="00593305" w:rsidRPr="009658BB">
        <w:rPr>
          <w:lang w:val="lt-LT"/>
        </w:rPr>
        <w:t>2</w:t>
      </w:r>
      <w:r w:rsidR="00AB06CC" w:rsidRPr="009658BB">
        <w:rPr>
          <w:lang w:val="lt-LT"/>
        </w:rPr>
        <w:t xml:space="preserve"> procentinio punkto </w:t>
      </w:r>
      <w:r w:rsidR="00593305" w:rsidRPr="009658BB">
        <w:rPr>
          <w:lang w:val="lt-LT"/>
        </w:rPr>
        <w:t>mažiau</w:t>
      </w:r>
      <w:r w:rsidR="00AB06CC" w:rsidRPr="009658BB">
        <w:rPr>
          <w:lang w:val="lt-LT"/>
        </w:rPr>
        <w:t xml:space="preserve"> nei </w:t>
      </w:r>
      <w:r w:rsidR="00593305" w:rsidRPr="009658BB">
        <w:rPr>
          <w:lang w:val="lt-LT"/>
        </w:rPr>
        <w:t>trečiąj</w:t>
      </w:r>
      <w:r w:rsidR="00DF0B0C" w:rsidRPr="009658BB">
        <w:rPr>
          <w:lang w:val="lt-LT"/>
        </w:rPr>
        <w:t>į</w:t>
      </w:r>
      <w:r w:rsidR="00AB06CC" w:rsidRPr="009658BB">
        <w:rPr>
          <w:lang w:val="lt-LT"/>
        </w:rPr>
        <w:t xml:space="preserve"> 20</w:t>
      </w:r>
      <w:r w:rsidR="00DF0B0C" w:rsidRPr="009658BB">
        <w:rPr>
          <w:lang w:val="lt-LT"/>
        </w:rPr>
        <w:t>20</w:t>
      </w:r>
      <w:r w:rsidR="00F57ACF" w:rsidRPr="009658BB">
        <w:rPr>
          <w:lang w:val="lt-LT"/>
        </w:rPr>
        <w:t> m.</w:t>
      </w:r>
      <w:r w:rsidR="00AB06CC" w:rsidRPr="009658BB">
        <w:rPr>
          <w:lang w:val="lt-LT"/>
        </w:rPr>
        <w:t xml:space="preserve"> ketvirtį</w:t>
      </w:r>
      <w:r w:rsidR="00F70B35" w:rsidRPr="009658BB">
        <w:rPr>
          <w:lang w:val="lt-LT"/>
        </w:rPr>
        <w:t xml:space="preserve"> </w:t>
      </w:r>
      <w:r w:rsidR="00593305" w:rsidRPr="009658BB">
        <w:rPr>
          <w:lang w:val="lt-LT"/>
        </w:rPr>
        <w:t>ir 0,1</w:t>
      </w:r>
      <w:r w:rsidR="009658BB">
        <w:rPr>
          <w:lang w:val="lt-LT"/>
        </w:rPr>
        <w:t> </w:t>
      </w:r>
      <w:r w:rsidR="00593305" w:rsidRPr="009658BB">
        <w:rPr>
          <w:lang w:val="lt-LT"/>
        </w:rPr>
        <w:t>procentinio punkto mažiau nei prieš metus</w:t>
      </w:r>
      <w:r w:rsidR="00A972DD" w:rsidRPr="009658BB">
        <w:rPr>
          <w:lang w:val="lt-LT"/>
        </w:rPr>
        <w:t>.</w:t>
      </w:r>
    </w:p>
    <w:p w:rsidR="00336BFE" w:rsidRPr="009658BB" w:rsidRDefault="00336BFE" w:rsidP="00336BFE">
      <w:pPr>
        <w:rPr>
          <w:lang w:val="lt-LT"/>
        </w:rPr>
      </w:pPr>
    </w:p>
    <w:p w:rsidR="001D7B6A" w:rsidRPr="009658BB" w:rsidRDefault="001D7B6A" w:rsidP="001D7B6A">
      <w:pPr>
        <w:pStyle w:val="Lentelespav"/>
        <w:keepNext/>
        <w:keepLines/>
        <w:spacing w:after="60"/>
        <w:jc w:val="left"/>
        <w:outlineLvl w:val="9"/>
        <w:rPr>
          <w:lang w:val="lt-LT"/>
        </w:rPr>
      </w:pPr>
      <w:r w:rsidRPr="009658BB">
        <w:rPr>
          <w:lang w:val="lt-LT"/>
        </w:rPr>
        <w:t xml:space="preserve">1 pav. </w:t>
      </w:r>
      <w:hyperlink r:id="rId13" w:anchor="/" w:history="1">
        <w:r w:rsidRPr="009658BB">
          <w:rPr>
            <w:lang w:val="lt-LT"/>
          </w:rPr>
          <w:t>Laisvų darbo vietų skaičius ir laisvų darbo vietų lygis ketvirčiais</w:t>
        </w:r>
      </w:hyperlink>
    </w:p>
    <w:p w:rsidR="001D7B6A" w:rsidRPr="009658BB" w:rsidRDefault="004F58DC" w:rsidP="001D7B6A">
      <w:pPr>
        <w:rPr>
          <w:lang w:val="lt-LT"/>
        </w:rPr>
      </w:pPr>
      <w:r w:rsidRPr="009658BB">
        <w:rPr>
          <w:b/>
          <w:i/>
          <w:noProof/>
          <w:color w:val="000000"/>
          <w:sz w:val="16"/>
          <w:lang w:val="lt-LT" w:eastAsia="lt-LT"/>
        </w:rPr>
        <w:drawing>
          <wp:inline distT="0" distB="0" distL="0" distR="0" wp14:anchorId="19AFAEA9" wp14:editId="03CC42CB">
            <wp:extent cx="6120130" cy="2589430"/>
            <wp:effectExtent l="0" t="0" r="0" b="0"/>
            <wp:docPr id="2" name="Objec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36BFE" w:rsidRPr="009658BB" w:rsidRDefault="00336BFE" w:rsidP="00BA0372">
      <w:pPr>
        <w:pStyle w:val="Pagrtekstas"/>
        <w:numPr>
          <w:ilvl w:val="0"/>
          <w:numId w:val="5"/>
        </w:numPr>
        <w:spacing w:before="120"/>
        <w:ind w:left="284" w:hanging="284"/>
        <w:rPr>
          <w:lang w:val="lt-LT"/>
        </w:rPr>
      </w:pPr>
      <w:r w:rsidRPr="009658BB">
        <w:rPr>
          <w:lang w:val="lt-LT"/>
        </w:rPr>
        <w:t>Aukščiausias laisvų darbo vietų lygis 20</w:t>
      </w:r>
      <w:r w:rsidR="00647C48" w:rsidRPr="009658BB">
        <w:rPr>
          <w:lang w:val="lt-LT"/>
        </w:rPr>
        <w:t>20</w:t>
      </w:r>
      <w:r w:rsidR="00F57ACF" w:rsidRPr="009658BB">
        <w:rPr>
          <w:lang w:val="lt-LT"/>
        </w:rPr>
        <w:t> m.</w:t>
      </w:r>
      <w:r w:rsidRPr="009658BB">
        <w:rPr>
          <w:lang w:val="lt-LT"/>
        </w:rPr>
        <w:t xml:space="preserve"> </w:t>
      </w:r>
      <w:r w:rsidR="00593305" w:rsidRPr="009658BB">
        <w:rPr>
          <w:lang w:val="lt-LT"/>
        </w:rPr>
        <w:t xml:space="preserve">ketvirtąjį </w:t>
      </w:r>
      <w:r w:rsidRPr="009658BB">
        <w:rPr>
          <w:lang w:val="lt-LT"/>
        </w:rPr>
        <w:t xml:space="preserve">ketvirtį buvo </w:t>
      </w:r>
      <w:r w:rsidR="00EB6C02" w:rsidRPr="009658BB">
        <w:rPr>
          <w:lang w:val="lt-LT"/>
        </w:rPr>
        <w:t xml:space="preserve">viešojo valdymo </w:t>
      </w:r>
      <w:r w:rsidRPr="009658BB">
        <w:rPr>
          <w:lang w:val="lt-LT"/>
        </w:rPr>
        <w:t xml:space="preserve">ir </w:t>
      </w:r>
      <w:r w:rsidR="00EB6C02" w:rsidRPr="009658BB">
        <w:rPr>
          <w:lang w:val="lt-LT"/>
        </w:rPr>
        <w:t>gynybos</w:t>
      </w:r>
      <w:r w:rsidR="0027529E" w:rsidRPr="009658BB">
        <w:rPr>
          <w:lang w:val="lt-LT"/>
        </w:rPr>
        <w:t xml:space="preserve">; </w:t>
      </w:r>
      <w:r w:rsidR="00EB6C02" w:rsidRPr="009658BB">
        <w:rPr>
          <w:lang w:val="lt-LT"/>
        </w:rPr>
        <w:t xml:space="preserve">privalomojo socialinio draudimo </w:t>
      </w:r>
      <w:r w:rsidR="007A416A" w:rsidRPr="009658BB">
        <w:rPr>
          <w:lang w:val="lt-LT"/>
        </w:rPr>
        <w:t>(3</w:t>
      </w:r>
      <w:r w:rsidR="009658BB" w:rsidRPr="009658BB">
        <w:rPr>
          <w:lang w:val="lt-LT"/>
        </w:rPr>
        <w:t> proc.</w:t>
      </w:r>
      <w:r w:rsidRPr="009658BB">
        <w:rPr>
          <w:lang w:val="lt-LT"/>
        </w:rPr>
        <w:t>),</w:t>
      </w:r>
      <w:r w:rsidR="0027529E" w:rsidRPr="009658BB">
        <w:rPr>
          <w:lang w:val="lt-LT"/>
        </w:rPr>
        <w:t xml:space="preserve"> </w:t>
      </w:r>
      <w:r w:rsidR="00BB662B" w:rsidRPr="009658BB">
        <w:rPr>
          <w:lang w:val="lt-LT"/>
        </w:rPr>
        <w:t xml:space="preserve">informacijos ir ryšių, </w:t>
      </w:r>
      <w:r w:rsidR="00DF0B0C" w:rsidRPr="009658BB">
        <w:rPr>
          <w:lang w:val="lt-LT"/>
        </w:rPr>
        <w:t>finansinės ir draudimo</w:t>
      </w:r>
      <w:r w:rsidR="00BB662B" w:rsidRPr="009658BB">
        <w:rPr>
          <w:lang w:val="lt-LT"/>
        </w:rPr>
        <w:t>, administracinės ir aptarnavimo</w:t>
      </w:r>
      <w:r w:rsidR="00DF0B0C" w:rsidRPr="009658BB">
        <w:rPr>
          <w:lang w:val="lt-LT"/>
        </w:rPr>
        <w:t xml:space="preserve"> veiklos įmonėse (</w:t>
      </w:r>
      <w:r w:rsidR="00A972DD" w:rsidRPr="009658BB">
        <w:rPr>
          <w:lang w:val="lt-LT"/>
        </w:rPr>
        <w:t>po</w:t>
      </w:r>
      <w:r w:rsidR="00D36213" w:rsidRPr="009658BB">
        <w:rPr>
          <w:lang w:val="lt-LT"/>
        </w:rPr>
        <w:t> </w:t>
      </w:r>
      <w:r w:rsidR="00DF0B0C" w:rsidRPr="009658BB">
        <w:rPr>
          <w:lang w:val="lt-LT"/>
        </w:rPr>
        <w:t>2</w:t>
      </w:r>
      <w:r w:rsidR="00A972DD" w:rsidRPr="009658BB">
        <w:rPr>
          <w:lang w:val="lt-LT"/>
        </w:rPr>
        <w:t>,</w:t>
      </w:r>
      <w:r w:rsidR="00BB662B" w:rsidRPr="009658BB">
        <w:rPr>
          <w:lang w:val="lt-LT"/>
        </w:rPr>
        <w:t>2</w:t>
      </w:r>
      <w:r w:rsidR="009658BB" w:rsidRPr="009658BB">
        <w:rPr>
          <w:lang w:val="lt-LT"/>
        </w:rPr>
        <w:t> proc.</w:t>
      </w:r>
      <w:r w:rsidR="00DF0B0C" w:rsidRPr="009658BB">
        <w:rPr>
          <w:lang w:val="lt-LT"/>
        </w:rPr>
        <w:t>)</w:t>
      </w:r>
      <w:r w:rsidRPr="009658BB">
        <w:rPr>
          <w:lang w:val="lt-LT"/>
        </w:rPr>
        <w:t xml:space="preserve">. Žemiausias laisvų darbo vietų lygis buvo </w:t>
      </w:r>
      <w:r w:rsidR="00CA59B9" w:rsidRPr="009658BB">
        <w:rPr>
          <w:lang w:val="lt-LT"/>
        </w:rPr>
        <w:t>nekilnojamo turto operacijų</w:t>
      </w:r>
      <w:r w:rsidR="00BB662B" w:rsidRPr="009658BB">
        <w:rPr>
          <w:lang w:val="lt-LT"/>
        </w:rPr>
        <w:t>, apgyvendinimo ir maitinimo paslaugų</w:t>
      </w:r>
      <w:r w:rsidR="00CA59B9" w:rsidRPr="009658BB">
        <w:rPr>
          <w:lang w:val="lt-LT"/>
        </w:rPr>
        <w:t xml:space="preserve"> (</w:t>
      </w:r>
      <w:r w:rsidR="00BB662B" w:rsidRPr="009658BB">
        <w:rPr>
          <w:lang w:val="lt-LT"/>
        </w:rPr>
        <w:t>po</w:t>
      </w:r>
      <w:r w:rsidR="00BA0372" w:rsidRPr="009658BB">
        <w:rPr>
          <w:lang w:val="lt-LT"/>
        </w:rPr>
        <w:t> </w:t>
      </w:r>
      <w:r w:rsidR="00CA59B9" w:rsidRPr="009658BB">
        <w:rPr>
          <w:lang w:val="lt-LT"/>
        </w:rPr>
        <w:t>0,</w:t>
      </w:r>
      <w:r w:rsidR="00BB662B" w:rsidRPr="009658BB">
        <w:rPr>
          <w:lang w:val="lt-LT"/>
        </w:rPr>
        <w:t>2</w:t>
      </w:r>
      <w:r w:rsidR="009658BB" w:rsidRPr="009658BB">
        <w:rPr>
          <w:lang w:val="lt-LT"/>
        </w:rPr>
        <w:t> proc.</w:t>
      </w:r>
      <w:r w:rsidR="00BB662B" w:rsidRPr="009658BB">
        <w:rPr>
          <w:lang w:val="lt-LT"/>
        </w:rPr>
        <w:t>)</w:t>
      </w:r>
      <w:r w:rsidR="00CA59B9" w:rsidRPr="009658BB">
        <w:rPr>
          <w:lang w:val="lt-LT"/>
        </w:rPr>
        <w:t xml:space="preserve"> bei</w:t>
      </w:r>
      <w:r w:rsidR="008F5B43" w:rsidRPr="009658BB">
        <w:rPr>
          <w:lang w:val="lt-LT"/>
        </w:rPr>
        <w:t xml:space="preserve"> </w:t>
      </w:r>
      <w:r w:rsidR="00486256" w:rsidRPr="009658BB">
        <w:rPr>
          <w:lang w:val="lt-LT"/>
        </w:rPr>
        <w:t>kito</w:t>
      </w:r>
      <w:r w:rsidR="00CA59B9" w:rsidRPr="009658BB">
        <w:rPr>
          <w:lang w:val="lt-LT"/>
        </w:rPr>
        <w:t>s</w:t>
      </w:r>
      <w:r w:rsidR="00486256" w:rsidRPr="009658BB">
        <w:rPr>
          <w:lang w:val="lt-LT"/>
        </w:rPr>
        <w:t xml:space="preserve"> aptarnavimo </w:t>
      </w:r>
      <w:r w:rsidR="00CA59B9" w:rsidRPr="009658BB">
        <w:rPr>
          <w:lang w:val="lt-LT"/>
        </w:rPr>
        <w:t>veiklos įmonėse</w:t>
      </w:r>
      <w:r w:rsidR="00885B82" w:rsidRPr="009658BB">
        <w:rPr>
          <w:lang w:val="lt-LT"/>
        </w:rPr>
        <w:t xml:space="preserve"> (</w:t>
      </w:r>
      <w:r w:rsidR="00CA59B9" w:rsidRPr="009658BB">
        <w:rPr>
          <w:lang w:val="lt-LT"/>
        </w:rPr>
        <w:t>0,</w:t>
      </w:r>
      <w:r w:rsidR="00BB662B" w:rsidRPr="009658BB">
        <w:rPr>
          <w:lang w:val="lt-LT"/>
        </w:rPr>
        <w:t>3</w:t>
      </w:r>
      <w:r w:rsidR="009658BB" w:rsidRPr="009658BB">
        <w:rPr>
          <w:lang w:val="lt-LT"/>
        </w:rPr>
        <w:t> proc.</w:t>
      </w:r>
      <w:r w:rsidR="00486256" w:rsidRPr="009658BB">
        <w:rPr>
          <w:lang w:val="lt-LT"/>
        </w:rPr>
        <w:t>)</w:t>
      </w:r>
      <w:r w:rsidRPr="009658BB">
        <w:rPr>
          <w:lang w:val="lt-LT"/>
        </w:rPr>
        <w:t>.</w:t>
      </w:r>
    </w:p>
    <w:p w:rsidR="00336BFE" w:rsidRPr="009658BB" w:rsidRDefault="00336BFE" w:rsidP="00BA0372">
      <w:pPr>
        <w:pStyle w:val="Pagrtekstas"/>
        <w:spacing w:before="120"/>
        <w:ind w:left="284" w:hanging="284"/>
        <w:rPr>
          <w:lang w:val="lt-LT"/>
        </w:rPr>
      </w:pPr>
    </w:p>
    <w:p w:rsidR="00336BFE" w:rsidRPr="009658BB" w:rsidRDefault="00336BFE" w:rsidP="00336BFE">
      <w:pPr>
        <w:pStyle w:val="Pagrtekstas"/>
        <w:keepNext/>
        <w:keepLines/>
        <w:spacing w:after="60"/>
        <w:ind w:firstLine="0"/>
        <w:rPr>
          <w:b/>
          <w:noProof/>
          <w:lang w:val="lt-LT" w:eastAsia="lt-LT"/>
        </w:rPr>
      </w:pPr>
      <w:r w:rsidRPr="009658BB">
        <w:rPr>
          <w:b/>
          <w:lang w:val="lt-LT"/>
        </w:rPr>
        <w:t xml:space="preserve">2 pav. </w:t>
      </w:r>
      <w:hyperlink r:id="rId15" w:anchor="/" w:history="1">
        <w:r w:rsidRPr="009658BB">
          <w:rPr>
            <w:rStyle w:val="Hipersaitas"/>
            <w:b/>
            <w:color w:val="auto"/>
            <w:u w:val="none"/>
            <w:lang w:val="lt-LT"/>
          </w:rPr>
          <w:t>Laisvų darbo vietų lygis pagal ekonominės veiklos rūšis 20</w:t>
        </w:r>
        <w:r w:rsidR="00647C48" w:rsidRPr="009658BB">
          <w:rPr>
            <w:rStyle w:val="Hipersaitas"/>
            <w:b/>
            <w:color w:val="auto"/>
            <w:u w:val="none"/>
            <w:lang w:val="lt-LT"/>
          </w:rPr>
          <w:t>20</w:t>
        </w:r>
        <w:r w:rsidR="00F57ACF" w:rsidRPr="009658BB">
          <w:rPr>
            <w:rStyle w:val="Hipersaitas"/>
            <w:b/>
            <w:color w:val="auto"/>
            <w:u w:val="none"/>
            <w:lang w:val="lt-LT"/>
          </w:rPr>
          <w:t> m.</w:t>
        </w:r>
        <w:r w:rsidRPr="009658BB">
          <w:rPr>
            <w:rStyle w:val="Hipersaitas"/>
            <w:b/>
            <w:color w:val="auto"/>
            <w:u w:val="none"/>
            <w:lang w:val="lt-LT"/>
          </w:rPr>
          <w:t xml:space="preserve"> </w:t>
        </w:r>
        <w:r w:rsidR="00593305" w:rsidRPr="009658BB">
          <w:rPr>
            <w:rStyle w:val="Hipersaitas"/>
            <w:b/>
            <w:color w:val="auto"/>
            <w:u w:val="none"/>
            <w:lang w:val="lt-LT"/>
          </w:rPr>
          <w:t>ketvirtą</w:t>
        </w:r>
        <w:r w:rsidR="00AA2FB2" w:rsidRPr="009658BB">
          <w:rPr>
            <w:rStyle w:val="Hipersaitas"/>
            <w:b/>
            <w:color w:val="auto"/>
            <w:u w:val="none"/>
            <w:lang w:val="lt-LT"/>
          </w:rPr>
          <w:t>jį</w:t>
        </w:r>
        <w:r w:rsidRPr="009658BB">
          <w:rPr>
            <w:rStyle w:val="Hipersaitas"/>
            <w:b/>
            <w:color w:val="auto"/>
            <w:u w:val="none"/>
            <w:lang w:val="lt-LT"/>
          </w:rPr>
          <w:t xml:space="preserve"> ketvirtį</w:t>
        </w:r>
      </w:hyperlink>
    </w:p>
    <w:p w:rsidR="00336BFE" w:rsidRPr="009658BB" w:rsidRDefault="00336BFE" w:rsidP="00336BFE">
      <w:pPr>
        <w:keepNext/>
        <w:keepLines/>
        <w:spacing w:after="60"/>
        <w:rPr>
          <w:sz w:val="18"/>
          <w:szCs w:val="18"/>
          <w:lang w:val="lt-LT"/>
        </w:rPr>
      </w:pPr>
      <w:r w:rsidRPr="009658BB">
        <w:rPr>
          <w:sz w:val="18"/>
          <w:szCs w:val="18"/>
          <w:lang w:val="lt-LT"/>
        </w:rPr>
        <w:t>Procentais</w:t>
      </w:r>
    </w:p>
    <w:p w:rsidR="00766206" w:rsidRPr="009658BB" w:rsidRDefault="00002CB3" w:rsidP="00336BFE">
      <w:pPr>
        <w:keepNext/>
        <w:keepLines/>
        <w:spacing w:after="60"/>
        <w:rPr>
          <w:sz w:val="18"/>
          <w:szCs w:val="18"/>
          <w:lang w:val="lt-LT"/>
        </w:rPr>
      </w:pPr>
      <w:r w:rsidRPr="009658BB">
        <w:rPr>
          <w:noProof/>
          <w:lang w:val="lt-LT" w:eastAsia="lt-LT"/>
        </w:rPr>
        <w:drawing>
          <wp:inline distT="0" distB="0" distL="0" distR="0" wp14:anchorId="4E2B1E77" wp14:editId="673CA853">
            <wp:extent cx="6120130" cy="4135755"/>
            <wp:effectExtent l="0" t="0" r="0" b="0"/>
            <wp:docPr id="1"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5700EC" w:rsidRPr="009658BB" w:rsidRDefault="005700EC" w:rsidP="005700EC">
      <w:pPr>
        <w:rPr>
          <w:sz w:val="18"/>
          <w:szCs w:val="18"/>
          <w:lang w:val="lt-LT"/>
        </w:rPr>
      </w:pPr>
      <w:r w:rsidRPr="009658BB">
        <w:rPr>
          <w:sz w:val="18"/>
          <w:szCs w:val="18"/>
          <w:lang w:val="lt-LT"/>
        </w:rPr>
        <w:t>________________</w:t>
      </w:r>
    </w:p>
    <w:p w:rsidR="00336BFE" w:rsidRPr="009658BB" w:rsidRDefault="00336BFE" w:rsidP="00336BFE">
      <w:pPr>
        <w:pStyle w:val="Lentelespav"/>
        <w:spacing w:before="60"/>
        <w:jc w:val="both"/>
        <w:rPr>
          <w:b w:val="0"/>
          <w:sz w:val="18"/>
          <w:szCs w:val="18"/>
          <w:lang w:val="lt-LT"/>
        </w:rPr>
      </w:pPr>
      <w:r w:rsidRPr="009658BB">
        <w:rPr>
          <w:b w:val="0"/>
          <w:sz w:val="18"/>
          <w:szCs w:val="18"/>
          <w:lang w:val="lt-LT"/>
        </w:rPr>
        <w:t>*</w:t>
      </w:r>
      <w:r w:rsidR="005700EC" w:rsidRPr="009658BB">
        <w:rPr>
          <w:b w:val="0"/>
          <w:sz w:val="18"/>
          <w:szCs w:val="18"/>
          <w:lang w:val="lt-LT"/>
        </w:rPr>
        <w:t> </w:t>
      </w:r>
      <w:r w:rsidRPr="009658BB">
        <w:rPr>
          <w:b w:val="0"/>
          <w:spacing w:val="-2"/>
          <w:sz w:val="18"/>
          <w:szCs w:val="18"/>
          <w:lang w:val="lt-LT"/>
        </w:rPr>
        <w:t>Pramonė apima kasybą ir karjerų eksploatavimą, apdirbamąją gamybą, elektros, dujų, garo tiekimą ir oro kondicionavimą,</w:t>
      </w:r>
      <w:r w:rsidRPr="009658BB">
        <w:rPr>
          <w:b w:val="0"/>
          <w:sz w:val="18"/>
          <w:szCs w:val="18"/>
          <w:lang w:val="lt-LT"/>
        </w:rPr>
        <w:t xml:space="preserve"> vandens tiekimą, nuotekų valymą, atliekų tvarkymą ir regeneravimą.</w:t>
      </w:r>
    </w:p>
    <w:p w:rsidR="00336BFE" w:rsidRPr="009658BB" w:rsidRDefault="00336BFE" w:rsidP="00336BFE">
      <w:pPr>
        <w:pStyle w:val="Lentelespav"/>
        <w:jc w:val="both"/>
        <w:rPr>
          <w:b w:val="0"/>
          <w:sz w:val="18"/>
          <w:szCs w:val="18"/>
          <w:lang w:val="lt-LT"/>
        </w:rPr>
      </w:pPr>
    </w:p>
    <w:p w:rsidR="00155048" w:rsidRPr="009658BB" w:rsidRDefault="00336BFE" w:rsidP="00336BFE">
      <w:pPr>
        <w:pStyle w:val="Pagrtekstas"/>
        <w:numPr>
          <w:ilvl w:val="0"/>
          <w:numId w:val="5"/>
        </w:numPr>
        <w:spacing w:before="120"/>
        <w:ind w:left="284" w:hanging="284"/>
        <w:rPr>
          <w:lang w:val="lt-LT"/>
        </w:rPr>
      </w:pPr>
      <w:r w:rsidRPr="009658BB">
        <w:rPr>
          <w:lang w:val="lt-LT"/>
        </w:rPr>
        <w:t>Daugiausia laisvų darbo vietų 20</w:t>
      </w:r>
      <w:r w:rsidR="00647C48" w:rsidRPr="009658BB">
        <w:rPr>
          <w:lang w:val="lt-LT"/>
        </w:rPr>
        <w:t>20</w:t>
      </w:r>
      <w:r w:rsidR="00F57ACF" w:rsidRPr="009658BB">
        <w:rPr>
          <w:lang w:val="lt-LT"/>
        </w:rPr>
        <w:t> m.</w:t>
      </w:r>
      <w:r w:rsidRPr="009658BB">
        <w:rPr>
          <w:lang w:val="lt-LT"/>
        </w:rPr>
        <w:t xml:space="preserve"> </w:t>
      </w:r>
      <w:r w:rsidR="00593305" w:rsidRPr="009658BB">
        <w:rPr>
          <w:lang w:val="lt-LT"/>
        </w:rPr>
        <w:t>ketvirtąjį</w:t>
      </w:r>
      <w:r w:rsidRPr="009658BB">
        <w:rPr>
          <w:lang w:val="lt-LT"/>
        </w:rPr>
        <w:t xml:space="preserve"> ketvirtį buvo </w:t>
      </w:r>
      <w:r w:rsidR="00AA2FB2" w:rsidRPr="009658BB">
        <w:rPr>
          <w:lang w:val="lt-LT"/>
        </w:rPr>
        <w:t>pramonės</w:t>
      </w:r>
      <w:r w:rsidR="003C0C7C" w:rsidRPr="009658BB">
        <w:rPr>
          <w:lang w:val="lt-LT"/>
        </w:rPr>
        <w:t xml:space="preserve"> – </w:t>
      </w:r>
      <w:r w:rsidR="00EA57A1" w:rsidRPr="009658BB">
        <w:rPr>
          <w:lang w:val="lt-LT"/>
        </w:rPr>
        <w:t>3,</w:t>
      </w:r>
      <w:r w:rsidR="003E3C6A" w:rsidRPr="009658BB">
        <w:rPr>
          <w:lang w:val="lt-LT"/>
        </w:rPr>
        <w:t>3</w:t>
      </w:r>
      <w:r w:rsidR="009658BB" w:rsidRPr="009658BB">
        <w:rPr>
          <w:lang w:val="lt-LT"/>
        </w:rPr>
        <w:t> tūkst.</w:t>
      </w:r>
      <w:r w:rsidR="00EA57A1" w:rsidRPr="009658BB">
        <w:rPr>
          <w:lang w:val="lt-LT"/>
        </w:rPr>
        <w:t xml:space="preserve"> (</w:t>
      </w:r>
      <w:r w:rsidR="003E3C6A" w:rsidRPr="009658BB">
        <w:rPr>
          <w:lang w:val="lt-LT"/>
        </w:rPr>
        <w:t>21</w:t>
      </w:r>
      <w:r w:rsidR="00EA57A1" w:rsidRPr="009658BB">
        <w:rPr>
          <w:lang w:val="lt-LT"/>
        </w:rPr>
        <w:t>,</w:t>
      </w:r>
      <w:r w:rsidR="00DE05A3" w:rsidRPr="009658BB">
        <w:rPr>
          <w:lang w:val="lt-LT"/>
        </w:rPr>
        <w:t>1</w:t>
      </w:r>
      <w:r w:rsidR="009658BB" w:rsidRPr="009658BB">
        <w:rPr>
          <w:lang w:val="lt-LT"/>
        </w:rPr>
        <w:t> proc.</w:t>
      </w:r>
      <w:r w:rsidR="00EA57A1" w:rsidRPr="009658BB">
        <w:rPr>
          <w:lang w:val="lt-LT"/>
        </w:rPr>
        <w:t xml:space="preserve"> visų laisvų darbo vietų), </w:t>
      </w:r>
      <w:r w:rsidR="00EB6C02" w:rsidRPr="009658BB">
        <w:rPr>
          <w:lang w:val="lt-LT"/>
        </w:rPr>
        <w:t xml:space="preserve">viešojo valdymo </w:t>
      </w:r>
      <w:r w:rsidR="009E278E" w:rsidRPr="009658BB">
        <w:rPr>
          <w:lang w:val="lt-LT"/>
        </w:rPr>
        <w:t xml:space="preserve">ir </w:t>
      </w:r>
      <w:r w:rsidR="00EB6C02" w:rsidRPr="009658BB">
        <w:rPr>
          <w:lang w:val="lt-LT"/>
        </w:rPr>
        <w:t>gynybos</w:t>
      </w:r>
      <w:r w:rsidR="009E278E" w:rsidRPr="009658BB">
        <w:rPr>
          <w:lang w:val="lt-LT"/>
        </w:rPr>
        <w:t xml:space="preserve">; </w:t>
      </w:r>
      <w:r w:rsidR="00EB6C02" w:rsidRPr="009658BB">
        <w:rPr>
          <w:lang w:val="lt-LT"/>
        </w:rPr>
        <w:t>privalomojo socialinio draudimo</w:t>
      </w:r>
      <w:r w:rsidR="003C0C7C" w:rsidRPr="009658BB">
        <w:rPr>
          <w:lang w:val="lt-LT"/>
        </w:rPr>
        <w:t xml:space="preserve"> – </w:t>
      </w:r>
      <w:r w:rsidR="009E278E" w:rsidRPr="009658BB">
        <w:rPr>
          <w:lang w:val="lt-LT"/>
        </w:rPr>
        <w:t>2,</w:t>
      </w:r>
      <w:r w:rsidR="003E3C6A" w:rsidRPr="009658BB">
        <w:rPr>
          <w:lang w:val="lt-LT"/>
        </w:rPr>
        <w:t>5</w:t>
      </w:r>
      <w:r w:rsidR="009658BB" w:rsidRPr="009658BB">
        <w:rPr>
          <w:lang w:val="lt-LT"/>
        </w:rPr>
        <w:t> tūkst.</w:t>
      </w:r>
      <w:r w:rsidR="009E278E" w:rsidRPr="009658BB">
        <w:rPr>
          <w:lang w:val="lt-LT"/>
        </w:rPr>
        <w:t xml:space="preserve"> (</w:t>
      </w:r>
      <w:r w:rsidR="00B22B65" w:rsidRPr="009658BB">
        <w:rPr>
          <w:lang w:val="lt-LT"/>
        </w:rPr>
        <w:t>1</w:t>
      </w:r>
      <w:r w:rsidR="003E3C6A" w:rsidRPr="009658BB">
        <w:rPr>
          <w:lang w:val="lt-LT"/>
        </w:rPr>
        <w:t>6</w:t>
      </w:r>
      <w:r w:rsidR="00B22B65" w:rsidRPr="009658BB">
        <w:rPr>
          <w:lang w:val="lt-LT"/>
        </w:rPr>
        <w:t>,</w:t>
      </w:r>
      <w:r w:rsidR="003E3C6A" w:rsidRPr="009658BB">
        <w:rPr>
          <w:lang w:val="lt-LT"/>
        </w:rPr>
        <w:t>1</w:t>
      </w:r>
      <w:r w:rsidR="009658BB" w:rsidRPr="009658BB">
        <w:rPr>
          <w:lang w:val="lt-LT"/>
        </w:rPr>
        <w:t> proc.</w:t>
      </w:r>
      <w:r w:rsidR="00EA57A1" w:rsidRPr="009658BB">
        <w:rPr>
          <w:lang w:val="lt-LT"/>
        </w:rPr>
        <w:t>)</w:t>
      </w:r>
      <w:r w:rsidR="003E3C6A" w:rsidRPr="009658BB">
        <w:rPr>
          <w:lang w:val="lt-LT"/>
        </w:rPr>
        <w:t>, transporto ir saugojimo – 2,2</w:t>
      </w:r>
      <w:r w:rsidR="009658BB" w:rsidRPr="009658BB">
        <w:rPr>
          <w:lang w:val="lt-LT"/>
        </w:rPr>
        <w:t> tūkst.</w:t>
      </w:r>
      <w:r w:rsidR="003E3C6A" w:rsidRPr="009658BB">
        <w:rPr>
          <w:lang w:val="lt-LT"/>
        </w:rPr>
        <w:t xml:space="preserve"> (13,9</w:t>
      </w:r>
      <w:r w:rsidR="009658BB" w:rsidRPr="009658BB">
        <w:rPr>
          <w:lang w:val="lt-LT"/>
        </w:rPr>
        <w:t> proc.</w:t>
      </w:r>
      <w:r w:rsidR="003E3C6A" w:rsidRPr="009658BB">
        <w:rPr>
          <w:lang w:val="lt-LT"/>
        </w:rPr>
        <w:t>),</w:t>
      </w:r>
      <w:r w:rsidR="00FD21B4" w:rsidRPr="009658BB">
        <w:rPr>
          <w:lang w:val="lt-LT"/>
        </w:rPr>
        <w:t xml:space="preserve"> įmonėse.</w:t>
      </w:r>
    </w:p>
    <w:p w:rsidR="00002CB3" w:rsidRPr="009658BB" w:rsidRDefault="00002CB3" w:rsidP="00002CB3">
      <w:pPr>
        <w:pStyle w:val="Pagrtekstas"/>
        <w:spacing w:before="120"/>
        <w:ind w:firstLine="0"/>
        <w:rPr>
          <w:lang w:val="lt-LT"/>
        </w:rPr>
      </w:pPr>
    </w:p>
    <w:p w:rsidR="00336BFE" w:rsidRPr="009658BB" w:rsidRDefault="00136818" w:rsidP="00336BFE">
      <w:pPr>
        <w:pStyle w:val="lentpav"/>
        <w:keepNext/>
        <w:keepLines/>
        <w:spacing w:after="60"/>
      </w:pPr>
      <w:r w:rsidRPr="009658BB">
        <w:t xml:space="preserve">1 lentelė. </w:t>
      </w:r>
      <w:r w:rsidR="00336BFE" w:rsidRPr="009658BB">
        <w:t>Laisvų darbo vietų skaičius ir laisvų darbo vietų lygis pagal ekonominės veiklos rūšis</w:t>
      </w:r>
    </w:p>
    <w:p w:rsidR="00336BFE" w:rsidRPr="009658BB" w:rsidRDefault="00336BFE" w:rsidP="00336BFE">
      <w:pPr>
        <w:pStyle w:val="Antrats"/>
        <w:keepNext/>
        <w:keepLines/>
        <w:tabs>
          <w:tab w:val="clear" w:pos="4153"/>
          <w:tab w:val="clear" w:pos="8306"/>
        </w:tabs>
        <w:spacing w:after="60"/>
        <w:rPr>
          <w:sz w:val="18"/>
          <w:szCs w:val="18"/>
          <w:lang w:val="lt-LT"/>
        </w:rPr>
      </w:pPr>
      <w:r w:rsidRPr="009658BB">
        <w:rPr>
          <w:sz w:val="18"/>
          <w:szCs w:val="18"/>
          <w:lang w:val="lt-LT"/>
        </w:rPr>
        <w:t>Ketvirčio pabaigoje</w:t>
      </w:r>
    </w:p>
    <w:tbl>
      <w:tblPr>
        <w:tblW w:w="5000" w:type="pct"/>
        <w:tblLook w:val="01E0" w:firstRow="1" w:lastRow="1" w:firstColumn="1" w:lastColumn="1" w:noHBand="0" w:noVBand="0"/>
      </w:tblPr>
      <w:tblGrid>
        <w:gridCol w:w="2732"/>
        <w:gridCol w:w="893"/>
        <w:gridCol w:w="893"/>
        <w:gridCol w:w="666"/>
        <w:gridCol w:w="666"/>
        <w:gridCol w:w="666"/>
        <w:gridCol w:w="670"/>
        <w:gridCol w:w="666"/>
        <w:gridCol w:w="666"/>
        <w:gridCol w:w="666"/>
        <w:gridCol w:w="670"/>
      </w:tblGrid>
      <w:tr w:rsidR="00155048" w:rsidRPr="009658BB" w:rsidTr="00155048">
        <w:trPr>
          <w:tblHeader/>
        </w:trPr>
        <w:tc>
          <w:tcPr>
            <w:tcW w:w="1386" w:type="pct"/>
            <w:vMerge w:val="restart"/>
            <w:tcBorders>
              <w:top w:val="single" w:sz="4" w:space="0" w:color="auto"/>
              <w:left w:val="single" w:sz="4" w:space="0" w:color="auto"/>
              <w:right w:val="single" w:sz="4" w:space="0" w:color="auto"/>
            </w:tcBorders>
            <w:shd w:val="clear" w:color="auto" w:fill="FCE0E6"/>
          </w:tcPr>
          <w:p w:rsidR="00155048" w:rsidRPr="009658BB" w:rsidRDefault="00155048" w:rsidP="00F57ACF">
            <w:pPr>
              <w:pStyle w:val="Galva"/>
              <w:ind w:left="0" w:right="-85"/>
              <w:jc w:val="left"/>
              <w:rPr>
                <w:rFonts w:cs="Arial"/>
                <w:szCs w:val="19"/>
              </w:rPr>
            </w:pPr>
            <w:r w:rsidRPr="009658BB">
              <w:rPr>
                <w:rFonts w:cs="Arial"/>
                <w:szCs w:val="19"/>
              </w:rPr>
              <w:t>Ekonominės veiklos rūšys</w:t>
            </w:r>
          </w:p>
        </w:tc>
        <w:tc>
          <w:tcPr>
            <w:tcW w:w="906" w:type="pct"/>
            <w:gridSpan w:val="2"/>
            <w:tcBorders>
              <w:top w:val="single" w:sz="4" w:space="0" w:color="auto"/>
              <w:left w:val="single" w:sz="4" w:space="0" w:color="auto"/>
              <w:bottom w:val="single" w:sz="4" w:space="0" w:color="auto"/>
              <w:right w:val="single" w:sz="4" w:space="0" w:color="auto"/>
            </w:tcBorders>
            <w:shd w:val="clear" w:color="auto" w:fill="FCE0E6"/>
          </w:tcPr>
          <w:p w:rsidR="00155048" w:rsidRPr="009658BB" w:rsidRDefault="00155048" w:rsidP="00F57ACF">
            <w:pPr>
              <w:pStyle w:val="Galva"/>
              <w:tabs>
                <w:tab w:val="left" w:pos="3998"/>
              </w:tabs>
              <w:ind w:right="-85"/>
              <w:jc w:val="left"/>
              <w:rPr>
                <w:rFonts w:cs="Arial"/>
                <w:szCs w:val="19"/>
              </w:rPr>
            </w:pPr>
            <w:r w:rsidRPr="009658BB">
              <w:rPr>
                <w:rFonts w:cs="Arial"/>
                <w:szCs w:val="19"/>
              </w:rPr>
              <w:t>2019 m.</w:t>
            </w:r>
          </w:p>
        </w:tc>
        <w:tc>
          <w:tcPr>
            <w:tcW w:w="2708" w:type="pct"/>
            <w:gridSpan w:val="8"/>
            <w:tcBorders>
              <w:top w:val="single" w:sz="4" w:space="0" w:color="auto"/>
              <w:left w:val="single" w:sz="4" w:space="0" w:color="auto"/>
              <w:bottom w:val="single" w:sz="4" w:space="0" w:color="auto"/>
              <w:right w:val="single" w:sz="4" w:space="0" w:color="auto"/>
            </w:tcBorders>
            <w:shd w:val="clear" w:color="auto" w:fill="FCE0E6"/>
          </w:tcPr>
          <w:p w:rsidR="00155048" w:rsidRPr="009658BB" w:rsidRDefault="00155048" w:rsidP="00F57ACF">
            <w:pPr>
              <w:pStyle w:val="Galva"/>
              <w:tabs>
                <w:tab w:val="left" w:pos="3998"/>
              </w:tabs>
              <w:ind w:right="-85"/>
              <w:jc w:val="left"/>
              <w:rPr>
                <w:rFonts w:cs="Arial"/>
                <w:szCs w:val="19"/>
              </w:rPr>
            </w:pPr>
            <w:r w:rsidRPr="009658BB">
              <w:rPr>
                <w:rFonts w:cs="Arial"/>
                <w:szCs w:val="19"/>
              </w:rPr>
              <w:t>2020 m.</w:t>
            </w:r>
          </w:p>
        </w:tc>
      </w:tr>
      <w:tr w:rsidR="00155048" w:rsidRPr="009658BB" w:rsidTr="009658BB">
        <w:trPr>
          <w:cantSplit/>
          <w:tblHeader/>
        </w:trPr>
        <w:tc>
          <w:tcPr>
            <w:tcW w:w="1386" w:type="pct"/>
            <w:vMerge/>
            <w:tcBorders>
              <w:left w:val="single" w:sz="4" w:space="0" w:color="auto"/>
              <w:right w:val="single" w:sz="4" w:space="0" w:color="auto"/>
            </w:tcBorders>
            <w:shd w:val="clear" w:color="auto" w:fill="FCE0E6"/>
          </w:tcPr>
          <w:p w:rsidR="00155048" w:rsidRPr="009658BB" w:rsidRDefault="00155048" w:rsidP="00F57ACF">
            <w:pPr>
              <w:pStyle w:val="Galva"/>
              <w:ind w:right="-85"/>
              <w:jc w:val="left"/>
              <w:rPr>
                <w:rFonts w:cs="Arial"/>
                <w:szCs w:val="19"/>
              </w:rPr>
            </w:pPr>
          </w:p>
        </w:tc>
        <w:tc>
          <w:tcPr>
            <w:tcW w:w="453" w:type="pct"/>
            <w:tcBorders>
              <w:top w:val="single" w:sz="4" w:space="0" w:color="auto"/>
              <w:left w:val="single" w:sz="4" w:space="0" w:color="auto"/>
              <w:bottom w:val="single" w:sz="4" w:space="0" w:color="auto"/>
              <w:right w:val="single" w:sz="4" w:space="0" w:color="auto"/>
            </w:tcBorders>
            <w:shd w:val="clear" w:color="auto" w:fill="FCE0E6"/>
          </w:tcPr>
          <w:p w:rsidR="00155048" w:rsidRPr="009658BB" w:rsidRDefault="00155048" w:rsidP="009658BB">
            <w:pPr>
              <w:pStyle w:val="Galva"/>
              <w:ind w:right="-85"/>
              <w:jc w:val="left"/>
              <w:rPr>
                <w:rFonts w:cs="Arial"/>
                <w:szCs w:val="19"/>
              </w:rPr>
            </w:pPr>
            <w:r w:rsidRPr="009658BB">
              <w:rPr>
                <w:rFonts w:cs="Arial"/>
                <w:szCs w:val="19"/>
              </w:rPr>
              <w:t>Laisvų darbo vietų skaičius,</w:t>
            </w:r>
            <w:r w:rsidR="009658BB">
              <w:rPr>
                <w:rFonts w:cs="Arial"/>
                <w:szCs w:val="19"/>
              </w:rPr>
              <w:t xml:space="preserve"> </w:t>
            </w:r>
            <w:r w:rsidR="009658BB" w:rsidRPr="009658BB">
              <w:rPr>
                <w:rFonts w:cs="Arial"/>
                <w:szCs w:val="19"/>
              </w:rPr>
              <w:t>tūkst.</w:t>
            </w:r>
          </w:p>
        </w:tc>
        <w:tc>
          <w:tcPr>
            <w:tcW w:w="453" w:type="pct"/>
            <w:tcBorders>
              <w:top w:val="single" w:sz="4" w:space="0" w:color="auto"/>
              <w:left w:val="single" w:sz="4" w:space="0" w:color="auto"/>
              <w:bottom w:val="single" w:sz="4" w:space="0" w:color="auto"/>
              <w:right w:val="single" w:sz="4" w:space="0" w:color="auto"/>
            </w:tcBorders>
            <w:shd w:val="clear" w:color="auto" w:fill="FCE0E6"/>
          </w:tcPr>
          <w:p w:rsidR="00155048" w:rsidRPr="009658BB" w:rsidRDefault="00155048" w:rsidP="009658BB">
            <w:pPr>
              <w:pStyle w:val="Galva"/>
              <w:ind w:right="-85"/>
              <w:jc w:val="left"/>
              <w:rPr>
                <w:rFonts w:cs="Arial"/>
                <w:szCs w:val="19"/>
              </w:rPr>
            </w:pPr>
            <w:r w:rsidRPr="009658BB">
              <w:rPr>
                <w:rFonts w:cs="Arial"/>
                <w:szCs w:val="19"/>
              </w:rPr>
              <w:t>Laisvų darbo vietų lygis,</w:t>
            </w:r>
            <w:r w:rsidR="009658BB">
              <w:rPr>
                <w:rFonts w:cs="Arial"/>
                <w:szCs w:val="19"/>
              </w:rPr>
              <w:t xml:space="preserve"> </w:t>
            </w:r>
            <w:r w:rsidR="009658BB" w:rsidRPr="009658BB">
              <w:rPr>
                <w:rFonts w:cs="Arial"/>
                <w:szCs w:val="19"/>
              </w:rPr>
              <w:t>proc.</w:t>
            </w:r>
          </w:p>
        </w:tc>
        <w:tc>
          <w:tcPr>
            <w:tcW w:w="1354" w:type="pct"/>
            <w:gridSpan w:val="4"/>
            <w:tcBorders>
              <w:top w:val="single" w:sz="4" w:space="0" w:color="auto"/>
              <w:left w:val="single" w:sz="4" w:space="0" w:color="auto"/>
              <w:bottom w:val="single" w:sz="4" w:space="0" w:color="auto"/>
              <w:right w:val="single" w:sz="4" w:space="0" w:color="auto"/>
            </w:tcBorders>
            <w:shd w:val="clear" w:color="auto" w:fill="FCE0E6"/>
          </w:tcPr>
          <w:p w:rsidR="00155048" w:rsidRPr="009658BB" w:rsidRDefault="00155048" w:rsidP="009658BB">
            <w:pPr>
              <w:pStyle w:val="Galva"/>
              <w:ind w:right="-85"/>
              <w:jc w:val="left"/>
              <w:rPr>
                <w:rFonts w:cs="Arial"/>
                <w:szCs w:val="19"/>
              </w:rPr>
            </w:pPr>
            <w:r w:rsidRPr="009658BB">
              <w:rPr>
                <w:rFonts w:cs="Arial"/>
                <w:szCs w:val="19"/>
              </w:rPr>
              <w:t>Laisvų darbo vietų skaičius,</w:t>
            </w:r>
            <w:r w:rsidR="009658BB">
              <w:rPr>
                <w:rFonts w:cs="Arial"/>
                <w:szCs w:val="19"/>
              </w:rPr>
              <w:t xml:space="preserve"> </w:t>
            </w:r>
            <w:r w:rsidR="009658BB" w:rsidRPr="009658BB">
              <w:rPr>
                <w:rFonts w:cs="Arial"/>
                <w:szCs w:val="19"/>
              </w:rPr>
              <w:t>tūkst.</w:t>
            </w:r>
          </w:p>
        </w:tc>
        <w:tc>
          <w:tcPr>
            <w:tcW w:w="1354" w:type="pct"/>
            <w:gridSpan w:val="4"/>
            <w:tcBorders>
              <w:top w:val="single" w:sz="4" w:space="0" w:color="auto"/>
              <w:left w:val="single" w:sz="4" w:space="0" w:color="auto"/>
              <w:bottom w:val="single" w:sz="4" w:space="0" w:color="auto"/>
              <w:right w:val="single" w:sz="4" w:space="0" w:color="auto"/>
            </w:tcBorders>
            <w:shd w:val="clear" w:color="auto" w:fill="FCE0E6"/>
          </w:tcPr>
          <w:p w:rsidR="00155048" w:rsidRPr="009658BB" w:rsidRDefault="00155048" w:rsidP="009658BB">
            <w:pPr>
              <w:pStyle w:val="Galva"/>
              <w:ind w:right="-85"/>
              <w:jc w:val="left"/>
              <w:rPr>
                <w:rFonts w:cs="Arial"/>
                <w:szCs w:val="19"/>
              </w:rPr>
            </w:pPr>
            <w:r w:rsidRPr="009658BB">
              <w:rPr>
                <w:rFonts w:cs="Arial"/>
                <w:szCs w:val="19"/>
              </w:rPr>
              <w:t>Laisvų darbo vietų lygis,</w:t>
            </w:r>
            <w:r w:rsidR="009658BB">
              <w:rPr>
                <w:rFonts w:cs="Arial"/>
                <w:szCs w:val="19"/>
              </w:rPr>
              <w:t xml:space="preserve"> </w:t>
            </w:r>
            <w:r w:rsidR="009658BB" w:rsidRPr="009658BB">
              <w:rPr>
                <w:rFonts w:cs="Arial"/>
                <w:szCs w:val="19"/>
              </w:rPr>
              <w:t>proc.</w:t>
            </w:r>
          </w:p>
        </w:tc>
      </w:tr>
      <w:tr w:rsidR="00155048" w:rsidRPr="009658BB" w:rsidTr="009658BB">
        <w:trPr>
          <w:tblHeader/>
        </w:trPr>
        <w:tc>
          <w:tcPr>
            <w:tcW w:w="1386" w:type="pct"/>
            <w:vMerge/>
            <w:tcBorders>
              <w:left w:val="single" w:sz="4" w:space="0" w:color="auto"/>
              <w:bottom w:val="single" w:sz="4" w:space="0" w:color="auto"/>
              <w:right w:val="single" w:sz="4" w:space="0" w:color="auto"/>
            </w:tcBorders>
            <w:shd w:val="clear" w:color="auto" w:fill="FCE0E6"/>
          </w:tcPr>
          <w:p w:rsidR="00155048" w:rsidRPr="009658BB" w:rsidRDefault="00155048" w:rsidP="00155048">
            <w:pPr>
              <w:pStyle w:val="Galva"/>
              <w:ind w:right="-85"/>
              <w:jc w:val="left"/>
              <w:rPr>
                <w:rFonts w:cs="Arial"/>
                <w:szCs w:val="19"/>
              </w:rPr>
            </w:pPr>
          </w:p>
        </w:tc>
        <w:tc>
          <w:tcPr>
            <w:tcW w:w="453" w:type="pct"/>
            <w:tcBorders>
              <w:top w:val="single" w:sz="4" w:space="0" w:color="auto"/>
              <w:left w:val="single" w:sz="4" w:space="0" w:color="auto"/>
              <w:bottom w:val="single" w:sz="4" w:space="0" w:color="auto"/>
              <w:right w:val="single" w:sz="4" w:space="0" w:color="auto"/>
            </w:tcBorders>
            <w:shd w:val="clear" w:color="auto" w:fill="FCE0E6"/>
          </w:tcPr>
          <w:p w:rsidR="00155048" w:rsidRPr="009658BB" w:rsidRDefault="00155048" w:rsidP="00155048">
            <w:pPr>
              <w:pStyle w:val="Galva"/>
              <w:ind w:right="-85"/>
              <w:jc w:val="left"/>
              <w:rPr>
                <w:rFonts w:cs="Arial"/>
                <w:szCs w:val="19"/>
              </w:rPr>
            </w:pPr>
            <w:r w:rsidRPr="009658BB">
              <w:rPr>
                <w:rFonts w:cs="Arial"/>
                <w:szCs w:val="19"/>
              </w:rPr>
              <w:t xml:space="preserve">IV </w:t>
            </w:r>
          </w:p>
        </w:tc>
        <w:tc>
          <w:tcPr>
            <w:tcW w:w="453" w:type="pct"/>
            <w:tcBorders>
              <w:top w:val="single" w:sz="4" w:space="0" w:color="auto"/>
              <w:left w:val="single" w:sz="4" w:space="0" w:color="auto"/>
              <w:bottom w:val="single" w:sz="4" w:space="0" w:color="auto"/>
              <w:right w:val="single" w:sz="4" w:space="0" w:color="auto"/>
            </w:tcBorders>
            <w:shd w:val="clear" w:color="auto" w:fill="FCE0E6"/>
          </w:tcPr>
          <w:p w:rsidR="00155048" w:rsidRPr="009658BB" w:rsidRDefault="00155048" w:rsidP="00155048">
            <w:pPr>
              <w:pStyle w:val="Galva"/>
              <w:ind w:right="-85"/>
              <w:jc w:val="left"/>
              <w:rPr>
                <w:rFonts w:cs="Arial"/>
                <w:szCs w:val="19"/>
              </w:rPr>
            </w:pPr>
            <w:r w:rsidRPr="009658BB">
              <w:rPr>
                <w:rFonts w:cs="Arial"/>
                <w:szCs w:val="19"/>
              </w:rPr>
              <w:t>IV</w:t>
            </w:r>
          </w:p>
        </w:tc>
        <w:tc>
          <w:tcPr>
            <w:tcW w:w="338" w:type="pct"/>
            <w:tcBorders>
              <w:top w:val="single" w:sz="4" w:space="0" w:color="auto"/>
              <w:left w:val="single" w:sz="4" w:space="0" w:color="auto"/>
              <w:bottom w:val="single" w:sz="4" w:space="0" w:color="auto"/>
              <w:right w:val="single" w:sz="4" w:space="0" w:color="auto"/>
            </w:tcBorders>
            <w:shd w:val="clear" w:color="auto" w:fill="FCE0E6"/>
          </w:tcPr>
          <w:p w:rsidR="00155048" w:rsidRPr="009658BB" w:rsidRDefault="00155048" w:rsidP="00155048">
            <w:pPr>
              <w:pStyle w:val="Galva"/>
              <w:ind w:right="-85"/>
              <w:jc w:val="left"/>
              <w:rPr>
                <w:rFonts w:cs="Arial"/>
                <w:szCs w:val="19"/>
              </w:rPr>
            </w:pPr>
            <w:r w:rsidRPr="009658BB">
              <w:rPr>
                <w:rFonts w:cs="Arial"/>
                <w:szCs w:val="19"/>
              </w:rPr>
              <w:t>I</w:t>
            </w:r>
          </w:p>
        </w:tc>
        <w:tc>
          <w:tcPr>
            <w:tcW w:w="338" w:type="pct"/>
            <w:tcBorders>
              <w:top w:val="single" w:sz="4" w:space="0" w:color="auto"/>
              <w:left w:val="single" w:sz="4" w:space="0" w:color="auto"/>
              <w:bottom w:val="single" w:sz="4" w:space="0" w:color="auto"/>
              <w:right w:val="single" w:sz="4" w:space="0" w:color="auto"/>
            </w:tcBorders>
            <w:shd w:val="clear" w:color="auto" w:fill="FCE0E6"/>
          </w:tcPr>
          <w:p w:rsidR="00155048" w:rsidRPr="009658BB" w:rsidRDefault="00155048" w:rsidP="00155048">
            <w:pPr>
              <w:pStyle w:val="Galva"/>
              <w:ind w:right="-85"/>
              <w:jc w:val="left"/>
              <w:rPr>
                <w:rFonts w:cs="Arial"/>
                <w:szCs w:val="19"/>
              </w:rPr>
            </w:pPr>
            <w:r w:rsidRPr="009658BB">
              <w:rPr>
                <w:rFonts w:cs="Arial"/>
                <w:szCs w:val="19"/>
              </w:rPr>
              <w:t>II</w:t>
            </w:r>
          </w:p>
        </w:tc>
        <w:tc>
          <w:tcPr>
            <w:tcW w:w="338" w:type="pct"/>
            <w:tcBorders>
              <w:top w:val="single" w:sz="4" w:space="0" w:color="auto"/>
              <w:left w:val="single" w:sz="4" w:space="0" w:color="auto"/>
              <w:bottom w:val="single" w:sz="4" w:space="0" w:color="auto"/>
              <w:right w:val="single" w:sz="4" w:space="0" w:color="auto"/>
            </w:tcBorders>
            <w:shd w:val="clear" w:color="auto" w:fill="FCE0E6"/>
          </w:tcPr>
          <w:p w:rsidR="00155048" w:rsidRPr="009658BB" w:rsidRDefault="00155048" w:rsidP="00155048">
            <w:pPr>
              <w:pStyle w:val="Galva"/>
              <w:ind w:right="-85"/>
              <w:jc w:val="left"/>
              <w:rPr>
                <w:rFonts w:cs="Arial"/>
                <w:szCs w:val="19"/>
              </w:rPr>
            </w:pPr>
            <w:r w:rsidRPr="009658BB">
              <w:rPr>
                <w:rFonts w:cs="Arial"/>
                <w:szCs w:val="19"/>
              </w:rPr>
              <w:t>III</w:t>
            </w:r>
          </w:p>
        </w:tc>
        <w:tc>
          <w:tcPr>
            <w:tcW w:w="338" w:type="pct"/>
            <w:tcBorders>
              <w:top w:val="single" w:sz="4" w:space="0" w:color="auto"/>
              <w:left w:val="single" w:sz="4" w:space="0" w:color="auto"/>
              <w:bottom w:val="single" w:sz="4" w:space="0" w:color="auto"/>
              <w:right w:val="single" w:sz="4" w:space="0" w:color="auto"/>
            </w:tcBorders>
            <w:shd w:val="clear" w:color="auto" w:fill="FCE0E6"/>
          </w:tcPr>
          <w:p w:rsidR="00155048" w:rsidRPr="009658BB" w:rsidRDefault="00155048" w:rsidP="00155048">
            <w:pPr>
              <w:pStyle w:val="Galva"/>
              <w:ind w:right="-85"/>
              <w:jc w:val="left"/>
              <w:rPr>
                <w:rFonts w:cs="Arial"/>
                <w:szCs w:val="19"/>
              </w:rPr>
            </w:pPr>
            <w:r w:rsidRPr="009658BB">
              <w:rPr>
                <w:rFonts w:cs="Arial"/>
                <w:szCs w:val="19"/>
              </w:rPr>
              <w:t>IV</w:t>
            </w:r>
          </w:p>
        </w:tc>
        <w:tc>
          <w:tcPr>
            <w:tcW w:w="338" w:type="pct"/>
            <w:tcBorders>
              <w:top w:val="single" w:sz="4" w:space="0" w:color="auto"/>
              <w:left w:val="single" w:sz="4" w:space="0" w:color="auto"/>
              <w:bottom w:val="single" w:sz="4" w:space="0" w:color="auto"/>
              <w:right w:val="single" w:sz="4" w:space="0" w:color="auto"/>
            </w:tcBorders>
            <w:shd w:val="clear" w:color="auto" w:fill="FCE0E6"/>
          </w:tcPr>
          <w:p w:rsidR="00155048" w:rsidRPr="009658BB" w:rsidRDefault="00155048" w:rsidP="00155048">
            <w:pPr>
              <w:pStyle w:val="Galva"/>
              <w:ind w:right="-85"/>
              <w:jc w:val="left"/>
              <w:rPr>
                <w:rFonts w:cs="Arial"/>
                <w:szCs w:val="19"/>
              </w:rPr>
            </w:pPr>
            <w:r w:rsidRPr="009658BB">
              <w:rPr>
                <w:rFonts w:cs="Arial"/>
                <w:szCs w:val="19"/>
              </w:rPr>
              <w:t>I</w:t>
            </w:r>
          </w:p>
        </w:tc>
        <w:tc>
          <w:tcPr>
            <w:tcW w:w="338" w:type="pct"/>
            <w:tcBorders>
              <w:top w:val="single" w:sz="4" w:space="0" w:color="auto"/>
              <w:left w:val="single" w:sz="4" w:space="0" w:color="auto"/>
              <w:bottom w:val="single" w:sz="4" w:space="0" w:color="auto"/>
              <w:right w:val="single" w:sz="4" w:space="0" w:color="auto"/>
            </w:tcBorders>
            <w:shd w:val="clear" w:color="auto" w:fill="FCE0E6"/>
          </w:tcPr>
          <w:p w:rsidR="00155048" w:rsidRPr="009658BB" w:rsidRDefault="00155048" w:rsidP="00155048">
            <w:pPr>
              <w:pStyle w:val="Galva"/>
              <w:ind w:right="-85"/>
              <w:jc w:val="left"/>
              <w:rPr>
                <w:rFonts w:cs="Arial"/>
                <w:szCs w:val="19"/>
              </w:rPr>
            </w:pPr>
            <w:r w:rsidRPr="009658BB">
              <w:rPr>
                <w:rFonts w:cs="Arial"/>
                <w:szCs w:val="19"/>
              </w:rPr>
              <w:t>II</w:t>
            </w:r>
          </w:p>
        </w:tc>
        <w:tc>
          <w:tcPr>
            <w:tcW w:w="338" w:type="pct"/>
            <w:tcBorders>
              <w:top w:val="single" w:sz="4" w:space="0" w:color="auto"/>
              <w:left w:val="single" w:sz="4" w:space="0" w:color="auto"/>
              <w:bottom w:val="single" w:sz="4" w:space="0" w:color="auto"/>
              <w:right w:val="single" w:sz="4" w:space="0" w:color="auto"/>
            </w:tcBorders>
            <w:shd w:val="clear" w:color="auto" w:fill="FCE0E6"/>
          </w:tcPr>
          <w:p w:rsidR="00155048" w:rsidRPr="009658BB" w:rsidRDefault="00155048" w:rsidP="00155048">
            <w:pPr>
              <w:pStyle w:val="Galva"/>
              <w:ind w:right="-85"/>
              <w:jc w:val="left"/>
              <w:rPr>
                <w:rFonts w:cs="Arial"/>
                <w:szCs w:val="19"/>
              </w:rPr>
            </w:pPr>
            <w:r w:rsidRPr="009658BB">
              <w:rPr>
                <w:rFonts w:cs="Arial"/>
                <w:szCs w:val="19"/>
              </w:rPr>
              <w:t>III</w:t>
            </w:r>
          </w:p>
        </w:tc>
        <w:tc>
          <w:tcPr>
            <w:tcW w:w="338" w:type="pct"/>
            <w:tcBorders>
              <w:top w:val="single" w:sz="4" w:space="0" w:color="auto"/>
              <w:left w:val="single" w:sz="4" w:space="0" w:color="auto"/>
              <w:bottom w:val="single" w:sz="4" w:space="0" w:color="auto"/>
              <w:right w:val="single" w:sz="4" w:space="0" w:color="auto"/>
            </w:tcBorders>
            <w:shd w:val="clear" w:color="auto" w:fill="FCE0E6"/>
          </w:tcPr>
          <w:p w:rsidR="00155048" w:rsidRPr="009658BB" w:rsidRDefault="00155048" w:rsidP="00155048">
            <w:pPr>
              <w:pStyle w:val="Galva"/>
              <w:ind w:right="-85"/>
              <w:jc w:val="left"/>
              <w:rPr>
                <w:rFonts w:cs="Arial"/>
                <w:szCs w:val="19"/>
              </w:rPr>
            </w:pPr>
            <w:r w:rsidRPr="009658BB">
              <w:rPr>
                <w:rFonts w:cs="Arial"/>
                <w:szCs w:val="19"/>
              </w:rPr>
              <w:t>IV</w:t>
            </w:r>
          </w:p>
        </w:tc>
      </w:tr>
      <w:tr w:rsidR="0002201B" w:rsidRPr="009658BB" w:rsidTr="009658BB">
        <w:tc>
          <w:tcPr>
            <w:tcW w:w="1386" w:type="pct"/>
            <w:tcBorders>
              <w:top w:val="single" w:sz="4" w:space="0" w:color="auto"/>
              <w:left w:val="single" w:sz="4" w:space="0" w:color="auto"/>
              <w:right w:val="single" w:sz="4" w:space="0" w:color="auto"/>
            </w:tcBorders>
            <w:shd w:val="clear" w:color="auto" w:fill="F7AFBE"/>
            <w:vAlign w:val="bottom"/>
          </w:tcPr>
          <w:p w:rsidR="0002201B" w:rsidRPr="009658BB" w:rsidRDefault="0002201B" w:rsidP="0002201B">
            <w:pPr>
              <w:pStyle w:val="Galva"/>
              <w:ind w:left="0"/>
              <w:jc w:val="left"/>
              <w:rPr>
                <w:rFonts w:cs="Arial"/>
                <w:b/>
                <w:szCs w:val="19"/>
              </w:rPr>
            </w:pPr>
            <w:r w:rsidRPr="009658BB">
              <w:rPr>
                <w:rFonts w:cs="Arial"/>
                <w:b/>
                <w:szCs w:val="19"/>
              </w:rPr>
              <w:t>Iš viso</w:t>
            </w:r>
          </w:p>
        </w:tc>
        <w:tc>
          <w:tcPr>
            <w:tcW w:w="453" w:type="pct"/>
            <w:tcBorders>
              <w:top w:val="single" w:sz="4" w:space="0" w:color="auto"/>
              <w:left w:val="single" w:sz="4" w:space="0" w:color="auto"/>
              <w:right w:val="single" w:sz="4" w:space="0" w:color="auto"/>
            </w:tcBorders>
            <w:shd w:val="clear" w:color="auto" w:fill="F7AFBE"/>
            <w:vAlign w:val="bottom"/>
          </w:tcPr>
          <w:p w:rsidR="0002201B" w:rsidRPr="009658BB" w:rsidRDefault="0002201B" w:rsidP="0002201B">
            <w:pPr>
              <w:keepNext/>
              <w:keepLines/>
              <w:spacing w:before="40" w:after="40"/>
              <w:ind w:left="-85"/>
              <w:jc w:val="right"/>
              <w:rPr>
                <w:rFonts w:cs="Arial"/>
                <w:b/>
                <w:color w:val="000000"/>
                <w:sz w:val="19"/>
                <w:szCs w:val="19"/>
                <w:lang w:val="lt-LT"/>
              </w:rPr>
            </w:pPr>
            <w:r w:rsidRPr="009658BB">
              <w:rPr>
                <w:rFonts w:cs="Arial"/>
                <w:b/>
                <w:color w:val="000000"/>
                <w:sz w:val="19"/>
                <w:szCs w:val="19"/>
                <w:lang w:val="lt-LT"/>
              </w:rPr>
              <w:t>17,3</w:t>
            </w:r>
          </w:p>
        </w:tc>
        <w:tc>
          <w:tcPr>
            <w:tcW w:w="453" w:type="pct"/>
            <w:tcBorders>
              <w:top w:val="single" w:sz="4" w:space="0" w:color="auto"/>
              <w:left w:val="single" w:sz="4" w:space="0" w:color="auto"/>
              <w:right w:val="single" w:sz="4" w:space="0" w:color="auto"/>
            </w:tcBorders>
            <w:shd w:val="clear" w:color="auto" w:fill="F7AFBE"/>
            <w:vAlign w:val="bottom"/>
          </w:tcPr>
          <w:p w:rsidR="0002201B" w:rsidRPr="009658BB" w:rsidRDefault="0002201B" w:rsidP="0002201B">
            <w:pPr>
              <w:keepNext/>
              <w:keepLines/>
              <w:spacing w:before="40" w:after="40"/>
              <w:ind w:left="-85"/>
              <w:jc w:val="right"/>
              <w:rPr>
                <w:rFonts w:cs="Arial"/>
                <w:b/>
                <w:color w:val="000000"/>
                <w:sz w:val="19"/>
                <w:szCs w:val="19"/>
                <w:lang w:val="lt-LT"/>
              </w:rPr>
            </w:pPr>
            <w:r w:rsidRPr="009658BB">
              <w:rPr>
                <w:rFonts w:cs="Arial"/>
                <w:b/>
                <w:color w:val="000000"/>
                <w:sz w:val="19"/>
                <w:szCs w:val="19"/>
                <w:lang w:val="lt-LT"/>
              </w:rPr>
              <w:t>1,3</w:t>
            </w:r>
          </w:p>
        </w:tc>
        <w:tc>
          <w:tcPr>
            <w:tcW w:w="338" w:type="pct"/>
            <w:tcBorders>
              <w:top w:val="single" w:sz="4" w:space="0" w:color="auto"/>
              <w:left w:val="single" w:sz="4" w:space="0" w:color="auto"/>
              <w:right w:val="single" w:sz="4" w:space="0" w:color="auto"/>
            </w:tcBorders>
            <w:shd w:val="clear" w:color="auto" w:fill="F7AFBE"/>
            <w:vAlign w:val="bottom"/>
          </w:tcPr>
          <w:p w:rsidR="0002201B" w:rsidRPr="009658BB" w:rsidRDefault="0002201B" w:rsidP="0002201B">
            <w:pPr>
              <w:keepNext/>
              <w:keepLines/>
              <w:spacing w:before="40" w:after="40"/>
              <w:ind w:left="-85"/>
              <w:jc w:val="right"/>
              <w:rPr>
                <w:rFonts w:cs="Arial"/>
                <w:color w:val="000000"/>
                <w:sz w:val="19"/>
                <w:szCs w:val="19"/>
                <w:lang w:val="lt-LT"/>
              </w:rPr>
            </w:pPr>
            <w:r w:rsidRPr="009658BB">
              <w:rPr>
                <w:rFonts w:cs="Arial"/>
                <w:b/>
                <w:sz w:val="19"/>
                <w:szCs w:val="19"/>
                <w:lang w:val="lt-LT"/>
              </w:rPr>
              <w:t>15,0</w:t>
            </w:r>
          </w:p>
        </w:tc>
        <w:tc>
          <w:tcPr>
            <w:tcW w:w="338" w:type="pct"/>
            <w:tcBorders>
              <w:top w:val="single" w:sz="4" w:space="0" w:color="auto"/>
              <w:left w:val="single" w:sz="4" w:space="0" w:color="auto"/>
              <w:right w:val="single" w:sz="4" w:space="0" w:color="auto"/>
            </w:tcBorders>
            <w:shd w:val="clear" w:color="auto" w:fill="F7AFBE"/>
            <w:vAlign w:val="bottom"/>
          </w:tcPr>
          <w:p w:rsidR="0002201B" w:rsidRPr="009658BB" w:rsidRDefault="0002201B" w:rsidP="0002201B">
            <w:pPr>
              <w:keepNext/>
              <w:keepLines/>
              <w:spacing w:before="40" w:after="40"/>
              <w:ind w:left="-85"/>
              <w:jc w:val="right"/>
              <w:rPr>
                <w:rFonts w:cs="Arial"/>
                <w:color w:val="000000"/>
                <w:sz w:val="19"/>
                <w:szCs w:val="19"/>
                <w:lang w:val="lt-LT"/>
              </w:rPr>
            </w:pPr>
            <w:r w:rsidRPr="009658BB">
              <w:rPr>
                <w:rFonts w:cs="Arial"/>
                <w:b/>
                <w:sz w:val="19"/>
                <w:szCs w:val="19"/>
                <w:lang w:val="lt-LT"/>
              </w:rPr>
              <w:t>17,3</w:t>
            </w:r>
          </w:p>
        </w:tc>
        <w:tc>
          <w:tcPr>
            <w:tcW w:w="338" w:type="pct"/>
            <w:tcBorders>
              <w:top w:val="single" w:sz="4" w:space="0" w:color="auto"/>
              <w:left w:val="single" w:sz="4" w:space="0" w:color="auto"/>
              <w:right w:val="single" w:sz="4" w:space="0" w:color="auto"/>
            </w:tcBorders>
            <w:shd w:val="clear" w:color="auto" w:fill="F7AFBE"/>
            <w:vAlign w:val="bottom"/>
          </w:tcPr>
          <w:p w:rsidR="0002201B" w:rsidRPr="009658BB" w:rsidRDefault="0002201B" w:rsidP="0002201B">
            <w:pPr>
              <w:keepNext/>
              <w:keepLines/>
              <w:spacing w:before="40" w:after="40"/>
              <w:ind w:left="-85"/>
              <w:jc w:val="right"/>
              <w:rPr>
                <w:rFonts w:cs="Arial"/>
                <w:b/>
                <w:sz w:val="19"/>
                <w:szCs w:val="19"/>
                <w:lang w:val="lt-LT"/>
              </w:rPr>
            </w:pPr>
            <w:r w:rsidRPr="009658BB">
              <w:rPr>
                <w:rFonts w:cs="Arial"/>
                <w:b/>
                <w:sz w:val="19"/>
                <w:szCs w:val="19"/>
                <w:lang w:val="lt-LT"/>
              </w:rPr>
              <w:t>18,4</w:t>
            </w:r>
          </w:p>
        </w:tc>
        <w:tc>
          <w:tcPr>
            <w:tcW w:w="338" w:type="pct"/>
            <w:tcBorders>
              <w:top w:val="single" w:sz="4" w:space="0" w:color="auto"/>
              <w:left w:val="single" w:sz="4" w:space="0" w:color="auto"/>
              <w:right w:val="single" w:sz="4" w:space="0" w:color="auto"/>
            </w:tcBorders>
            <w:shd w:val="clear" w:color="auto" w:fill="F7AFBE"/>
            <w:vAlign w:val="bottom"/>
          </w:tcPr>
          <w:p w:rsidR="0002201B" w:rsidRPr="009658BB" w:rsidRDefault="0002201B" w:rsidP="0002201B">
            <w:pPr>
              <w:keepNext/>
              <w:keepLines/>
              <w:spacing w:before="40" w:after="40"/>
              <w:ind w:left="-85"/>
              <w:jc w:val="right"/>
              <w:rPr>
                <w:rFonts w:cs="Arial"/>
                <w:color w:val="000000"/>
                <w:sz w:val="19"/>
                <w:szCs w:val="19"/>
                <w:lang w:val="lt-LT"/>
              </w:rPr>
            </w:pPr>
            <w:r w:rsidRPr="009658BB">
              <w:rPr>
                <w:rFonts w:cs="Arial"/>
                <w:b/>
                <w:sz w:val="19"/>
                <w:szCs w:val="19"/>
                <w:lang w:val="lt-LT"/>
              </w:rPr>
              <w:t>15,6</w:t>
            </w:r>
          </w:p>
        </w:tc>
        <w:tc>
          <w:tcPr>
            <w:tcW w:w="338" w:type="pct"/>
            <w:tcBorders>
              <w:top w:val="single" w:sz="4" w:space="0" w:color="auto"/>
              <w:left w:val="single" w:sz="4" w:space="0" w:color="auto"/>
              <w:right w:val="single" w:sz="4" w:space="0" w:color="auto"/>
            </w:tcBorders>
            <w:shd w:val="clear" w:color="auto" w:fill="F7AFBE"/>
            <w:vAlign w:val="bottom"/>
          </w:tcPr>
          <w:p w:rsidR="0002201B" w:rsidRPr="009658BB" w:rsidRDefault="0002201B" w:rsidP="0002201B">
            <w:pPr>
              <w:keepNext/>
              <w:keepLines/>
              <w:spacing w:before="40" w:after="40"/>
              <w:ind w:left="-85"/>
              <w:jc w:val="right"/>
              <w:rPr>
                <w:rFonts w:cs="Arial"/>
                <w:b/>
                <w:sz w:val="19"/>
                <w:szCs w:val="19"/>
                <w:lang w:val="lt-LT"/>
              </w:rPr>
            </w:pPr>
            <w:r w:rsidRPr="009658BB">
              <w:rPr>
                <w:rFonts w:cs="Arial"/>
                <w:b/>
                <w:sz w:val="19"/>
                <w:szCs w:val="19"/>
                <w:lang w:val="lt-LT"/>
              </w:rPr>
              <w:t>1,1</w:t>
            </w:r>
          </w:p>
        </w:tc>
        <w:tc>
          <w:tcPr>
            <w:tcW w:w="338" w:type="pct"/>
            <w:tcBorders>
              <w:top w:val="single" w:sz="4" w:space="0" w:color="auto"/>
              <w:left w:val="single" w:sz="4" w:space="0" w:color="auto"/>
              <w:right w:val="single" w:sz="4" w:space="0" w:color="auto"/>
            </w:tcBorders>
            <w:shd w:val="clear" w:color="auto" w:fill="F7AFBE"/>
            <w:vAlign w:val="bottom"/>
          </w:tcPr>
          <w:p w:rsidR="0002201B" w:rsidRPr="009658BB" w:rsidRDefault="0002201B" w:rsidP="0002201B">
            <w:pPr>
              <w:keepNext/>
              <w:keepLines/>
              <w:spacing w:before="40" w:after="40"/>
              <w:ind w:left="-85"/>
              <w:jc w:val="right"/>
              <w:rPr>
                <w:rFonts w:cs="Arial"/>
                <w:b/>
                <w:sz w:val="19"/>
                <w:szCs w:val="19"/>
                <w:lang w:val="lt-LT"/>
              </w:rPr>
            </w:pPr>
            <w:r w:rsidRPr="009658BB">
              <w:rPr>
                <w:rFonts w:cs="Arial"/>
                <w:b/>
                <w:sz w:val="19"/>
                <w:szCs w:val="19"/>
                <w:lang w:val="lt-LT"/>
              </w:rPr>
              <w:t>1,3</w:t>
            </w:r>
          </w:p>
        </w:tc>
        <w:tc>
          <w:tcPr>
            <w:tcW w:w="338" w:type="pct"/>
            <w:tcBorders>
              <w:top w:val="single" w:sz="4" w:space="0" w:color="auto"/>
              <w:left w:val="single" w:sz="4" w:space="0" w:color="auto"/>
              <w:right w:val="single" w:sz="4" w:space="0" w:color="auto"/>
            </w:tcBorders>
            <w:shd w:val="clear" w:color="auto" w:fill="F7AFBE"/>
            <w:vAlign w:val="bottom"/>
          </w:tcPr>
          <w:p w:rsidR="0002201B" w:rsidRPr="009658BB" w:rsidRDefault="0002201B" w:rsidP="0002201B">
            <w:pPr>
              <w:keepNext/>
              <w:keepLines/>
              <w:spacing w:before="40" w:after="40"/>
              <w:ind w:left="-85"/>
              <w:jc w:val="right"/>
              <w:rPr>
                <w:rFonts w:cs="Arial"/>
                <w:b/>
                <w:sz w:val="19"/>
                <w:szCs w:val="19"/>
                <w:lang w:val="lt-LT"/>
              </w:rPr>
            </w:pPr>
            <w:r w:rsidRPr="009658BB">
              <w:rPr>
                <w:rFonts w:cs="Arial"/>
                <w:b/>
                <w:sz w:val="19"/>
                <w:szCs w:val="19"/>
                <w:lang w:val="lt-LT"/>
              </w:rPr>
              <w:t>1,4</w:t>
            </w:r>
          </w:p>
        </w:tc>
        <w:tc>
          <w:tcPr>
            <w:tcW w:w="338" w:type="pct"/>
            <w:tcBorders>
              <w:top w:val="single" w:sz="4" w:space="0" w:color="auto"/>
              <w:left w:val="single" w:sz="4" w:space="0" w:color="auto"/>
              <w:right w:val="single" w:sz="4" w:space="0" w:color="auto"/>
            </w:tcBorders>
            <w:shd w:val="clear" w:color="auto" w:fill="F7AFBE"/>
            <w:vAlign w:val="bottom"/>
          </w:tcPr>
          <w:p w:rsidR="0002201B" w:rsidRPr="009658BB" w:rsidRDefault="0002201B" w:rsidP="0002201B">
            <w:pPr>
              <w:keepNext/>
              <w:keepLines/>
              <w:spacing w:before="40" w:after="40"/>
              <w:ind w:left="-85"/>
              <w:jc w:val="right"/>
              <w:rPr>
                <w:rFonts w:cs="Arial"/>
                <w:b/>
                <w:sz w:val="19"/>
                <w:szCs w:val="19"/>
                <w:lang w:val="lt-LT"/>
              </w:rPr>
            </w:pPr>
            <w:r w:rsidRPr="009658BB">
              <w:rPr>
                <w:rFonts w:cs="Arial"/>
                <w:b/>
                <w:sz w:val="19"/>
                <w:szCs w:val="19"/>
                <w:lang w:val="lt-LT"/>
              </w:rPr>
              <w:t>1,2</w:t>
            </w:r>
          </w:p>
        </w:tc>
      </w:tr>
      <w:tr w:rsidR="0002201B" w:rsidRPr="009658BB" w:rsidTr="009658BB">
        <w:tc>
          <w:tcPr>
            <w:tcW w:w="1386" w:type="pct"/>
            <w:tcBorders>
              <w:left w:val="single" w:sz="4" w:space="0" w:color="auto"/>
              <w:right w:val="single" w:sz="4" w:space="0" w:color="auto"/>
            </w:tcBorders>
            <w:vAlign w:val="bottom"/>
          </w:tcPr>
          <w:p w:rsidR="0002201B" w:rsidRPr="009658BB" w:rsidRDefault="0002201B" w:rsidP="0002201B">
            <w:pPr>
              <w:pStyle w:val="Galva"/>
              <w:ind w:left="0"/>
              <w:jc w:val="left"/>
              <w:rPr>
                <w:rFonts w:cs="Arial"/>
                <w:szCs w:val="19"/>
              </w:rPr>
            </w:pPr>
            <w:r w:rsidRPr="009658BB">
              <w:rPr>
                <w:rFonts w:cs="Arial"/>
                <w:szCs w:val="19"/>
              </w:rPr>
              <w:t>Žemės ūkis, miškininkystė ir žuvininkystė</w:t>
            </w:r>
          </w:p>
        </w:tc>
        <w:tc>
          <w:tcPr>
            <w:tcW w:w="453" w:type="pct"/>
            <w:tcBorders>
              <w:left w:val="single" w:sz="4" w:space="0" w:color="auto"/>
              <w:right w:val="single" w:sz="4" w:space="0" w:color="auto"/>
            </w:tcBorders>
            <w:vAlign w:val="bottom"/>
          </w:tcPr>
          <w:p w:rsidR="0002201B" w:rsidRPr="009658BB" w:rsidRDefault="0002201B" w:rsidP="0002201B">
            <w:pPr>
              <w:keepNext/>
              <w:keepLines/>
              <w:spacing w:before="40" w:after="40"/>
              <w:ind w:left="-85"/>
              <w:jc w:val="right"/>
              <w:rPr>
                <w:rFonts w:cs="Arial"/>
                <w:color w:val="000000"/>
                <w:sz w:val="19"/>
                <w:szCs w:val="19"/>
                <w:lang w:val="lt-LT"/>
              </w:rPr>
            </w:pPr>
            <w:r w:rsidRPr="009658BB">
              <w:rPr>
                <w:rFonts w:cs="Arial"/>
                <w:color w:val="000000"/>
                <w:sz w:val="19"/>
                <w:szCs w:val="19"/>
                <w:lang w:val="lt-LT"/>
              </w:rPr>
              <w:t>0,1</w:t>
            </w:r>
          </w:p>
        </w:tc>
        <w:tc>
          <w:tcPr>
            <w:tcW w:w="453" w:type="pct"/>
            <w:tcBorders>
              <w:left w:val="single" w:sz="4" w:space="0" w:color="auto"/>
              <w:right w:val="single" w:sz="4" w:space="0" w:color="auto"/>
            </w:tcBorders>
            <w:vAlign w:val="bottom"/>
          </w:tcPr>
          <w:p w:rsidR="0002201B" w:rsidRPr="009658BB" w:rsidRDefault="0002201B" w:rsidP="0002201B">
            <w:pPr>
              <w:spacing w:before="40" w:after="40"/>
              <w:ind w:left="-85"/>
              <w:jc w:val="right"/>
              <w:rPr>
                <w:rFonts w:cs="Arial"/>
                <w:color w:val="000000"/>
                <w:sz w:val="19"/>
                <w:szCs w:val="19"/>
                <w:lang w:val="lt-LT"/>
              </w:rPr>
            </w:pPr>
            <w:r w:rsidRPr="009658BB">
              <w:rPr>
                <w:rFonts w:cs="Arial"/>
                <w:color w:val="000000"/>
                <w:sz w:val="19"/>
                <w:szCs w:val="19"/>
                <w:lang w:val="lt-LT"/>
              </w:rPr>
              <w:t>0,5</w:t>
            </w:r>
          </w:p>
        </w:tc>
        <w:tc>
          <w:tcPr>
            <w:tcW w:w="338" w:type="pct"/>
            <w:tcBorders>
              <w:left w:val="single" w:sz="4" w:space="0" w:color="auto"/>
              <w:right w:val="single" w:sz="4" w:space="0" w:color="auto"/>
            </w:tcBorders>
            <w:vAlign w:val="bottom"/>
          </w:tcPr>
          <w:p w:rsidR="0002201B" w:rsidRPr="009658BB" w:rsidRDefault="0002201B" w:rsidP="0002201B">
            <w:pPr>
              <w:keepNext/>
              <w:keepLines/>
              <w:spacing w:before="40" w:after="40"/>
              <w:ind w:left="-85"/>
              <w:jc w:val="right"/>
              <w:rPr>
                <w:rFonts w:cs="Arial"/>
                <w:color w:val="000000"/>
                <w:sz w:val="19"/>
                <w:szCs w:val="19"/>
                <w:lang w:val="lt-LT"/>
              </w:rPr>
            </w:pPr>
            <w:r w:rsidRPr="009658BB">
              <w:rPr>
                <w:rFonts w:cs="Arial"/>
                <w:color w:val="000000"/>
                <w:sz w:val="19"/>
                <w:szCs w:val="19"/>
                <w:lang w:val="lt-LT"/>
              </w:rPr>
              <w:t>0,2</w:t>
            </w:r>
          </w:p>
        </w:tc>
        <w:tc>
          <w:tcPr>
            <w:tcW w:w="338" w:type="pct"/>
            <w:tcBorders>
              <w:left w:val="single" w:sz="4" w:space="0" w:color="auto"/>
              <w:right w:val="single" w:sz="4" w:space="0" w:color="auto"/>
            </w:tcBorders>
            <w:vAlign w:val="bottom"/>
          </w:tcPr>
          <w:p w:rsidR="0002201B" w:rsidRPr="009658BB" w:rsidRDefault="0002201B" w:rsidP="0002201B">
            <w:pPr>
              <w:spacing w:before="40" w:after="40"/>
              <w:ind w:left="-85"/>
              <w:jc w:val="right"/>
              <w:rPr>
                <w:rFonts w:cs="Arial"/>
                <w:color w:val="000000"/>
                <w:sz w:val="19"/>
                <w:szCs w:val="19"/>
                <w:lang w:val="lt-LT"/>
              </w:rPr>
            </w:pPr>
            <w:r w:rsidRPr="009658BB">
              <w:rPr>
                <w:rFonts w:cs="Arial"/>
                <w:color w:val="000000"/>
                <w:sz w:val="19"/>
                <w:szCs w:val="19"/>
                <w:lang w:val="lt-LT"/>
              </w:rPr>
              <w:t>0,2</w:t>
            </w:r>
          </w:p>
        </w:tc>
        <w:tc>
          <w:tcPr>
            <w:tcW w:w="338" w:type="pct"/>
            <w:tcBorders>
              <w:left w:val="single" w:sz="4" w:space="0" w:color="auto"/>
              <w:right w:val="single" w:sz="4" w:space="0" w:color="auto"/>
            </w:tcBorders>
            <w:vAlign w:val="bottom"/>
          </w:tcPr>
          <w:p w:rsidR="0002201B" w:rsidRPr="009658BB" w:rsidRDefault="0002201B" w:rsidP="0002201B">
            <w:pPr>
              <w:keepNext/>
              <w:keepLines/>
              <w:spacing w:before="40" w:after="40"/>
              <w:ind w:left="-85"/>
              <w:jc w:val="right"/>
              <w:rPr>
                <w:rFonts w:cs="Arial"/>
                <w:color w:val="000000"/>
                <w:sz w:val="19"/>
                <w:szCs w:val="19"/>
                <w:lang w:val="lt-LT"/>
              </w:rPr>
            </w:pPr>
            <w:r w:rsidRPr="009658BB">
              <w:rPr>
                <w:rFonts w:cs="Arial"/>
                <w:color w:val="000000"/>
                <w:sz w:val="19"/>
                <w:szCs w:val="19"/>
                <w:lang w:val="lt-LT"/>
              </w:rPr>
              <w:t>0,2</w:t>
            </w:r>
          </w:p>
        </w:tc>
        <w:tc>
          <w:tcPr>
            <w:tcW w:w="338" w:type="pct"/>
            <w:tcBorders>
              <w:left w:val="single" w:sz="4" w:space="0" w:color="auto"/>
              <w:right w:val="single" w:sz="4" w:space="0" w:color="auto"/>
            </w:tcBorders>
            <w:vAlign w:val="bottom"/>
          </w:tcPr>
          <w:p w:rsidR="0002201B" w:rsidRPr="009658BB" w:rsidRDefault="0002201B" w:rsidP="0002201B">
            <w:pPr>
              <w:keepNext/>
              <w:keepLines/>
              <w:spacing w:before="40" w:after="40"/>
              <w:ind w:left="-85"/>
              <w:jc w:val="right"/>
              <w:rPr>
                <w:rFonts w:cs="Arial"/>
                <w:color w:val="000000"/>
                <w:sz w:val="19"/>
                <w:szCs w:val="19"/>
                <w:lang w:val="lt-LT"/>
              </w:rPr>
            </w:pPr>
            <w:r w:rsidRPr="009658BB">
              <w:rPr>
                <w:rFonts w:cs="Arial"/>
                <w:color w:val="000000"/>
                <w:sz w:val="19"/>
                <w:szCs w:val="19"/>
                <w:lang w:val="lt-LT"/>
              </w:rPr>
              <w:t>0,1</w:t>
            </w:r>
          </w:p>
        </w:tc>
        <w:tc>
          <w:tcPr>
            <w:tcW w:w="338" w:type="pct"/>
            <w:tcBorders>
              <w:left w:val="single" w:sz="4" w:space="0" w:color="auto"/>
              <w:right w:val="single" w:sz="4" w:space="0" w:color="auto"/>
            </w:tcBorders>
            <w:vAlign w:val="bottom"/>
          </w:tcPr>
          <w:p w:rsidR="0002201B" w:rsidRPr="009658BB" w:rsidRDefault="0002201B" w:rsidP="0002201B">
            <w:pPr>
              <w:keepNext/>
              <w:keepLines/>
              <w:spacing w:before="40" w:after="40"/>
              <w:ind w:left="-85"/>
              <w:jc w:val="right"/>
              <w:rPr>
                <w:rFonts w:cs="Arial"/>
                <w:color w:val="000000"/>
                <w:sz w:val="19"/>
                <w:szCs w:val="19"/>
                <w:lang w:val="lt-LT"/>
              </w:rPr>
            </w:pPr>
            <w:r w:rsidRPr="009658BB">
              <w:rPr>
                <w:rFonts w:cs="Arial"/>
                <w:color w:val="000000"/>
                <w:sz w:val="19"/>
                <w:szCs w:val="19"/>
                <w:lang w:val="lt-LT"/>
              </w:rPr>
              <w:t>0,8</w:t>
            </w:r>
          </w:p>
        </w:tc>
        <w:tc>
          <w:tcPr>
            <w:tcW w:w="338" w:type="pct"/>
            <w:tcBorders>
              <w:left w:val="single" w:sz="4" w:space="0" w:color="auto"/>
              <w:right w:val="single" w:sz="4" w:space="0" w:color="auto"/>
            </w:tcBorders>
            <w:vAlign w:val="bottom"/>
          </w:tcPr>
          <w:p w:rsidR="0002201B" w:rsidRPr="009658BB" w:rsidRDefault="0002201B" w:rsidP="0002201B">
            <w:pPr>
              <w:keepNext/>
              <w:keepLines/>
              <w:spacing w:before="40" w:after="40"/>
              <w:ind w:left="-85"/>
              <w:jc w:val="right"/>
              <w:rPr>
                <w:rFonts w:cs="Arial"/>
                <w:color w:val="000000"/>
                <w:sz w:val="19"/>
                <w:szCs w:val="19"/>
                <w:lang w:val="lt-LT"/>
              </w:rPr>
            </w:pPr>
            <w:r w:rsidRPr="009658BB">
              <w:rPr>
                <w:rFonts w:cs="Arial"/>
                <w:color w:val="000000"/>
                <w:sz w:val="19"/>
                <w:szCs w:val="19"/>
                <w:lang w:val="lt-LT"/>
              </w:rPr>
              <w:t>0,9</w:t>
            </w:r>
          </w:p>
        </w:tc>
        <w:tc>
          <w:tcPr>
            <w:tcW w:w="338" w:type="pct"/>
            <w:tcBorders>
              <w:left w:val="single" w:sz="4" w:space="0" w:color="auto"/>
              <w:right w:val="single" w:sz="4" w:space="0" w:color="auto"/>
            </w:tcBorders>
            <w:vAlign w:val="bottom"/>
          </w:tcPr>
          <w:p w:rsidR="0002201B" w:rsidRPr="009658BB" w:rsidRDefault="0002201B" w:rsidP="0002201B">
            <w:pPr>
              <w:keepNext/>
              <w:keepLines/>
              <w:spacing w:before="40" w:after="40"/>
              <w:ind w:left="-85"/>
              <w:jc w:val="right"/>
              <w:rPr>
                <w:rFonts w:cs="Arial"/>
                <w:color w:val="000000"/>
                <w:sz w:val="19"/>
                <w:szCs w:val="19"/>
                <w:lang w:val="lt-LT"/>
              </w:rPr>
            </w:pPr>
            <w:r w:rsidRPr="009658BB">
              <w:rPr>
                <w:rFonts w:cs="Arial"/>
                <w:color w:val="000000"/>
                <w:sz w:val="19"/>
                <w:szCs w:val="19"/>
                <w:lang w:val="lt-LT"/>
              </w:rPr>
              <w:t>0,8</w:t>
            </w:r>
          </w:p>
        </w:tc>
        <w:tc>
          <w:tcPr>
            <w:tcW w:w="338" w:type="pct"/>
            <w:tcBorders>
              <w:left w:val="single" w:sz="4" w:space="0" w:color="auto"/>
              <w:right w:val="single" w:sz="4" w:space="0" w:color="auto"/>
            </w:tcBorders>
            <w:vAlign w:val="bottom"/>
          </w:tcPr>
          <w:p w:rsidR="0002201B" w:rsidRPr="009658BB" w:rsidRDefault="0002201B" w:rsidP="0002201B">
            <w:pPr>
              <w:keepNext/>
              <w:keepLines/>
              <w:spacing w:before="40" w:after="40"/>
              <w:ind w:left="-85"/>
              <w:jc w:val="right"/>
              <w:rPr>
                <w:rFonts w:cs="Arial"/>
                <w:color w:val="000000"/>
                <w:sz w:val="19"/>
                <w:szCs w:val="19"/>
                <w:lang w:val="lt-LT"/>
              </w:rPr>
            </w:pPr>
            <w:r w:rsidRPr="009658BB">
              <w:rPr>
                <w:rFonts w:cs="Arial"/>
                <w:color w:val="000000"/>
                <w:sz w:val="19"/>
                <w:szCs w:val="19"/>
                <w:lang w:val="lt-LT"/>
              </w:rPr>
              <w:t>0,5</w:t>
            </w:r>
          </w:p>
        </w:tc>
      </w:tr>
      <w:tr w:rsidR="0002201B" w:rsidRPr="009658BB" w:rsidTr="009658BB">
        <w:tc>
          <w:tcPr>
            <w:tcW w:w="1386" w:type="pct"/>
            <w:tcBorders>
              <w:left w:val="single" w:sz="4" w:space="0" w:color="auto"/>
              <w:right w:val="single" w:sz="4" w:space="0" w:color="auto"/>
            </w:tcBorders>
            <w:vAlign w:val="bottom"/>
          </w:tcPr>
          <w:p w:rsidR="0002201B" w:rsidRPr="009658BB" w:rsidRDefault="0002201B" w:rsidP="0002201B">
            <w:pPr>
              <w:pStyle w:val="Galva"/>
              <w:ind w:left="0"/>
              <w:jc w:val="left"/>
              <w:rPr>
                <w:rFonts w:cs="Arial"/>
                <w:szCs w:val="19"/>
              </w:rPr>
            </w:pPr>
            <w:r w:rsidRPr="009658BB">
              <w:rPr>
                <w:rFonts w:cs="Arial"/>
                <w:szCs w:val="19"/>
              </w:rPr>
              <w:t>Pramonė*</w:t>
            </w:r>
          </w:p>
        </w:tc>
        <w:tc>
          <w:tcPr>
            <w:tcW w:w="453" w:type="pct"/>
            <w:tcBorders>
              <w:left w:val="single" w:sz="4" w:space="0" w:color="auto"/>
              <w:right w:val="single" w:sz="4" w:space="0" w:color="auto"/>
            </w:tcBorders>
            <w:vAlign w:val="bottom"/>
          </w:tcPr>
          <w:p w:rsidR="0002201B" w:rsidRPr="009658BB" w:rsidRDefault="0002201B" w:rsidP="0002201B">
            <w:pPr>
              <w:keepNext/>
              <w:keepLines/>
              <w:spacing w:before="40" w:after="40"/>
              <w:ind w:left="-85"/>
              <w:jc w:val="right"/>
              <w:rPr>
                <w:rFonts w:cs="Arial"/>
                <w:color w:val="000000"/>
                <w:sz w:val="19"/>
                <w:szCs w:val="19"/>
                <w:lang w:val="lt-LT"/>
              </w:rPr>
            </w:pPr>
            <w:r w:rsidRPr="009658BB">
              <w:rPr>
                <w:rFonts w:cs="Arial"/>
                <w:color w:val="000000"/>
                <w:sz w:val="19"/>
                <w:szCs w:val="19"/>
                <w:lang w:val="lt-LT"/>
              </w:rPr>
              <w:t>4,4</w:t>
            </w:r>
          </w:p>
        </w:tc>
        <w:tc>
          <w:tcPr>
            <w:tcW w:w="453" w:type="pct"/>
            <w:tcBorders>
              <w:left w:val="single" w:sz="4" w:space="0" w:color="auto"/>
              <w:right w:val="single" w:sz="4" w:space="0" w:color="auto"/>
            </w:tcBorders>
            <w:vAlign w:val="bottom"/>
          </w:tcPr>
          <w:p w:rsidR="0002201B" w:rsidRPr="009658BB" w:rsidRDefault="0002201B" w:rsidP="0002201B">
            <w:pPr>
              <w:spacing w:before="40" w:after="40"/>
              <w:ind w:left="-85"/>
              <w:jc w:val="right"/>
              <w:rPr>
                <w:rFonts w:cs="Arial"/>
                <w:color w:val="000000"/>
                <w:sz w:val="19"/>
                <w:szCs w:val="19"/>
                <w:lang w:val="lt-LT"/>
              </w:rPr>
            </w:pPr>
            <w:r w:rsidRPr="009658BB">
              <w:rPr>
                <w:rFonts w:cs="Arial"/>
                <w:color w:val="000000"/>
                <w:sz w:val="19"/>
                <w:szCs w:val="19"/>
                <w:lang w:val="lt-LT"/>
              </w:rPr>
              <w:t>1,8</w:t>
            </w:r>
          </w:p>
        </w:tc>
        <w:tc>
          <w:tcPr>
            <w:tcW w:w="338" w:type="pct"/>
            <w:tcBorders>
              <w:left w:val="single" w:sz="4" w:space="0" w:color="auto"/>
              <w:right w:val="single" w:sz="4" w:space="0" w:color="auto"/>
            </w:tcBorders>
            <w:vAlign w:val="bottom"/>
          </w:tcPr>
          <w:p w:rsidR="0002201B" w:rsidRPr="009658BB" w:rsidRDefault="0002201B" w:rsidP="0002201B">
            <w:pPr>
              <w:keepNext/>
              <w:keepLines/>
              <w:spacing w:before="40" w:after="40"/>
              <w:ind w:left="-85"/>
              <w:jc w:val="right"/>
              <w:rPr>
                <w:rFonts w:cs="Arial"/>
                <w:color w:val="000000"/>
                <w:sz w:val="19"/>
                <w:szCs w:val="19"/>
                <w:lang w:val="lt-LT"/>
              </w:rPr>
            </w:pPr>
            <w:r w:rsidRPr="009658BB">
              <w:rPr>
                <w:rFonts w:cs="Arial"/>
                <w:color w:val="000000"/>
                <w:sz w:val="19"/>
                <w:szCs w:val="19"/>
                <w:lang w:val="lt-LT"/>
              </w:rPr>
              <w:t>2,3</w:t>
            </w:r>
          </w:p>
        </w:tc>
        <w:tc>
          <w:tcPr>
            <w:tcW w:w="338" w:type="pct"/>
            <w:tcBorders>
              <w:left w:val="single" w:sz="4" w:space="0" w:color="auto"/>
              <w:right w:val="single" w:sz="4" w:space="0" w:color="auto"/>
            </w:tcBorders>
            <w:vAlign w:val="bottom"/>
          </w:tcPr>
          <w:p w:rsidR="0002201B" w:rsidRPr="009658BB" w:rsidRDefault="0002201B" w:rsidP="0002201B">
            <w:pPr>
              <w:spacing w:before="40" w:after="40"/>
              <w:ind w:left="-85"/>
              <w:jc w:val="right"/>
              <w:rPr>
                <w:rFonts w:cs="Arial"/>
                <w:color w:val="000000"/>
                <w:sz w:val="19"/>
                <w:szCs w:val="19"/>
                <w:lang w:val="lt-LT"/>
              </w:rPr>
            </w:pPr>
            <w:r w:rsidRPr="009658BB">
              <w:rPr>
                <w:rFonts w:cs="Arial"/>
                <w:color w:val="000000"/>
                <w:sz w:val="19"/>
                <w:szCs w:val="19"/>
                <w:lang w:val="lt-LT"/>
              </w:rPr>
              <w:t>2,6</w:t>
            </w:r>
          </w:p>
        </w:tc>
        <w:tc>
          <w:tcPr>
            <w:tcW w:w="338" w:type="pct"/>
            <w:tcBorders>
              <w:left w:val="single" w:sz="4" w:space="0" w:color="auto"/>
              <w:right w:val="single" w:sz="4" w:space="0" w:color="auto"/>
            </w:tcBorders>
            <w:vAlign w:val="bottom"/>
          </w:tcPr>
          <w:p w:rsidR="0002201B" w:rsidRPr="009658BB" w:rsidRDefault="0002201B" w:rsidP="0002201B">
            <w:pPr>
              <w:keepNext/>
              <w:keepLines/>
              <w:spacing w:before="40" w:after="40"/>
              <w:ind w:left="-85"/>
              <w:jc w:val="right"/>
              <w:rPr>
                <w:rFonts w:cs="Arial"/>
                <w:color w:val="000000"/>
                <w:sz w:val="19"/>
                <w:szCs w:val="19"/>
                <w:lang w:val="lt-LT"/>
              </w:rPr>
            </w:pPr>
            <w:r w:rsidRPr="009658BB">
              <w:rPr>
                <w:rFonts w:cs="Arial"/>
                <w:color w:val="000000"/>
                <w:sz w:val="19"/>
                <w:szCs w:val="19"/>
                <w:lang w:val="lt-LT"/>
              </w:rPr>
              <w:t>3,5</w:t>
            </w:r>
          </w:p>
        </w:tc>
        <w:tc>
          <w:tcPr>
            <w:tcW w:w="338" w:type="pct"/>
            <w:tcBorders>
              <w:left w:val="single" w:sz="4" w:space="0" w:color="auto"/>
              <w:right w:val="single" w:sz="4" w:space="0" w:color="auto"/>
            </w:tcBorders>
            <w:vAlign w:val="bottom"/>
          </w:tcPr>
          <w:p w:rsidR="0002201B" w:rsidRPr="009658BB" w:rsidRDefault="0002201B" w:rsidP="0002201B">
            <w:pPr>
              <w:keepNext/>
              <w:keepLines/>
              <w:spacing w:before="40" w:after="40"/>
              <w:ind w:left="-85"/>
              <w:jc w:val="right"/>
              <w:rPr>
                <w:rFonts w:cs="Arial"/>
                <w:color w:val="000000"/>
                <w:sz w:val="19"/>
                <w:szCs w:val="19"/>
                <w:lang w:val="lt-LT"/>
              </w:rPr>
            </w:pPr>
            <w:r w:rsidRPr="009658BB">
              <w:rPr>
                <w:rFonts w:cs="Arial"/>
                <w:color w:val="000000"/>
                <w:sz w:val="19"/>
                <w:szCs w:val="19"/>
                <w:lang w:val="lt-LT"/>
              </w:rPr>
              <w:t>3,3</w:t>
            </w:r>
          </w:p>
        </w:tc>
        <w:tc>
          <w:tcPr>
            <w:tcW w:w="338" w:type="pct"/>
            <w:tcBorders>
              <w:left w:val="single" w:sz="4" w:space="0" w:color="auto"/>
              <w:right w:val="single" w:sz="4" w:space="0" w:color="auto"/>
            </w:tcBorders>
            <w:vAlign w:val="bottom"/>
          </w:tcPr>
          <w:p w:rsidR="0002201B" w:rsidRPr="009658BB" w:rsidRDefault="0002201B" w:rsidP="0002201B">
            <w:pPr>
              <w:keepNext/>
              <w:keepLines/>
              <w:spacing w:before="40" w:after="40"/>
              <w:ind w:left="-85"/>
              <w:jc w:val="right"/>
              <w:rPr>
                <w:rFonts w:cs="Arial"/>
                <w:color w:val="000000"/>
                <w:sz w:val="19"/>
                <w:szCs w:val="19"/>
                <w:lang w:val="lt-LT"/>
              </w:rPr>
            </w:pPr>
            <w:r w:rsidRPr="009658BB">
              <w:rPr>
                <w:rFonts w:cs="Arial"/>
                <w:color w:val="000000"/>
                <w:sz w:val="19"/>
                <w:szCs w:val="19"/>
                <w:lang w:val="lt-LT"/>
              </w:rPr>
              <w:t>1,0</w:t>
            </w:r>
          </w:p>
        </w:tc>
        <w:tc>
          <w:tcPr>
            <w:tcW w:w="338" w:type="pct"/>
            <w:tcBorders>
              <w:left w:val="single" w:sz="4" w:space="0" w:color="auto"/>
              <w:right w:val="single" w:sz="4" w:space="0" w:color="auto"/>
            </w:tcBorders>
            <w:vAlign w:val="bottom"/>
          </w:tcPr>
          <w:p w:rsidR="0002201B" w:rsidRPr="009658BB" w:rsidRDefault="0002201B" w:rsidP="0002201B">
            <w:pPr>
              <w:keepNext/>
              <w:keepLines/>
              <w:spacing w:before="40" w:after="40"/>
              <w:ind w:left="-85"/>
              <w:jc w:val="right"/>
              <w:rPr>
                <w:rFonts w:cs="Arial"/>
                <w:color w:val="000000"/>
                <w:sz w:val="19"/>
                <w:szCs w:val="19"/>
                <w:lang w:val="lt-LT"/>
              </w:rPr>
            </w:pPr>
            <w:r w:rsidRPr="009658BB">
              <w:rPr>
                <w:rFonts w:cs="Arial"/>
                <w:color w:val="000000"/>
                <w:sz w:val="19"/>
                <w:szCs w:val="19"/>
                <w:lang w:val="lt-LT"/>
              </w:rPr>
              <w:t>1,1</w:t>
            </w:r>
          </w:p>
        </w:tc>
        <w:tc>
          <w:tcPr>
            <w:tcW w:w="338" w:type="pct"/>
            <w:tcBorders>
              <w:left w:val="single" w:sz="4" w:space="0" w:color="auto"/>
              <w:right w:val="single" w:sz="4" w:space="0" w:color="auto"/>
            </w:tcBorders>
            <w:vAlign w:val="bottom"/>
          </w:tcPr>
          <w:p w:rsidR="0002201B" w:rsidRPr="009658BB" w:rsidRDefault="0002201B" w:rsidP="0002201B">
            <w:pPr>
              <w:keepNext/>
              <w:keepLines/>
              <w:spacing w:before="40" w:after="40"/>
              <w:ind w:left="-85"/>
              <w:jc w:val="right"/>
              <w:rPr>
                <w:rFonts w:cs="Arial"/>
                <w:color w:val="000000"/>
                <w:sz w:val="19"/>
                <w:szCs w:val="19"/>
                <w:lang w:val="lt-LT"/>
              </w:rPr>
            </w:pPr>
            <w:r w:rsidRPr="009658BB">
              <w:rPr>
                <w:rFonts w:cs="Arial"/>
                <w:color w:val="000000"/>
                <w:sz w:val="19"/>
                <w:szCs w:val="19"/>
                <w:lang w:val="lt-LT"/>
              </w:rPr>
              <w:t>1,5</w:t>
            </w:r>
          </w:p>
        </w:tc>
        <w:tc>
          <w:tcPr>
            <w:tcW w:w="338" w:type="pct"/>
            <w:tcBorders>
              <w:left w:val="single" w:sz="4" w:space="0" w:color="auto"/>
              <w:right w:val="single" w:sz="4" w:space="0" w:color="auto"/>
            </w:tcBorders>
            <w:vAlign w:val="bottom"/>
          </w:tcPr>
          <w:p w:rsidR="0002201B" w:rsidRPr="009658BB" w:rsidRDefault="0002201B" w:rsidP="0002201B">
            <w:pPr>
              <w:keepNext/>
              <w:keepLines/>
              <w:spacing w:before="40" w:after="40"/>
              <w:ind w:left="-85"/>
              <w:jc w:val="right"/>
              <w:rPr>
                <w:rFonts w:cs="Arial"/>
                <w:color w:val="000000"/>
                <w:sz w:val="19"/>
                <w:szCs w:val="19"/>
                <w:lang w:val="lt-LT"/>
              </w:rPr>
            </w:pPr>
            <w:r w:rsidRPr="009658BB">
              <w:rPr>
                <w:rFonts w:cs="Arial"/>
                <w:color w:val="000000"/>
                <w:sz w:val="19"/>
                <w:szCs w:val="19"/>
                <w:lang w:val="lt-LT"/>
              </w:rPr>
              <w:t>1,4</w:t>
            </w:r>
          </w:p>
        </w:tc>
      </w:tr>
      <w:tr w:rsidR="0002201B" w:rsidRPr="009658BB" w:rsidTr="009658BB">
        <w:tc>
          <w:tcPr>
            <w:tcW w:w="1386" w:type="pct"/>
            <w:tcBorders>
              <w:left w:val="single" w:sz="4" w:space="0" w:color="auto"/>
              <w:right w:val="single" w:sz="4" w:space="0" w:color="auto"/>
            </w:tcBorders>
            <w:vAlign w:val="bottom"/>
          </w:tcPr>
          <w:p w:rsidR="0002201B" w:rsidRPr="009658BB" w:rsidRDefault="0002201B" w:rsidP="0002201B">
            <w:pPr>
              <w:pStyle w:val="Galva"/>
              <w:ind w:left="0"/>
              <w:jc w:val="left"/>
              <w:rPr>
                <w:rFonts w:cs="Arial"/>
                <w:szCs w:val="19"/>
              </w:rPr>
            </w:pPr>
            <w:r w:rsidRPr="009658BB">
              <w:rPr>
                <w:rFonts w:cs="Arial"/>
                <w:szCs w:val="19"/>
              </w:rPr>
              <w:t>Statyba</w:t>
            </w:r>
          </w:p>
        </w:tc>
        <w:tc>
          <w:tcPr>
            <w:tcW w:w="453" w:type="pct"/>
            <w:tcBorders>
              <w:left w:val="single" w:sz="4" w:space="0" w:color="auto"/>
              <w:right w:val="single" w:sz="4" w:space="0" w:color="auto"/>
            </w:tcBorders>
            <w:vAlign w:val="bottom"/>
          </w:tcPr>
          <w:p w:rsidR="0002201B" w:rsidRPr="009658BB" w:rsidRDefault="0002201B" w:rsidP="0002201B">
            <w:pPr>
              <w:keepNext/>
              <w:keepLines/>
              <w:spacing w:before="40" w:after="40"/>
              <w:ind w:left="-85"/>
              <w:jc w:val="right"/>
              <w:rPr>
                <w:rFonts w:cs="Arial"/>
                <w:color w:val="000000"/>
                <w:sz w:val="19"/>
                <w:szCs w:val="19"/>
                <w:lang w:val="lt-LT"/>
              </w:rPr>
            </w:pPr>
            <w:r w:rsidRPr="009658BB">
              <w:rPr>
                <w:rFonts w:cs="Arial"/>
                <w:color w:val="000000"/>
                <w:sz w:val="19"/>
                <w:szCs w:val="19"/>
                <w:lang w:val="lt-LT"/>
              </w:rPr>
              <w:t>0,8</w:t>
            </w:r>
          </w:p>
        </w:tc>
        <w:tc>
          <w:tcPr>
            <w:tcW w:w="453" w:type="pct"/>
            <w:tcBorders>
              <w:left w:val="single" w:sz="4" w:space="0" w:color="auto"/>
              <w:right w:val="single" w:sz="4" w:space="0" w:color="auto"/>
            </w:tcBorders>
            <w:vAlign w:val="bottom"/>
          </w:tcPr>
          <w:p w:rsidR="0002201B" w:rsidRPr="009658BB" w:rsidRDefault="0002201B" w:rsidP="0002201B">
            <w:pPr>
              <w:spacing w:before="40" w:after="40"/>
              <w:ind w:left="-85"/>
              <w:jc w:val="right"/>
              <w:rPr>
                <w:rFonts w:cs="Arial"/>
                <w:color w:val="000000"/>
                <w:sz w:val="19"/>
                <w:szCs w:val="19"/>
                <w:lang w:val="lt-LT"/>
              </w:rPr>
            </w:pPr>
            <w:r w:rsidRPr="009658BB">
              <w:rPr>
                <w:rFonts w:cs="Arial"/>
                <w:color w:val="000000"/>
                <w:sz w:val="19"/>
                <w:szCs w:val="19"/>
                <w:lang w:val="lt-LT"/>
              </w:rPr>
              <w:t>0,9</w:t>
            </w:r>
          </w:p>
        </w:tc>
        <w:tc>
          <w:tcPr>
            <w:tcW w:w="338" w:type="pct"/>
            <w:tcBorders>
              <w:left w:val="single" w:sz="4" w:space="0" w:color="auto"/>
              <w:right w:val="single" w:sz="4" w:space="0" w:color="auto"/>
            </w:tcBorders>
            <w:vAlign w:val="bottom"/>
          </w:tcPr>
          <w:p w:rsidR="0002201B" w:rsidRPr="009658BB" w:rsidRDefault="0002201B" w:rsidP="0002201B">
            <w:pPr>
              <w:spacing w:before="40" w:after="40"/>
              <w:ind w:left="-85"/>
              <w:jc w:val="right"/>
              <w:rPr>
                <w:rFonts w:cs="Arial"/>
                <w:color w:val="000000"/>
                <w:sz w:val="19"/>
                <w:szCs w:val="19"/>
                <w:lang w:val="lt-LT"/>
              </w:rPr>
            </w:pPr>
            <w:r w:rsidRPr="009658BB">
              <w:rPr>
                <w:rFonts w:cs="Arial"/>
                <w:color w:val="000000"/>
                <w:sz w:val="19"/>
                <w:szCs w:val="19"/>
                <w:lang w:val="lt-LT"/>
              </w:rPr>
              <w:t>1,1</w:t>
            </w:r>
          </w:p>
        </w:tc>
        <w:tc>
          <w:tcPr>
            <w:tcW w:w="338" w:type="pct"/>
            <w:tcBorders>
              <w:left w:val="single" w:sz="4" w:space="0" w:color="auto"/>
              <w:right w:val="single" w:sz="4" w:space="0" w:color="auto"/>
            </w:tcBorders>
            <w:vAlign w:val="bottom"/>
          </w:tcPr>
          <w:p w:rsidR="0002201B" w:rsidRPr="009658BB" w:rsidRDefault="0002201B" w:rsidP="0002201B">
            <w:pPr>
              <w:spacing w:before="40" w:after="40"/>
              <w:ind w:left="-85"/>
              <w:jc w:val="right"/>
              <w:rPr>
                <w:rFonts w:cs="Arial"/>
                <w:color w:val="000000"/>
                <w:sz w:val="19"/>
                <w:szCs w:val="19"/>
                <w:lang w:val="lt-LT"/>
              </w:rPr>
            </w:pPr>
            <w:r w:rsidRPr="009658BB">
              <w:rPr>
                <w:rFonts w:cs="Arial"/>
                <w:color w:val="000000"/>
                <w:sz w:val="19"/>
                <w:szCs w:val="19"/>
                <w:lang w:val="lt-LT"/>
              </w:rPr>
              <w:t>1,1</w:t>
            </w:r>
          </w:p>
        </w:tc>
        <w:tc>
          <w:tcPr>
            <w:tcW w:w="338" w:type="pct"/>
            <w:tcBorders>
              <w:left w:val="single" w:sz="4" w:space="0" w:color="auto"/>
              <w:right w:val="single" w:sz="4" w:space="0" w:color="auto"/>
            </w:tcBorders>
            <w:vAlign w:val="bottom"/>
          </w:tcPr>
          <w:p w:rsidR="0002201B" w:rsidRPr="009658BB" w:rsidRDefault="0002201B" w:rsidP="0002201B">
            <w:pPr>
              <w:keepNext/>
              <w:keepLines/>
              <w:spacing w:before="40" w:after="40"/>
              <w:ind w:left="-85"/>
              <w:jc w:val="right"/>
              <w:rPr>
                <w:rFonts w:cs="Arial"/>
                <w:color w:val="000000"/>
                <w:sz w:val="19"/>
                <w:szCs w:val="19"/>
                <w:lang w:val="lt-LT"/>
              </w:rPr>
            </w:pPr>
            <w:r w:rsidRPr="009658BB">
              <w:rPr>
                <w:rFonts w:cs="Arial"/>
                <w:color w:val="000000"/>
                <w:sz w:val="19"/>
                <w:szCs w:val="19"/>
                <w:lang w:val="lt-LT"/>
              </w:rPr>
              <w:t>1,2</w:t>
            </w:r>
          </w:p>
        </w:tc>
        <w:tc>
          <w:tcPr>
            <w:tcW w:w="338" w:type="pct"/>
            <w:tcBorders>
              <w:left w:val="single" w:sz="4" w:space="0" w:color="auto"/>
              <w:right w:val="single" w:sz="4" w:space="0" w:color="auto"/>
            </w:tcBorders>
            <w:vAlign w:val="bottom"/>
          </w:tcPr>
          <w:p w:rsidR="0002201B" w:rsidRPr="009658BB" w:rsidRDefault="0002201B" w:rsidP="0002201B">
            <w:pPr>
              <w:keepNext/>
              <w:keepLines/>
              <w:spacing w:before="40" w:after="40"/>
              <w:ind w:left="-85"/>
              <w:jc w:val="right"/>
              <w:rPr>
                <w:rFonts w:cs="Arial"/>
                <w:color w:val="000000"/>
                <w:sz w:val="19"/>
                <w:szCs w:val="19"/>
                <w:lang w:val="lt-LT"/>
              </w:rPr>
            </w:pPr>
            <w:r w:rsidRPr="009658BB">
              <w:rPr>
                <w:rFonts w:cs="Arial"/>
                <w:color w:val="000000"/>
                <w:sz w:val="19"/>
                <w:szCs w:val="19"/>
                <w:lang w:val="lt-LT"/>
              </w:rPr>
              <w:t>0,9</w:t>
            </w:r>
          </w:p>
        </w:tc>
        <w:tc>
          <w:tcPr>
            <w:tcW w:w="338" w:type="pct"/>
            <w:tcBorders>
              <w:left w:val="single" w:sz="4" w:space="0" w:color="auto"/>
              <w:right w:val="single" w:sz="4" w:space="0" w:color="auto"/>
            </w:tcBorders>
            <w:vAlign w:val="bottom"/>
          </w:tcPr>
          <w:p w:rsidR="0002201B" w:rsidRPr="009658BB" w:rsidRDefault="0002201B" w:rsidP="0002201B">
            <w:pPr>
              <w:keepNext/>
              <w:keepLines/>
              <w:spacing w:before="40" w:after="40"/>
              <w:ind w:left="-85"/>
              <w:jc w:val="right"/>
              <w:rPr>
                <w:rFonts w:cs="Arial"/>
                <w:color w:val="000000"/>
                <w:sz w:val="19"/>
                <w:szCs w:val="19"/>
                <w:lang w:val="lt-LT"/>
              </w:rPr>
            </w:pPr>
            <w:r w:rsidRPr="009658BB">
              <w:rPr>
                <w:rFonts w:cs="Arial"/>
                <w:color w:val="000000"/>
                <w:sz w:val="19"/>
                <w:szCs w:val="19"/>
                <w:lang w:val="lt-LT"/>
              </w:rPr>
              <w:t>1,1</w:t>
            </w:r>
          </w:p>
        </w:tc>
        <w:tc>
          <w:tcPr>
            <w:tcW w:w="338" w:type="pct"/>
            <w:tcBorders>
              <w:left w:val="single" w:sz="4" w:space="0" w:color="auto"/>
              <w:right w:val="single" w:sz="4" w:space="0" w:color="auto"/>
            </w:tcBorders>
            <w:vAlign w:val="bottom"/>
          </w:tcPr>
          <w:p w:rsidR="0002201B" w:rsidRPr="009658BB" w:rsidRDefault="0002201B" w:rsidP="0002201B">
            <w:pPr>
              <w:keepNext/>
              <w:keepLines/>
              <w:spacing w:before="40" w:after="40"/>
              <w:ind w:left="-85"/>
              <w:jc w:val="right"/>
              <w:rPr>
                <w:rFonts w:cs="Arial"/>
                <w:color w:val="000000"/>
                <w:sz w:val="19"/>
                <w:szCs w:val="19"/>
                <w:lang w:val="lt-LT"/>
              </w:rPr>
            </w:pPr>
            <w:r w:rsidRPr="009658BB">
              <w:rPr>
                <w:rFonts w:cs="Arial"/>
                <w:color w:val="000000"/>
                <w:sz w:val="19"/>
                <w:szCs w:val="19"/>
                <w:lang w:val="lt-LT"/>
              </w:rPr>
              <w:t>1,1</w:t>
            </w:r>
          </w:p>
        </w:tc>
        <w:tc>
          <w:tcPr>
            <w:tcW w:w="338" w:type="pct"/>
            <w:tcBorders>
              <w:left w:val="single" w:sz="4" w:space="0" w:color="auto"/>
              <w:right w:val="single" w:sz="4" w:space="0" w:color="auto"/>
            </w:tcBorders>
            <w:vAlign w:val="bottom"/>
          </w:tcPr>
          <w:p w:rsidR="0002201B" w:rsidRPr="009658BB" w:rsidRDefault="0002201B" w:rsidP="0002201B">
            <w:pPr>
              <w:keepNext/>
              <w:keepLines/>
              <w:spacing w:before="40" w:after="40"/>
              <w:ind w:left="-85"/>
              <w:jc w:val="right"/>
              <w:rPr>
                <w:rFonts w:cs="Arial"/>
                <w:color w:val="000000"/>
                <w:sz w:val="19"/>
                <w:szCs w:val="19"/>
                <w:lang w:val="lt-LT"/>
              </w:rPr>
            </w:pPr>
            <w:r w:rsidRPr="009658BB">
              <w:rPr>
                <w:rFonts w:cs="Arial"/>
                <w:color w:val="000000"/>
                <w:sz w:val="19"/>
                <w:szCs w:val="19"/>
                <w:lang w:val="lt-LT"/>
              </w:rPr>
              <w:t>1,3</w:t>
            </w:r>
          </w:p>
        </w:tc>
        <w:tc>
          <w:tcPr>
            <w:tcW w:w="338" w:type="pct"/>
            <w:tcBorders>
              <w:left w:val="single" w:sz="4" w:space="0" w:color="auto"/>
              <w:right w:val="single" w:sz="4" w:space="0" w:color="auto"/>
            </w:tcBorders>
            <w:vAlign w:val="bottom"/>
          </w:tcPr>
          <w:p w:rsidR="0002201B" w:rsidRPr="009658BB" w:rsidRDefault="0002201B" w:rsidP="0002201B">
            <w:pPr>
              <w:keepNext/>
              <w:keepLines/>
              <w:spacing w:before="40" w:after="40"/>
              <w:ind w:left="-85"/>
              <w:jc w:val="right"/>
              <w:rPr>
                <w:rFonts w:cs="Arial"/>
                <w:color w:val="000000"/>
                <w:sz w:val="19"/>
                <w:szCs w:val="19"/>
                <w:lang w:val="lt-LT"/>
              </w:rPr>
            </w:pPr>
            <w:r w:rsidRPr="009658BB">
              <w:rPr>
                <w:rFonts w:cs="Arial"/>
                <w:color w:val="000000"/>
                <w:sz w:val="19"/>
                <w:szCs w:val="19"/>
                <w:lang w:val="lt-LT"/>
              </w:rPr>
              <w:t>1,0</w:t>
            </w:r>
          </w:p>
        </w:tc>
      </w:tr>
      <w:tr w:rsidR="0002201B" w:rsidRPr="009658BB" w:rsidTr="009658BB">
        <w:tc>
          <w:tcPr>
            <w:tcW w:w="1386" w:type="pct"/>
            <w:tcBorders>
              <w:left w:val="single" w:sz="4" w:space="0" w:color="auto"/>
              <w:right w:val="single" w:sz="4" w:space="0" w:color="auto"/>
            </w:tcBorders>
            <w:vAlign w:val="bottom"/>
          </w:tcPr>
          <w:p w:rsidR="0002201B" w:rsidRPr="009658BB" w:rsidRDefault="0002201B" w:rsidP="0002201B">
            <w:pPr>
              <w:pStyle w:val="Galva"/>
              <w:ind w:left="0"/>
              <w:jc w:val="left"/>
              <w:rPr>
                <w:rFonts w:cs="Arial"/>
                <w:szCs w:val="19"/>
              </w:rPr>
            </w:pPr>
            <w:r w:rsidRPr="009658BB">
              <w:rPr>
                <w:rFonts w:cs="Arial"/>
                <w:szCs w:val="19"/>
              </w:rPr>
              <w:t>Didmeninė ir mažmeninė prekyba; variklinių transporto priemonių ir motociklų remontas</w:t>
            </w:r>
          </w:p>
        </w:tc>
        <w:tc>
          <w:tcPr>
            <w:tcW w:w="453" w:type="pct"/>
            <w:tcBorders>
              <w:left w:val="single" w:sz="4" w:space="0" w:color="auto"/>
              <w:right w:val="single" w:sz="4" w:space="0" w:color="auto"/>
            </w:tcBorders>
            <w:vAlign w:val="bottom"/>
          </w:tcPr>
          <w:p w:rsidR="0002201B" w:rsidRPr="009658BB" w:rsidRDefault="0002201B" w:rsidP="0002201B">
            <w:pPr>
              <w:keepNext/>
              <w:keepLines/>
              <w:spacing w:before="40" w:after="40"/>
              <w:ind w:left="-85"/>
              <w:jc w:val="right"/>
              <w:rPr>
                <w:rFonts w:cs="Arial"/>
                <w:color w:val="000000"/>
                <w:sz w:val="19"/>
                <w:szCs w:val="19"/>
                <w:lang w:val="lt-LT"/>
              </w:rPr>
            </w:pPr>
            <w:r w:rsidRPr="009658BB">
              <w:rPr>
                <w:rFonts w:cs="Arial"/>
                <w:color w:val="000000"/>
                <w:sz w:val="19"/>
                <w:szCs w:val="19"/>
                <w:lang w:val="lt-LT"/>
              </w:rPr>
              <w:t>2,0</w:t>
            </w:r>
          </w:p>
        </w:tc>
        <w:tc>
          <w:tcPr>
            <w:tcW w:w="453" w:type="pct"/>
            <w:tcBorders>
              <w:left w:val="single" w:sz="4" w:space="0" w:color="auto"/>
              <w:right w:val="single" w:sz="4" w:space="0" w:color="auto"/>
            </w:tcBorders>
            <w:vAlign w:val="bottom"/>
          </w:tcPr>
          <w:p w:rsidR="0002201B" w:rsidRPr="009658BB" w:rsidRDefault="0002201B" w:rsidP="0002201B">
            <w:pPr>
              <w:spacing w:before="40" w:after="40"/>
              <w:ind w:left="-85"/>
              <w:jc w:val="right"/>
              <w:rPr>
                <w:rFonts w:cs="Arial"/>
                <w:color w:val="000000"/>
                <w:sz w:val="19"/>
                <w:szCs w:val="19"/>
                <w:lang w:val="lt-LT"/>
              </w:rPr>
            </w:pPr>
            <w:r w:rsidRPr="009658BB">
              <w:rPr>
                <w:rFonts w:cs="Arial"/>
                <w:color w:val="000000"/>
                <w:sz w:val="19"/>
                <w:szCs w:val="19"/>
                <w:lang w:val="lt-LT"/>
              </w:rPr>
              <w:t>0,9</w:t>
            </w:r>
          </w:p>
        </w:tc>
        <w:tc>
          <w:tcPr>
            <w:tcW w:w="338" w:type="pct"/>
            <w:tcBorders>
              <w:left w:val="single" w:sz="4" w:space="0" w:color="auto"/>
              <w:right w:val="single" w:sz="4" w:space="0" w:color="auto"/>
            </w:tcBorders>
            <w:vAlign w:val="bottom"/>
          </w:tcPr>
          <w:p w:rsidR="0002201B" w:rsidRPr="009658BB" w:rsidRDefault="0002201B" w:rsidP="0002201B">
            <w:pPr>
              <w:spacing w:before="40" w:after="40"/>
              <w:ind w:left="-85"/>
              <w:jc w:val="right"/>
              <w:rPr>
                <w:rFonts w:cs="Arial"/>
                <w:color w:val="000000"/>
                <w:sz w:val="19"/>
                <w:szCs w:val="19"/>
                <w:lang w:val="lt-LT"/>
              </w:rPr>
            </w:pPr>
            <w:r w:rsidRPr="009658BB">
              <w:rPr>
                <w:rFonts w:cs="Arial"/>
                <w:color w:val="000000"/>
                <w:sz w:val="19"/>
                <w:szCs w:val="19"/>
                <w:lang w:val="lt-LT"/>
              </w:rPr>
              <w:t>0,9</w:t>
            </w:r>
          </w:p>
        </w:tc>
        <w:tc>
          <w:tcPr>
            <w:tcW w:w="338" w:type="pct"/>
            <w:tcBorders>
              <w:left w:val="single" w:sz="4" w:space="0" w:color="auto"/>
              <w:right w:val="single" w:sz="4" w:space="0" w:color="auto"/>
            </w:tcBorders>
            <w:vAlign w:val="bottom"/>
          </w:tcPr>
          <w:p w:rsidR="0002201B" w:rsidRPr="009658BB" w:rsidRDefault="0002201B" w:rsidP="0002201B">
            <w:pPr>
              <w:spacing w:before="40" w:after="40"/>
              <w:ind w:left="-85"/>
              <w:jc w:val="right"/>
              <w:rPr>
                <w:rFonts w:cs="Arial"/>
                <w:color w:val="000000"/>
                <w:sz w:val="19"/>
                <w:szCs w:val="19"/>
                <w:lang w:val="lt-LT"/>
              </w:rPr>
            </w:pPr>
            <w:r w:rsidRPr="009658BB">
              <w:rPr>
                <w:rFonts w:cs="Arial"/>
                <w:color w:val="000000"/>
                <w:sz w:val="19"/>
                <w:szCs w:val="19"/>
                <w:lang w:val="lt-LT"/>
              </w:rPr>
              <w:t>1,9</w:t>
            </w:r>
          </w:p>
        </w:tc>
        <w:tc>
          <w:tcPr>
            <w:tcW w:w="338" w:type="pct"/>
            <w:tcBorders>
              <w:left w:val="single" w:sz="4" w:space="0" w:color="auto"/>
              <w:right w:val="single" w:sz="4" w:space="0" w:color="auto"/>
            </w:tcBorders>
            <w:vAlign w:val="bottom"/>
          </w:tcPr>
          <w:p w:rsidR="0002201B" w:rsidRPr="009658BB" w:rsidRDefault="0002201B" w:rsidP="0002201B">
            <w:pPr>
              <w:keepNext/>
              <w:keepLines/>
              <w:spacing w:before="40" w:after="40"/>
              <w:ind w:left="-85"/>
              <w:jc w:val="right"/>
              <w:rPr>
                <w:rFonts w:cs="Arial"/>
                <w:color w:val="000000"/>
                <w:sz w:val="19"/>
                <w:szCs w:val="19"/>
                <w:lang w:val="lt-LT"/>
              </w:rPr>
            </w:pPr>
            <w:r w:rsidRPr="009658BB">
              <w:rPr>
                <w:rFonts w:cs="Arial"/>
                <w:color w:val="000000"/>
                <w:sz w:val="19"/>
                <w:szCs w:val="19"/>
                <w:lang w:val="lt-LT"/>
              </w:rPr>
              <w:t>2,2</w:t>
            </w:r>
          </w:p>
        </w:tc>
        <w:tc>
          <w:tcPr>
            <w:tcW w:w="338" w:type="pct"/>
            <w:tcBorders>
              <w:left w:val="single" w:sz="4" w:space="0" w:color="auto"/>
              <w:right w:val="single" w:sz="4" w:space="0" w:color="auto"/>
            </w:tcBorders>
            <w:vAlign w:val="bottom"/>
          </w:tcPr>
          <w:p w:rsidR="0002201B" w:rsidRPr="009658BB" w:rsidRDefault="0002201B" w:rsidP="0002201B">
            <w:pPr>
              <w:keepNext/>
              <w:keepLines/>
              <w:spacing w:before="40" w:after="40"/>
              <w:ind w:left="-85"/>
              <w:jc w:val="right"/>
              <w:rPr>
                <w:rFonts w:cs="Arial"/>
                <w:color w:val="000000"/>
                <w:sz w:val="19"/>
                <w:szCs w:val="19"/>
                <w:lang w:val="lt-LT"/>
              </w:rPr>
            </w:pPr>
            <w:r w:rsidRPr="009658BB">
              <w:rPr>
                <w:rFonts w:cs="Arial"/>
                <w:color w:val="000000"/>
                <w:sz w:val="19"/>
                <w:szCs w:val="19"/>
                <w:lang w:val="lt-LT"/>
              </w:rPr>
              <w:t>1,6</w:t>
            </w:r>
          </w:p>
        </w:tc>
        <w:tc>
          <w:tcPr>
            <w:tcW w:w="338" w:type="pct"/>
            <w:tcBorders>
              <w:left w:val="single" w:sz="4" w:space="0" w:color="auto"/>
              <w:right w:val="single" w:sz="4" w:space="0" w:color="auto"/>
            </w:tcBorders>
            <w:vAlign w:val="bottom"/>
          </w:tcPr>
          <w:p w:rsidR="0002201B" w:rsidRPr="009658BB" w:rsidRDefault="0002201B" w:rsidP="0002201B">
            <w:pPr>
              <w:keepNext/>
              <w:keepLines/>
              <w:spacing w:before="40" w:after="40"/>
              <w:ind w:left="-85"/>
              <w:jc w:val="right"/>
              <w:rPr>
                <w:rFonts w:cs="Arial"/>
                <w:color w:val="000000"/>
                <w:sz w:val="19"/>
                <w:szCs w:val="19"/>
                <w:lang w:val="lt-LT"/>
              </w:rPr>
            </w:pPr>
            <w:r w:rsidRPr="009658BB">
              <w:rPr>
                <w:rFonts w:cs="Arial"/>
                <w:color w:val="000000"/>
                <w:sz w:val="19"/>
                <w:szCs w:val="19"/>
                <w:lang w:val="lt-LT"/>
              </w:rPr>
              <w:t>0,4</w:t>
            </w:r>
          </w:p>
        </w:tc>
        <w:tc>
          <w:tcPr>
            <w:tcW w:w="338" w:type="pct"/>
            <w:tcBorders>
              <w:left w:val="single" w:sz="4" w:space="0" w:color="auto"/>
              <w:right w:val="single" w:sz="4" w:space="0" w:color="auto"/>
            </w:tcBorders>
            <w:vAlign w:val="bottom"/>
          </w:tcPr>
          <w:p w:rsidR="0002201B" w:rsidRPr="009658BB" w:rsidRDefault="0002201B" w:rsidP="0002201B">
            <w:pPr>
              <w:keepNext/>
              <w:keepLines/>
              <w:spacing w:before="40" w:after="40"/>
              <w:ind w:left="-85"/>
              <w:jc w:val="right"/>
              <w:rPr>
                <w:rFonts w:cs="Arial"/>
                <w:color w:val="000000"/>
                <w:sz w:val="19"/>
                <w:szCs w:val="19"/>
                <w:lang w:val="lt-LT"/>
              </w:rPr>
            </w:pPr>
            <w:r w:rsidRPr="009658BB">
              <w:rPr>
                <w:rFonts w:cs="Arial"/>
                <w:color w:val="000000"/>
                <w:sz w:val="19"/>
                <w:szCs w:val="19"/>
                <w:lang w:val="lt-LT"/>
              </w:rPr>
              <w:t>0,9</w:t>
            </w:r>
          </w:p>
        </w:tc>
        <w:tc>
          <w:tcPr>
            <w:tcW w:w="338" w:type="pct"/>
            <w:tcBorders>
              <w:left w:val="single" w:sz="4" w:space="0" w:color="auto"/>
              <w:right w:val="single" w:sz="4" w:space="0" w:color="auto"/>
            </w:tcBorders>
            <w:vAlign w:val="bottom"/>
          </w:tcPr>
          <w:p w:rsidR="0002201B" w:rsidRPr="009658BB" w:rsidRDefault="0002201B" w:rsidP="0002201B">
            <w:pPr>
              <w:keepNext/>
              <w:keepLines/>
              <w:spacing w:before="40" w:after="40"/>
              <w:ind w:left="-85"/>
              <w:jc w:val="right"/>
              <w:rPr>
                <w:rFonts w:cs="Arial"/>
                <w:color w:val="000000"/>
                <w:sz w:val="19"/>
                <w:szCs w:val="19"/>
                <w:lang w:val="lt-LT"/>
              </w:rPr>
            </w:pPr>
            <w:r w:rsidRPr="009658BB">
              <w:rPr>
                <w:rFonts w:cs="Arial"/>
                <w:color w:val="000000"/>
                <w:sz w:val="19"/>
                <w:szCs w:val="19"/>
                <w:lang w:val="lt-LT"/>
              </w:rPr>
              <w:t>1,1</w:t>
            </w:r>
          </w:p>
        </w:tc>
        <w:tc>
          <w:tcPr>
            <w:tcW w:w="338" w:type="pct"/>
            <w:tcBorders>
              <w:left w:val="single" w:sz="4" w:space="0" w:color="auto"/>
              <w:right w:val="single" w:sz="4" w:space="0" w:color="auto"/>
            </w:tcBorders>
            <w:vAlign w:val="bottom"/>
          </w:tcPr>
          <w:p w:rsidR="0002201B" w:rsidRPr="009658BB" w:rsidRDefault="0002201B" w:rsidP="0002201B">
            <w:pPr>
              <w:keepNext/>
              <w:keepLines/>
              <w:spacing w:before="40" w:after="40"/>
              <w:ind w:left="-85"/>
              <w:jc w:val="right"/>
              <w:rPr>
                <w:rFonts w:cs="Arial"/>
                <w:color w:val="000000"/>
                <w:sz w:val="19"/>
                <w:szCs w:val="19"/>
                <w:lang w:val="lt-LT"/>
              </w:rPr>
            </w:pPr>
            <w:r w:rsidRPr="009658BB">
              <w:rPr>
                <w:rFonts w:cs="Arial"/>
                <w:color w:val="000000"/>
                <w:sz w:val="19"/>
                <w:szCs w:val="19"/>
                <w:lang w:val="lt-LT"/>
              </w:rPr>
              <w:t>0,8</w:t>
            </w:r>
          </w:p>
        </w:tc>
      </w:tr>
      <w:tr w:rsidR="0002201B" w:rsidRPr="009658BB" w:rsidTr="009658BB">
        <w:tc>
          <w:tcPr>
            <w:tcW w:w="1386" w:type="pct"/>
            <w:tcBorders>
              <w:left w:val="single" w:sz="4" w:space="0" w:color="auto"/>
              <w:right w:val="single" w:sz="4" w:space="0" w:color="auto"/>
            </w:tcBorders>
            <w:vAlign w:val="bottom"/>
          </w:tcPr>
          <w:p w:rsidR="0002201B" w:rsidRPr="009658BB" w:rsidRDefault="0002201B" w:rsidP="0002201B">
            <w:pPr>
              <w:pStyle w:val="Galva"/>
              <w:ind w:left="0"/>
              <w:jc w:val="left"/>
              <w:rPr>
                <w:rFonts w:cs="Arial"/>
                <w:szCs w:val="19"/>
              </w:rPr>
            </w:pPr>
            <w:r w:rsidRPr="009658BB">
              <w:rPr>
                <w:rFonts w:cs="Arial"/>
                <w:szCs w:val="19"/>
              </w:rPr>
              <w:t>Transportas ir saugojimas</w:t>
            </w:r>
          </w:p>
        </w:tc>
        <w:tc>
          <w:tcPr>
            <w:tcW w:w="453" w:type="pct"/>
            <w:tcBorders>
              <w:left w:val="single" w:sz="4" w:space="0" w:color="auto"/>
              <w:right w:val="single" w:sz="4" w:space="0" w:color="auto"/>
            </w:tcBorders>
            <w:vAlign w:val="bottom"/>
          </w:tcPr>
          <w:p w:rsidR="0002201B" w:rsidRPr="009658BB" w:rsidRDefault="0002201B" w:rsidP="0002201B">
            <w:pPr>
              <w:keepNext/>
              <w:keepLines/>
              <w:spacing w:before="40" w:after="40"/>
              <w:ind w:left="-85"/>
              <w:jc w:val="right"/>
              <w:rPr>
                <w:rFonts w:cs="Arial"/>
                <w:color w:val="000000"/>
                <w:sz w:val="19"/>
                <w:szCs w:val="19"/>
                <w:lang w:val="lt-LT"/>
              </w:rPr>
            </w:pPr>
            <w:r w:rsidRPr="009658BB">
              <w:rPr>
                <w:rFonts w:cs="Arial"/>
                <w:color w:val="000000"/>
                <w:sz w:val="19"/>
                <w:szCs w:val="19"/>
                <w:lang w:val="lt-LT"/>
              </w:rPr>
              <w:t>1,9</w:t>
            </w:r>
          </w:p>
        </w:tc>
        <w:tc>
          <w:tcPr>
            <w:tcW w:w="453" w:type="pct"/>
            <w:tcBorders>
              <w:left w:val="single" w:sz="4" w:space="0" w:color="auto"/>
              <w:right w:val="single" w:sz="4" w:space="0" w:color="auto"/>
            </w:tcBorders>
            <w:vAlign w:val="bottom"/>
          </w:tcPr>
          <w:p w:rsidR="0002201B" w:rsidRPr="009658BB" w:rsidRDefault="0002201B" w:rsidP="0002201B">
            <w:pPr>
              <w:spacing w:before="40" w:after="40"/>
              <w:ind w:left="-85"/>
              <w:jc w:val="right"/>
              <w:rPr>
                <w:rFonts w:cs="Arial"/>
                <w:color w:val="000000"/>
                <w:sz w:val="19"/>
                <w:szCs w:val="19"/>
                <w:lang w:val="lt-LT"/>
              </w:rPr>
            </w:pPr>
            <w:r w:rsidRPr="009658BB">
              <w:rPr>
                <w:rFonts w:cs="Arial"/>
                <w:color w:val="000000"/>
                <w:sz w:val="19"/>
                <w:szCs w:val="19"/>
                <w:lang w:val="lt-LT"/>
              </w:rPr>
              <w:t>1,4</w:t>
            </w:r>
          </w:p>
        </w:tc>
        <w:tc>
          <w:tcPr>
            <w:tcW w:w="338" w:type="pct"/>
            <w:tcBorders>
              <w:left w:val="single" w:sz="4" w:space="0" w:color="auto"/>
              <w:right w:val="single" w:sz="4" w:space="0" w:color="auto"/>
            </w:tcBorders>
            <w:vAlign w:val="bottom"/>
          </w:tcPr>
          <w:p w:rsidR="0002201B" w:rsidRPr="009658BB" w:rsidRDefault="0002201B" w:rsidP="0002201B">
            <w:pPr>
              <w:spacing w:before="40" w:after="40"/>
              <w:ind w:left="-85"/>
              <w:jc w:val="right"/>
              <w:rPr>
                <w:rFonts w:cs="Arial"/>
                <w:color w:val="000000"/>
                <w:sz w:val="19"/>
                <w:szCs w:val="19"/>
                <w:lang w:val="lt-LT"/>
              </w:rPr>
            </w:pPr>
            <w:r w:rsidRPr="009658BB">
              <w:rPr>
                <w:rFonts w:cs="Arial"/>
                <w:color w:val="000000"/>
                <w:sz w:val="19"/>
                <w:szCs w:val="19"/>
                <w:lang w:val="lt-LT"/>
              </w:rPr>
              <w:t>3,3</w:t>
            </w:r>
          </w:p>
        </w:tc>
        <w:tc>
          <w:tcPr>
            <w:tcW w:w="338" w:type="pct"/>
            <w:tcBorders>
              <w:left w:val="single" w:sz="4" w:space="0" w:color="auto"/>
              <w:right w:val="single" w:sz="4" w:space="0" w:color="auto"/>
            </w:tcBorders>
            <w:vAlign w:val="bottom"/>
          </w:tcPr>
          <w:p w:rsidR="0002201B" w:rsidRPr="009658BB" w:rsidRDefault="0002201B" w:rsidP="0002201B">
            <w:pPr>
              <w:spacing w:before="40" w:after="40"/>
              <w:ind w:left="-85"/>
              <w:jc w:val="right"/>
              <w:rPr>
                <w:rFonts w:cs="Arial"/>
                <w:color w:val="000000"/>
                <w:sz w:val="19"/>
                <w:szCs w:val="19"/>
                <w:lang w:val="lt-LT"/>
              </w:rPr>
            </w:pPr>
            <w:r w:rsidRPr="009658BB">
              <w:rPr>
                <w:rFonts w:cs="Arial"/>
                <w:color w:val="000000"/>
                <w:sz w:val="19"/>
                <w:szCs w:val="19"/>
                <w:lang w:val="lt-LT"/>
              </w:rPr>
              <w:t>3,9</w:t>
            </w:r>
          </w:p>
        </w:tc>
        <w:tc>
          <w:tcPr>
            <w:tcW w:w="338" w:type="pct"/>
            <w:tcBorders>
              <w:left w:val="single" w:sz="4" w:space="0" w:color="auto"/>
              <w:right w:val="single" w:sz="4" w:space="0" w:color="auto"/>
            </w:tcBorders>
            <w:vAlign w:val="bottom"/>
          </w:tcPr>
          <w:p w:rsidR="0002201B" w:rsidRPr="009658BB" w:rsidRDefault="0002201B" w:rsidP="0002201B">
            <w:pPr>
              <w:keepNext/>
              <w:keepLines/>
              <w:spacing w:before="40" w:after="40"/>
              <w:ind w:left="-85"/>
              <w:jc w:val="right"/>
              <w:rPr>
                <w:rFonts w:cs="Arial"/>
                <w:color w:val="000000"/>
                <w:sz w:val="19"/>
                <w:szCs w:val="19"/>
                <w:lang w:val="lt-LT"/>
              </w:rPr>
            </w:pPr>
            <w:r w:rsidRPr="009658BB">
              <w:rPr>
                <w:rFonts w:cs="Arial"/>
                <w:color w:val="000000"/>
                <w:sz w:val="19"/>
                <w:szCs w:val="19"/>
                <w:lang w:val="lt-LT"/>
              </w:rPr>
              <w:t>3,2</w:t>
            </w:r>
          </w:p>
        </w:tc>
        <w:tc>
          <w:tcPr>
            <w:tcW w:w="338" w:type="pct"/>
            <w:tcBorders>
              <w:left w:val="single" w:sz="4" w:space="0" w:color="auto"/>
              <w:right w:val="single" w:sz="4" w:space="0" w:color="auto"/>
            </w:tcBorders>
            <w:vAlign w:val="bottom"/>
          </w:tcPr>
          <w:p w:rsidR="0002201B" w:rsidRPr="009658BB" w:rsidRDefault="0002201B" w:rsidP="0002201B">
            <w:pPr>
              <w:keepNext/>
              <w:keepLines/>
              <w:spacing w:before="40" w:after="40"/>
              <w:ind w:left="-85"/>
              <w:jc w:val="right"/>
              <w:rPr>
                <w:rFonts w:cs="Arial"/>
                <w:color w:val="000000"/>
                <w:sz w:val="19"/>
                <w:szCs w:val="19"/>
                <w:lang w:val="lt-LT"/>
              </w:rPr>
            </w:pPr>
            <w:r w:rsidRPr="009658BB">
              <w:rPr>
                <w:rFonts w:cs="Arial"/>
                <w:color w:val="000000"/>
                <w:sz w:val="19"/>
                <w:szCs w:val="19"/>
                <w:lang w:val="lt-LT"/>
              </w:rPr>
              <w:t>2,2</w:t>
            </w:r>
          </w:p>
        </w:tc>
        <w:tc>
          <w:tcPr>
            <w:tcW w:w="338" w:type="pct"/>
            <w:tcBorders>
              <w:left w:val="single" w:sz="4" w:space="0" w:color="auto"/>
              <w:right w:val="single" w:sz="4" w:space="0" w:color="auto"/>
            </w:tcBorders>
            <w:vAlign w:val="bottom"/>
          </w:tcPr>
          <w:p w:rsidR="0002201B" w:rsidRPr="009658BB" w:rsidRDefault="0002201B" w:rsidP="0002201B">
            <w:pPr>
              <w:keepNext/>
              <w:keepLines/>
              <w:spacing w:before="40" w:after="40"/>
              <w:ind w:left="-85"/>
              <w:jc w:val="right"/>
              <w:rPr>
                <w:rFonts w:cs="Arial"/>
                <w:color w:val="000000"/>
                <w:sz w:val="19"/>
                <w:szCs w:val="19"/>
                <w:lang w:val="lt-LT"/>
              </w:rPr>
            </w:pPr>
            <w:r w:rsidRPr="009658BB">
              <w:rPr>
                <w:rFonts w:cs="Arial"/>
                <w:color w:val="000000"/>
                <w:sz w:val="19"/>
                <w:szCs w:val="19"/>
                <w:lang w:val="lt-LT"/>
              </w:rPr>
              <w:t>2,2</w:t>
            </w:r>
          </w:p>
        </w:tc>
        <w:tc>
          <w:tcPr>
            <w:tcW w:w="338" w:type="pct"/>
            <w:tcBorders>
              <w:left w:val="single" w:sz="4" w:space="0" w:color="auto"/>
              <w:right w:val="single" w:sz="4" w:space="0" w:color="auto"/>
            </w:tcBorders>
            <w:vAlign w:val="bottom"/>
          </w:tcPr>
          <w:p w:rsidR="0002201B" w:rsidRPr="009658BB" w:rsidRDefault="0002201B" w:rsidP="0002201B">
            <w:pPr>
              <w:keepNext/>
              <w:keepLines/>
              <w:spacing w:before="40" w:after="40"/>
              <w:ind w:left="-85"/>
              <w:jc w:val="right"/>
              <w:rPr>
                <w:rFonts w:cs="Arial"/>
                <w:color w:val="000000"/>
                <w:sz w:val="19"/>
                <w:szCs w:val="19"/>
                <w:lang w:val="lt-LT"/>
              </w:rPr>
            </w:pPr>
            <w:r w:rsidRPr="009658BB">
              <w:rPr>
                <w:rFonts w:cs="Arial"/>
                <w:color w:val="000000"/>
                <w:sz w:val="19"/>
                <w:szCs w:val="19"/>
                <w:lang w:val="lt-LT"/>
              </w:rPr>
              <w:t>2,7</w:t>
            </w:r>
          </w:p>
        </w:tc>
        <w:tc>
          <w:tcPr>
            <w:tcW w:w="338" w:type="pct"/>
            <w:tcBorders>
              <w:left w:val="single" w:sz="4" w:space="0" w:color="auto"/>
              <w:right w:val="single" w:sz="4" w:space="0" w:color="auto"/>
            </w:tcBorders>
            <w:vAlign w:val="bottom"/>
          </w:tcPr>
          <w:p w:rsidR="0002201B" w:rsidRPr="009658BB" w:rsidRDefault="0002201B" w:rsidP="0002201B">
            <w:pPr>
              <w:keepNext/>
              <w:keepLines/>
              <w:spacing w:before="40" w:after="40"/>
              <w:ind w:left="-85"/>
              <w:jc w:val="right"/>
              <w:rPr>
                <w:rFonts w:cs="Arial"/>
                <w:color w:val="000000"/>
                <w:sz w:val="19"/>
                <w:szCs w:val="19"/>
                <w:lang w:val="lt-LT"/>
              </w:rPr>
            </w:pPr>
            <w:r w:rsidRPr="009658BB">
              <w:rPr>
                <w:rFonts w:cs="Arial"/>
                <w:color w:val="000000"/>
                <w:sz w:val="19"/>
                <w:szCs w:val="19"/>
                <w:lang w:val="lt-LT"/>
              </w:rPr>
              <w:t>2,3</w:t>
            </w:r>
          </w:p>
        </w:tc>
        <w:tc>
          <w:tcPr>
            <w:tcW w:w="338" w:type="pct"/>
            <w:tcBorders>
              <w:left w:val="single" w:sz="4" w:space="0" w:color="auto"/>
              <w:right w:val="single" w:sz="4" w:space="0" w:color="auto"/>
            </w:tcBorders>
            <w:vAlign w:val="bottom"/>
          </w:tcPr>
          <w:p w:rsidR="0002201B" w:rsidRPr="009658BB" w:rsidRDefault="0002201B" w:rsidP="0002201B">
            <w:pPr>
              <w:keepNext/>
              <w:keepLines/>
              <w:spacing w:before="40" w:after="40"/>
              <w:ind w:left="-85"/>
              <w:jc w:val="right"/>
              <w:rPr>
                <w:rFonts w:cs="Arial"/>
                <w:color w:val="000000"/>
                <w:sz w:val="19"/>
                <w:szCs w:val="19"/>
                <w:lang w:val="lt-LT"/>
              </w:rPr>
            </w:pPr>
            <w:r w:rsidRPr="009658BB">
              <w:rPr>
                <w:rFonts w:cs="Arial"/>
                <w:color w:val="000000"/>
                <w:sz w:val="19"/>
                <w:szCs w:val="19"/>
                <w:lang w:val="lt-LT"/>
              </w:rPr>
              <w:t>1,5</w:t>
            </w:r>
          </w:p>
        </w:tc>
      </w:tr>
      <w:tr w:rsidR="0002201B" w:rsidRPr="009658BB" w:rsidTr="009658BB">
        <w:tc>
          <w:tcPr>
            <w:tcW w:w="1386" w:type="pct"/>
            <w:tcBorders>
              <w:left w:val="single" w:sz="4" w:space="0" w:color="auto"/>
              <w:right w:val="single" w:sz="4" w:space="0" w:color="auto"/>
            </w:tcBorders>
            <w:vAlign w:val="bottom"/>
          </w:tcPr>
          <w:p w:rsidR="0002201B" w:rsidRPr="009658BB" w:rsidRDefault="0002201B" w:rsidP="0002201B">
            <w:pPr>
              <w:pStyle w:val="Galva"/>
              <w:ind w:left="0"/>
              <w:jc w:val="left"/>
              <w:rPr>
                <w:rFonts w:cs="Arial"/>
                <w:szCs w:val="19"/>
              </w:rPr>
            </w:pPr>
            <w:r w:rsidRPr="009658BB">
              <w:rPr>
                <w:rFonts w:cs="Arial"/>
                <w:szCs w:val="19"/>
              </w:rPr>
              <w:t>Apgyvendinimo ir maitinimo paslaugų veikla</w:t>
            </w:r>
          </w:p>
        </w:tc>
        <w:tc>
          <w:tcPr>
            <w:tcW w:w="453" w:type="pct"/>
            <w:tcBorders>
              <w:left w:val="single" w:sz="4" w:space="0" w:color="auto"/>
              <w:right w:val="single" w:sz="4" w:space="0" w:color="auto"/>
            </w:tcBorders>
            <w:vAlign w:val="bottom"/>
          </w:tcPr>
          <w:p w:rsidR="0002201B" w:rsidRPr="009658BB" w:rsidRDefault="0002201B" w:rsidP="0002201B">
            <w:pPr>
              <w:keepNext/>
              <w:keepLines/>
              <w:spacing w:before="40" w:after="40"/>
              <w:ind w:left="-85"/>
              <w:jc w:val="right"/>
              <w:rPr>
                <w:rFonts w:cs="Arial"/>
                <w:color w:val="000000"/>
                <w:sz w:val="19"/>
                <w:szCs w:val="19"/>
                <w:lang w:val="lt-LT"/>
              </w:rPr>
            </w:pPr>
            <w:r w:rsidRPr="009658BB">
              <w:rPr>
                <w:rFonts w:cs="Arial"/>
                <w:color w:val="000000"/>
                <w:sz w:val="19"/>
                <w:szCs w:val="19"/>
                <w:lang w:val="lt-LT"/>
              </w:rPr>
              <w:t>0,3</w:t>
            </w:r>
          </w:p>
        </w:tc>
        <w:tc>
          <w:tcPr>
            <w:tcW w:w="453" w:type="pct"/>
            <w:tcBorders>
              <w:left w:val="single" w:sz="4" w:space="0" w:color="auto"/>
              <w:right w:val="single" w:sz="4" w:space="0" w:color="auto"/>
            </w:tcBorders>
            <w:vAlign w:val="bottom"/>
          </w:tcPr>
          <w:p w:rsidR="0002201B" w:rsidRPr="009658BB" w:rsidRDefault="0002201B" w:rsidP="0002201B">
            <w:pPr>
              <w:spacing w:before="40" w:after="40"/>
              <w:ind w:left="-85"/>
              <w:jc w:val="right"/>
              <w:rPr>
                <w:rFonts w:cs="Arial"/>
                <w:color w:val="000000"/>
                <w:sz w:val="19"/>
                <w:szCs w:val="19"/>
                <w:lang w:val="lt-LT"/>
              </w:rPr>
            </w:pPr>
            <w:r w:rsidRPr="009658BB">
              <w:rPr>
                <w:rFonts w:cs="Arial"/>
                <w:color w:val="000000"/>
                <w:sz w:val="19"/>
                <w:szCs w:val="19"/>
                <w:lang w:val="lt-LT"/>
              </w:rPr>
              <w:t>0,8</w:t>
            </w:r>
          </w:p>
        </w:tc>
        <w:tc>
          <w:tcPr>
            <w:tcW w:w="338" w:type="pct"/>
            <w:tcBorders>
              <w:left w:val="single" w:sz="4" w:space="0" w:color="auto"/>
              <w:right w:val="single" w:sz="4" w:space="0" w:color="auto"/>
            </w:tcBorders>
            <w:vAlign w:val="bottom"/>
          </w:tcPr>
          <w:p w:rsidR="0002201B" w:rsidRPr="009658BB" w:rsidRDefault="0002201B" w:rsidP="0002201B">
            <w:pPr>
              <w:spacing w:before="40" w:after="40"/>
              <w:ind w:left="-85"/>
              <w:jc w:val="right"/>
              <w:rPr>
                <w:rFonts w:cs="Arial"/>
                <w:color w:val="000000"/>
                <w:sz w:val="19"/>
                <w:szCs w:val="19"/>
                <w:lang w:val="lt-LT"/>
              </w:rPr>
            </w:pPr>
            <w:r w:rsidRPr="009658BB">
              <w:rPr>
                <w:rFonts w:cs="Arial"/>
                <w:color w:val="000000"/>
                <w:sz w:val="19"/>
                <w:szCs w:val="19"/>
                <w:lang w:val="lt-LT"/>
              </w:rPr>
              <w:t>0,1</w:t>
            </w:r>
          </w:p>
        </w:tc>
        <w:tc>
          <w:tcPr>
            <w:tcW w:w="338" w:type="pct"/>
            <w:tcBorders>
              <w:left w:val="single" w:sz="4" w:space="0" w:color="auto"/>
              <w:right w:val="single" w:sz="4" w:space="0" w:color="auto"/>
            </w:tcBorders>
            <w:vAlign w:val="bottom"/>
          </w:tcPr>
          <w:p w:rsidR="0002201B" w:rsidRPr="009658BB" w:rsidRDefault="0002201B" w:rsidP="0002201B">
            <w:pPr>
              <w:spacing w:before="40" w:after="40"/>
              <w:ind w:left="-85"/>
              <w:jc w:val="right"/>
              <w:rPr>
                <w:rFonts w:cs="Arial"/>
                <w:color w:val="000000"/>
                <w:sz w:val="19"/>
                <w:szCs w:val="19"/>
                <w:lang w:val="lt-LT"/>
              </w:rPr>
            </w:pPr>
            <w:r w:rsidRPr="009658BB">
              <w:rPr>
                <w:rFonts w:cs="Arial"/>
                <w:color w:val="000000"/>
                <w:sz w:val="19"/>
                <w:szCs w:val="19"/>
                <w:lang w:val="lt-LT"/>
              </w:rPr>
              <w:t>0,2</w:t>
            </w:r>
          </w:p>
        </w:tc>
        <w:tc>
          <w:tcPr>
            <w:tcW w:w="338" w:type="pct"/>
            <w:tcBorders>
              <w:left w:val="single" w:sz="4" w:space="0" w:color="auto"/>
              <w:right w:val="single" w:sz="4" w:space="0" w:color="auto"/>
            </w:tcBorders>
            <w:vAlign w:val="bottom"/>
          </w:tcPr>
          <w:p w:rsidR="0002201B" w:rsidRPr="009658BB" w:rsidRDefault="0002201B" w:rsidP="0002201B">
            <w:pPr>
              <w:keepNext/>
              <w:keepLines/>
              <w:spacing w:before="40" w:after="40"/>
              <w:ind w:left="-85"/>
              <w:jc w:val="right"/>
              <w:rPr>
                <w:rFonts w:cs="Arial"/>
                <w:color w:val="000000"/>
                <w:sz w:val="19"/>
                <w:szCs w:val="19"/>
                <w:lang w:val="lt-LT"/>
              </w:rPr>
            </w:pPr>
            <w:r w:rsidRPr="009658BB">
              <w:rPr>
                <w:rFonts w:cs="Arial"/>
                <w:color w:val="000000"/>
                <w:sz w:val="19"/>
                <w:szCs w:val="19"/>
                <w:lang w:val="lt-LT"/>
              </w:rPr>
              <w:t>0,2</w:t>
            </w:r>
          </w:p>
        </w:tc>
        <w:tc>
          <w:tcPr>
            <w:tcW w:w="338" w:type="pct"/>
            <w:tcBorders>
              <w:left w:val="single" w:sz="4" w:space="0" w:color="auto"/>
              <w:right w:val="single" w:sz="4" w:space="0" w:color="auto"/>
            </w:tcBorders>
            <w:vAlign w:val="bottom"/>
          </w:tcPr>
          <w:p w:rsidR="0002201B" w:rsidRPr="009658BB" w:rsidRDefault="0002201B" w:rsidP="0002201B">
            <w:pPr>
              <w:keepNext/>
              <w:keepLines/>
              <w:spacing w:before="40" w:after="40"/>
              <w:ind w:left="-85"/>
              <w:jc w:val="right"/>
              <w:rPr>
                <w:rFonts w:cs="Arial"/>
                <w:color w:val="000000"/>
                <w:sz w:val="19"/>
                <w:szCs w:val="19"/>
                <w:lang w:val="lt-LT"/>
              </w:rPr>
            </w:pPr>
            <w:r w:rsidRPr="009658BB">
              <w:rPr>
                <w:rFonts w:cs="Arial"/>
                <w:color w:val="000000"/>
                <w:sz w:val="19"/>
                <w:szCs w:val="19"/>
                <w:lang w:val="lt-LT"/>
              </w:rPr>
              <w:t>0,1</w:t>
            </w:r>
          </w:p>
        </w:tc>
        <w:tc>
          <w:tcPr>
            <w:tcW w:w="338" w:type="pct"/>
            <w:tcBorders>
              <w:left w:val="single" w:sz="4" w:space="0" w:color="auto"/>
              <w:right w:val="single" w:sz="4" w:space="0" w:color="auto"/>
            </w:tcBorders>
            <w:vAlign w:val="bottom"/>
          </w:tcPr>
          <w:p w:rsidR="0002201B" w:rsidRPr="009658BB" w:rsidRDefault="0002201B" w:rsidP="0002201B">
            <w:pPr>
              <w:keepNext/>
              <w:keepLines/>
              <w:spacing w:before="40" w:after="40"/>
              <w:ind w:left="-85"/>
              <w:jc w:val="right"/>
              <w:rPr>
                <w:rFonts w:cs="Arial"/>
                <w:color w:val="000000"/>
                <w:sz w:val="19"/>
                <w:szCs w:val="19"/>
                <w:lang w:val="lt-LT"/>
              </w:rPr>
            </w:pPr>
            <w:r w:rsidRPr="009658BB">
              <w:rPr>
                <w:rFonts w:cs="Arial"/>
                <w:color w:val="000000"/>
                <w:sz w:val="19"/>
                <w:szCs w:val="19"/>
                <w:lang w:val="lt-LT"/>
              </w:rPr>
              <w:t>0,2</w:t>
            </w:r>
          </w:p>
        </w:tc>
        <w:tc>
          <w:tcPr>
            <w:tcW w:w="338" w:type="pct"/>
            <w:tcBorders>
              <w:left w:val="single" w:sz="4" w:space="0" w:color="auto"/>
              <w:right w:val="single" w:sz="4" w:space="0" w:color="auto"/>
            </w:tcBorders>
            <w:vAlign w:val="bottom"/>
          </w:tcPr>
          <w:p w:rsidR="0002201B" w:rsidRPr="009658BB" w:rsidRDefault="0002201B" w:rsidP="0002201B">
            <w:pPr>
              <w:keepNext/>
              <w:keepLines/>
              <w:spacing w:before="40" w:after="40"/>
              <w:ind w:left="-85"/>
              <w:jc w:val="right"/>
              <w:rPr>
                <w:rFonts w:cs="Arial"/>
                <w:color w:val="000000"/>
                <w:sz w:val="19"/>
                <w:szCs w:val="19"/>
                <w:lang w:val="lt-LT"/>
              </w:rPr>
            </w:pPr>
            <w:r w:rsidRPr="009658BB">
              <w:rPr>
                <w:rFonts w:cs="Arial"/>
                <w:color w:val="000000"/>
                <w:sz w:val="19"/>
                <w:szCs w:val="19"/>
                <w:lang w:val="lt-LT"/>
              </w:rPr>
              <w:t>0,4</w:t>
            </w:r>
          </w:p>
        </w:tc>
        <w:tc>
          <w:tcPr>
            <w:tcW w:w="338" w:type="pct"/>
            <w:tcBorders>
              <w:left w:val="single" w:sz="4" w:space="0" w:color="auto"/>
              <w:right w:val="single" w:sz="4" w:space="0" w:color="auto"/>
            </w:tcBorders>
            <w:vAlign w:val="bottom"/>
          </w:tcPr>
          <w:p w:rsidR="0002201B" w:rsidRPr="009658BB" w:rsidRDefault="0002201B" w:rsidP="0002201B">
            <w:pPr>
              <w:keepNext/>
              <w:keepLines/>
              <w:spacing w:before="40" w:after="40"/>
              <w:ind w:left="-85"/>
              <w:jc w:val="right"/>
              <w:rPr>
                <w:rFonts w:cs="Arial"/>
                <w:color w:val="000000"/>
                <w:sz w:val="19"/>
                <w:szCs w:val="19"/>
                <w:lang w:val="lt-LT"/>
              </w:rPr>
            </w:pPr>
            <w:r w:rsidRPr="009658BB">
              <w:rPr>
                <w:rFonts w:cs="Arial"/>
                <w:color w:val="000000"/>
                <w:sz w:val="19"/>
                <w:szCs w:val="19"/>
                <w:lang w:val="lt-LT"/>
              </w:rPr>
              <w:t>0,5</w:t>
            </w:r>
          </w:p>
        </w:tc>
        <w:tc>
          <w:tcPr>
            <w:tcW w:w="338" w:type="pct"/>
            <w:tcBorders>
              <w:left w:val="single" w:sz="4" w:space="0" w:color="auto"/>
              <w:right w:val="single" w:sz="4" w:space="0" w:color="auto"/>
            </w:tcBorders>
            <w:vAlign w:val="bottom"/>
          </w:tcPr>
          <w:p w:rsidR="0002201B" w:rsidRPr="009658BB" w:rsidRDefault="0002201B" w:rsidP="0002201B">
            <w:pPr>
              <w:keepNext/>
              <w:keepLines/>
              <w:spacing w:before="40" w:after="40"/>
              <w:ind w:left="-85"/>
              <w:jc w:val="right"/>
              <w:rPr>
                <w:rFonts w:cs="Arial"/>
                <w:color w:val="000000"/>
                <w:sz w:val="19"/>
                <w:szCs w:val="19"/>
                <w:lang w:val="lt-LT"/>
              </w:rPr>
            </w:pPr>
            <w:r w:rsidRPr="009658BB">
              <w:rPr>
                <w:rFonts w:cs="Arial"/>
                <w:color w:val="000000"/>
                <w:sz w:val="19"/>
                <w:szCs w:val="19"/>
                <w:lang w:val="lt-LT"/>
              </w:rPr>
              <w:t>0,2</w:t>
            </w:r>
          </w:p>
        </w:tc>
      </w:tr>
      <w:tr w:rsidR="0002201B" w:rsidRPr="009658BB" w:rsidTr="009658BB">
        <w:tc>
          <w:tcPr>
            <w:tcW w:w="1386" w:type="pct"/>
            <w:tcBorders>
              <w:left w:val="single" w:sz="4" w:space="0" w:color="auto"/>
              <w:right w:val="single" w:sz="4" w:space="0" w:color="auto"/>
            </w:tcBorders>
            <w:vAlign w:val="bottom"/>
          </w:tcPr>
          <w:p w:rsidR="0002201B" w:rsidRPr="009658BB" w:rsidRDefault="0002201B" w:rsidP="0002201B">
            <w:pPr>
              <w:pStyle w:val="Galva"/>
              <w:ind w:left="0"/>
              <w:jc w:val="left"/>
              <w:rPr>
                <w:rFonts w:cs="Arial"/>
                <w:szCs w:val="19"/>
              </w:rPr>
            </w:pPr>
            <w:r w:rsidRPr="009658BB">
              <w:rPr>
                <w:rFonts w:cs="Arial"/>
                <w:szCs w:val="19"/>
              </w:rPr>
              <w:t>Informacija ir ryšiai</w:t>
            </w:r>
          </w:p>
        </w:tc>
        <w:tc>
          <w:tcPr>
            <w:tcW w:w="453" w:type="pct"/>
            <w:tcBorders>
              <w:left w:val="single" w:sz="4" w:space="0" w:color="auto"/>
              <w:right w:val="single" w:sz="4" w:space="0" w:color="auto"/>
            </w:tcBorders>
            <w:vAlign w:val="bottom"/>
          </w:tcPr>
          <w:p w:rsidR="0002201B" w:rsidRPr="009658BB" w:rsidRDefault="0002201B" w:rsidP="0002201B">
            <w:pPr>
              <w:keepNext/>
              <w:keepLines/>
              <w:spacing w:before="40" w:after="40"/>
              <w:ind w:left="-85"/>
              <w:jc w:val="right"/>
              <w:rPr>
                <w:rFonts w:cs="Arial"/>
                <w:color w:val="000000"/>
                <w:sz w:val="19"/>
                <w:szCs w:val="19"/>
                <w:lang w:val="lt-LT"/>
              </w:rPr>
            </w:pPr>
            <w:r w:rsidRPr="009658BB">
              <w:rPr>
                <w:rFonts w:cs="Arial"/>
                <w:color w:val="000000"/>
                <w:sz w:val="19"/>
                <w:szCs w:val="19"/>
                <w:lang w:val="lt-LT"/>
              </w:rPr>
              <w:t>0,8</w:t>
            </w:r>
          </w:p>
        </w:tc>
        <w:tc>
          <w:tcPr>
            <w:tcW w:w="453" w:type="pct"/>
            <w:tcBorders>
              <w:left w:val="single" w:sz="4" w:space="0" w:color="auto"/>
              <w:right w:val="single" w:sz="4" w:space="0" w:color="auto"/>
            </w:tcBorders>
            <w:vAlign w:val="bottom"/>
          </w:tcPr>
          <w:p w:rsidR="0002201B" w:rsidRPr="009658BB" w:rsidRDefault="0002201B" w:rsidP="0002201B">
            <w:pPr>
              <w:spacing w:before="40" w:after="40"/>
              <w:ind w:left="-85"/>
              <w:jc w:val="right"/>
              <w:rPr>
                <w:rFonts w:cs="Arial"/>
                <w:color w:val="000000"/>
                <w:sz w:val="19"/>
                <w:szCs w:val="19"/>
                <w:lang w:val="lt-LT"/>
              </w:rPr>
            </w:pPr>
            <w:r w:rsidRPr="009658BB">
              <w:rPr>
                <w:rFonts w:cs="Arial"/>
                <w:color w:val="000000"/>
                <w:sz w:val="19"/>
                <w:szCs w:val="19"/>
                <w:lang w:val="lt-LT"/>
              </w:rPr>
              <w:t>2,5</w:t>
            </w:r>
          </w:p>
        </w:tc>
        <w:tc>
          <w:tcPr>
            <w:tcW w:w="338" w:type="pct"/>
            <w:tcBorders>
              <w:left w:val="single" w:sz="4" w:space="0" w:color="auto"/>
              <w:right w:val="single" w:sz="4" w:space="0" w:color="auto"/>
            </w:tcBorders>
            <w:vAlign w:val="bottom"/>
          </w:tcPr>
          <w:p w:rsidR="0002201B" w:rsidRPr="009658BB" w:rsidRDefault="0002201B" w:rsidP="0002201B">
            <w:pPr>
              <w:spacing w:before="40" w:after="40"/>
              <w:ind w:left="-85"/>
              <w:jc w:val="right"/>
              <w:rPr>
                <w:rFonts w:cs="Arial"/>
                <w:color w:val="000000"/>
                <w:sz w:val="19"/>
                <w:szCs w:val="19"/>
                <w:lang w:val="lt-LT"/>
              </w:rPr>
            </w:pPr>
            <w:r w:rsidRPr="009658BB">
              <w:rPr>
                <w:rFonts w:cs="Arial"/>
                <w:color w:val="000000"/>
                <w:sz w:val="19"/>
                <w:szCs w:val="19"/>
                <w:lang w:val="lt-LT"/>
              </w:rPr>
              <w:t>0,8</w:t>
            </w:r>
          </w:p>
        </w:tc>
        <w:tc>
          <w:tcPr>
            <w:tcW w:w="338" w:type="pct"/>
            <w:tcBorders>
              <w:left w:val="single" w:sz="4" w:space="0" w:color="auto"/>
              <w:right w:val="single" w:sz="4" w:space="0" w:color="auto"/>
            </w:tcBorders>
            <w:vAlign w:val="bottom"/>
          </w:tcPr>
          <w:p w:rsidR="0002201B" w:rsidRPr="009658BB" w:rsidRDefault="0002201B" w:rsidP="0002201B">
            <w:pPr>
              <w:spacing w:before="40" w:after="40"/>
              <w:ind w:left="-85"/>
              <w:jc w:val="right"/>
              <w:rPr>
                <w:rFonts w:cs="Arial"/>
                <w:color w:val="000000"/>
                <w:sz w:val="19"/>
                <w:szCs w:val="19"/>
                <w:lang w:val="lt-LT"/>
              </w:rPr>
            </w:pPr>
            <w:r w:rsidRPr="009658BB">
              <w:rPr>
                <w:rFonts w:cs="Arial"/>
                <w:color w:val="000000"/>
                <w:sz w:val="19"/>
                <w:szCs w:val="19"/>
                <w:lang w:val="lt-LT"/>
              </w:rPr>
              <w:t>0,6</w:t>
            </w:r>
          </w:p>
        </w:tc>
        <w:tc>
          <w:tcPr>
            <w:tcW w:w="338" w:type="pct"/>
            <w:tcBorders>
              <w:left w:val="single" w:sz="4" w:space="0" w:color="auto"/>
              <w:right w:val="single" w:sz="4" w:space="0" w:color="auto"/>
            </w:tcBorders>
            <w:vAlign w:val="bottom"/>
          </w:tcPr>
          <w:p w:rsidR="0002201B" w:rsidRPr="009658BB" w:rsidRDefault="0002201B" w:rsidP="0002201B">
            <w:pPr>
              <w:keepNext/>
              <w:keepLines/>
              <w:spacing w:before="40" w:after="40"/>
              <w:ind w:left="-85"/>
              <w:jc w:val="right"/>
              <w:rPr>
                <w:rFonts w:cs="Arial"/>
                <w:color w:val="000000"/>
                <w:sz w:val="19"/>
                <w:szCs w:val="19"/>
                <w:lang w:val="lt-LT"/>
              </w:rPr>
            </w:pPr>
            <w:r w:rsidRPr="009658BB">
              <w:rPr>
                <w:rFonts w:cs="Arial"/>
                <w:color w:val="000000"/>
                <w:sz w:val="19"/>
                <w:szCs w:val="19"/>
                <w:lang w:val="lt-LT"/>
              </w:rPr>
              <w:t>0,7</w:t>
            </w:r>
          </w:p>
        </w:tc>
        <w:tc>
          <w:tcPr>
            <w:tcW w:w="338" w:type="pct"/>
            <w:tcBorders>
              <w:left w:val="single" w:sz="4" w:space="0" w:color="auto"/>
              <w:right w:val="single" w:sz="4" w:space="0" w:color="auto"/>
            </w:tcBorders>
            <w:vAlign w:val="bottom"/>
          </w:tcPr>
          <w:p w:rsidR="0002201B" w:rsidRPr="009658BB" w:rsidRDefault="0002201B" w:rsidP="0002201B">
            <w:pPr>
              <w:keepNext/>
              <w:keepLines/>
              <w:spacing w:before="40" w:after="40"/>
              <w:ind w:left="-85"/>
              <w:jc w:val="right"/>
              <w:rPr>
                <w:rFonts w:cs="Arial"/>
                <w:color w:val="000000"/>
                <w:sz w:val="19"/>
                <w:szCs w:val="19"/>
                <w:lang w:val="lt-LT"/>
              </w:rPr>
            </w:pPr>
            <w:r w:rsidRPr="009658BB">
              <w:rPr>
                <w:rFonts w:cs="Arial"/>
                <w:color w:val="000000"/>
                <w:sz w:val="19"/>
                <w:szCs w:val="19"/>
                <w:lang w:val="lt-LT"/>
              </w:rPr>
              <w:t>0,8</w:t>
            </w:r>
          </w:p>
        </w:tc>
        <w:tc>
          <w:tcPr>
            <w:tcW w:w="338" w:type="pct"/>
            <w:tcBorders>
              <w:left w:val="single" w:sz="4" w:space="0" w:color="auto"/>
              <w:right w:val="single" w:sz="4" w:space="0" w:color="auto"/>
            </w:tcBorders>
            <w:vAlign w:val="bottom"/>
          </w:tcPr>
          <w:p w:rsidR="0002201B" w:rsidRPr="009658BB" w:rsidRDefault="0002201B" w:rsidP="0002201B">
            <w:pPr>
              <w:keepNext/>
              <w:keepLines/>
              <w:spacing w:before="40" w:after="40"/>
              <w:ind w:left="-85"/>
              <w:jc w:val="right"/>
              <w:rPr>
                <w:rFonts w:cs="Arial"/>
                <w:color w:val="000000"/>
                <w:sz w:val="19"/>
                <w:szCs w:val="19"/>
                <w:lang w:val="lt-LT"/>
              </w:rPr>
            </w:pPr>
            <w:r w:rsidRPr="009658BB">
              <w:rPr>
                <w:rFonts w:cs="Arial"/>
                <w:color w:val="000000"/>
                <w:sz w:val="19"/>
                <w:szCs w:val="19"/>
                <w:lang w:val="lt-LT"/>
              </w:rPr>
              <w:t>2,3</w:t>
            </w:r>
          </w:p>
        </w:tc>
        <w:tc>
          <w:tcPr>
            <w:tcW w:w="338" w:type="pct"/>
            <w:tcBorders>
              <w:left w:val="single" w:sz="4" w:space="0" w:color="auto"/>
              <w:right w:val="single" w:sz="4" w:space="0" w:color="auto"/>
            </w:tcBorders>
            <w:vAlign w:val="bottom"/>
          </w:tcPr>
          <w:p w:rsidR="0002201B" w:rsidRPr="009658BB" w:rsidRDefault="0002201B" w:rsidP="0002201B">
            <w:pPr>
              <w:keepNext/>
              <w:keepLines/>
              <w:spacing w:before="40" w:after="40"/>
              <w:ind w:left="-85"/>
              <w:jc w:val="right"/>
              <w:rPr>
                <w:rFonts w:cs="Arial"/>
                <w:color w:val="000000"/>
                <w:sz w:val="19"/>
                <w:szCs w:val="19"/>
                <w:lang w:val="lt-LT"/>
              </w:rPr>
            </w:pPr>
            <w:r w:rsidRPr="009658BB">
              <w:rPr>
                <w:rFonts w:cs="Arial"/>
                <w:color w:val="000000"/>
                <w:sz w:val="19"/>
                <w:szCs w:val="19"/>
                <w:lang w:val="lt-LT"/>
              </w:rPr>
              <w:t>1,9</w:t>
            </w:r>
          </w:p>
        </w:tc>
        <w:tc>
          <w:tcPr>
            <w:tcW w:w="338" w:type="pct"/>
            <w:tcBorders>
              <w:left w:val="single" w:sz="4" w:space="0" w:color="auto"/>
              <w:right w:val="single" w:sz="4" w:space="0" w:color="auto"/>
            </w:tcBorders>
            <w:vAlign w:val="bottom"/>
          </w:tcPr>
          <w:p w:rsidR="0002201B" w:rsidRPr="009658BB" w:rsidRDefault="0002201B" w:rsidP="0002201B">
            <w:pPr>
              <w:keepNext/>
              <w:keepLines/>
              <w:spacing w:before="40" w:after="40"/>
              <w:ind w:left="-85"/>
              <w:jc w:val="right"/>
              <w:rPr>
                <w:rFonts w:cs="Arial"/>
                <w:color w:val="000000"/>
                <w:sz w:val="19"/>
                <w:szCs w:val="19"/>
                <w:lang w:val="lt-LT"/>
              </w:rPr>
            </w:pPr>
            <w:r w:rsidRPr="009658BB">
              <w:rPr>
                <w:rFonts w:cs="Arial"/>
                <w:color w:val="000000"/>
                <w:sz w:val="19"/>
                <w:szCs w:val="19"/>
                <w:lang w:val="lt-LT"/>
              </w:rPr>
              <w:t>2,0</w:t>
            </w:r>
          </w:p>
        </w:tc>
        <w:tc>
          <w:tcPr>
            <w:tcW w:w="338" w:type="pct"/>
            <w:tcBorders>
              <w:left w:val="single" w:sz="4" w:space="0" w:color="auto"/>
              <w:right w:val="single" w:sz="4" w:space="0" w:color="auto"/>
            </w:tcBorders>
            <w:vAlign w:val="bottom"/>
          </w:tcPr>
          <w:p w:rsidR="0002201B" w:rsidRPr="009658BB" w:rsidRDefault="0002201B" w:rsidP="0002201B">
            <w:pPr>
              <w:keepNext/>
              <w:keepLines/>
              <w:spacing w:before="40" w:after="40"/>
              <w:ind w:left="-85"/>
              <w:jc w:val="right"/>
              <w:rPr>
                <w:rFonts w:cs="Arial"/>
                <w:color w:val="000000"/>
                <w:sz w:val="19"/>
                <w:szCs w:val="19"/>
                <w:lang w:val="lt-LT"/>
              </w:rPr>
            </w:pPr>
            <w:r w:rsidRPr="009658BB">
              <w:rPr>
                <w:rFonts w:cs="Arial"/>
                <w:color w:val="000000"/>
                <w:sz w:val="19"/>
                <w:szCs w:val="19"/>
                <w:lang w:val="lt-LT"/>
              </w:rPr>
              <w:t>2,2</w:t>
            </w:r>
          </w:p>
        </w:tc>
      </w:tr>
      <w:tr w:rsidR="0002201B" w:rsidRPr="009658BB" w:rsidTr="009658BB">
        <w:tc>
          <w:tcPr>
            <w:tcW w:w="1386" w:type="pct"/>
            <w:tcBorders>
              <w:left w:val="single" w:sz="4" w:space="0" w:color="auto"/>
              <w:right w:val="single" w:sz="4" w:space="0" w:color="auto"/>
            </w:tcBorders>
            <w:vAlign w:val="bottom"/>
          </w:tcPr>
          <w:p w:rsidR="0002201B" w:rsidRPr="009658BB" w:rsidRDefault="0002201B" w:rsidP="0002201B">
            <w:pPr>
              <w:pStyle w:val="Galva"/>
              <w:ind w:left="0"/>
              <w:jc w:val="left"/>
              <w:rPr>
                <w:rFonts w:cs="Arial"/>
                <w:szCs w:val="19"/>
              </w:rPr>
            </w:pPr>
            <w:r w:rsidRPr="009658BB">
              <w:rPr>
                <w:rFonts w:cs="Arial"/>
                <w:szCs w:val="19"/>
              </w:rPr>
              <w:t>Finansinė ir draudimo veikla</w:t>
            </w:r>
          </w:p>
        </w:tc>
        <w:tc>
          <w:tcPr>
            <w:tcW w:w="453" w:type="pct"/>
            <w:tcBorders>
              <w:left w:val="single" w:sz="4" w:space="0" w:color="auto"/>
              <w:right w:val="single" w:sz="4" w:space="0" w:color="auto"/>
            </w:tcBorders>
            <w:vAlign w:val="bottom"/>
          </w:tcPr>
          <w:p w:rsidR="0002201B" w:rsidRPr="009658BB" w:rsidRDefault="0002201B" w:rsidP="0002201B">
            <w:pPr>
              <w:keepNext/>
              <w:keepLines/>
              <w:spacing w:before="40" w:after="40"/>
              <w:ind w:left="-85"/>
              <w:jc w:val="right"/>
              <w:rPr>
                <w:rFonts w:cs="Arial"/>
                <w:color w:val="000000"/>
                <w:sz w:val="19"/>
                <w:szCs w:val="19"/>
                <w:lang w:val="lt-LT"/>
              </w:rPr>
            </w:pPr>
            <w:r w:rsidRPr="009658BB">
              <w:rPr>
                <w:rFonts w:cs="Arial"/>
                <w:color w:val="000000"/>
                <w:sz w:val="19"/>
                <w:szCs w:val="19"/>
                <w:lang w:val="lt-LT"/>
              </w:rPr>
              <w:t>0,5</w:t>
            </w:r>
          </w:p>
        </w:tc>
        <w:tc>
          <w:tcPr>
            <w:tcW w:w="453" w:type="pct"/>
            <w:tcBorders>
              <w:left w:val="single" w:sz="4" w:space="0" w:color="auto"/>
              <w:right w:val="single" w:sz="4" w:space="0" w:color="auto"/>
            </w:tcBorders>
            <w:vAlign w:val="bottom"/>
          </w:tcPr>
          <w:p w:rsidR="0002201B" w:rsidRPr="009658BB" w:rsidRDefault="0002201B" w:rsidP="0002201B">
            <w:pPr>
              <w:spacing w:before="40" w:after="40"/>
              <w:ind w:left="-85"/>
              <w:jc w:val="right"/>
              <w:rPr>
                <w:rFonts w:cs="Arial"/>
                <w:color w:val="000000"/>
                <w:sz w:val="19"/>
                <w:szCs w:val="19"/>
                <w:lang w:val="lt-LT"/>
              </w:rPr>
            </w:pPr>
            <w:r w:rsidRPr="009658BB">
              <w:rPr>
                <w:rFonts w:cs="Arial"/>
                <w:color w:val="000000"/>
                <w:sz w:val="19"/>
                <w:szCs w:val="19"/>
                <w:lang w:val="lt-LT"/>
              </w:rPr>
              <w:t>2,4</w:t>
            </w:r>
          </w:p>
        </w:tc>
        <w:tc>
          <w:tcPr>
            <w:tcW w:w="338" w:type="pct"/>
            <w:tcBorders>
              <w:left w:val="single" w:sz="4" w:space="0" w:color="auto"/>
              <w:right w:val="single" w:sz="4" w:space="0" w:color="auto"/>
            </w:tcBorders>
            <w:vAlign w:val="bottom"/>
          </w:tcPr>
          <w:p w:rsidR="0002201B" w:rsidRPr="009658BB" w:rsidRDefault="0002201B" w:rsidP="0002201B">
            <w:pPr>
              <w:spacing w:before="40" w:after="40"/>
              <w:ind w:left="-85"/>
              <w:jc w:val="right"/>
              <w:rPr>
                <w:rFonts w:cs="Arial"/>
                <w:color w:val="000000"/>
                <w:sz w:val="19"/>
                <w:szCs w:val="19"/>
                <w:lang w:val="lt-LT"/>
              </w:rPr>
            </w:pPr>
            <w:r w:rsidRPr="009658BB">
              <w:rPr>
                <w:rFonts w:cs="Arial"/>
                <w:color w:val="000000"/>
                <w:sz w:val="19"/>
                <w:szCs w:val="19"/>
                <w:lang w:val="lt-LT"/>
              </w:rPr>
              <w:t>0,4</w:t>
            </w:r>
          </w:p>
        </w:tc>
        <w:tc>
          <w:tcPr>
            <w:tcW w:w="338" w:type="pct"/>
            <w:tcBorders>
              <w:left w:val="single" w:sz="4" w:space="0" w:color="auto"/>
              <w:right w:val="single" w:sz="4" w:space="0" w:color="auto"/>
            </w:tcBorders>
            <w:vAlign w:val="bottom"/>
          </w:tcPr>
          <w:p w:rsidR="0002201B" w:rsidRPr="009658BB" w:rsidRDefault="0002201B" w:rsidP="0002201B">
            <w:pPr>
              <w:spacing w:before="40" w:after="40"/>
              <w:ind w:left="-85"/>
              <w:jc w:val="right"/>
              <w:rPr>
                <w:rFonts w:cs="Arial"/>
                <w:color w:val="000000"/>
                <w:sz w:val="19"/>
                <w:szCs w:val="19"/>
                <w:lang w:val="lt-LT"/>
              </w:rPr>
            </w:pPr>
            <w:r w:rsidRPr="009658BB">
              <w:rPr>
                <w:rFonts w:cs="Arial"/>
                <w:color w:val="000000"/>
                <w:sz w:val="19"/>
                <w:szCs w:val="19"/>
                <w:lang w:val="lt-LT"/>
              </w:rPr>
              <w:t>0,4</w:t>
            </w:r>
          </w:p>
        </w:tc>
        <w:tc>
          <w:tcPr>
            <w:tcW w:w="338" w:type="pct"/>
            <w:tcBorders>
              <w:left w:val="single" w:sz="4" w:space="0" w:color="auto"/>
              <w:right w:val="single" w:sz="4" w:space="0" w:color="auto"/>
            </w:tcBorders>
            <w:vAlign w:val="bottom"/>
          </w:tcPr>
          <w:p w:rsidR="0002201B" w:rsidRPr="009658BB" w:rsidRDefault="0002201B" w:rsidP="0002201B">
            <w:pPr>
              <w:keepNext/>
              <w:keepLines/>
              <w:spacing w:before="40" w:after="40"/>
              <w:ind w:left="-85"/>
              <w:jc w:val="right"/>
              <w:rPr>
                <w:rFonts w:cs="Arial"/>
                <w:color w:val="000000"/>
                <w:sz w:val="19"/>
                <w:szCs w:val="19"/>
                <w:lang w:val="lt-LT"/>
              </w:rPr>
            </w:pPr>
            <w:r w:rsidRPr="009658BB">
              <w:rPr>
                <w:rFonts w:cs="Arial"/>
                <w:color w:val="000000"/>
                <w:sz w:val="19"/>
                <w:szCs w:val="19"/>
                <w:lang w:val="lt-LT"/>
              </w:rPr>
              <w:t>0,4</w:t>
            </w:r>
          </w:p>
        </w:tc>
        <w:tc>
          <w:tcPr>
            <w:tcW w:w="338" w:type="pct"/>
            <w:tcBorders>
              <w:left w:val="single" w:sz="4" w:space="0" w:color="auto"/>
              <w:right w:val="single" w:sz="4" w:space="0" w:color="auto"/>
            </w:tcBorders>
            <w:vAlign w:val="bottom"/>
          </w:tcPr>
          <w:p w:rsidR="0002201B" w:rsidRPr="009658BB" w:rsidRDefault="0002201B" w:rsidP="0002201B">
            <w:pPr>
              <w:keepNext/>
              <w:keepLines/>
              <w:spacing w:before="40" w:after="40"/>
              <w:ind w:left="-85"/>
              <w:jc w:val="right"/>
              <w:rPr>
                <w:rFonts w:cs="Arial"/>
                <w:color w:val="000000"/>
                <w:sz w:val="19"/>
                <w:szCs w:val="19"/>
                <w:lang w:val="lt-LT"/>
              </w:rPr>
            </w:pPr>
            <w:r w:rsidRPr="009658BB">
              <w:rPr>
                <w:rFonts w:cs="Arial"/>
                <w:color w:val="000000"/>
                <w:sz w:val="19"/>
                <w:szCs w:val="19"/>
                <w:lang w:val="lt-LT"/>
              </w:rPr>
              <w:t>0,4</w:t>
            </w:r>
          </w:p>
        </w:tc>
        <w:tc>
          <w:tcPr>
            <w:tcW w:w="338" w:type="pct"/>
            <w:tcBorders>
              <w:left w:val="single" w:sz="4" w:space="0" w:color="auto"/>
              <w:right w:val="single" w:sz="4" w:space="0" w:color="auto"/>
            </w:tcBorders>
            <w:vAlign w:val="bottom"/>
          </w:tcPr>
          <w:p w:rsidR="0002201B" w:rsidRPr="009658BB" w:rsidRDefault="0002201B" w:rsidP="0002201B">
            <w:pPr>
              <w:keepNext/>
              <w:keepLines/>
              <w:spacing w:before="40" w:after="40"/>
              <w:ind w:left="-85"/>
              <w:jc w:val="right"/>
              <w:rPr>
                <w:rFonts w:cs="Arial"/>
                <w:color w:val="000000"/>
                <w:sz w:val="19"/>
                <w:szCs w:val="19"/>
                <w:lang w:val="lt-LT"/>
              </w:rPr>
            </w:pPr>
            <w:r w:rsidRPr="009658BB">
              <w:rPr>
                <w:rFonts w:cs="Arial"/>
                <w:color w:val="000000"/>
                <w:sz w:val="19"/>
                <w:szCs w:val="19"/>
                <w:lang w:val="lt-LT"/>
              </w:rPr>
              <w:t>2,0</w:t>
            </w:r>
          </w:p>
        </w:tc>
        <w:tc>
          <w:tcPr>
            <w:tcW w:w="338" w:type="pct"/>
            <w:tcBorders>
              <w:left w:val="single" w:sz="4" w:space="0" w:color="auto"/>
              <w:right w:val="single" w:sz="4" w:space="0" w:color="auto"/>
            </w:tcBorders>
            <w:vAlign w:val="bottom"/>
          </w:tcPr>
          <w:p w:rsidR="0002201B" w:rsidRPr="009658BB" w:rsidRDefault="0002201B" w:rsidP="0002201B">
            <w:pPr>
              <w:keepNext/>
              <w:keepLines/>
              <w:spacing w:before="40" w:after="40"/>
              <w:ind w:left="-85"/>
              <w:jc w:val="right"/>
              <w:rPr>
                <w:rFonts w:cs="Arial"/>
                <w:color w:val="000000"/>
                <w:sz w:val="19"/>
                <w:szCs w:val="19"/>
                <w:lang w:val="lt-LT"/>
              </w:rPr>
            </w:pPr>
            <w:r w:rsidRPr="009658BB">
              <w:rPr>
                <w:rFonts w:cs="Arial"/>
                <w:color w:val="000000"/>
                <w:sz w:val="19"/>
                <w:szCs w:val="19"/>
                <w:lang w:val="lt-LT"/>
              </w:rPr>
              <w:t>2,0</w:t>
            </w:r>
          </w:p>
        </w:tc>
        <w:tc>
          <w:tcPr>
            <w:tcW w:w="338" w:type="pct"/>
            <w:tcBorders>
              <w:left w:val="single" w:sz="4" w:space="0" w:color="auto"/>
              <w:right w:val="single" w:sz="4" w:space="0" w:color="auto"/>
            </w:tcBorders>
            <w:vAlign w:val="bottom"/>
          </w:tcPr>
          <w:p w:rsidR="0002201B" w:rsidRPr="009658BB" w:rsidRDefault="0002201B" w:rsidP="0002201B">
            <w:pPr>
              <w:keepNext/>
              <w:keepLines/>
              <w:spacing w:before="40" w:after="40"/>
              <w:ind w:left="-85"/>
              <w:jc w:val="right"/>
              <w:rPr>
                <w:rFonts w:cs="Arial"/>
                <w:color w:val="000000"/>
                <w:sz w:val="19"/>
                <w:szCs w:val="19"/>
                <w:lang w:val="lt-LT"/>
              </w:rPr>
            </w:pPr>
            <w:r w:rsidRPr="009658BB">
              <w:rPr>
                <w:rFonts w:cs="Arial"/>
                <w:color w:val="000000"/>
                <w:sz w:val="19"/>
                <w:szCs w:val="19"/>
                <w:lang w:val="lt-LT"/>
              </w:rPr>
              <w:t>2,3</w:t>
            </w:r>
          </w:p>
        </w:tc>
        <w:tc>
          <w:tcPr>
            <w:tcW w:w="338" w:type="pct"/>
            <w:tcBorders>
              <w:left w:val="single" w:sz="4" w:space="0" w:color="auto"/>
              <w:right w:val="single" w:sz="4" w:space="0" w:color="auto"/>
            </w:tcBorders>
            <w:vAlign w:val="bottom"/>
          </w:tcPr>
          <w:p w:rsidR="0002201B" w:rsidRPr="009658BB" w:rsidRDefault="0002201B" w:rsidP="0002201B">
            <w:pPr>
              <w:keepNext/>
              <w:keepLines/>
              <w:spacing w:before="40" w:after="40"/>
              <w:ind w:left="-85"/>
              <w:jc w:val="right"/>
              <w:rPr>
                <w:rFonts w:cs="Arial"/>
                <w:color w:val="000000"/>
                <w:sz w:val="19"/>
                <w:szCs w:val="19"/>
                <w:lang w:val="lt-LT"/>
              </w:rPr>
            </w:pPr>
            <w:r w:rsidRPr="009658BB">
              <w:rPr>
                <w:rFonts w:cs="Arial"/>
                <w:color w:val="000000"/>
                <w:sz w:val="19"/>
                <w:szCs w:val="19"/>
                <w:lang w:val="lt-LT"/>
              </w:rPr>
              <w:t>2,2</w:t>
            </w:r>
          </w:p>
        </w:tc>
      </w:tr>
      <w:tr w:rsidR="0002201B" w:rsidRPr="009658BB" w:rsidTr="009658BB">
        <w:tc>
          <w:tcPr>
            <w:tcW w:w="1386" w:type="pct"/>
            <w:tcBorders>
              <w:left w:val="single" w:sz="4" w:space="0" w:color="auto"/>
              <w:right w:val="single" w:sz="4" w:space="0" w:color="auto"/>
            </w:tcBorders>
            <w:vAlign w:val="bottom"/>
          </w:tcPr>
          <w:p w:rsidR="0002201B" w:rsidRPr="009658BB" w:rsidRDefault="0002201B" w:rsidP="0002201B">
            <w:pPr>
              <w:pStyle w:val="Galva"/>
              <w:ind w:left="0"/>
              <w:jc w:val="left"/>
              <w:rPr>
                <w:rFonts w:cs="Arial"/>
                <w:szCs w:val="19"/>
              </w:rPr>
            </w:pPr>
            <w:r w:rsidRPr="009658BB">
              <w:rPr>
                <w:rFonts w:cs="Arial"/>
                <w:szCs w:val="19"/>
              </w:rPr>
              <w:t>Nekilnojamojo turto operacijos</w:t>
            </w:r>
          </w:p>
        </w:tc>
        <w:tc>
          <w:tcPr>
            <w:tcW w:w="453" w:type="pct"/>
            <w:tcBorders>
              <w:left w:val="single" w:sz="4" w:space="0" w:color="auto"/>
              <w:right w:val="single" w:sz="4" w:space="0" w:color="auto"/>
            </w:tcBorders>
            <w:vAlign w:val="bottom"/>
          </w:tcPr>
          <w:p w:rsidR="0002201B" w:rsidRPr="009658BB" w:rsidRDefault="0002201B" w:rsidP="0002201B">
            <w:pPr>
              <w:keepNext/>
              <w:keepLines/>
              <w:spacing w:before="40" w:after="40"/>
              <w:ind w:left="-85"/>
              <w:jc w:val="right"/>
              <w:rPr>
                <w:rFonts w:cs="Arial"/>
                <w:color w:val="000000"/>
                <w:sz w:val="19"/>
                <w:szCs w:val="19"/>
                <w:lang w:val="lt-LT"/>
              </w:rPr>
            </w:pPr>
            <w:r w:rsidRPr="009658BB">
              <w:rPr>
                <w:rFonts w:cs="Arial"/>
                <w:color w:val="000000"/>
                <w:sz w:val="19"/>
                <w:szCs w:val="19"/>
                <w:lang w:val="lt-LT"/>
              </w:rPr>
              <w:t>0,1</w:t>
            </w:r>
          </w:p>
        </w:tc>
        <w:tc>
          <w:tcPr>
            <w:tcW w:w="453" w:type="pct"/>
            <w:tcBorders>
              <w:left w:val="single" w:sz="4" w:space="0" w:color="auto"/>
              <w:right w:val="single" w:sz="4" w:space="0" w:color="auto"/>
            </w:tcBorders>
            <w:vAlign w:val="bottom"/>
          </w:tcPr>
          <w:p w:rsidR="0002201B" w:rsidRPr="009658BB" w:rsidRDefault="0002201B" w:rsidP="0002201B">
            <w:pPr>
              <w:spacing w:before="40" w:after="40"/>
              <w:ind w:left="-85"/>
              <w:jc w:val="right"/>
              <w:rPr>
                <w:rFonts w:cs="Arial"/>
                <w:color w:val="000000"/>
                <w:sz w:val="19"/>
                <w:szCs w:val="19"/>
                <w:lang w:val="lt-LT"/>
              </w:rPr>
            </w:pPr>
            <w:r w:rsidRPr="009658BB">
              <w:rPr>
                <w:rFonts w:cs="Arial"/>
                <w:color w:val="000000"/>
                <w:sz w:val="19"/>
                <w:szCs w:val="19"/>
                <w:lang w:val="lt-LT"/>
              </w:rPr>
              <w:t>0,7</w:t>
            </w:r>
          </w:p>
        </w:tc>
        <w:tc>
          <w:tcPr>
            <w:tcW w:w="338" w:type="pct"/>
            <w:tcBorders>
              <w:left w:val="single" w:sz="4" w:space="0" w:color="auto"/>
              <w:right w:val="single" w:sz="4" w:space="0" w:color="auto"/>
            </w:tcBorders>
            <w:vAlign w:val="bottom"/>
          </w:tcPr>
          <w:p w:rsidR="0002201B" w:rsidRPr="009658BB" w:rsidRDefault="0002201B" w:rsidP="0002201B">
            <w:pPr>
              <w:spacing w:before="40" w:after="40"/>
              <w:ind w:left="-85"/>
              <w:jc w:val="right"/>
              <w:rPr>
                <w:rFonts w:cs="Arial"/>
                <w:color w:val="000000"/>
                <w:sz w:val="19"/>
                <w:szCs w:val="19"/>
                <w:lang w:val="lt-LT"/>
              </w:rPr>
            </w:pPr>
            <w:r w:rsidRPr="009658BB">
              <w:rPr>
                <w:rFonts w:cs="Arial"/>
                <w:color w:val="000000"/>
                <w:sz w:val="19"/>
                <w:szCs w:val="19"/>
                <w:lang w:val="lt-LT"/>
              </w:rPr>
              <w:t>0,0</w:t>
            </w:r>
          </w:p>
        </w:tc>
        <w:tc>
          <w:tcPr>
            <w:tcW w:w="338" w:type="pct"/>
            <w:tcBorders>
              <w:left w:val="single" w:sz="4" w:space="0" w:color="auto"/>
              <w:right w:val="single" w:sz="4" w:space="0" w:color="auto"/>
            </w:tcBorders>
            <w:vAlign w:val="bottom"/>
          </w:tcPr>
          <w:p w:rsidR="0002201B" w:rsidRPr="009658BB" w:rsidRDefault="0002201B" w:rsidP="0002201B">
            <w:pPr>
              <w:spacing w:before="40" w:after="40"/>
              <w:ind w:left="-85"/>
              <w:jc w:val="right"/>
              <w:rPr>
                <w:rFonts w:cs="Arial"/>
                <w:color w:val="000000"/>
                <w:sz w:val="19"/>
                <w:szCs w:val="19"/>
                <w:lang w:val="lt-LT"/>
              </w:rPr>
            </w:pPr>
            <w:r w:rsidRPr="009658BB">
              <w:rPr>
                <w:rFonts w:cs="Arial"/>
                <w:color w:val="000000"/>
                <w:sz w:val="19"/>
                <w:szCs w:val="19"/>
                <w:lang w:val="lt-LT"/>
              </w:rPr>
              <w:t>0,0</w:t>
            </w:r>
          </w:p>
        </w:tc>
        <w:tc>
          <w:tcPr>
            <w:tcW w:w="338" w:type="pct"/>
            <w:tcBorders>
              <w:left w:val="single" w:sz="4" w:space="0" w:color="auto"/>
              <w:right w:val="single" w:sz="4" w:space="0" w:color="auto"/>
            </w:tcBorders>
            <w:vAlign w:val="bottom"/>
          </w:tcPr>
          <w:p w:rsidR="0002201B" w:rsidRPr="009658BB" w:rsidRDefault="0002201B" w:rsidP="0002201B">
            <w:pPr>
              <w:keepNext/>
              <w:keepLines/>
              <w:spacing w:before="40" w:after="40"/>
              <w:ind w:left="-85"/>
              <w:jc w:val="right"/>
              <w:rPr>
                <w:rFonts w:cs="Arial"/>
                <w:color w:val="000000"/>
                <w:sz w:val="19"/>
                <w:szCs w:val="19"/>
                <w:lang w:val="lt-LT"/>
              </w:rPr>
            </w:pPr>
            <w:r w:rsidRPr="009658BB">
              <w:rPr>
                <w:rFonts w:cs="Arial"/>
                <w:color w:val="000000"/>
                <w:sz w:val="19"/>
                <w:szCs w:val="19"/>
                <w:lang w:val="lt-LT"/>
              </w:rPr>
              <w:t>0,0</w:t>
            </w:r>
          </w:p>
        </w:tc>
        <w:tc>
          <w:tcPr>
            <w:tcW w:w="338" w:type="pct"/>
            <w:tcBorders>
              <w:left w:val="single" w:sz="4" w:space="0" w:color="auto"/>
              <w:right w:val="single" w:sz="4" w:space="0" w:color="auto"/>
            </w:tcBorders>
            <w:vAlign w:val="bottom"/>
          </w:tcPr>
          <w:p w:rsidR="0002201B" w:rsidRPr="009658BB" w:rsidRDefault="0002201B" w:rsidP="0002201B">
            <w:pPr>
              <w:keepNext/>
              <w:keepLines/>
              <w:spacing w:before="40" w:after="40"/>
              <w:ind w:left="-85"/>
              <w:jc w:val="right"/>
              <w:rPr>
                <w:rFonts w:cs="Arial"/>
                <w:color w:val="000000"/>
                <w:sz w:val="19"/>
                <w:szCs w:val="19"/>
                <w:lang w:val="lt-LT"/>
              </w:rPr>
            </w:pPr>
            <w:r w:rsidRPr="009658BB">
              <w:rPr>
                <w:rFonts w:cs="Arial"/>
                <w:color w:val="000000"/>
                <w:sz w:val="19"/>
                <w:szCs w:val="19"/>
                <w:lang w:val="lt-LT"/>
              </w:rPr>
              <w:t>0,0</w:t>
            </w:r>
          </w:p>
        </w:tc>
        <w:tc>
          <w:tcPr>
            <w:tcW w:w="338" w:type="pct"/>
            <w:tcBorders>
              <w:left w:val="single" w:sz="4" w:space="0" w:color="auto"/>
              <w:right w:val="single" w:sz="4" w:space="0" w:color="auto"/>
            </w:tcBorders>
            <w:vAlign w:val="bottom"/>
          </w:tcPr>
          <w:p w:rsidR="0002201B" w:rsidRPr="009658BB" w:rsidRDefault="0002201B" w:rsidP="0002201B">
            <w:pPr>
              <w:keepNext/>
              <w:keepLines/>
              <w:spacing w:before="40" w:after="40"/>
              <w:ind w:left="-85"/>
              <w:jc w:val="right"/>
              <w:rPr>
                <w:rFonts w:cs="Arial"/>
                <w:color w:val="000000"/>
                <w:sz w:val="19"/>
                <w:szCs w:val="19"/>
                <w:lang w:val="lt-LT"/>
              </w:rPr>
            </w:pPr>
            <w:r w:rsidRPr="009658BB">
              <w:rPr>
                <w:rFonts w:cs="Arial"/>
                <w:color w:val="000000"/>
                <w:sz w:val="19"/>
                <w:szCs w:val="19"/>
                <w:lang w:val="lt-LT"/>
              </w:rPr>
              <w:t>0,3</w:t>
            </w:r>
          </w:p>
        </w:tc>
        <w:tc>
          <w:tcPr>
            <w:tcW w:w="338" w:type="pct"/>
            <w:tcBorders>
              <w:left w:val="single" w:sz="4" w:space="0" w:color="auto"/>
              <w:right w:val="single" w:sz="4" w:space="0" w:color="auto"/>
            </w:tcBorders>
            <w:vAlign w:val="bottom"/>
          </w:tcPr>
          <w:p w:rsidR="0002201B" w:rsidRPr="009658BB" w:rsidRDefault="0002201B" w:rsidP="0002201B">
            <w:pPr>
              <w:keepNext/>
              <w:keepLines/>
              <w:spacing w:before="40" w:after="40"/>
              <w:ind w:left="-85"/>
              <w:jc w:val="right"/>
              <w:rPr>
                <w:rFonts w:cs="Arial"/>
                <w:color w:val="000000"/>
                <w:sz w:val="19"/>
                <w:szCs w:val="19"/>
                <w:lang w:val="lt-LT"/>
              </w:rPr>
            </w:pPr>
            <w:r w:rsidRPr="009658BB">
              <w:rPr>
                <w:rFonts w:cs="Arial"/>
                <w:color w:val="000000"/>
                <w:sz w:val="19"/>
                <w:szCs w:val="19"/>
                <w:lang w:val="lt-LT"/>
              </w:rPr>
              <w:t>0,1</w:t>
            </w:r>
          </w:p>
        </w:tc>
        <w:tc>
          <w:tcPr>
            <w:tcW w:w="338" w:type="pct"/>
            <w:tcBorders>
              <w:left w:val="single" w:sz="4" w:space="0" w:color="auto"/>
              <w:right w:val="single" w:sz="4" w:space="0" w:color="auto"/>
            </w:tcBorders>
            <w:vAlign w:val="bottom"/>
          </w:tcPr>
          <w:p w:rsidR="0002201B" w:rsidRPr="009658BB" w:rsidRDefault="0002201B" w:rsidP="0002201B">
            <w:pPr>
              <w:keepNext/>
              <w:keepLines/>
              <w:spacing w:before="40" w:after="40"/>
              <w:ind w:left="-85"/>
              <w:jc w:val="right"/>
              <w:rPr>
                <w:rFonts w:cs="Arial"/>
                <w:color w:val="000000"/>
                <w:sz w:val="19"/>
                <w:szCs w:val="19"/>
                <w:lang w:val="lt-LT"/>
              </w:rPr>
            </w:pPr>
            <w:r w:rsidRPr="009658BB">
              <w:rPr>
                <w:rFonts w:cs="Arial"/>
                <w:color w:val="000000"/>
                <w:sz w:val="19"/>
                <w:szCs w:val="19"/>
                <w:lang w:val="lt-LT"/>
              </w:rPr>
              <w:t>0,1</w:t>
            </w:r>
          </w:p>
        </w:tc>
        <w:tc>
          <w:tcPr>
            <w:tcW w:w="338" w:type="pct"/>
            <w:tcBorders>
              <w:left w:val="single" w:sz="4" w:space="0" w:color="auto"/>
              <w:right w:val="single" w:sz="4" w:space="0" w:color="auto"/>
            </w:tcBorders>
            <w:vAlign w:val="bottom"/>
          </w:tcPr>
          <w:p w:rsidR="0002201B" w:rsidRPr="009658BB" w:rsidRDefault="0002201B" w:rsidP="0002201B">
            <w:pPr>
              <w:keepNext/>
              <w:keepLines/>
              <w:spacing w:before="40" w:after="40"/>
              <w:ind w:left="-85"/>
              <w:jc w:val="right"/>
              <w:rPr>
                <w:rFonts w:cs="Arial"/>
                <w:color w:val="000000"/>
                <w:sz w:val="19"/>
                <w:szCs w:val="19"/>
                <w:lang w:val="lt-LT"/>
              </w:rPr>
            </w:pPr>
            <w:r w:rsidRPr="009658BB">
              <w:rPr>
                <w:rFonts w:cs="Arial"/>
                <w:color w:val="000000"/>
                <w:sz w:val="19"/>
                <w:szCs w:val="19"/>
                <w:lang w:val="lt-LT"/>
              </w:rPr>
              <w:t>0,2</w:t>
            </w:r>
          </w:p>
        </w:tc>
      </w:tr>
      <w:tr w:rsidR="0002201B" w:rsidRPr="009658BB" w:rsidTr="009658BB">
        <w:tc>
          <w:tcPr>
            <w:tcW w:w="1386" w:type="pct"/>
            <w:tcBorders>
              <w:left w:val="single" w:sz="4" w:space="0" w:color="auto"/>
              <w:right w:val="single" w:sz="4" w:space="0" w:color="auto"/>
            </w:tcBorders>
            <w:vAlign w:val="bottom"/>
          </w:tcPr>
          <w:p w:rsidR="0002201B" w:rsidRPr="009658BB" w:rsidRDefault="0002201B" w:rsidP="0002201B">
            <w:pPr>
              <w:pStyle w:val="Galva"/>
              <w:ind w:left="0"/>
              <w:jc w:val="left"/>
              <w:rPr>
                <w:rFonts w:cs="Arial"/>
                <w:szCs w:val="19"/>
              </w:rPr>
            </w:pPr>
            <w:r w:rsidRPr="009658BB">
              <w:rPr>
                <w:rFonts w:cs="Arial"/>
                <w:szCs w:val="19"/>
              </w:rPr>
              <w:t>Profesinė, mokslinė ir techninė veikla</w:t>
            </w:r>
          </w:p>
        </w:tc>
        <w:tc>
          <w:tcPr>
            <w:tcW w:w="453" w:type="pct"/>
            <w:tcBorders>
              <w:left w:val="single" w:sz="4" w:space="0" w:color="auto"/>
              <w:right w:val="single" w:sz="4" w:space="0" w:color="auto"/>
            </w:tcBorders>
            <w:vAlign w:val="bottom"/>
          </w:tcPr>
          <w:p w:rsidR="0002201B" w:rsidRPr="009658BB" w:rsidRDefault="0002201B" w:rsidP="0002201B">
            <w:pPr>
              <w:keepNext/>
              <w:keepLines/>
              <w:spacing w:before="40" w:after="40"/>
              <w:ind w:left="-85"/>
              <w:jc w:val="right"/>
              <w:rPr>
                <w:rFonts w:cs="Arial"/>
                <w:color w:val="000000"/>
                <w:sz w:val="19"/>
                <w:szCs w:val="19"/>
                <w:lang w:val="lt-LT"/>
              </w:rPr>
            </w:pPr>
            <w:r w:rsidRPr="009658BB">
              <w:rPr>
                <w:rFonts w:cs="Arial"/>
                <w:color w:val="000000"/>
                <w:sz w:val="19"/>
                <w:szCs w:val="19"/>
                <w:lang w:val="lt-LT"/>
              </w:rPr>
              <w:t>0,4</w:t>
            </w:r>
          </w:p>
        </w:tc>
        <w:tc>
          <w:tcPr>
            <w:tcW w:w="453" w:type="pct"/>
            <w:tcBorders>
              <w:left w:val="single" w:sz="4" w:space="0" w:color="auto"/>
              <w:right w:val="single" w:sz="4" w:space="0" w:color="auto"/>
            </w:tcBorders>
            <w:vAlign w:val="bottom"/>
          </w:tcPr>
          <w:p w:rsidR="0002201B" w:rsidRPr="009658BB" w:rsidRDefault="0002201B" w:rsidP="0002201B">
            <w:pPr>
              <w:spacing w:before="40" w:after="40"/>
              <w:ind w:left="-85"/>
              <w:jc w:val="right"/>
              <w:rPr>
                <w:rFonts w:cs="Arial"/>
                <w:color w:val="000000"/>
                <w:sz w:val="19"/>
                <w:szCs w:val="19"/>
                <w:lang w:val="lt-LT"/>
              </w:rPr>
            </w:pPr>
            <w:r w:rsidRPr="009658BB">
              <w:rPr>
                <w:rFonts w:cs="Arial"/>
                <w:color w:val="000000"/>
                <w:sz w:val="19"/>
                <w:szCs w:val="19"/>
                <w:lang w:val="lt-LT"/>
              </w:rPr>
              <w:t>0,7</w:t>
            </w:r>
          </w:p>
        </w:tc>
        <w:tc>
          <w:tcPr>
            <w:tcW w:w="338" w:type="pct"/>
            <w:tcBorders>
              <w:left w:val="single" w:sz="4" w:space="0" w:color="auto"/>
              <w:right w:val="single" w:sz="4" w:space="0" w:color="auto"/>
            </w:tcBorders>
            <w:vAlign w:val="bottom"/>
          </w:tcPr>
          <w:p w:rsidR="0002201B" w:rsidRPr="009658BB" w:rsidRDefault="0002201B" w:rsidP="0002201B">
            <w:pPr>
              <w:spacing w:before="40" w:after="40"/>
              <w:ind w:left="-85"/>
              <w:jc w:val="right"/>
              <w:rPr>
                <w:rFonts w:cs="Arial"/>
                <w:color w:val="000000"/>
                <w:sz w:val="19"/>
                <w:szCs w:val="19"/>
                <w:lang w:val="lt-LT"/>
              </w:rPr>
            </w:pPr>
            <w:r w:rsidRPr="009658BB">
              <w:rPr>
                <w:rFonts w:cs="Arial"/>
                <w:color w:val="000000"/>
                <w:sz w:val="19"/>
                <w:szCs w:val="19"/>
                <w:lang w:val="lt-LT"/>
              </w:rPr>
              <w:t>0,3</w:t>
            </w:r>
          </w:p>
        </w:tc>
        <w:tc>
          <w:tcPr>
            <w:tcW w:w="338" w:type="pct"/>
            <w:tcBorders>
              <w:left w:val="single" w:sz="4" w:space="0" w:color="auto"/>
              <w:right w:val="single" w:sz="4" w:space="0" w:color="auto"/>
            </w:tcBorders>
            <w:vAlign w:val="bottom"/>
          </w:tcPr>
          <w:p w:rsidR="0002201B" w:rsidRPr="009658BB" w:rsidRDefault="0002201B" w:rsidP="0002201B">
            <w:pPr>
              <w:spacing w:before="40" w:after="40"/>
              <w:ind w:left="-85"/>
              <w:jc w:val="right"/>
              <w:rPr>
                <w:rFonts w:cs="Arial"/>
                <w:color w:val="000000"/>
                <w:sz w:val="19"/>
                <w:szCs w:val="19"/>
                <w:lang w:val="lt-LT"/>
              </w:rPr>
            </w:pPr>
            <w:r w:rsidRPr="009658BB">
              <w:rPr>
                <w:rFonts w:cs="Arial"/>
                <w:color w:val="000000"/>
                <w:sz w:val="19"/>
                <w:szCs w:val="19"/>
                <w:lang w:val="lt-LT"/>
              </w:rPr>
              <w:t>0,4</w:t>
            </w:r>
          </w:p>
        </w:tc>
        <w:tc>
          <w:tcPr>
            <w:tcW w:w="338" w:type="pct"/>
            <w:tcBorders>
              <w:left w:val="single" w:sz="4" w:space="0" w:color="auto"/>
              <w:right w:val="single" w:sz="4" w:space="0" w:color="auto"/>
            </w:tcBorders>
            <w:vAlign w:val="bottom"/>
          </w:tcPr>
          <w:p w:rsidR="0002201B" w:rsidRPr="009658BB" w:rsidRDefault="0002201B" w:rsidP="0002201B">
            <w:pPr>
              <w:keepNext/>
              <w:keepLines/>
              <w:spacing w:before="40" w:after="40"/>
              <w:ind w:left="-85"/>
              <w:jc w:val="right"/>
              <w:rPr>
                <w:rFonts w:cs="Arial"/>
                <w:color w:val="000000"/>
                <w:sz w:val="19"/>
                <w:szCs w:val="19"/>
                <w:lang w:val="lt-LT"/>
              </w:rPr>
            </w:pPr>
            <w:r w:rsidRPr="009658BB">
              <w:rPr>
                <w:rFonts w:cs="Arial"/>
                <w:color w:val="000000"/>
                <w:sz w:val="19"/>
                <w:szCs w:val="19"/>
                <w:lang w:val="lt-LT"/>
              </w:rPr>
              <w:t>0,4</w:t>
            </w:r>
          </w:p>
        </w:tc>
        <w:tc>
          <w:tcPr>
            <w:tcW w:w="338" w:type="pct"/>
            <w:tcBorders>
              <w:left w:val="single" w:sz="4" w:space="0" w:color="auto"/>
              <w:right w:val="single" w:sz="4" w:space="0" w:color="auto"/>
            </w:tcBorders>
            <w:vAlign w:val="bottom"/>
          </w:tcPr>
          <w:p w:rsidR="0002201B" w:rsidRPr="009658BB" w:rsidRDefault="0002201B" w:rsidP="0002201B">
            <w:pPr>
              <w:keepNext/>
              <w:keepLines/>
              <w:spacing w:before="40" w:after="40"/>
              <w:ind w:left="-85"/>
              <w:jc w:val="right"/>
              <w:rPr>
                <w:rFonts w:cs="Arial"/>
                <w:color w:val="000000"/>
                <w:sz w:val="19"/>
                <w:szCs w:val="19"/>
                <w:lang w:val="lt-LT"/>
              </w:rPr>
            </w:pPr>
            <w:r w:rsidRPr="009658BB">
              <w:rPr>
                <w:rFonts w:cs="Arial"/>
                <w:color w:val="000000"/>
                <w:sz w:val="19"/>
                <w:szCs w:val="19"/>
                <w:lang w:val="lt-LT"/>
              </w:rPr>
              <w:t>0,3</w:t>
            </w:r>
          </w:p>
        </w:tc>
        <w:tc>
          <w:tcPr>
            <w:tcW w:w="338" w:type="pct"/>
            <w:tcBorders>
              <w:left w:val="single" w:sz="4" w:space="0" w:color="auto"/>
              <w:right w:val="single" w:sz="4" w:space="0" w:color="auto"/>
            </w:tcBorders>
            <w:vAlign w:val="bottom"/>
          </w:tcPr>
          <w:p w:rsidR="0002201B" w:rsidRPr="009658BB" w:rsidRDefault="0002201B" w:rsidP="0002201B">
            <w:pPr>
              <w:keepNext/>
              <w:keepLines/>
              <w:spacing w:before="40" w:after="40"/>
              <w:ind w:left="-85"/>
              <w:jc w:val="right"/>
              <w:rPr>
                <w:rFonts w:cs="Arial"/>
                <w:color w:val="000000"/>
                <w:sz w:val="19"/>
                <w:szCs w:val="19"/>
                <w:lang w:val="lt-LT"/>
              </w:rPr>
            </w:pPr>
            <w:r w:rsidRPr="009658BB">
              <w:rPr>
                <w:rFonts w:cs="Arial"/>
                <w:color w:val="000000"/>
                <w:sz w:val="19"/>
                <w:szCs w:val="19"/>
                <w:lang w:val="lt-LT"/>
              </w:rPr>
              <w:t>0,6</w:t>
            </w:r>
          </w:p>
        </w:tc>
        <w:tc>
          <w:tcPr>
            <w:tcW w:w="338" w:type="pct"/>
            <w:tcBorders>
              <w:left w:val="single" w:sz="4" w:space="0" w:color="auto"/>
              <w:right w:val="single" w:sz="4" w:space="0" w:color="auto"/>
            </w:tcBorders>
            <w:vAlign w:val="bottom"/>
          </w:tcPr>
          <w:p w:rsidR="0002201B" w:rsidRPr="009658BB" w:rsidRDefault="0002201B" w:rsidP="0002201B">
            <w:pPr>
              <w:keepNext/>
              <w:keepLines/>
              <w:spacing w:before="40" w:after="40"/>
              <w:ind w:left="-85"/>
              <w:jc w:val="right"/>
              <w:rPr>
                <w:rFonts w:cs="Arial"/>
                <w:color w:val="000000"/>
                <w:sz w:val="19"/>
                <w:szCs w:val="19"/>
                <w:lang w:val="lt-LT"/>
              </w:rPr>
            </w:pPr>
            <w:r w:rsidRPr="009658BB">
              <w:rPr>
                <w:rFonts w:cs="Arial"/>
                <w:color w:val="000000"/>
                <w:sz w:val="19"/>
                <w:szCs w:val="19"/>
                <w:lang w:val="lt-LT"/>
              </w:rPr>
              <w:t>0,7</w:t>
            </w:r>
          </w:p>
        </w:tc>
        <w:tc>
          <w:tcPr>
            <w:tcW w:w="338" w:type="pct"/>
            <w:tcBorders>
              <w:left w:val="single" w:sz="4" w:space="0" w:color="auto"/>
              <w:right w:val="single" w:sz="4" w:space="0" w:color="auto"/>
            </w:tcBorders>
            <w:vAlign w:val="bottom"/>
          </w:tcPr>
          <w:p w:rsidR="0002201B" w:rsidRPr="009658BB" w:rsidRDefault="0002201B" w:rsidP="0002201B">
            <w:pPr>
              <w:keepNext/>
              <w:keepLines/>
              <w:spacing w:before="40" w:after="40"/>
              <w:ind w:left="-85"/>
              <w:jc w:val="right"/>
              <w:rPr>
                <w:rFonts w:cs="Arial"/>
                <w:color w:val="000000"/>
                <w:sz w:val="19"/>
                <w:szCs w:val="19"/>
                <w:lang w:val="lt-LT"/>
              </w:rPr>
            </w:pPr>
            <w:r w:rsidRPr="009658BB">
              <w:rPr>
                <w:rFonts w:cs="Arial"/>
                <w:color w:val="000000"/>
                <w:sz w:val="19"/>
                <w:szCs w:val="19"/>
                <w:lang w:val="lt-LT"/>
              </w:rPr>
              <w:t>0,8</w:t>
            </w:r>
          </w:p>
        </w:tc>
        <w:tc>
          <w:tcPr>
            <w:tcW w:w="338" w:type="pct"/>
            <w:tcBorders>
              <w:left w:val="single" w:sz="4" w:space="0" w:color="auto"/>
              <w:right w:val="single" w:sz="4" w:space="0" w:color="auto"/>
            </w:tcBorders>
            <w:vAlign w:val="bottom"/>
          </w:tcPr>
          <w:p w:rsidR="0002201B" w:rsidRPr="009658BB" w:rsidRDefault="0002201B" w:rsidP="0002201B">
            <w:pPr>
              <w:keepNext/>
              <w:keepLines/>
              <w:spacing w:before="40" w:after="40"/>
              <w:ind w:left="-85"/>
              <w:jc w:val="right"/>
              <w:rPr>
                <w:rFonts w:cs="Arial"/>
                <w:color w:val="000000"/>
                <w:sz w:val="19"/>
                <w:szCs w:val="19"/>
                <w:lang w:val="lt-LT"/>
              </w:rPr>
            </w:pPr>
            <w:r w:rsidRPr="009658BB">
              <w:rPr>
                <w:rFonts w:cs="Arial"/>
                <w:color w:val="000000"/>
                <w:sz w:val="19"/>
                <w:szCs w:val="19"/>
                <w:lang w:val="lt-LT"/>
              </w:rPr>
              <w:t>0,6</w:t>
            </w:r>
          </w:p>
        </w:tc>
      </w:tr>
      <w:tr w:rsidR="0002201B" w:rsidRPr="009658BB" w:rsidTr="009658BB">
        <w:tc>
          <w:tcPr>
            <w:tcW w:w="1386" w:type="pct"/>
            <w:tcBorders>
              <w:left w:val="single" w:sz="4" w:space="0" w:color="auto"/>
              <w:right w:val="single" w:sz="4" w:space="0" w:color="auto"/>
            </w:tcBorders>
            <w:vAlign w:val="bottom"/>
          </w:tcPr>
          <w:p w:rsidR="0002201B" w:rsidRPr="009658BB" w:rsidRDefault="0002201B" w:rsidP="0002201B">
            <w:pPr>
              <w:pStyle w:val="Galva"/>
              <w:ind w:left="0"/>
              <w:jc w:val="left"/>
              <w:rPr>
                <w:rFonts w:cs="Arial"/>
                <w:szCs w:val="19"/>
              </w:rPr>
            </w:pPr>
            <w:r w:rsidRPr="009658BB">
              <w:rPr>
                <w:rFonts w:cs="Arial"/>
                <w:szCs w:val="19"/>
              </w:rPr>
              <w:t>Administracinė ir aptarnavimo veikla</w:t>
            </w:r>
          </w:p>
        </w:tc>
        <w:tc>
          <w:tcPr>
            <w:tcW w:w="453" w:type="pct"/>
            <w:tcBorders>
              <w:left w:val="single" w:sz="4" w:space="0" w:color="auto"/>
              <w:right w:val="single" w:sz="4" w:space="0" w:color="auto"/>
            </w:tcBorders>
            <w:vAlign w:val="bottom"/>
          </w:tcPr>
          <w:p w:rsidR="0002201B" w:rsidRPr="009658BB" w:rsidRDefault="0002201B" w:rsidP="0002201B">
            <w:pPr>
              <w:keepNext/>
              <w:keepLines/>
              <w:spacing w:before="40" w:after="40"/>
              <w:ind w:left="-85"/>
              <w:jc w:val="right"/>
              <w:rPr>
                <w:rFonts w:cs="Arial"/>
                <w:color w:val="000000"/>
                <w:sz w:val="19"/>
                <w:szCs w:val="19"/>
                <w:lang w:val="lt-LT"/>
              </w:rPr>
            </w:pPr>
            <w:r w:rsidRPr="009658BB">
              <w:rPr>
                <w:rFonts w:cs="Arial"/>
                <w:color w:val="000000"/>
                <w:sz w:val="19"/>
                <w:szCs w:val="19"/>
                <w:lang w:val="lt-LT"/>
              </w:rPr>
              <w:t>1,1</w:t>
            </w:r>
          </w:p>
        </w:tc>
        <w:tc>
          <w:tcPr>
            <w:tcW w:w="453" w:type="pct"/>
            <w:tcBorders>
              <w:left w:val="single" w:sz="4" w:space="0" w:color="auto"/>
              <w:right w:val="single" w:sz="4" w:space="0" w:color="auto"/>
            </w:tcBorders>
            <w:vAlign w:val="bottom"/>
          </w:tcPr>
          <w:p w:rsidR="0002201B" w:rsidRPr="009658BB" w:rsidRDefault="0002201B" w:rsidP="0002201B">
            <w:pPr>
              <w:spacing w:before="40" w:after="40"/>
              <w:ind w:left="-85"/>
              <w:jc w:val="right"/>
              <w:rPr>
                <w:rFonts w:cs="Arial"/>
                <w:color w:val="000000"/>
                <w:sz w:val="19"/>
                <w:szCs w:val="19"/>
                <w:lang w:val="lt-LT"/>
              </w:rPr>
            </w:pPr>
            <w:r w:rsidRPr="009658BB">
              <w:rPr>
                <w:rFonts w:cs="Arial"/>
                <w:color w:val="000000"/>
                <w:sz w:val="19"/>
                <w:szCs w:val="19"/>
                <w:lang w:val="lt-LT"/>
              </w:rPr>
              <w:t>1,8</w:t>
            </w:r>
          </w:p>
        </w:tc>
        <w:tc>
          <w:tcPr>
            <w:tcW w:w="338" w:type="pct"/>
            <w:tcBorders>
              <w:left w:val="single" w:sz="4" w:space="0" w:color="auto"/>
              <w:right w:val="single" w:sz="4" w:space="0" w:color="auto"/>
            </w:tcBorders>
            <w:vAlign w:val="bottom"/>
          </w:tcPr>
          <w:p w:rsidR="0002201B" w:rsidRPr="009658BB" w:rsidRDefault="0002201B" w:rsidP="0002201B">
            <w:pPr>
              <w:spacing w:before="40" w:after="40"/>
              <w:ind w:left="-85"/>
              <w:jc w:val="right"/>
              <w:rPr>
                <w:rFonts w:cs="Arial"/>
                <w:color w:val="000000"/>
                <w:sz w:val="19"/>
                <w:szCs w:val="19"/>
                <w:lang w:val="lt-LT"/>
              </w:rPr>
            </w:pPr>
            <w:r w:rsidRPr="009658BB">
              <w:rPr>
                <w:rFonts w:cs="Arial"/>
                <w:color w:val="000000"/>
                <w:sz w:val="19"/>
                <w:szCs w:val="19"/>
                <w:lang w:val="lt-LT"/>
              </w:rPr>
              <w:t>0,7</w:t>
            </w:r>
          </w:p>
        </w:tc>
        <w:tc>
          <w:tcPr>
            <w:tcW w:w="338" w:type="pct"/>
            <w:tcBorders>
              <w:left w:val="single" w:sz="4" w:space="0" w:color="auto"/>
              <w:right w:val="single" w:sz="4" w:space="0" w:color="auto"/>
            </w:tcBorders>
            <w:vAlign w:val="bottom"/>
          </w:tcPr>
          <w:p w:rsidR="0002201B" w:rsidRPr="009658BB" w:rsidRDefault="0002201B" w:rsidP="0002201B">
            <w:pPr>
              <w:spacing w:before="40" w:after="40"/>
              <w:ind w:left="-85"/>
              <w:jc w:val="right"/>
              <w:rPr>
                <w:rFonts w:cs="Arial"/>
                <w:color w:val="000000"/>
                <w:sz w:val="19"/>
                <w:szCs w:val="19"/>
                <w:lang w:val="lt-LT"/>
              </w:rPr>
            </w:pPr>
            <w:r w:rsidRPr="009658BB">
              <w:rPr>
                <w:rFonts w:cs="Arial"/>
                <w:color w:val="000000"/>
                <w:sz w:val="19"/>
                <w:szCs w:val="19"/>
                <w:lang w:val="lt-LT"/>
              </w:rPr>
              <w:t>1,0</w:t>
            </w:r>
          </w:p>
        </w:tc>
        <w:tc>
          <w:tcPr>
            <w:tcW w:w="338" w:type="pct"/>
            <w:tcBorders>
              <w:left w:val="single" w:sz="4" w:space="0" w:color="auto"/>
              <w:right w:val="single" w:sz="4" w:space="0" w:color="auto"/>
            </w:tcBorders>
            <w:vAlign w:val="bottom"/>
          </w:tcPr>
          <w:p w:rsidR="0002201B" w:rsidRPr="009658BB" w:rsidRDefault="0002201B" w:rsidP="0002201B">
            <w:pPr>
              <w:keepNext/>
              <w:keepLines/>
              <w:spacing w:before="40" w:after="40"/>
              <w:ind w:left="-85"/>
              <w:jc w:val="right"/>
              <w:rPr>
                <w:rFonts w:cs="Arial"/>
                <w:color w:val="000000"/>
                <w:sz w:val="19"/>
                <w:szCs w:val="19"/>
                <w:lang w:val="lt-LT"/>
              </w:rPr>
            </w:pPr>
            <w:r w:rsidRPr="009658BB">
              <w:rPr>
                <w:rFonts w:cs="Arial"/>
                <w:color w:val="000000"/>
                <w:sz w:val="19"/>
                <w:szCs w:val="19"/>
                <w:lang w:val="lt-LT"/>
              </w:rPr>
              <w:t>1,2</w:t>
            </w:r>
          </w:p>
        </w:tc>
        <w:tc>
          <w:tcPr>
            <w:tcW w:w="338" w:type="pct"/>
            <w:tcBorders>
              <w:left w:val="single" w:sz="4" w:space="0" w:color="auto"/>
              <w:right w:val="single" w:sz="4" w:space="0" w:color="auto"/>
            </w:tcBorders>
            <w:vAlign w:val="bottom"/>
          </w:tcPr>
          <w:p w:rsidR="0002201B" w:rsidRPr="009658BB" w:rsidRDefault="0002201B" w:rsidP="0002201B">
            <w:pPr>
              <w:keepNext/>
              <w:keepLines/>
              <w:spacing w:before="40" w:after="40"/>
              <w:ind w:left="-85"/>
              <w:jc w:val="right"/>
              <w:rPr>
                <w:rFonts w:cs="Arial"/>
                <w:color w:val="000000"/>
                <w:sz w:val="19"/>
                <w:szCs w:val="19"/>
                <w:lang w:val="lt-LT"/>
              </w:rPr>
            </w:pPr>
            <w:r w:rsidRPr="009658BB">
              <w:rPr>
                <w:rFonts w:cs="Arial"/>
                <w:color w:val="000000"/>
                <w:sz w:val="19"/>
                <w:szCs w:val="19"/>
                <w:lang w:val="lt-LT"/>
              </w:rPr>
              <w:t>1,3</w:t>
            </w:r>
          </w:p>
        </w:tc>
        <w:tc>
          <w:tcPr>
            <w:tcW w:w="338" w:type="pct"/>
            <w:tcBorders>
              <w:left w:val="single" w:sz="4" w:space="0" w:color="auto"/>
              <w:right w:val="single" w:sz="4" w:space="0" w:color="auto"/>
            </w:tcBorders>
            <w:vAlign w:val="bottom"/>
          </w:tcPr>
          <w:p w:rsidR="0002201B" w:rsidRPr="009658BB" w:rsidRDefault="0002201B" w:rsidP="0002201B">
            <w:pPr>
              <w:keepNext/>
              <w:keepLines/>
              <w:spacing w:before="40" w:after="40"/>
              <w:ind w:left="-85"/>
              <w:jc w:val="right"/>
              <w:rPr>
                <w:rFonts w:cs="Arial"/>
                <w:color w:val="000000"/>
                <w:sz w:val="19"/>
                <w:szCs w:val="19"/>
                <w:lang w:val="lt-LT"/>
              </w:rPr>
            </w:pPr>
            <w:r w:rsidRPr="009658BB">
              <w:rPr>
                <w:rFonts w:cs="Arial"/>
                <w:color w:val="000000"/>
                <w:sz w:val="19"/>
                <w:szCs w:val="19"/>
                <w:lang w:val="lt-LT"/>
              </w:rPr>
              <w:t>1,2</w:t>
            </w:r>
          </w:p>
        </w:tc>
        <w:tc>
          <w:tcPr>
            <w:tcW w:w="338" w:type="pct"/>
            <w:tcBorders>
              <w:left w:val="single" w:sz="4" w:space="0" w:color="auto"/>
              <w:right w:val="single" w:sz="4" w:space="0" w:color="auto"/>
            </w:tcBorders>
            <w:vAlign w:val="bottom"/>
          </w:tcPr>
          <w:p w:rsidR="0002201B" w:rsidRPr="009658BB" w:rsidRDefault="0002201B" w:rsidP="0002201B">
            <w:pPr>
              <w:keepNext/>
              <w:keepLines/>
              <w:spacing w:before="40" w:after="40"/>
              <w:ind w:left="-85"/>
              <w:jc w:val="right"/>
              <w:rPr>
                <w:rFonts w:cs="Arial"/>
                <w:color w:val="000000"/>
                <w:sz w:val="19"/>
                <w:szCs w:val="19"/>
                <w:lang w:val="lt-LT"/>
              </w:rPr>
            </w:pPr>
            <w:r w:rsidRPr="009658BB">
              <w:rPr>
                <w:rFonts w:cs="Arial"/>
                <w:color w:val="000000"/>
                <w:sz w:val="19"/>
                <w:szCs w:val="19"/>
                <w:lang w:val="lt-LT"/>
              </w:rPr>
              <w:t>1,7</w:t>
            </w:r>
          </w:p>
        </w:tc>
        <w:tc>
          <w:tcPr>
            <w:tcW w:w="338" w:type="pct"/>
            <w:tcBorders>
              <w:left w:val="single" w:sz="4" w:space="0" w:color="auto"/>
              <w:right w:val="single" w:sz="4" w:space="0" w:color="auto"/>
            </w:tcBorders>
            <w:vAlign w:val="bottom"/>
          </w:tcPr>
          <w:p w:rsidR="0002201B" w:rsidRPr="009658BB" w:rsidRDefault="0002201B" w:rsidP="0002201B">
            <w:pPr>
              <w:keepNext/>
              <w:keepLines/>
              <w:spacing w:before="40" w:after="40"/>
              <w:ind w:left="-85"/>
              <w:jc w:val="right"/>
              <w:rPr>
                <w:rFonts w:cs="Arial"/>
                <w:color w:val="000000"/>
                <w:sz w:val="19"/>
                <w:szCs w:val="19"/>
                <w:lang w:val="lt-LT"/>
              </w:rPr>
            </w:pPr>
            <w:r w:rsidRPr="009658BB">
              <w:rPr>
                <w:rFonts w:cs="Arial"/>
                <w:color w:val="000000"/>
                <w:sz w:val="19"/>
                <w:szCs w:val="19"/>
                <w:lang w:val="lt-LT"/>
              </w:rPr>
              <w:t>2,0</w:t>
            </w:r>
          </w:p>
        </w:tc>
        <w:tc>
          <w:tcPr>
            <w:tcW w:w="338" w:type="pct"/>
            <w:tcBorders>
              <w:left w:val="single" w:sz="4" w:space="0" w:color="auto"/>
              <w:right w:val="single" w:sz="4" w:space="0" w:color="auto"/>
            </w:tcBorders>
            <w:vAlign w:val="bottom"/>
          </w:tcPr>
          <w:p w:rsidR="0002201B" w:rsidRPr="009658BB" w:rsidRDefault="0002201B" w:rsidP="0002201B">
            <w:pPr>
              <w:keepNext/>
              <w:keepLines/>
              <w:spacing w:before="40" w:after="40"/>
              <w:ind w:left="-85"/>
              <w:jc w:val="right"/>
              <w:rPr>
                <w:rFonts w:cs="Arial"/>
                <w:color w:val="000000"/>
                <w:sz w:val="19"/>
                <w:szCs w:val="19"/>
                <w:lang w:val="lt-LT"/>
              </w:rPr>
            </w:pPr>
            <w:r w:rsidRPr="009658BB">
              <w:rPr>
                <w:rFonts w:cs="Arial"/>
                <w:color w:val="000000"/>
                <w:sz w:val="19"/>
                <w:szCs w:val="19"/>
                <w:lang w:val="lt-LT"/>
              </w:rPr>
              <w:t>2,2</w:t>
            </w:r>
          </w:p>
        </w:tc>
      </w:tr>
      <w:tr w:rsidR="0002201B" w:rsidRPr="009658BB" w:rsidTr="009658BB">
        <w:tc>
          <w:tcPr>
            <w:tcW w:w="1386" w:type="pct"/>
            <w:tcBorders>
              <w:left w:val="single" w:sz="4" w:space="0" w:color="auto"/>
              <w:right w:val="single" w:sz="4" w:space="0" w:color="auto"/>
            </w:tcBorders>
            <w:vAlign w:val="bottom"/>
          </w:tcPr>
          <w:p w:rsidR="0002201B" w:rsidRPr="009658BB" w:rsidRDefault="0002201B" w:rsidP="0002201B">
            <w:pPr>
              <w:pStyle w:val="Galva"/>
              <w:ind w:left="0"/>
              <w:jc w:val="left"/>
              <w:rPr>
                <w:rFonts w:cs="Arial"/>
                <w:szCs w:val="19"/>
              </w:rPr>
            </w:pPr>
            <w:r w:rsidRPr="009658BB">
              <w:rPr>
                <w:rFonts w:cs="Arial"/>
                <w:szCs w:val="19"/>
              </w:rPr>
              <w:t>Viešasis valdymas ir gynyba; privalomasis socialinis draudimas</w:t>
            </w:r>
          </w:p>
        </w:tc>
        <w:tc>
          <w:tcPr>
            <w:tcW w:w="453" w:type="pct"/>
            <w:tcBorders>
              <w:left w:val="single" w:sz="4" w:space="0" w:color="auto"/>
              <w:right w:val="single" w:sz="4" w:space="0" w:color="auto"/>
            </w:tcBorders>
            <w:vAlign w:val="bottom"/>
          </w:tcPr>
          <w:p w:rsidR="0002201B" w:rsidRPr="009658BB" w:rsidRDefault="0002201B" w:rsidP="0002201B">
            <w:pPr>
              <w:keepNext/>
              <w:keepLines/>
              <w:spacing w:before="40" w:after="40"/>
              <w:ind w:left="-85"/>
              <w:jc w:val="right"/>
              <w:rPr>
                <w:rFonts w:cs="Arial"/>
                <w:color w:val="000000"/>
                <w:sz w:val="19"/>
                <w:szCs w:val="19"/>
                <w:lang w:val="lt-LT"/>
              </w:rPr>
            </w:pPr>
            <w:r w:rsidRPr="009658BB">
              <w:rPr>
                <w:rFonts w:cs="Arial"/>
                <w:color w:val="000000"/>
                <w:sz w:val="19"/>
                <w:szCs w:val="19"/>
                <w:lang w:val="lt-LT"/>
              </w:rPr>
              <w:t>2,5</w:t>
            </w:r>
          </w:p>
        </w:tc>
        <w:tc>
          <w:tcPr>
            <w:tcW w:w="453" w:type="pct"/>
            <w:tcBorders>
              <w:left w:val="single" w:sz="4" w:space="0" w:color="auto"/>
              <w:right w:val="single" w:sz="4" w:space="0" w:color="auto"/>
            </w:tcBorders>
            <w:vAlign w:val="bottom"/>
          </w:tcPr>
          <w:p w:rsidR="0002201B" w:rsidRPr="009658BB" w:rsidRDefault="0002201B" w:rsidP="0002201B">
            <w:pPr>
              <w:spacing w:before="40" w:after="40"/>
              <w:ind w:left="-85"/>
              <w:jc w:val="right"/>
              <w:rPr>
                <w:rFonts w:cs="Arial"/>
                <w:color w:val="000000"/>
                <w:sz w:val="19"/>
                <w:szCs w:val="19"/>
                <w:lang w:val="lt-LT"/>
              </w:rPr>
            </w:pPr>
            <w:r w:rsidRPr="009658BB">
              <w:rPr>
                <w:rFonts w:cs="Arial"/>
                <w:color w:val="000000"/>
                <w:sz w:val="19"/>
                <w:szCs w:val="19"/>
                <w:lang w:val="lt-LT"/>
              </w:rPr>
              <w:t>3,0</w:t>
            </w:r>
          </w:p>
        </w:tc>
        <w:tc>
          <w:tcPr>
            <w:tcW w:w="338" w:type="pct"/>
            <w:tcBorders>
              <w:left w:val="single" w:sz="4" w:space="0" w:color="auto"/>
              <w:right w:val="single" w:sz="4" w:space="0" w:color="auto"/>
            </w:tcBorders>
            <w:vAlign w:val="bottom"/>
          </w:tcPr>
          <w:p w:rsidR="0002201B" w:rsidRPr="009658BB" w:rsidRDefault="0002201B" w:rsidP="0002201B">
            <w:pPr>
              <w:spacing w:before="40" w:after="40"/>
              <w:ind w:left="-85"/>
              <w:jc w:val="right"/>
              <w:rPr>
                <w:rFonts w:cs="Arial"/>
                <w:color w:val="000000"/>
                <w:sz w:val="19"/>
                <w:szCs w:val="19"/>
                <w:lang w:val="lt-LT"/>
              </w:rPr>
            </w:pPr>
            <w:r w:rsidRPr="009658BB">
              <w:rPr>
                <w:rFonts w:cs="Arial"/>
                <w:color w:val="000000"/>
                <w:sz w:val="19"/>
                <w:szCs w:val="19"/>
                <w:lang w:val="lt-LT"/>
              </w:rPr>
              <w:t>2,7</w:t>
            </w:r>
          </w:p>
        </w:tc>
        <w:tc>
          <w:tcPr>
            <w:tcW w:w="338" w:type="pct"/>
            <w:tcBorders>
              <w:left w:val="single" w:sz="4" w:space="0" w:color="auto"/>
              <w:right w:val="single" w:sz="4" w:space="0" w:color="auto"/>
            </w:tcBorders>
            <w:vAlign w:val="bottom"/>
          </w:tcPr>
          <w:p w:rsidR="0002201B" w:rsidRPr="009658BB" w:rsidRDefault="0002201B" w:rsidP="0002201B">
            <w:pPr>
              <w:spacing w:before="40" w:after="40"/>
              <w:ind w:left="-85"/>
              <w:jc w:val="right"/>
              <w:rPr>
                <w:rFonts w:cs="Arial"/>
                <w:color w:val="000000"/>
                <w:sz w:val="19"/>
                <w:szCs w:val="19"/>
                <w:lang w:val="lt-LT"/>
              </w:rPr>
            </w:pPr>
            <w:r w:rsidRPr="009658BB">
              <w:rPr>
                <w:rFonts w:cs="Arial"/>
                <w:color w:val="000000"/>
                <w:sz w:val="19"/>
                <w:szCs w:val="19"/>
                <w:lang w:val="lt-LT"/>
              </w:rPr>
              <w:t>2,7</w:t>
            </w:r>
          </w:p>
        </w:tc>
        <w:tc>
          <w:tcPr>
            <w:tcW w:w="338" w:type="pct"/>
            <w:tcBorders>
              <w:left w:val="single" w:sz="4" w:space="0" w:color="auto"/>
              <w:right w:val="single" w:sz="4" w:space="0" w:color="auto"/>
            </w:tcBorders>
            <w:vAlign w:val="bottom"/>
          </w:tcPr>
          <w:p w:rsidR="0002201B" w:rsidRPr="009658BB" w:rsidRDefault="0002201B" w:rsidP="0002201B">
            <w:pPr>
              <w:keepNext/>
              <w:keepLines/>
              <w:spacing w:before="40" w:after="40"/>
              <w:ind w:left="-85"/>
              <w:jc w:val="right"/>
              <w:rPr>
                <w:rFonts w:cs="Arial"/>
                <w:color w:val="000000"/>
                <w:sz w:val="19"/>
                <w:szCs w:val="19"/>
                <w:lang w:val="lt-LT"/>
              </w:rPr>
            </w:pPr>
            <w:r w:rsidRPr="009658BB">
              <w:rPr>
                <w:rFonts w:cs="Arial"/>
                <w:color w:val="000000"/>
                <w:sz w:val="19"/>
                <w:szCs w:val="19"/>
                <w:lang w:val="lt-LT"/>
              </w:rPr>
              <w:t>2,6</w:t>
            </w:r>
          </w:p>
        </w:tc>
        <w:tc>
          <w:tcPr>
            <w:tcW w:w="338" w:type="pct"/>
            <w:tcBorders>
              <w:left w:val="single" w:sz="4" w:space="0" w:color="auto"/>
              <w:right w:val="single" w:sz="4" w:space="0" w:color="auto"/>
            </w:tcBorders>
            <w:vAlign w:val="bottom"/>
          </w:tcPr>
          <w:p w:rsidR="0002201B" w:rsidRPr="009658BB" w:rsidRDefault="0002201B" w:rsidP="0002201B">
            <w:pPr>
              <w:keepNext/>
              <w:keepLines/>
              <w:spacing w:before="40" w:after="40"/>
              <w:ind w:left="-85"/>
              <w:jc w:val="right"/>
              <w:rPr>
                <w:rFonts w:cs="Arial"/>
                <w:color w:val="000000"/>
                <w:sz w:val="19"/>
                <w:szCs w:val="19"/>
                <w:lang w:val="lt-LT"/>
              </w:rPr>
            </w:pPr>
            <w:r w:rsidRPr="009658BB">
              <w:rPr>
                <w:rFonts w:cs="Arial"/>
                <w:color w:val="000000"/>
                <w:sz w:val="19"/>
                <w:szCs w:val="19"/>
                <w:lang w:val="lt-LT"/>
              </w:rPr>
              <w:t>2,5</w:t>
            </w:r>
          </w:p>
        </w:tc>
        <w:tc>
          <w:tcPr>
            <w:tcW w:w="338" w:type="pct"/>
            <w:tcBorders>
              <w:left w:val="single" w:sz="4" w:space="0" w:color="auto"/>
              <w:right w:val="single" w:sz="4" w:space="0" w:color="auto"/>
            </w:tcBorders>
            <w:vAlign w:val="bottom"/>
          </w:tcPr>
          <w:p w:rsidR="0002201B" w:rsidRPr="009658BB" w:rsidRDefault="0002201B" w:rsidP="0002201B">
            <w:pPr>
              <w:keepNext/>
              <w:keepLines/>
              <w:spacing w:before="40" w:after="40"/>
              <w:ind w:left="-85"/>
              <w:jc w:val="right"/>
              <w:rPr>
                <w:rFonts w:cs="Arial"/>
                <w:color w:val="000000"/>
                <w:sz w:val="19"/>
                <w:szCs w:val="19"/>
                <w:lang w:val="lt-LT"/>
              </w:rPr>
            </w:pPr>
            <w:r w:rsidRPr="009658BB">
              <w:rPr>
                <w:rFonts w:cs="Arial"/>
                <w:color w:val="000000"/>
                <w:sz w:val="19"/>
                <w:szCs w:val="19"/>
                <w:lang w:val="lt-LT"/>
              </w:rPr>
              <w:t>3,3</w:t>
            </w:r>
          </w:p>
        </w:tc>
        <w:tc>
          <w:tcPr>
            <w:tcW w:w="338" w:type="pct"/>
            <w:tcBorders>
              <w:left w:val="single" w:sz="4" w:space="0" w:color="auto"/>
              <w:right w:val="single" w:sz="4" w:space="0" w:color="auto"/>
            </w:tcBorders>
            <w:vAlign w:val="bottom"/>
          </w:tcPr>
          <w:p w:rsidR="0002201B" w:rsidRPr="009658BB" w:rsidRDefault="0002201B" w:rsidP="0002201B">
            <w:pPr>
              <w:keepNext/>
              <w:keepLines/>
              <w:spacing w:before="40" w:after="40"/>
              <w:ind w:left="-85"/>
              <w:jc w:val="right"/>
              <w:rPr>
                <w:rFonts w:cs="Arial"/>
                <w:color w:val="000000"/>
                <w:sz w:val="19"/>
                <w:szCs w:val="19"/>
                <w:lang w:val="lt-LT"/>
              </w:rPr>
            </w:pPr>
            <w:r w:rsidRPr="009658BB">
              <w:rPr>
                <w:rFonts w:cs="Arial"/>
                <w:color w:val="000000"/>
                <w:sz w:val="19"/>
                <w:szCs w:val="19"/>
                <w:lang w:val="lt-LT"/>
              </w:rPr>
              <w:t>3,2</w:t>
            </w:r>
          </w:p>
        </w:tc>
        <w:tc>
          <w:tcPr>
            <w:tcW w:w="338" w:type="pct"/>
            <w:tcBorders>
              <w:left w:val="single" w:sz="4" w:space="0" w:color="auto"/>
              <w:right w:val="single" w:sz="4" w:space="0" w:color="auto"/>
            </w:tcBorders>
            <w:vAlign w:val="bottom"/>
          </w:tcPr>
          <w:p w:rsidR="0002201B" w:rsidRPr="009658BB" w:rsidRDefault="0002201B" w:rsidP="0002201B">
            <w:pPr>
              <w:keepNext/>
              <w:keepLines/>
              <w:spacing w:before="40" w:after="40"/>
              <w:ind w:left="-85"/>
              <w:jc w:val="right"/>
              <w:rPr>
                <w:rFonts w:cs="Arial"/>
                <w:color w:val="000000"/>
                <w:sz w:val="19"/>
                <w:szCs w:val="19"/>
                <w:lang w:val="lt-LT"/>
              </w:rPr>
            </w:pPr>
            <w:r w:rsidRPr="009658BB">
              <w:rPr>
                <w:rFonts w:cs="Arial"/>
                <w:color w:val="000000"/>
                <w:sz w:val="19"/>
                <w:szCs w:val="19"/>
                <w:lang w:val="lt-LT"/>
              </w:rPr>
              <w:t>3,2</w:t>
            </w:r>
          </w:p>
        </w:tc>
        <w:tc>
          <w:tcPr>
            <w:tcW w:w="338" w:type="pct"/>
            <w:tcBorders>
              <w:left w:val="single" w:sz="4" w:space="0" w:color="auto"/>
              <w:right w:val="single" w:sz="4" w:space="0" w:color="auto"/>
            </w:tcBorders>
            <w:vAlign w:val="bottom"/>
          </w:tcPr>
          <w:p w:rsidR="0002201B" w:rsidRPr="009658BB" w:rsidRDefault="0002201B" w:rsidP="0002201B">
            <w:pPr>
              <w:keepNext/>
              <w:keepLines/>
              <w:spacing w:before="40" w:after="40"/>
              <w:ind w:left="-85"/>
              <w:jc w:val="right"/>
              <w:rPr>
                <w:rFonts w:cs="Arial"/>
                <w:color w:val="000000"/>
                <w:sz w:val="19"/>
                <w:szCs w:val="19"/>
                <w:lang w:val="lt-LT"/>
              </w:rPr>
            </w:pPr>
            <w:r w:rsidRPr="009658BB">
              <w:rPr>
                <w:rFonts w:cs="Arial"/>
                <w:color w:val="000000"/>
                <w:sz w:val="19"/>
                <w:szCs w:val="19"/>
                <w:lang w:val="lt-LT"/>
              </w:rPr>
              <w:t>3,0</w:t>
            </w:r>
          </w:p>
        </w:tc>
      </w:tr>
      <w:tr w:rsidR="0002201B" w:rsidRPr="009658BB" w:rsidTr="009658BB">
        <w:tc>
          <w:tcPr>
            <w:tcW w:w="1386" w:type="pct"/>
            <w:tcBorders>
              <w:left w:val="single" w:sz="4" w:space="0" w:color="auto"/>
              <w:right w:val="single" w:sz="4" w:space="0" w:color="auto"/>
            </w:tcBorders>
            <w:vAlign w:val="bottom"/>
          </w:tcPr>
          <w:p w:rsidR="0002201B" w:rsidRPr="009658BB" w:rsidRDefault="0002201B" w:rsidP="0002201B">
            <w:pPr>
              <w:pStyle w:val="Galva"/>
              <w:ind w:left="0"/>
              <w:jc w:val="left"/>
              <w:rPr>
                <w:rFonts w:cs="Arial"/>
                <w:szCs w:val="19"/>
              </w:rPr>
            </w:pPr>
            <w:r w:rsidRPr="009658BB">
              <w:rPr>
                <w:rFonts w:cs="Arial"/>
                <w:szCs w:val="19"/>
              </w:rPr>
              <w:t>Švietimas</w:t>
            </w:r>
          </w:p>
        </w:tc>
        <w:tc>
          <w:tcPr>
            <w:tcW w:w="453" w:type="pct"/>
            <w:tcBorders>
              <w:left w:val="single" w:sz="4" w:space="0" w:color="auto"/>
              <w:right w:val="single" w:sz="4" w:space="0" w:color="auto"/>
            </w:tcBorders>
            <w:vAlign w:val="bottom"/>
          </w:tcPr>
          <w:p w:rsidR="0002201B" w:rsidRPr="009658BB" w:rsidRDefault="0002201B" w:rsidP="0002201B">
            <w:pPr>
              <w:keepNext/>
              <w:keepLines/>
              <w:spacing w:before="40" w:after="40"/>
              <w:ind w:left="-85"/>
              <w:jc w:val="right"/>
              <w:rPr>
                <w:rFonts w:cs="Arial"/>
                <w:color w:val="000000"/>
                <w:sz w:val="19"/>
                <w:szCs w:val="19"/>
                <w:lang w:val="lt-LT"/>
              </w:rPr>
            </w:pPr>
            <w:r w:rsidRPr="009658BB">
              <w:rPr>
                <w:rFonts w:cs="Arial"/>
                <w:color w:val="000000"/>
                <w:sz w:val="19"/>
                <w:szCs w:val="19"/>
                <w:lang w:val="lt-LT"/>
              </w:rPr>
              <w:t>0,5</w:t>
            </w:r>
          </w:p>
        </w:tc>
        <w:tc>
          <w:tcPr>
            <w:tcW w:w="453" w:type="pct"/>
            <w:tcBorders>
              <w:left w:val="single" w:sz="4" w:space="0" w:color="auto"/>
              <w:right w:val="single" w:sz="4" w:space="0" w:color="auto"/>
            </w:tcBorders>
            <w:vAlign w:val="bottom"/>
          </w:tcPr>
          <w:p w:rsidR="0002201B" w:rsidRPr="009658BB" w:rsidRDefault="0002201B" w:rsidP="0002201B">
            <w:pPr>
              <w:spacing w:before="40" w:after="40"/>
              <w:ind w:left="-85"/>
              <w:jc w:val="right"/>
              <w:rPr>
                <w:rFonts w:cs="Arial"/>
                <w:color w:val="000000"/>
                <w:sz w:val="19"/>
                <w:szCs w:val="19"/>
                <w:lang w:val="lt-LT"/>
              </w:rPr>
            </w:pPr>
            <w:r w:rsidRPr="009658BB">
              <w:rPr>
                <w:rFonts w:cs="Arial"/>
                <w:color w:val="000000"/>
                <w:sz w:val="19"/>
                <w:szCs w:val="19"/>
                <w:lang w:val="lt-LT"/>
              </w:rPr>
              <w:t>0,3</w:t>
            </w:r>
          </w:p>
        </w:tc>
        <w:tc>
          <w:tcPr>
            <w:tcW w:w="338" w:type="pct"/>
            <w:tcBorders>
              <w:left w:val="single" w:sz="4" w:space="0" w:color="auto"/>
              <w:right w:val="single" w:sz="4" w:space="0" w:color="auto"/>
            </w:tcBorders>
            <w:vAlign w:val="bottom"/>
          </w:tcPr>
          <w:p w:rsidR="0002201B" w:rsidRPr="009658BB" w:rsidRDefault="0002201B" w:rsidP="0002201B">
            <w:pPr>
              <w:spacing w:before="40" w:after="40"/>
              <w:ind w:left="-85"/>
              <w:jc w:val="right"/>
              <w:rPr>
                <w:rFonts w:cs="Arial"/>
                <w:color w:val="000000"/>
                <w:sz w:val="19"/>
                <w:szCs w:val="19"/>
                <w:lang w:val="lt-LT"/>
              </w:rPr>
            </w:pPr>
            <w:r w:rsidRPr="009658BB">
              <w:rPr>
                <w:rFonts w:cs="Arial"/>
                <w:color w:val="000000"/>
                <w:sz w:val="19"/>
                <w:szCs w:val="19"/>
                <w:lang w:val="lt-LT"/>
              </w:rPr>
              <w:t>0,5</w:t>
            </w:r>
          </w:p>
        </w:tc>
        <w:tc>
          <w:tcPr>
            <w:tcW w:w="338" w:type="pct"/>
            <w:tcBorders>
              <w:left w:val="single" w:sz="4" w:space="0" w:color="auto"/>
              <w:right w:val="single" w:sz="4" w:space="0" w:color="auto"/>
            </w:tcBorders>
            <w:vAlign w:val="bottom"/>
          </w:tcPr>
          <w:p w:rsidR="0002201B" w:rsidRPr="009658BB" w:rsidRDefault="0002201B" w:rsidP="0002201B">
            <w:pPr>
              <w:spacing w:before="40" w:after="40"/>
              <w:ind w:left="-85"/>
              <w:jc w:val="right"/>
              <w:rPr>
                <w:rFonts w:cs="Arial"/>
                <w:color w:val="000000"/>
                <w:sz w:val="19"/>
                <w:szCs w:val="19"/>
                <w:lang w:val="lt-LT"/>
              </w:rPr>
            </w:pPr>
            <w:r w:rsidRPr="009658BB">
              <w:rPr>
                <w:rFonts w:cs="Arial"/>
                <w:color w:val="000000"/>
                <w:sz w:val="19"/>
                <w:szCs w:val="19"/>
                <w:lang w:val="lt-LT"/>
              </w:rPr>
              <w:t>0,7</w:t>
            </w:r>
          </w:p>
        </w:tc>
        <w:tc>
          <w:tcPr>
            <w:tcW w:w="338" w:type="pct"/>
            <w:tcBorders>
              <w:left w:val="single" w:sz="4" w:space="0" w:color="auto"/>
              <w:right w:val="single" w:sz="4" w:space="0" w:color="auto"/>
            </w:tcBorders>
            <w:vAlign w:val="bottom"/>
          </w:tcPr>
          <w:p w:rsidR="0002201B" w:rsidRPr="009658BB" w:rsidRDefault="0002201B" w:rsidP="0002201B">
            <w:pPr>
              <w:keepNext/>
              <w:keepLines/>
              <w:spacing w:before="40" w:after="40"/>
              <w:ind w:left="-85"/>
              <w:jc w:val="right"/>
              <w:rPr>
                <w:rFonts w:cs="Arial"/>
                <w:color w:val="000000"/>
                <w:sz w:val="19"/>
                <w:szCs w:val="19"/>
                <w:lang w:val="lt-LT"/>
              </w:rPr>
            </w:pPr>
            <w:r w:rsidRPr="009658BB">
              <w:rPr>
                <w:rFonts w:cs="Arial"/>
                <w:color w:val="000000"/>
                <w:sz w:val="19"/>
                <w:szCs w:val="19"/>
                <w:lang w:val="lt-LT"/>
              </w:rPr>
              <w:t>0,6</w:t>
            </w:r>
          </w:p>
        </w:tc>
        <w:tc>
          <w:tcPr>
            <w:tcW w:w="338" w:type="pct"/>
            <w:tcBorders>
              <w:left w:val="single" w:sz="4" w:space="0" w:color="auto"/>
              <w:right w:val="single" w:sz="4" w:space="0" w:color="auto"/>
            </w:tcBorders>
            <w:vAlign w:val="bottom"/>
          </w:tcPr>
          <w:p w:rsidR="0002201B" w:rsidRPr="009658BB" w:rsidRDefault="0002201B" w:rsidP="0002201B">
            <w:pPr>
              <w:keepNext/>
              <w:keepLines/>
              <w:spacing w:before="40" w:after="40"/>
              <w:ind w:left="-85"/>
              <w:jc w:val="right"/>
              <w:rPr>
                <w:rFonts w:cs="Arial"/>
                <w:color w:val="000000"/>
                <w:sz w:val="19"/>
                <w:szCs w:val="19"/>
                <w:lang w:val="lt-LT"/>
              </w:rPr>
            </w:pPr>
            <w:r w:rsidRPr="009658BB">
              <w:rPr>
                <w:rFonts w:cs="Arial"/>
                <w:color w:val="000000"/>
                <w:sz w:val="19"/>
                <w:szCs w:val="19"/>
                <w:lang w:val="lt-LT"/>
              </w:rPr>
              <w:t>0,5</w:t>
            </w:r>
          </w:p>
        </w:tc>
        <w:tc>
          <w:tcPr>
            <w:tcW w:w="338" w:type="pct"/>
            <w:tcBorders>
              <w:left w:val="single" w:sz="4" w:space="0" w:color="auto"/>
              <w:right w:val="single" w:sz="4" w:space="0" w:color="auto"/>
            </w:tcBorders>
            <w:vAlign w:val="bottom"/>
          </w:tcPr>
          <w:p w:rsidR="0002201B" w:rsidRPr="009658BB" w:rsidRDefault="0002201B" w:rsidP="0002201B">
            <w:pPr>
              <w:keepNext/>
              <w:keepLines/>
              <w:spacing w:before="40" w:after="40"/>
              <w:ind w:left="-85"/>
              <w:jc w:val="right"/>
              <w:rPr>
                <w:rFonts w:cs="Arial"/>
                <w:color w:val="000000"/>
                <w:sz w:val="19"/>
                <w:szCs w:val="19"/>
                <w:lang w:val="lt-LT"/>
              </w:rPr>
            </w:pPr>
            <w:r w:rsidRPr="009658BB">
              <w:rPr>
                <w:rFonts w:cs="Arial"/>
                <w:color w:val="000000"/>
                <w:sz w:val="19"/>
                <w:szCs w:val="19"/>
                <w:lang w:val="lt-LT"/>
              </w:rPr>
              <w:t>0,4</w:t>
            </w:r>
          </w:p>
        </w:tc>
        <w:tc>
          <w:tcPr>
            <w:tcW w:w="338" w:type="pct"/>
            <w:tcBorders>
              <w:left w:val="single" w:sz="4" w:space="0" w:color="auto"/>
              <w:right w:val="single" w:sz="4" w:space="0" w:color="auto"/>
            </w:tcBorders>
            <w:vAlign w:val="bottom"/>
          </w:tcPr>
          <w:p w:rsidR="0002201B" w:rsidRPr="009658BB" w:rsidRDefault="0002201B" w:rsidP="0002201B">
            <w:pPr>
              <w:keepNext/>
              <w:keepLines/>
              <w:spacing w:before="40" w:after="40"/>
              <w:ind w:left="-85"/>
              <w:jc w:val="right"/>
              <w:rPr>
                <w:rFonts w:cs="Arial"/>
                <w:color w:val="000000"/>
                <w:sz w:val="19"/>
                <w:szCs w:val="19"/>
                <w:lang w:val="lt-LT"/>
              </w:rPr>
            </w:pPr>
            <w:r w:rsidRPr="009658BB">
              <w:rPr>
                <w:rFonts w:cs="Arial"/>
                <w:color w:val="000000"/>
                <w:sz w:val="19"/>
                <w:szCs w:val="19"/>
                <w:lang w:val="lt-LT"/>
              </w:rPr>
              <w:t>0,5</w:t>
            </w:r>
          </w:p>
        </w:tc>
        <w:tc>
          <w:tcPr>
            <w:tcW w:w="338" w:type="pct"/>
            <w:tcBorders>
              <w:left w:val="single" w:sz="4" w:space="0" w:color="auto"/>
              <w:right w:val="single" w:sz="4" w:space="0" w:color="auto"/>
            </w:tcBorders>
            <w:vAlign w:val="bottom"/>
          </w:tcPr>
          <w:p w:rsidR="0002201B" w:rsidRPr="009658BB" w:rsidRDefault="0002201B" w:rsidP="0002201B">
            <w:pPr>
              <w:keepNext/>
              <w:keepLines/>
              <w:spacing w:before="40" w:after="40"/>
              <w:ind w:left="-85"/>
              <w:jc w:val="right"/>
              <w:rPr>
                <w:rFonts w:cs="Arial"/>
                <w:color w:val="000000"/>
                <w:sz w:val="19"/>
                <w:szCs w:val="19"/>
                <w:lang w:val="lt-LT"/>
              </w:rPr>
            </w:pPr>
            <w:r w:rsidRPr="009658BB">
              <w:rPr>
                <w:rFonts w:cs="Arial"/>
                <w:color w:val="000000"/>
                <w:sz w:val="19"/>
                <w:szCs w:val="19"/>
                <w:lang w:val="lt-LT"/>
              </w:rPr>
              <w:t>0,4</w:t>
            </w:r>
          </w:p>
        </w:tc>
        <w:tc>
          <w:tcPr>
            <w:tcW w:w="338" w:type="pct"/>
            <w:tcBorders>
              <w:left w:val="single" w:sz="4" w:space="0" w:color="auto"/>
              <w:right w:val="single" w:sz="4" w:space="0" w:color="auto"/>
            </w:tcBorders>
            <w:vAlign w:val="bottom"/>
          </w:tcPr>
          <w:p w:rsidR="0002201B" w:rsidRPr="009658BB" w:rsidRDefault="0002201B" w:rsidP="0002201B">
            <w:pPr>
              <w:keepNext/>
              <w:keepLines/>
              <w:spacing w:before="40" w:after="40"/>
              <w:ind w:left="-85"/>
              <w:jc w:val="right"/>
              <w:rPr>
                <w:rFonts w:cs="Arial"/>
                <w:color w:val="000000"/>
                <w:sz w:val="19"/>
                <w:szCs w:val="19"/>
                <w:lang w:val="lt-LT"/>
              </w:rPr>
            </w:pPr>
            <w:r w:rsidRPr="009658BB">
              <w:rPr>
                <w:rFonts w:cs="Arial"/>
                <w:color w:val="000000"/>
                <w:sz w:val="19"/>
                <w:szCs w:val="19"/>
                <w:lang w:val="lt-LT"/>
              </w:rPr>
              <w:t>0,3</w:t>
            </w:r>
          </w:p>
        </w:tc>
      </w:tr>
      <w:tr w:rsidR="0002201B" w:rsidRPr="009658BB" w:rsidTr="009658BB">
        <w:tc>
          <w:tcPr>
            <w:tcW w:w="1386" w:type="pct"/>
            <w:tcBorders>
              <w:left w:val="single" w:sz="4" w:space="0" w:color="auto"/>
              <w:right w:val="single" w:sz="4" w:space="0" w:color="auto"/>
            </w:tcBorders>
            <w:vAlign w:val="bottom"/>
          </w:tcPr>
          <w:p w:rsidR="0002201B" w:rsidRPr="009658BB" w:rsidRDefault="0002201B" w:rsidP="0002201B">
            <w:pPr>
              <w:pStyle w:val="Galva"/>
              <w:ind w:left="0"/>
              <w:jc w:val="left"/>
              <w:rPr>
                <w:rFonts w:cs="Arial"/>
                <w:szCs w:val="19"/>
              </w:rPr>
            </w:pPr>
            <w:r w:rsidRPr="009658BB">
              <w:rPr>
                <w:rFonts w:cs="Arial"/>
                <w:szCs w:val="19"/>
              </w:rPr>
              <w:t>Žmonių sveikatos priežiūra ir socialinis darbas</w:t>
            </w:r>
          </w:p>
        </w:tc>
        <w:tc>
          <w:tcPr>
            <w:tcW w:w="453" w:type="pct"/>
            <w:tcBorders>
              <w:left w:val="single" w:sz="4" w:space="0" w:color="auto"/>
              <w:right w:val="single" w:sz="4" w:space="0" w:color="auto"/>
            </w:tcBorders>
            <w:vAlign w:val="bottom"/>
          </w:tcPr>
          <w:p w:rsidR="0002201B" w:rsidRPr="009658BB" w:rsidRDefault="0002201B" w:rsidP="0002201B">
            <w:pPr>
              <w:keepNext/>
              <w:keepLines/>
              <w:spacing w:before="40" w:after="40"/>
              <w:ind w:left="-85"/>
              <w:jc w:val="right"/>
              <w:rPr>
                <w:rFonts w:cs="Arial"/>
                <w:color w:val="000000"/>
                <w:sz w:val="19"/>
                <w:szCs w:val="19"/>
                <w:lang w:val="lt-LT"/>
              </w:rPr>
            </w:pPr>
            <w:r w:rsidRPr="009658BB">
              <w:rPr>
                <w:rFonts w:cs="Arial"/>
                <w:color w:val="000000"/>
                <w:sz w:val="19"/>
                <w:szCs w:val="19"/>
                <w:lang w:val="lt-LT"/>
              </w:rPr>
              <w:t>1,5</w:t>
            </w:r>
          </w:p>
        </w:tc>
        <w:tc>
          <w:tcPr>
            <w:tcW w:w="453" w:type="pct"/>
            <w:tcBorders>
              <w:left w:val="single" w:sz="4" w:space="0" w:color="auto"/>
              <w:right w:val="single" w:sz="4" w:space="0" w:color="auto"/>
            </w:tcBorders>
            <w:vAlign w:val="bottom"/>
          </w:tcPr>
          <w:p w:rsidR="0002201B" w:rsidRPr="009658BB" w:rsidRDefault="0002201B" w:rsidP="0002201B">
            <w:pPr>
              <w:spacing w:before="40" w:after="40"/>
              <w:ind w:left="-85"/>
              <w:jc w:val="right"/>
              <w:rPr>
                <w:rFonts w:cs="Arial"/>
                <w:color w:val="000000"/>
                <w:sz w:val="19"/>
                <w:szCs w:val="19"/>
                <w:lang w:val="lt-LT"/>
              </w:rPr>
            </w:pPr>
            <w:r w:rsidRPr="009658BB">
              <w:rPr>
                <w:rFonts w:cs="Arial"/>
                <w:color w:val="000000"/>
                <w:sz w:val="19"/>
                <w:szCs w:val="19"/>
                <w:lang w:val="lt-LT"/>
              </w:rPr>
              <w:t>1,3</w:t>
            </w:r>
          </w:p>
        </w:tc>
        <w:tc>
          <w:tcPr>
            <w:tcW w:w="338" w:type="pct"/>
            <w:tcBorders>
              <w:left w:val="single" w:sz="4" w:space="0" w:color="auto"/>
              <w:right w:val="single" w:sz="4" w:space="0" w:color="auto"/>
            </w:tcBorders>
            <w:vAlign w:val="bottom"/>
          </w:tcPr>
          <w:p w:rsidR="0002201B" w:rsidRPr="009658BB" w:rsidRDefault="0002201B" w:rsidP="0002201B">
            <w:pPr>
              <w:spacing w:before="40" w:after="40"/>
              <w:ind w:left="-85"/>
              <w:jc w:val="right"/>
              <w:rPr>
                <w:rFonts w:cs="Arial"/>
                <w:color w:val="000000"/>
                <w:sz w:val="19"/>
                <w:szCs w:val="19"/>
                <w:lang w:val="lt-LT"/>
              </w:rPr>
            </w:pPr>
            <w:r w:rsidRPr="009658BB">
              <w:rPr>
                <w:rFonts w:cs="Arial"/>
                <w:color w:val="000000"/>
                <w:sz w:val="19"/>
                <w:szCs w:val="19"/>
                <w:lang w:val="lt-LT"/>
              </w:rPr>
              <w:t>1,4</w:t>
            </w:r>
          </w:p>
        </w:tc>
        <w:tc>
          <w:tcPr>
            <w:tcW w:w="338" w:type="pct"/>
            <w:tcBorders>
              <w:left w:val="single" w:sz="4" w:space="0" w:color="auto"/>
              <w:right w:val="single" w:sz="4" w:space="0" w:color="auto"/>
            </w:tcBorders>
            <w:vAlign w:val="bottom"/>
          </w:tcPr>
          <w:p w:rsidR="0002201B" w:rsidRPr="009658BB" w:rsidRDefault="0002201B" w:rsidP="0002201B">
            <w:pPr>
              <w:spacing w:before="40" w:after="40"/>
              <w:ind w:left="-85"/>
              <w:jc w:val="right"/>
              <w:rPr>
                <w:rFonts w:cs="Arial"/>
                <w:color w:val="000000"/>
                <w:sz w:val="19"/>
                <w:szCs w:val="19"/>
                <w:lang w:val="lt-LT"/>
              </w:rPr>
            </w:pPr>
            <w:r w:rsidRPr="009658BB">
              <w:rPr>
                <w:rFonts w:cs="Arial"/>
                <w:color w:val="000000"/>
                <w:sz w:val="19"/>
                <w:szCs w:val="19"/>
                <w:lang w:val="lt-LT"/>
              </w:rPr>
              <w:t>1,4</w:t>
            </w:r>
          </w:p>
        </w:tc>
        <w:tc>
          <w:tcPr>
            <w:tcW w:w="338" w:type="pct"/>
            <w:tcBorders>
              <w:left w:val="single" w:sz="4" w:space="0" w:color="auto"/>
              <w:right w:val="single" w:sz="4" w:space="0" w:color="auto"/>
            </w:tcBorders>
            <w:vAlign w:val="bottom"/>
          </w:tcPr>
          <w:p w:rsidR="0002201B" w:rsidRPr="009658BB" w:rsidRDefault="0002201B" w:rsidP="0002201B">
            <w:pPr>
              <w:keepNext/>
              <w:keepLines/>
              <w:spacing w:before="40" w:after="40"/>
              <w:ind w:left="-85"/>
              <w:jc w:val="right"/>
              <w:rPr>
                <w:rFonts w:cs="Arial"/>
                <w:color w:val="000000"/>
                <w:sz w:val="19"/>
                <w:szCs w:val="19"/>
                <w:lang w:val="lt-LT"/>
              </w:rPr>
            </w:pPr>
            <w:r w:rsidRPr="009658BB">
              <w:rPr>
                <w:rFonts w:cs="Arial"/>
                <w:color w:val="000000"/>
                <w:sz w:val="19"/>
                <w:szCs w:val="19"/>
                <w:lang w:val="lt-LT"/>
              </w:rPr>
              <w:t>1,5</w:t>
            </w:r>
          </w:p>
        </w:tc>
        <w:tc>
          <w:tcPr>
            <w:tcW w:w="338" w:type="pct"/>
            <w:tcBorders>
              <w:left w:val="single" w:sz="4" w:space="0" w:color="auto"/>
              <w:right w:val="single" w:sz="4" w:space="0" w:color="auto"/>
            </w:tcBorders>
            <w:vAlign w:val="bottom"/>
          </w:tcPr>
          <w:p w:rsidR="0002201B" w:rsidRPr="009658BB" w:rsidRDefault="0002201B" w:rsidP="0002201B">
            <w:pPr>
              <w:keepNext/>
              <w:keepLines/>
              <w:spacing w:before="40" w:after="40"/>
              <w:ind w:left="-85"/>
              <w:jc w:val="right"/>
              <w:rPr>
                <w:rFonts w:cs="Arial"/>
                <w:color w:val="000000"/>
                <w:sz w:val="19"/>
                <w:szCs w:val="19"/>
                <w:lang w:val="lt-LT"/>
              </w:rPr>
            </w:pPr>
            <w:r w:rsidRPr="009658BB">
              <w:rPr>
                <w:rFonts w:cs="Arial"/>
                <w:color w:val="000000"/>
                <w:sz w:val="19"/>
                <w:szCs w:val="19"/>
                <w:lang w:val="lt-LT"/>
              </w:rPr>
              <w:t>1,4</w:t>
            </w:r>
          </w:p>
        </w:tc>
        <w:tc>
          <w:tcPr>
            <w:tcW w:w="338" w:type="pct"/>
            <w:tcBorders>
              <w:left w:val="single" w:sz="4" w:space="0" w:color="auto"/>
              <w:right w:val="single" w:sz="4" w:space="0" w:color="auto"/>
            </w:tcBorders>
            <w:vAlign w:val="bottom"/>
          </w:tcPr>
          <w:p w:rsidR="0002201B" w:rsidRPr="009658BB" w:rsidRDefault="0002201B" w:rsidP="0002201B">
            <w:pPr>
              <w:keepNext/>
              <w:keepLines/>
              <w:spacing w:before="40" w:after="40"/>
              <w:ind w:left="-85"/>
              <w:jc w:val="right"/>
              <w:rPr>
                <w:rFonts w:cs="Arial"/>
                <w:color w:val="000000"/>
                <w:sz w:val="19"/>
                <w:szCs w:val="19"/>
                <w:lang w:val="lt-LT"/>
              </w:rPr>
            </w:pPr>
            <w:r w:rsidRPr="009658BB">
              <w:rPr>
                <w:rFonts w:cs="Arial"/>
                <w:color w:val="000000"/>
                <w:sz w:val="19"/>
                <w:szCs w:val="19"/>
                <w:lang w:val="lt-LT"/>
              </w:rPr>
              <w:t>1,3</w:t>
            </w:r>
          </w:p>
        </w:tc>
        <w:tc>
          <w:tcPr>
            <w:tcW w:w="338" w:type="pct"/>
            <w:tcBorders>
              <w:left w:val="single" w:sz="4" w:space="0" w:color="auto"/>
              <w:right w:val="single" w:sz="4" w:space="0" w:color="auto"/>
            </w:tcBorders>
            <w:vAlign w:val="bottom"/>
          </w:tcPr>
          <w:p w:rsidR="0002201B" w:rsidRPr="009658BB" w:rsidRDefault="0002201B" w:rsidP="0002201B">
            <w:pPr>
              <w:keepNext/>
              <w:keepLines/>
              <w:spacing w:before="40" w:after="40"/>
              <w:ind w:left="-85"/>
              <w:jc w:val="right"/>
              <w:rPr>
                <w:rFonts w:cs="Arial"/>
                <w:color w:val="000000"/>
                <w:sz w:val="19"/>
                <w:szCs w:val="19"/>
                <w:lang w:val="lt-LT"/>
              </w:rPr>
            </w:pPr>
            <w:r w:rsidRPr="009658BB">
              <w:rPr>
                <w:rFonts w:cs="Arial"/>
                <w:color w:val="000000"/>
                <w:sz w:val="19"/>
                <w:szCs w:val="19"/>
                <w:lang w:val="lt-LT"/>
              </w:rPr>
              <w:t>1,3</w:t>
            </w:r>
          </w:p>
        </w:tc>
        <w:tc>
          <w:tcPr>
            <w:tcW w:w="338" w:type="pct"/>
            <w:tcBorders>
              <w:left w:val="single" w:sz="4" w:space="0" w:color="auto"/>
              <w:right w:val="single" w:sz="4" w:space="0" w:color="auto"/>
            </w:tcBorders>
            <w:vAlign w:val="bottom"/>
          </w:tcPr>
          <w:p w:rsidR="0002201B" w:rsidRPr="009658BB" w:rsidRDefault="0002201B" w:rsidP="0002201B">
            <w:pPr>
              <w:keepNext/>
              <w:keepLines/>
              <w:spacing w:before="40" w:after="40"/>
              <w:ind w:left="-85"/>
              <w:jc w:val="right"/>
              <w:rPr>
                <w:rFonts w:cs="Arial"/>
                <w:color w:val="000000"/>
                <w:sz w:val="19"/>
                <w:szCs w:val="19"/>
                <w:lang w:val="lt-LT"/>
              </w:rPr>
            </w:pPr>
            <w:r w:rsidRPr="009658BB">
              <w:rPr>
                <w:rFonts w:cs="Arial"/>
                <w:color w:val="000000"/>
                <w:sz w:val="19"/>
                <w:szCs w:val="19"/>
                <w:lang w:val="lt-LT"/>
              </w:rPr>
              <w:t>1,3</w:t>
            </w:r>
          </w:p>
        </w:tc>
        <w:tc>
          <w:tcPr>
            <w:tcW w:w="338" w:type="pct"/>
            <w:tcBorders>
              <w:left w:val="single" w:sz="4" w:space="0" w:color="auto"/>
              <w:right w:val="single" w:sz="4" w:space="0" w:color="auto"/>
            </w:tcBorders>
            <w:vAlign w:val="bottom"/>
          </w:tcPr>
          <w:p w:rsidR="0002201B" w:rsidRPr="009658BB" w:rsidRDefault="0002201B" w:rsidP="0002201B">
            <w:pPr>
              <w:keepNext/>
              <w:keepLines/>
              <w:spacing w:before="40" w:after="40"/>
              <w:ind w:left="-85"/>
              <w:jc w:val="right"/>
              <w:rPr>
                <w:rFonts w:cs="Arial"/>
                <w:color w:val="000000"/>
                <w:sz w:val="19"/>
                <w:szCs w:val="19"/>
                <w:lang w:val="lt-LT"/>
              </w:rPr>
            </w:pPr>
            <w:r w:rsidRPr="009658BB">
              <w:rPr>
                <w:rFonts w:cs="Arial"/>
                <w:color w:val="000000"/>
                <w:sz w:val="19"/>
                <w:szCs w:val="19"/>
                <w:lang w:val="lt-LT"/>
              </w:rPr>
              <w:t>1,3</w:t>
            </w:r>
          </w:p>
        </w:tc>
      </w:tr>
      <w:tr w:rsidR="0002201B" w:rsidRPr="009658BB" w:rsidTr="009658BB">
        <w:trPr>
          <w:trHeight w:val="247"/>
        </w:trPr>
        <w:tc>
          <w:tcPr>
            <w:tcW w:w="1386" w:type="pct"/>
            <w:tcBorders>
              <w:left w:val="single" w:sz="4" w:space="0" w:color="auto"/>
              <w:right w:val="single" w:sz="4" w:space="0" w:color="auto"/>
            </w:tcBorders>
            <w:vAlign w:val="bottom"/>
          </w:tcPr>
          <w:p w:rsidR="0002201B" w:rsidRPr="009658BB" w:rsidRDefault="0002201B" w:rsidP="0002201B">
            <w:pPr>
              <w:pStyle w:val="Galva"/>
              <w:ind w:left="0"/>
              <w:jc w:val="left"/>
              <w:rPr>
                <w:rFonts w:cs="Arial"/>
                <w:szCs w:val="19"/>
              </w:rPr>
            </w:pPr>
            <w:r w:rsidRPr="009658BB">
              <w:rPr>
                <w:rFonts w:cs="Arial"/>
                <w:szCs w:val="19"/>
              </w:rPr>
              <w:t>Meninė, pramoginė ir poilsio organizavimo veikla</w:t>
            </w:r>
          </w:p>
        </w:tc>
        <w:tc>
          <w:tcPr>
            <w:tcW w:w="453" w:type="pct"/>
            <w:tcBorders>
              <w:left w:val="single" w:sz="4" w:space="0" w:color="auto"/>
              <w:right w:val="single" w:sz="4" w:space="0" w:color="auto"/>
            </w:tcBorders>
            <w:vAlign w:val="bottom"/>
          </w:tcPr>
          <w:p w:rsidR="0002201B" w:rsidRPr="009658BB" w:rsidRDefault="0002201B" w:rsidP="0002201B">
            <w:pPr>
              <w:keepNext/>
              <w:keepLines/>
              <w:spacing w:before="40" w:after="40"/>
              <w:ind w:left="-85"/>
              <w:jc w:val="right"/>
              <w:rPr>
                <w:rFonts w:cs="Arial"/>
                <w:color w:val="000000"/>
                <w:sz w:val="19"/>
                <w:szCs w:val="19"/>
                <w:lang w:val="lt-LT"/>
              </w:rPr>
            </w:pPr>
            <w:r w:rsidRPr="009658BB">
              <w:rPr>
                <w:rFonts w:cs="Arial"/>
                <w:color w:val="000000"/>
                <w:sz w:val="19"/>
                <w:szCs w:val="19"/>
                <w:lang w:val="lt-LT"/>
              </w:rPr>
              <w:t>0,4</w:t>
            </w:r>
          </w:p>
        </w:tc>
        <w:tc>
          <w:tcPr>
            <w:tcW w:w="453" w:type="pct"/>
            <w:tcBorders>
              <w:left w:val="single" w:sz="4" w:space="0" w:color="auto"/>
              <w:right w:val="single" w:sz="4" w:space="0" w:color="auto"/>
            </w:tcBorders>
            <w:vAlign w:val="bottom"/>
          </w:tcPr>
          <w:p w:rsidR="0002201B" w:rsidRPr="009658BB" w:rsidRDefault="0002201B" w:rsidP="0002201B">
            <w:pPr>
              <w:spacing w:before="40" w:after="40"/>
              <w:ind w:left="-85"/>
              <w:jc w:val="right"/>
              <w:rPr>
                <w:rFonts w:cs="Arial"/>
                <w:color w:val="000000"/>
                <w:sz w:val="19"/>
                <w:szCs w:val="19"/>
                <w:lang w:val="lt-LT"/>
              </w:rPr>
            </w:pPr>
            <w:r w:rsidRPr="009658BB">
              <w:rPr>
                <w:rFonts w:cs="Arial"/>
                <w:color w:val="000000"/>
                <w:sz w:val="19"/>
                <w:szCs w:val="19"/>
                <w:lang w:val="lt-LT"/>
              </w:rPr>
              <w:t>1,6</w:t>
            </w:r>
          </w:p>
        </w:tc>
        <w:tc>
          <w:tcPr>
            <w:tcW w:w="338" w:type="pct"/>
            <w:tcBorders>
              <w:left w:val="single" w:sz="4" w:space="0" w:color="auto"/>
              <w:right w:val="single" w:sz="4" w:space="0" w:color="auto"/>
            </w:tcBorders>
            <w:vAlign w:val="bottom"/>
          </w:tcPr>
          <w:p w:rsidR="0002201B" w:rsidRPr="009658BB" w:rsidRDefault="0002201B" w:rsidP="0002201B">
            <w:pPr>
              <w:spacing w:before="40" w:after="40"/>
              <w:ind w:left="-85"/>
              <w:jc w:val="right"/>
              <w:rPr>
                <w:rFonts w:cs="Arial"/>
                <w:color w:val="000000"/>
                <w:sz w:val="19"/>
                <w:szCs w:val="19"/>
                <w:lang w:val="lt-LT"/>
              </w:rPr>
            </w:pPr>
            <w:r w:rsidRPr="009658BB">
              <w:rPr>
                <w:rFonts w:cs="Arial"/>
                <w:color w:val="000000"/>
                <w:sz w:val="19"/>
                <w:szCs w:val="19"/>
                <w:lang w:val="lt-LT"/>
              </w:rPr>
              <w:t>0,2</w:t>
            </w:r>
          </w:p>
        </w:tc>
        <w:tc>
          <w:tcPr>
            <w:tcW w:w="338" w:type="pct"/>
            <w:tcBorders>
              <w:left w:val="single" w:sz="4" w:space="0" w:color="auto"/>
              <w:right w:val="single" w:sz="4" w:space="0" w:color="auto"/>
            </w:tcBorders>
            <w:vAlign w:val="bottom"/>
          </w:tcPr>
          <w:p w:rsidR="0002201B" w:rsidRPr="009658BB" w:rsidRDefault="0002201B" w:rsidP="0002201B">
            <w:pPr>
              <w:spacing w:before="40" w:after="40"/>
              <w:ind w:left="-85"/>
              <w:jc w:val="right"/>
              <w:rPr>
                <w:rFonts w:cs="Arial"/>
                <w:color w:val="000000"/>
                <w:sz w:val="19"/>
                <w:szCs w:val="19"/>
                <w:lang w:val="lt-LT"/>
              </w:rPr>
            </w:pPr>
            <w:r w:rsidRPr="009658BB">
              <w:rPr>
                <w:rFonts w:cs="Arial"/>
                <w:color w:val="000000"/>
                <w:sz w:val="19"/>
                <w:szCs w:val="19"/>
                <w:lang w:val="lt-LT"/>
              </w:rPr>
              <w:t>0,3</w:t>
            </w:r>
          </w:p>
        </w:tc>
        <w:tc>
          <w:tcPr>
            <w:tcW w:w="338" w:type="pct"/>
            <w:tcBorders>
              <w:left w:val="single" w:sz="4" w:space="0" w:color="auto"/>
              <w:right w:val="single" w:sz="4" w:space="0" w:color="auto"/>
            </w:tcBorders>
            <w:vAlign w:val="bottom"/>
          </w:tcPr>
          <w:p w:rsidR="0002201B" w:rsidRPr="009658BB" w:rsidRDefault="0002201B" w:rsidP="0002201B">
            <w:pPr>
              <w:keepNext/>
              <w:keepLines/>
              <w:spacing w:before="40" w:after="40"/>
              <w:ind w:left="-85"/>
              <w:jc w:val="right"/>
              <w:rPr>
                <w:rFonts w:cs="Arial"/>
                <w:color w:val="000000"/>
                <w:sz w:val="19"/>
                <w:szCs w:val="19"/>
                <w:lang w:val="lt-LT"/>
              </w:rPr>
            </w:pPr>
            <w:r w:rsidRPr="009658BB">
              <w:rPr>
                <w:rFonts w:cs="Arial"/>
                <w:color w:val="000000"/>
                <w:sz w:val="19"/>
                <w:szCs w:val="19"/>
                <w:lang w:val="lt-LT"/>
              </w:rPr>
              <w:t>0,3</w:t>
            </w:r>
          </w:p>
        </w:tc>
        <w:tc>
          <w:tcPr>
            <w:tcW w:w="338" w:type="pct"/>
            <w:tcBorders>
              <w:left w:val="single" w:sz="4" w:space="0" w:color="auto"/>
              <w:right w:val="single" w:sz="4" w:space="0" w:color="auto"/>
            </w:tcBorders>
            <w:vAlign w:val="bottom"/>
          </w:tcPr>
          <w:p w:rsidR="0002201B" w:rsidRPr="009658BB" w:rsidRDefault="0002201B" w:rsidP="0002201B">
            <w:pPr>
              <w:keepNext/>
              <w:keepLines/>
              <w:spacing w:before="40" w:after="40"/>
              <w:ind w:left="-85"/>
              <w:jc w:val="right"/>
              <w:rPr>
                <w:rFonts w:cs="Arial"/>
                <w:color w:val="000000"/>
                <w:sz w:val="19"/>
                <w:szCs w:val="19"/>
                <w:lang w:val="lt-LT"/>
              </w:rPr>
            </w:pPr>
            <w:r w:rsidRPr="009658BB">
              <w:rPr>
                <w:rFonts w:cs="Arial"/>
                <w:color w:val="000000"/>
                <w:sz w:val="19"/>
                <w:szCs w:val="19"/>
                <w:lang w:val="lt-LT"/>
              </w:rPr>
              <w:t>0,2</w:t>
            </w:r>
          </w:p>
        </w:tc>
        <w:tc>
          <w:tcPr>
            <w:tcW w:w="338" w:type="pct"/>
            <w:tcBorders>
              <w:left w:val="single" w:sz="4" w:space="0" w:color="auto"/>
              <w:right w:val="single" w:sz="4" w:space="0" w:color="auto"/>
            </w:tcBorders>
            <w:vAlign w:val="bottom"/>
          </w:tcPr>
          <w:p w:rsidR="0002201B" w:rsidRPr="009658BB" w:rsidRDefault="0002201B" w:rsidP="0002201B">
            <w:pPr>
              <w:keepNext/>
              <w:keepLines/>
              <w:spacing w:before="40" w:after="40"/>
              <w:ind w:left="-85"/>
              <w:jc w:val="right"/>
              <w:rPr>
                <w:rFonts w:cs="Arial"/>
                <w:color w:val="000000"/>
                <w:sz w:val="19"/>
                <w:szCs w:val="19"/>
                <w:lang w:val="lt-LT"/>
              </w:rPr>
            </w:pPr>
            <w:r w:rsidRPr="009658BB">
              <w:rPr>
                <w:rFonts w:cs="Arial"/>
                <w:color w:val="000000"/>
                <w:sz w:val="19"/>
                <w:szCs w:val="19"/>
                <w:lang w:val="lt-LT"/>
              </w:rPr>
              <w:t>0,7</w:t>
            </w:r>
          </w:p>
        </w:tc>
        <w:tc>
          <w:tcPr>
            <w:tcW w:w="338" w:type="pct"/>
            <w:tcBorders>
              <w:left w:val="single" w:sz="4" w:space="0" w:color="auto"/>
              <w:right w:val="single" w:sz="4" w:space="0" w:color="auto"/>
            </w:tcBorders>
            <w:vAlign w:val="bottom"/>
          </w:tcPr>
          <w:p w:rsidR="0002201B" w:rsidRPr="009658BB" w:rsidRDefault="0002201B" w:rsidP="0002201B">
            <w:pPr>
              <w:keepNext/>
              <w:keepLines/>
              <w:spacing w:before="40" w:after="40"/>
              <w:ind w:left="-85"/>
              <w:jc w:val="right"/>
              <w:rPr>
                <w:rFonts w:cs="Arial"/>
                <w:color w:val="000000"/>
                <w:sz w:val="19"/>
                <w:szCs w:val="19"/>
                <w:lang w:val="lt-LT"/>
              </w:rPr>
            </w:pPr>
            <w:r w:rsidRPr="009658BB">
              <w:rPr>
                <w:rFonts w:cs="Arial"/>
                <w:color w:val="000000"/>
                <w:sz w:val="19"/>
                <w:szCs w:val="19"/>
                <w:lang w:val="lt-LT"/>
              </w:rPr>
              <w:t>1,0</w:t>
            </w:r>
          </w:p>
        </w:tc>
        <w:tc>
          <w:tcPr>
            <w:tcW w:w="338" w:type="pct"/>
            <w:tcBorders>
              <w:left w:val="single" w:sz="4" w:space="0" w:color="auto"/>
              <w:right w:val="single" w:sz="4" w:space="0" w:color="auto"/>
            </w:tcBorders>
            <w:vAlign w:val="bottom"/>
          </w:tcPr>
          <w:p w:rsidR="0002201B" w:rsidRPr="009658BB" w:rsidRDefault="0002201B" w:rsidP="0002201B">
            <w:pPr>
              <w:keepNext/>
              <w:keepLines/>
              <w:spacing w:before="40" w:after="40"/>
              <w:ind w:left="-85"/>
              <w:jc w:val="right"/>
              <w:rPr>
                <w:rFonts w:cs="Arial"/>
                <w:color w:val="000000"/>
                <w:sz w:val="19"/>
                <w:szCs w:val="19"/>
                <w:lang w:val="lt-LT"/>
              </w:rPr>
            </w:pPr>
            <w:r w:rsidRPr="009658BB">
              <w:rPr>
                <w:rFonts w:cs="Arial"/>
                <w:color w:val="000000"/>
                <w:sz w:val="19"/>
                <w:szCs w:val="19"/>
                <w:lang w:val="lt-LT"/>
              </w:rPr>
              <w:t>1,0</w:t>
            </w:r>
          </w:p>
        </w:tc>
        <w:tc>
          <w:tcPr>
            <w:tcW w:w="338" w:type="pct"/>
            <w:tcBorders>
              <w:left w:val="single" w:sz="4" w:space="0" w:color="auto"/>
              <w:right w:val="single" w:sz="4" w:space="0" w:color="auto"/>
            </w:tcBorders>
            <w:vAlign w:val="bottom"/>
          </w:tcPr>
          <w:p w:rsidR="0002201B" w:rsidRPr="009658BB" w:rsidRDefault="0002201B" w:rsidP="0002201B">
            <w:pPr>
              <w:keepNext/>
              <w:keepLines/>
              <w:spacing w:before="40" w:after="40"/>
              <w:ind w:left="-85"/>
              <w:jc w:val="right"/>
              <w:rPr>
                <w:rFonts w:cs="Arial"/>
                <w:color w:val="000000"/>
                <w:sz w:val="19"/>
                <w:szCs w:val="19"/>
                <w:lang w:val="lt-LT"/>
              </w:rPr>
            </w:pPr>
            <w:r w:rsidRPr="009658BB">
              <w:rPr>
                <w:rFonts w:cs="Arial"/>
                <w:color w:val="000000"/>
                <w:sz w:val="19"/>
                <w:szCs w:val="19"/>
                <w:lang w:val="lt-LT"/>
              </w:rPr>
              <w:t>0,6</w:t>
            </w:r>
          </w:p>
        </w:tc>
      </w:tr>
      <w:tr w:rsidR="0002201B" w:rsidRPr="009658BB" w:rsidTr="009658BB">
        <w:tc>
          <w:tcPr>
            <w:tcW w:w="1386" w:type="pct"/>
            <w:tcBorders>
              <w:left w:val="single" w:sz="4" w:space="0" w:color="auto"/>
              <w:bottom w:val="single" w:sz="4" w:space="0" w:color="auto"/>
              <w:right w:val="single" w:sz="4" w:space="0" w:color="auto"/>
            </w:tcBorders>
            <w:vAlign w:val="bottom"/>
          </w:tcPr>
          <w:p w:rsidR="0002201B" w:rsidRPr="009658BB" w:rsidRDefault="0002201B" w:rsidP="0002201B">
            <w:pPr>
              <w:pStyle w:val="Galva"/>
              <w:ind w:left="0"/>
              <w:jc w:val="left"/>
              <w:rPr>
                <w:rFonts w:cs="Arial"/>
                <w:szCs w:val="19"/>
              </w:rPr>
            </w:pPr>
            <w:r w:rsidRPr="009658BB">
              <w:rPr>
                <w:rFonts w:cs="Arial"/>
                <w:szCs w:val="19"/>
              </w:rPr>
              <w:t>Kita aptarnavimo veikla</w:t>
            </w:r>
          </w:p>
        </w:tc>
        <w:tc>
          <w:tcPr>
            <w:tcW w:w="453" w:type="pct"/>
            <w:tcBorders>
              <w:left w:val="single" w:sz="4" w:space="0" w:color="auto"/>
              <w:bottom w:val="single" w:sz="4" w:space="0" w:color="auto"/>
              <w:right w:val="single" w:sz="4" w:space="0" w:color="auto"/>
            </w:tcBorders>
            <w:vAlign w:val="bottom"/>
          </w:tcPr>
          <w:p w:rsidR="0002201B" w:rsidRPr="009658BB" w:rsidRDefault="0002201B" w:rsidP="0002201B">
            <w:pPr>
              <w:keepNext/>
              <w:keepLines/>
              <w:spacing w:before="40" w:after="40"/>
              <w:ind w:left="-85"/>
              <w:jc w:val="right"/>
              <w:rPr>
                <w:rFonts w:cs="Arial"/>
                <w:color w:val="000000"/>
                <w:sz w:val="19"/>
                <w:szCs w:val="19"/>
                <w:lang w:val="lt-LT"/>
              </w:rPr>
            </w:pPr>
            <w:r w:rsidRPr="009658BB">
              <w:rPr>
                <w:rFonts w:cs="Arial"/>
                <w:color w:val="000000"/>
                <w:sz w:val="19"/>
                <w:szCs w:val="19"/>
                <w:lang w:val="lt-LT"/>
              </w:rPr>
              <w:t>0,1</w:t>
            </w:r>
          </w:p>
        </w:tc>
        <w:tc>
          <w:tcPr>
            <w:tcW w:w="453" w:type="pct"/>
            <w:tcBorders>
              <w:left w:val="single" w:sz="4" w:space="0" w:color="auto"/>
              <w:bottom w:val="single" w:sz="4" w:space="0" w:color="auto"/>
              <w:right w:val="single" w:sz="4" w:space="0" w:color="auto"/>
            </w:tcBorders>
            <w:vAlign w:val="bottom"/>
          </w:tcPr>
          <w:p w:rsidR="0002201B" w:rsidRPr="009658BB" w:rsidRDefault="0002201B" w:rsidP="0002201B">
            <w:pPr>
              <w:spacing w:before="40" w:after="40"/>
              <w:ind w:left="-85"/>
              <w:jc w:val="right"/>
              <w:rPr>
                <w:rFonts w:cs="Arial"/>
                <w:color w:val="000000"/>
                <w:sz w:val="19"/>
                <w:szCs w:val="19"/>
                <w:lang w:val="lt-LT"/>
              </w:rPr>
            </w:pPr>
            <w:r w:rsidRPr="009658BB">
              <w:rPr>
                <w:rFonts w:cs="Arial"/>
                <w:color w:val="000000"/>
                <w:sz w:val="19"/>
                <w:szCs w:val="19"/>
                <w:lang w:val="lt-LT"/>
              </w:rPr>
              <w:t>0,6</w:t>
            </w:r>
          </w:p>
        </w:tc>
        <w:tc>
          <w:tcPr>
            <w:tcW w:w="338" w:type="pct"/>
            <w:tcBorders>
              <w:left w:val="single" w:sz="4" w:space="0" w:color="auto"/>
              <w:bottom w:val="single" w:sz="4" w:space="0" w:color="auto"/>
              <w:right w:val="single" w:sz="4" w:space="0" w:color="auto"/>
            </w:tcBorders>
            <w:vAlign w:val="bottom"/>
          </w:tcPr>
          <w:p w:rsidR="0002201B" w:rsidRPr="009658BB" w:rsidRDefault="0002201B" w:rsidP="0002201B">
            <w:pPr>
              <w:spacing w:before="40" w:after="40"/>
              <w:ind w:left="-85"/>
              <w:jc w:val="right"/>
              <w:rPr>
                <w:rFonts w:cs="Arial"/>
                <w:color w:val="000000"/>
                <w:sz w:val="19"/>
                <w:szCs w:val="19"/>
                <w:lang w:val="lt-LT"/>
              </w:rPr>
            </w:pPr>
            <w:r w:rsidRPr="009658BB">
              <w:rPr>
                <w:rFonts w:cs="Arial"/>
                <w:color w:val="000000"/>
                <w:sz w:val="19"/>
                <w:szCs w:val="19"/>
                <w:lang w:val="lt-LT"/>
              </w:rPr>
              <w:t>0,0</w:t>
            </w:r>
          </w:p>
        </w:tc>
        <w:tc>
          <w:tcPr>
            <w:tcW w:w="338" w:type="pct"/>
            <w:tcBorders>
              <w:left w:val="single" w:sz="4" w:space="0" w:color="auto"/>
              <w:bottom w:val="single" w:sz="4" w:space="0" w:color="auto"/>
              <w:right w:val="single" w:sz="4" w:space="0" w:color="auto"/>
            </w:tcBorders>
            <w:vAlign w:val="bottom"/>
          </w:tcPr>
          <w:p w:rsidR="0002201B" w:rsidRPr="009658BB" w:rsidRDefault="0002201B" w:rsidP="0002201B">
            <w:pPr>
              <w:spacing w:before="40" w:after="40"/>
              <w:ind w:left="-85"/>
              <w:jc w:val="right"/>
              <w:rPr>
                <w:rFonts w:cs="Arial"/>
                <w:color w:val="000000"/>
                <w:sz w:val="19"/>
                <w:szCs w:val="19"/>
                <w:lang w:val="lt-LT"/>
              </w:rPr>
            </w:pPr>
            <w:r w:rsidRPr="009658BB">
              <w:rPr>
                <w:rFonts w:cs="Arial"/>
                <w:color w:val="000000"/>
                <w:sz w:val="19"/>
                <w:szCs w:val="19"/>
                <w:lang w:val="lt-LT"/>
              </w:rPr>
              <w:t>0,0</w:t>
            </w:r>
          </w:p>
        </w:tc>
        <w:tc>
          <w:tcPr>
            <w:tcW w:w="338" w:type="pct"/>
            <w:tcBorders>
              <w:left w:val="single" w:sz="4" w:space="0" w:color="auto"/>
              <w:bottom w:val="single" w:sz="4" w:space="0" w:color="auto"/>
              <w:right w:val="single" w:sz="4" w:space="0" w:color="auto"/>
            </w:tcBorders>
            <w:vAlign w:val="bottom"/>
          </w:tcPr>
          <w:p w:rsidR="0002201B" w:rsidRPr="009658BB" w:rsidRDefault="0002201B" w:rsidP="0002201B">
            <w:pPr>
              <w:keepNext/>
              <w:keepLines/>
              <w:spacing w:before="40" w:after="40"/>
              <w:ind w:left="-85"/>
              <w:jc w:val="right"/>
              <w:rPr>
                <w:rFonts w:cs="Arial"/>
                <w:color w:val="000000"/>
                <w:sz w:val="19"/>
                <w:szCs w:val="19"/>
                <w:lang w:val="lt-LT"/>
              </w:rPr>
            </w:pPr>
            <w:r w:rsidRPr="009658BB">
              <w:rPr>
                <w:rFonts w:cs="Arial"/>
                <w:color w:val="000000"/>
                <w:sz w:val="19"/>
                <w:szCs w:val="19"/>
                <w:lang w:val="lt-LT"/>
              </w:rPr>
              <w:t>0,0</w:t>
            </w:r>
          </w:p>
        </w:tc>
        <w:tc>
          <w:tcPr>
            <w:tcW w:w="338" w:type="pct"/>
            <w:tcBorders>
              <w:left w:val="single" w:sz="4" w:space="0" w:color="auto"/>
              <w:bottom w:val="single" w:sz="4" w:space="0" w:color="auto"/>
              <w:right w:val="single" w:sz="4" w:space="0" w:color="auto"/>
            </w:tcBorders>
            <w:vAlign w:val="bottom"/>
          </w:tcPr>
          <w:p w:rsidR="0002201B" w:rsidRPr="009658BB" w:rsidRDefault="0002201B" w:rsidP="0002201B">
            <w:pPr>
              <w:keepNext/>
              <w:keepLines/>
              <w:spacing w:before="40" w:after="40"/>
              <w:ind w:left="-85"/>
              <w:jc w:val="right"/>
              <w:rPr>
                <w:rFonts w:cs="Arial"/>
                <w:color w:val="000000"/>
                <w:sz w:val="19"/>
                <w:szCs w:val="19"/>
                <w:lang w:val="lt-LT"/>
              </w:rPr>
            </w:pPr>
            <w:r w:rsidRPr="009658BB">
              <w:rPr>
                <w:rFonts w:cs="Arial"/>
                <w:color w:val="000000"/>
                <w:sz w:val="19"/>
                <w:szCs w:val="19"/>
                <w:lang w:val="lt-LT"/>
              </w:rPr>
              <w:t>0,0</w:t>
            </w:r>
          </w:p>
        </w:tc>
        <w:tc>
          <w:tcPr>
            <w:tcW w:w="338" w:type="pct"/>
            <w:tcBorders>
              <w:left w:val="single" w:sz="4" w:space="0" w:color="auto"/>
              <w:bottom w:val="single" w:sz="4" w:space="0" w:color="auto"/>
              <w:right w:val="single" w:sz="4" w:space="0" w:color="auto"/>
            </w:tcBorders>
            <w:vAlign w:val="bottom"/>
          </w:tcPr>
          <w:p w:rsidR="0002201B" w:rsidRPr="009658BB" w:rsidRDefault="0002201B" w:rsidP="0002201B">
            <w:pPr>
              <w:keepNext/>
              <w:keepLines/>
              <w:spacing w:before="40" w:after="40"/>
              <w:ind w:left="-85"/>
              <w:jc w:val="right"/>
              <w:rPr>
                <w:rFonts w:cs="Arial"/>
                <w:color w:val="000000"/>
                <w:sz w:val="19"/>
                <w:szCs w:val="19"/>
                <w:lang w:val="lt-LT"/>
              </w:rPr>
            </w:pPr>
            <w:r w:rsidRPr="009658BB">
              <w:rPr>
                <w:rFonts w:cs="Arial"/>
                <w:color w:val="000000"/>
                <w:sz w:val="19"/>
                <w:szCs w:val="19"/>
                <w:lang w:val="lt-LT"/>
              </w:rPr>
              <w:t>0,3</w:t>
            </w:r>
          </w:p>
        </w:tc>
        <w:tc>
          <w:tcPr>
            <w:tcW w:w="338" w:type="pct"/>
            <w:tcBorders>
              <w:left w:val="single" w:sz="4" w:space="0" w:color="auto"/>
              <w:bottom w:val="single" w:sz="4" w:space="0" w:color="auto"/>
              <w:right w:val="single" w:sz="4" w:space="0" w:color="auto"/>
            </w:tcBorders>
            <w:vAlign w:val="bottom"/>
          </w:tcPr>
          <w:p w:rsidR="0002201B" w:rsidRPr="009658BB" w:rsidRDefault="0002201B" w:rsidP="0002201B">
            <w:pPr>
              <w:keepNext/>
              <w:keepLines/>
              <w:spacing w:before="40" w:after="40"/>
              <w:ind w:left="-85"/>
              <w:jc w:val="right"/>
              <w:rPr>
                <w:rFonts w:cs="Arial"/>
                <w:color w:val="000000"/>
                <w:sz w:val="19"/>
                <w:szCs w:val="19"/>
                <w:lang w:val="lt-LT"/>
              </w:rPr>
            </w:pPr>
            <w:r w:rsidRPr="009658BB">
              <w:rPr>
                <w:rFonts w:cs="Arial"/>
                <w:color w:val="000000"/>
                <w:sz w:val="19"/>
                <w:szCs w:val="19"/>
                <w:lang w:val="lt-LT"/>
              </w:rPr>
              <w:t>0,4</w:t>
            </w:r>
          </w:p>
        </w:tc>
        <w:tc>
          <w:tcPr>
            <w:tcW w:w="338" w:type="pct"/>
            <w:tcBorders>
              <w:left w:val="single" w:sz="4" w:space="0" w:color="auto"/>
              <w:bottom w:val="single" w:sz="4" w:space="0" w:color="auto"/>
              <w:right w:val="single" w:sz="4" w:space="0" w:color="auto"/>
            </w:tcBorders>
            <w:vAlign w:val="bottom"/>
          </w:tcPr>
          <w:p w:rsidR="0002201B" w:rsidRPr="009658BB" w:rsidRDefault="0002201B" w:rsidP="0002201B">
            <w:pPr>
              <w:keepNext/>
              <w:keepLines/>
              <w:spacing w:before="40" w:after="40"/>
              <w:ind w:left="-85"/>
              <w:jc w:val="right"/>
              <w:rPr>
                <w:rFonts w:cs="Arial"/>
                <w:color w:val="000000"/>
                <w:sz w:val="19"/>
                <w:szCs w:val="19"/>
                <w:lang w:val="lt-LT"/>
              </w:rPr>
            </w:pPr>
            <w:r w:rsidRPr="009658BB">
              <w:rPr>
                <w:rFonts w:cs="Arial"/>
                <w:color w:val="000000"/>
                <w:sz w:val="19"/>
                <w:szCs w:val="19"/>
                <w:lang w:val="lt-LT"/>
              </w:rPr>
              <w:t>0,4</w:t>
            </w:r>
          </w:p>
        </w:tc>
        <w:tc>
          <w:tcPr>
            <w:tcW w:w="338" w:type="pct"/>
            <w:tcBorders>
              <w:left w:val="single" w:sz="4" w:space="0" w:color="auto"/>
              <w:bottom w:val="single" w:sz="4" w:space="0" w:color="auto"/>
              <w:right w:val="single" w:sz="4" w:space="0" w:color="auto"/>
            </w:tcBorders>
            <w:vAlign w:val="bottom"/>
          </w:tcPr>
          <w:p w:rsidR="0002201B" w:rsidRPr="009658BB" w:rsidRDefault="0002201B" w:rsidP="0002201B">
            <w:pPr>
              <w:keepNext/>
              <w:keepLines/>
              <w:spacing w:before="40" w:after="40"/>
              <w:ind w:left="-85"/>
              <w:jc w:val="right"/>
              <w:rPr>
                <w:rFonts w:cs="Arial"/>
                <w:color w:val="000000"/>
                <w:sz w:val="19"/>
                <w:szCs w:val="19"/>
                <w:lang w:val="lt-LT"/>
              </w:rPr>
            </w:pPr>
            <w:r w:rsidRPr="009658BB">
              <w:rPr>
                <w:rFonts w:cs="Arial"/>
                <w:color w:val="000000"/>
                <w:sz w:val="19"/>
                <w:szCs w:val="19"/>
                <w:lang w:val="lt-LT"/>
              </w:rPr>
              <w:t>0,3</w:t>
            </w:r>
          </w:p>
        </w:tc>
      </w:tr>
    </w:tbl>
    <w:p w:rsidR="00336BFE" w:rsidRPr="009658BB" w:rsidRDefault="00336BFE" w:rsidP="00336BFE">
      <w:pPr>
        <w:pStyle w:val="Lentelespav"/>
        <w:jc w:val="both"/>
        <w:rPr>
          <w:b w:val="0"/>
          <w:sz w:val="18"/>
          <w:szCs w:val="18"/>
          <w:lang w:val="lt-LT"/>
        </w:rPr>
      </w:pPr>
    </w:p>
    <w:p w:rsidR="00336BFE" w:rsidRPr="009658BB" w:rsidRDefault="00336BFE" w:rsidP="00336BFE">
      <w:pPr>
        <w:pStyle w:val="Pasiteirauti"/>
        <w:rPr>
          <w:sz w:val="18"/>
          <w:szCs w:val="18"/>
        </w:rPr>
      </w:pPr>
      <w:r w:rsidRPr="009658BB">
        <w:rPr>
          <w:b/>
          <w:sz w:val="18"/>
          <w:szCs w:val="18"/>
        </w:rPr>
        <w:t>Pastaba.</w:t>
      </w:r>
      <w:r w:rsidRPr="009658BB">
        <w:rPr>
          <w:sz w:val="18"/>
          <w:szCs w:val="18"/>
        </w:rPr>
        <w:t xml:space="preserve"> Dėl apvalinimo eilučių suma gali nesutapti su duomenimis „Iš</w:t>
      </w:r>
      <w:r w:rsidR="008B108F" w:rsidRPr="009658BB">
        <w:rPr>
          <w:sz w:val="18"/>
          <w:szCs w:val="18"/>
        </w:rPr>
        <w:t> </w:t>
      </w:r>
      <w:r w:rsidRPr="009658BB">
        <w:rPr>
          <w:sz w:val="18"/>
          <w:szCs w:val="18"/>
        </w:rPr>
        <w:t>viso“.</w:t>
      </w:r>
    </w:p>
    <w:p w:rsidR="00336BFE" w:rsidRPr="009658BB" w:rsidRDefault="00336BFE" w:rsidP="00336BFE">
      <w:pPr>
        <w:rPr>
          <w:sz w:val="18"/>
          <w:szCs w:val="18"/>
          <w:lang w:val="lt-LT"/>
        </w:rPr>
      </w:pPr>
      <w:r w:rsidRPr="009658BB">
        <w:rPr>
          <w:sz w:val="18"/>
          <w:szCs w:val="18"/>
          <w:lang w:val="lt-LT"/>
        </w:rPr>
        <w:t>________________</w:t>
      </w:r>
    </w:p>
    <w:p w:rsidR="00336BFE" w:rsidRPr="009658BB" w:rsidRDefault="00336BFE" w:rsidP="00336BFE">
      <w:pPr>
        <w:pStyle w:val="Lentelespav"/>
        <w:spacing w:before="60"/>
        <w:jc w:val="both"/>
        <w:rPr>
          <w:b w:val="0"/>
          <w:sz w:val="18"/>
          <w:szCs w:val="18"/>
          <w:lang w:val="lt-LT"/>
        </w:rPr>
      </w:pPr>
      <w:r w:rsidRPr="009658BB">
        <w:rPr>
          <w:b w:val="0"/>
          <w:sz w:val="18"/>
          <w:szCs w:val="18"/>
          <w:lang w:val="lt-LT"/>
        </w:rPr>
        <w:t>*</w:t>
      </w:r>
      <w:r w:rsidR="005700EC" w:rsidRPr="009658BB">
        <w:rPr>
          <w:b w:val="0"/>
          <w:sz w:val="18"/>
          <w:szCs w:val="18"/>
          <w:lang w:val="lt-LT"/>
        </w:rPr>
        <w:t> </w:t>
      </w:r>
      <w:r w:rsidRPr="009658BB">
        <w:rPr>
          <w:b w:val="0"/>
          <w:spacing w:val="-2"/>
          <w:sz w:val="18"/>
          <w:szCs w:val="18"/>
          <w:lang w:val="lt-LT"/>
        </w:rPr>
        <w:t>Pramonė apima kasybą ir karjerų eksploatavimą, apdirbamąją gamybą, elektros, dujų, garo tiekimą ir oro kondicionavimą,</w:t>
      </w:r>
      <w:r w:rsidRPr="009658BB">
        <w:rPr>
          <w:b w:val="0"/>
          <w:sz w:val="18"/>
          <w:szCs w:val="18"/>
          <w:lang w:val="lt-LT"/>
        </w:rPr>
        <w:t xml:space="preserve"> vandens tiekimą, nuotekų valymą, atliekų tvarkymą ir regeneravimą.</w:t>
      </w:r>
    </w:p>
    <w:p w:rsidR="002700D7" w:rsidRPr="009658BB" w:rsidRDefault="002700D7" w:rsidP="003E3C6A">
      <w:pPr>
        <w:pStyle w:val="Pagrtekstas"/>
        <w:numPr>
          <w:ilvl w:val="0"/>
          <w:numId w:val="5"/>
        </w:numPr>
        <w:spacing w:before="120"/>
        <w:ind w:left="284" w:hanging="284"/>
        <w:rPr>
          <w:lang w:val="lt-LT"/>
        </w:rPr>
      </w:pPr>
      <w:r w:rsidRPr="009658BB">
        <w:rPr>
          <w:b/>
          <w:lang w:val="lt-LT"/>
        </w:rPr>
        <w:t>2020 m. šalyje buvo 1</w:t>
      </w:r>
      <w:r w:rsidR="00B6694B" w:rsidRPr="009658BB">
        <w:rPr>
          <w:b/>
          <w:lang w:val="lt-LT"/>
        </w:rPr>
        <w:t>6</w:t>
      </w:r>
      <w:r w:rsidRPr="009658BB">
        <w:rPr>
          <w:b/>
          <w:lang w:val="lt-LT"/>
        </w:rPr>
        <w:t>,</w:t>
      </w:r>
      <w:r w:rsidR="00B6694B" w:rsidRPr="009658BB">
        <w:rPr>
          <w:b/>
          <w:lang w:val="lt-LT"/>
        </w:rPr>
        <w:t>6</w:t>
      </w:r>
      <w:r w:rsidR="009658BB" w:rsidRPr="009658BB">
        <w:rPr>
          <w:b/>
          <w:lang w:val="lt-LT"/>
        </w:rPr>
        <w:t> tūkst.</w:t>
      </w:r>
      <w:r w:rsidRPr="009658BB">
        <w:rPr>
          <w:b/>
          <w:lang w:val="lt-LT"/>
        </w:rPr>
        <w:t xml:space="preserve"> laisvų darbo vietų samdomiesiems darbuotojams</w:t>
      </w:r>
      <w:r w:rsidRPr="009658BB">
        <w:rPr>
          <w:lang w:val="lt-LT"/>
        </w:rPr>
        <w:t xml:space="preserve">, palyginti su 2019 m., jų skaičius sumažėjo </w:t>
      </w:r>
      <w:r w:rsidR="00B6694B" w:rsidRPr="009658BB">
        <w:rPr>
          <w:lang w:val="lt-LT"/>
        </w:rPr>
        <w:t>1</w:t>
      </w:r>
      <w:r w:rsidRPr="009658BB">
        <w:rPr>
          <w:lang w:val="lt-LT"/>
        </w:rPr>
        <w:t>,</w:t>
      </w:r>
      <w:r w:rsidR="00B6694B" w:rsidRPr="009658BB">
        <w:rPr>
          <w:lang w:val="lt-LT"/>
        </w:rPr>
        <w:t>7</w:t>
      </w:r>
      <w:r w:rsidR="009658BB" w:rsidRPr="009658BB">
        <w:rPr>
          <w:lang w:val="lt-LT"/>
        </w:rPr>
        <w:t> tūkst.</w:t>
      </w:r>
      <w:r w:rsidRPr="009658BB">
        <w:rPr>
          <w:lang w:val="lt-LT"/>
        </w:rPr>
        <w:t xml:space="preserve"> (</w:t>
      </w:r>
      <w:r w:rsidR="003E3C6A" w:rsidRPr="009658BB">
        <w:rPr>
          <w:lang w:val="lt-LT"/>
        </w:rPr>
        <w:t>9</w:t>
      </w:r>
      <w:r w:rsidRPr="009658BB">
        <w:rPr>
          <w:lang w:val="lt-LT"/>
        </w:rPr>
        <w:t>,</w:t>
      </w:r>
      <w:r w:rsidR="003E3C6A" w:rsidRPr="009658BB">
        <w:rPr>
          <w:lang w:val="lt-LT"/>
        </w:rPr>
        <w:t>5</w:t>
      </w:r>
      <w:r w:rsidR="009658BB" w:rsidRPr="009658BB">
        <w:rPr>
          <w:lang w:val="lt-LT"/>
        </w:rPr>
        <w:t> proc.</w:t>
      </w:r>
      <w:r w:rsidRPr="009658BB">
        <w:rPr>
          <w:lang w:val="lt-LT"/>
        </w:rPr>
        <w:t xml:space="preserve">). Per metus laisvų darbo vietų sumažėjo </w:t>
      </w:r>
      <w:r w:rsidR="003E3C6A" w:rsidRPr="009658BB">
        <w:rPr>
          <w:lang w:val="lt-LT"/>
        </w:rPr>
        <w:t>pramonės</w:t>
      </w:r>
      <w:r w:rsidR="009658BB">
        <w:rPr>
          <w:lang w:val="lt-LT"/>
        </w:rPr>
        <w:t xml:space="preserve"> </w:t>
      </w:r>
      <w:r w:rsidRPr="009658BB">
        <w:rPr>
          <w:lang w:val="lt-LT"/>
        </w:rPr>
        <w:t xml:space="preserve">– </w:t>
      </w:r>
      <w:r w:rsidR="003E3C6A" w:rsidRPr="009658BB">
        <w:rPr>
          <w:lang w:val="lt-LT"/>
        </w:rPr>
        <w:t>1</w:t>
      </w:r>
      <w:r w:rsidRPr="009658BB">
        <w:rPr>
          <w:lang w:val="lt-LT"/>
        </w:rPr>
        <w:t>,</w:t>
      </w:r>
      <w:r w:rsidR="003E3C6A" w:rsidRPr="009658BB">
        <w:rPr>
          <w:lang w:val="lt-LT"/>
        </w:rPr>
        <w:t>5</w:t>
      </w:r>
      <w:r w:rsidR="009658BB" w:rsidRPr="009658BB">
        <w:rPr>
          <w:lang w:val="lt-LT"/>
        </w:rPr>
        <w:t> tūkst.</w:t>
      </w:r>
      <w:r w:rsidRPr="009658BB">
        <w:rPr>
          <w:lang w:val="lt-LT"/>
        </w:rPr>
        <w:t xml:space="preserve">, </w:t>
      </w:r>
      <w:r w:rsidR="003E3C6A" w:rsidRPr="009658BB">
        <w:rPr>
          <w:lang w:val="lt-LT"/>
        </w:rPr>
        <w:t>prekybos – 0,8</w:t>
      </w:r>
      <w:r w:rsidR="009658BB" w:rsidRPr="009658BB">
        <w:rPr>
          <w:lang w:val="lt-LT"/>
        </w:rPr>
        <w:t> tūkst.</w:t>
      </w:r>
      <w:r w:rsidR="003E3C6A" w:rsidRPr="009658BB">
        <w:rPr>
          <w:lang w:val="lt-LT"/>
        </w:rPr>
        <w:t>, apgyvendinimo ir maitinimo paslaugų veiklos</w:t>
      </w:r>
      <w:r w:rsidRPr="009658BB">
        <w:rPr>
          <w:lang w:val="lt-LT"/>
        </w:rPr>
        <w:t xml:space="preserve"> įmonėse</w:t>
      </w:r>
      <w:r w:rsidR="009658BB">
        <w:rPr>
          <w:lang w:val="lt-LT"/>
        </w:rPr>
        <w:t xml:space="preserve"> </w:t>
      </w:r>
      <w:r w:rsidRPr="009658BB">
        <w:rPr>
          <w:lang w:val="lt-LT"/>
        </w:rPr>
        <w:t>– 0,</w:t>
      </w:r>
      <w:r w:rsidR="003E3C6A" w:rsidRPr="009658BB">
        <w:rPr>
          <w:lang w:val="lt-LT"/>
        </w:rPr>
        <w:t>3</w:t>
      </w:r>
      <w:r w:rsidR="009658BB" w:rsidRPr="009658BB">
        <w:rPr>
          <w:lang w:val="lt-LT"/>
        </w:rPr>
        <w:t> tūkst.</w:t>
      </w:r>
      <w:r w:rsidRPr="009658BB">
        <w:rPr>
          <w:lang w:val="lt-LT"/>
        </w:rPr>
        <w:t xml:space="preserve">, o padaugėjo </w:t>
      </w:r>
      <w:r w:rsidR="003E3C6A" w:rsidRPr="009658BB">
        <w:rPr>
          <w:lang w:val="lt-LT"/>
        </w:rPr>
        <w:t>transporto ir saugojimo</w:t>
      </w:r>
      <w:r w:rsidRPr="009658BB">
        <w:rPr>
          <w:lang w:val="lt-LT"/>
        </w:rPr>
        <w:t xml:space="preserve"> įmonėse</w:t>
      </w:r>
      <w:r w:rsidR="009658BB">
        <w:rPr>
          <w:lang w:val="lt-LT"/>
        </w:rPr>
        <w:t xml:space="preserve"> </w:t>
      </w:r>
      <w:r w:rsidRPr="009658BB">
        <w:rPr>
          <w:lang w:val="lt-LT"/>
        </w:rPr>
        <w:t xml:space="preserve">– </w:t>
      </w:r>
      <w:r w:rsidR="003E3C6A" w:rsidRPr="009658BB">
        <w:rPr>
          <w:lang w:val="lt-LT"/>
        </w:rPr>
        <w:t>1</w:t>
      </w:r>
      <w:r w:rsidRPr="009658BB">
        <w:rPr>
          <w:lang w:val="lt-LT"/>
        </w:rPr>
        <w:t>,</w:t>
      </w:r>
      <w:r w:rsidR="003E3C6A" w:rsidRPr="009658BB">
        <w:rPr>
          <w:lang w:val="lt-LT"/>
        </w:rPr>
        <w:t>3</w:t>
      </w:r>
      <w:r w:rsidR="009658BB" w:rsidRPr="009658BB">
        <w:rPr>
          <w:lang w:val="lt-LT"/>
        </w:rPr>
        <w:t> tūkst.</w:t>
      </w:r>
    </w:p>
    <w:p w:rsidR="002700D7" w:rsidRPr="009658BB" w:rsidRDefault="002700D7" w:rsidP="002700D7">
      <w:pPr>
        <w:pStyle w:val="Pagrtekstas"/>
        <w:numPr>
          <w:ilvl w:val="0"/>
          <w:numId w:val="5"/>
        </w:numPr>
        <w:spacing w:before="120"/>
        <w:ind w:left="284" w:hanging="284"/>
        <w:rPr>
          <w:lang w:val="lt-LT"/>
        </w:rPr>
      </w:pPr>
      <w:r w:rsidRPr="009658BB">
        <w:rPr>
          <w:lang w:val="lt-LT"/>
        </w:rPr>
        <w:t>2020 m. laisvų darbo vietų lygis šalyje sudarė 1,</w:t>
      </w:r>
      <w:r w:rsidR="00B6694B" w:rsidRPr="009658BB">
        <w:rPr>
          <w:lang w:val="lt-LT"/>
        </w:rPr>
        <w:t>3</w:t>
      </w:r>
      <w:r w:rsidR="009658BB" w:rsidRPr="009658BB">
        <w:rPr>
          <w:lang w:val="lt-LT"/>
        </w:rPr>
        <w:t> proc.</w:t>
      </w:r>
      <w:r w:rsidR="009658BB">
        <w:rPr>
          <w:lang w:val="lt-LT"/>
        </w:rPr>
        <w:t xml:space="preserve"> </w:t>
      </w:r>
      <w:r w:rsidRPr="009658BB">
        <w:rPr>
          <w:lang w:val="lt-LT"/>
        </w:rPr>
        <w:t xml:space="preserve">– </w:t>
      </w:r>
      <w:r w:rsidR="00B6694B" w:rsidRPr="009658BB">
        <w:rPr>
          <w:lang w:val="lt-LT"/>
        </w:rPr>
        <w:t>tai 0,1</w:t>
      </w:r>
      <w:r w:rsidR="00AA7AD1" w:rsidRPr="009658BB">
        <w:rPr>
          <w:lang w:val="lt-LT"/>
        </w:rPr>
        <w:t> </w:t>
      </w:r>
      <w:r w:rsidR="00B6694B" w:rsidRPr="009658BB">
        <w:rPr>
          <w:lang w:val="lt-LT"/>
        </w:rPr>
        <w:t>procentinio punkto mažiau nei 2019</w:t>
      </w:r>
      <w:r w:rsidR="00AA7AD1" w:rsidRPr="009658BB">
        <w:rPr>
          <w:lang w:val="lt-LT"/>
        </w:rPr>
        <w:t> </w:t>
      </w:r>
      <w:r w:rsidR="00B6694B" w:rsidRPr="009658BB">
        <w:rPr>
          <w:lang w:val="lt-LT"/>
        </w:rPr>
        <w:t>m.</w:t>
      </w:r>
      <w:r w:rsidRPr="009658BB">
        <w:rPr>
          <w:lang w:val="lt-LT"/>
        </w:rPr>
        <w:t xml:space="preserve"> Aukščiausias laisvų darbo vietų lygis buvo </w:t>
      </w:r>
      <w:r w:rsidR="00AA7AD1" w:rsidRPr="009658BB">
        <w:rPr>
          <w:lang w:val="lt-LT"/>
        </w:rPr>
        <w:t>viešojo valdymo ir gynybos; privalomojo socialinio draudimo</w:t>
      </w:r>
      <w:r w:rsidR="009658BB">
        <w:rPr>
          <w:lang w:val="lt-LT"/>
        </w:rPr>
        <w:t xml:space="preserve"> </w:t>
      </w:r>
      <w:r w:rsidRPr="009658BB">
        <w:rPr>
          <w:lang w:val="lt-LT"/>
        </w:rPr>
        <w:t>– 3,</w:t>
      </w:r>
      <w:r w:rsidR="00AA7AD1" w:rsidRPr="009658BB">
        <w:rPr>
          <w:lang w:val="lt-LT"/>
        </w:rPr>
        <w:t>2</w:t>
      </w:r>
      <w:r w:rsidR="009658BB" w:rsidRPr="009658BB">
        <w:rPr>
          <w:lang w:val="lt-LT"/>
        </w:rPr>
        <w:t> proc.</w:t>
      </w:r>
      <w:r w:rsidRPr="009658BB">
        <w:rPr>
          <w:lang w:val="lt-LT"/>
        </w:rPr>
        <w:t>,</w:t>
      </w:r>
      <w:r w:rsidR="00AA7AD1" w:rsidRPr="009658BB">
        <w:rPr>
          <w:lang w:val="lt-LT"/>
        </w:rPr>
        <w:t xml:space="preserve"> transporto ir saugojimo</w:t>
      </w:r>
      <w:r w:rsidRPr="009658BB">
        <w:rPr>
          <w:lang w:val="lt-LT"/>
        </w:rPr>
        <w:t xml:space="preserve"> </w:t>
      </w:r>
      <w:r w:rsidR="00AA7AD1" w:rsidRPr="009658BB">
        <w:rPr>
          <w:lang w:val="lt-LT"/>
        </w:rPr>
        <w:t>– 2,2</w:t>
      </w:r>
      <w:r w:rsidR="009658BB" w:rsidRPr="009658BB">
        <w:rPr>
          <w:lang w:val="lt-LT"/>
        </w:rPr>
        <w:t> proc.</w:t>
      </w:r>
      <w:r w:rsidR="00AA7AD1" w:rsidRPr="009658BB">
        <w:rPr>
          <w:lang w:val="lt-LT"/>
        </w:rPr>
        <w:t xml:space="preserve">, </w:t>
      </w:r>
      <w:r w:rsidRPr="009658BB">
        <w:rPr>
          <w:lang w:val="lt-LT"/>
        </w:rPr>
        <w:t>finansinės ir draudimo</w:t>
      </w:r>
      <w:r w:rsidR="00AA7AD1" w:rsidRPr="009658BB">
        <w:rPr>
          <w:lang w:val="lt-LT"/>
        </w:rPr>
        <w:t>, informacijos ir ryšių</w:t>
      </w:r>
      <w:r w:rsidRPr="009658BB">
        <w:rPr>
          <w:lang w:val="lt-LT"/>
        </w:rPr>
        <w:t xml:space="preserve"> veiklos įmonėse – </w:t>
      </w:r>
      <w:r w:rsidR="00AA7AD1" w:rsidRPr="009658BB">
        <w:rPr>
          <w:lang w:val="lt-LT"/>
        </w:rPr>
        <w:t xml:space="preserve">po </w:t>
      </w:r>
      <w:r w:rsidRPr="009658BB">
        <w:rPr>
          <w:lang w:val="lt-LT"/>
        </w:rPr>
        <w:t>2,</w:t>
      </w:r>
      <w:r w:rsidR="00AA7AD1" w:rsidRPr="009658BB">
        <w:rPr>
          <w:lang w:val="lt-LT"/>
        </w:rPr>
        <w:t>1</w:t>
      </w:r>
      <w:r w:rsidR="009658BB" w:rsidRPr="009658BB">
        <w:rPr>
          <w:lang w:val="lt-LT"/>
        </w:rPr>
        <w:t> proc.</w:t>
      </w:r>
      <w:r w:rsidRPr="009658BB">
        <w:rPr>
          <w:lang w:val="lt-LT"/>
        </w:rPr>
        <w:t xml:space="preserve"> Žemiausias laisvų darbo vietų lygis buvo </w:t>
      </w:r>
      <w:r w:rsidR="00AA7AD1" w:rsidRPr="009658BB">
        <w:rPr>
          <w:lang w:val="lt-LT"/>
        </w:rPr>
        <w:t>nekilnojamo turto operacijų</w:t>
      </w:r>
      <w:r w:rsidR="001E33D1" w:rsidRPr="009658BB">
        <w:rPr>
          <w:lang w:val="lt-LT"/>
        </w:rPr>
        <w:t xml:space="preserve"> (0,2</w:t>
      </w:r>
      <w:r w:rsidR="009658BB" w:rsidRPr="009658BB">
        <w:rPr>
          <w:lang w:val="lt-LT"/>
        </w:rPr>
        <w:t> proc.</w:t>
      </w:r>
      <w:r w:rsidR="001E33D1" w:rsidRPr="009658BB">
        <w:rPr>
          <w:lang w:val="lt-LT"/>
        </w:rPr>
        <w:t xml:space="preserve">), </w:t>
      </w:r>
      <w:r w:rsidR="00AA7AD1" w:rsidRPr="009658BB">
        <w:rPr>
          <w:lang w:val="lt-LT"/>
        </w:rPr>
        <w:t>apgyvendinimo ir maitinimo paslaugų bei kitos aptarnavimo veiklos įmonėse (</w:t>
      </w:r>
      <w:r w:rsidR="001E33D1" w:rsidRPr="009658BB">
        <w:rPr>
          <w:lang w:val="lt-LT"/>
        </w:rPr>
        <w:t>po</w:t>
      </w:r>
      <w:r w:rsidR="00AA7AD1" w:rsidRPr="009658BB">
        <w:rPr>
          <w:lang w:val="lt-LT"/>
        </w:rPr>
        <w:t> 0,3</w:t>
      </w:r>
      <w:r w:rsidR="009658BB" w:rsidRPr="009658BB">
        <w:rPr>
          <w:lang w:val="lt-LT"/>
        </w:rPr>
        <w:t> proc.</w:t>
      </w:r>
      <w:r w:rsidR="00AA7AD1" w:rsidRPr="009658BB">
        <w:rPr>
          <w:lang w:val="lt-LT"/>
        </w:rPr>
        <w:t>).</w:t>
      </w:r>
    </w:p>
    <w:p w:rsidR="002700D7" w:rsidRPr="009658BB" w:rsidRDefault="002700D7" w:rsidP="002700D7">
      <w:pPr>
        <w:pStyle w:val="Lentelespav"/>
        <w:jc w:val="both"/>
        <w:rPr>
          <w:b w:val="0"/>
          <w:sz w:val="18"/>
          <w:szCs w:val="18"/>
          <w:lang w:val="lt-LT"/>
        </w:rPr>
      </w:pPr>
    </w:p>
    <w:p w:rsidR="002700D7" w:rsidRPr="009658BB" w:rsidRDefault="002700D7" w:rsidP="002700D7">
      <w:pPr>
        <w:rPr>
          <w:b/>
          <w:lang w:val="lt-LT"/>
        </w:rPr>
      </w:pPr>
      <w:r w:rsidRPr="009658BB">
        <w:rPr>
          <w:b/>
          <w:lang w:val="lt-LT"/>
        </w:rPr>
        <w:t xml:space="preserve">3 pav. </w:t>
      </w:r>
      <w:hyperlink r:id="rId17" w:anchor="/" w:history="1">
        <w:r w:rsidRPr="009658BB">
          <w:rPr>
            <w:b/>
            <w:lang w:val="lt-LT"/>
          </w:rPr>
          <w:t>Laisvų darbo vietų skaičiaus ir laisvų darbo vietų lygio dinamika</w:t>
        </w:r>
      </w:hyperlink>
    </w:p>
    <w:p w:rsidR="002700D7" w:rsidRPr="009658BB" w:rsidRDefault="002700D7" w:rsidP="002700D7">
      <w:pPr>
        <w:pStyle w:val="Pagrtekstas"/>
        <w:spacing w:line="260" w:lineRule="atLeast"/>
        <w:ind w:firstLine="0"/>
        <w:rPr>
          <w:lang w:val="lt-LT"/>
        </w:rPr>
      </w:pPr>
      <w:r w:rsidRPr="009658BB">
        <w:rPr>
          <w:b/>
          <w:i/>
          <w:noProof/>
          <w:color w:val="000000"/>
          <w:sz w:val="16"/>
          <w:lang w:val="lt-LT" w:eastAsia="lt-LT"/>
        </w:rPr>
        <w:drawing>
          <wp:inline distT="0" distB="0" distL="0" distR="0" wp14:anchorId="1D1263FA" wp14:editId="65922FE8">
            <wp:extent cx="6217920" cy="2242268"/>
            <wp:effectExtent l="0" t="0" r="0" b="0"/>
            <wp:docPr id="6" name="Objec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145C1C" w:rsidRPr="009658BB" w:rsidRDefault="00145C1C" w:rsidP="002700D7">
      <w:pPr>
        <w:pStyle w:val="Lentelespav"/>
        <w:jc w:val="both"/>
        <w:rPr>
          <w:b w:val="0"/>
          <w:sz w:val="18"/>
          <w:szCs w:val="18"/>
          <w:lang w:val="lt-LT"/>
        </w:rPr>
      </w:pPr>
    </w:p>
    <w:p w:rsidR="002700D7" w:rsidRPr="009658BB" w:rsidRDefault="002700D7" w:rsidP="009658BB">
      <w:pPr>
        <w:pStyle w:val="lentpav"/>
        <w:keepNext/>
        <w:keepLines/>
      </w:pPr>
      <w:r w:rsidRPr="009658BB">
        <w:t>2 lentelė. Laisvų darbo vietų skaičius ir laisvų darbo vietų lygis pagal ekonominės veiklos rūšis</w:t>
      </w:r>
    </w:p>
    <w:p w:rsidR="002700D7" w:rsidRPr="009658BB" w:rsidRDefault="002700D7" w:rsidP="009658BB">
      <w:pPr>
        <w:pStyle w:val="Lentelespav"/>
        <w:keepNext/>
        <w:keepLines/>
        <w:jc w:val="both"/>
        <w:rPr>
          <w:b w:val="0"/>
          <w:sz w:val="18"/>
          <w:szCs w:val="18"/>
          <w:lang w:val="lt-LT"/>
        </w:rPr>
      </w:pPr>
    </w:p>
    <w:tbl>
      <w:tblPr>
        <w:tblW w:w="5000" w:type="pct"/>
        <w:tblLayout w:type="fixed"/>
        <w:tblLook w:val="04A0" w:firstRow="1" w:lastRow="0" w:firstColumn="1" w:lastColumn="0" w:noHBand="0" w:noVBand="1"/>
      </w:tblPr>
      <w:tblGrid>
        <w:gridCol w:w="2964"/>
        <w:gridCol w:w="1149"/>
        <w:gridCol w:w="1149"/>
        <w:gridCol w:w="1149"/>
        <w:gridCol w:w="1149"/>
        <w:gridCol w:w="1149"/>
        <w:gridCol w:w="1145"/>
      </w:tblGrid>
      <w:tr w:rsidR="002700D7" w:rsidRPr="009658BB" w:rsidTr="009658BB">
        <w:trPr>
          <w:tblHeader/>
        </w:trPr>
        <w:tc>
          <w:tcPr>
            <w:tcW w:w="1504" w:type="pct"/>
            <w:vMerge w:val="restart"/>
            <w:tcBorders>
              <w:top w:val="single" w:sz="4" w:space="0" w:color="auto"/>
              <w:left w:val="single" w:sz="4" w:space="0" w:color="auto"/>
              <w:bottom w:val="single" w:sz="4" w:space="0" w:color="000000"/>
              <w:right w:val="single" w:sz="4" w:space="0" w:color="auto"/>
            </w:tcBorders>
            <w:shd w:val="clear" w:color="auto" w:fill="FCE0E6"/>
            <w:hideMark/>
          </w:tcPr>
          <w:p w:rsidR="002700D7" w:rsidRPr="009658BB" w:rsidRDefault="002700D7" w:rsidP="009658BB">
            <w:pPr>
              <w:keepNext/>
              <w:keepLines/>
              <w:spacing w:before="40" w:after="40"/>
              <w:ind w:right="-85"/>
              <w:rPr>
                <w:rFonts w:cs="Arial"/>
                <w:color w:val="000000"/>
                <w:sz w:val="19"/>
                <w:szCs w:val="19"/>
                <w:lang w:val="lt-LT" w:eastAsia="lt-LT"/>
              </w:rPr>
            </w:pPr>
            <w:r w:rsidRPr="009658BB">
              <w:rPr>
                <w:rFonts w:cs="Arial"/>
                <w:color w:val="000000"/>
                <w:sz w:val="19"/>
                <w:szCs w:val="19"/>
                <w:lang w:val="lt-LT" w:eastAsia="lt-LT"/>
              </w:rPr>
              <w:t>Ekonominės veiklos rūšys</w:t>
            </w:r>
          </w:p>
        </w:tc>
        <w:tc>
          <w:tcPr>
            <w:tcW w:w="1166" w:type="pct"/>
            <w:gridSpan w:val="2"/>
            <w:tcBorders>
              <w:top w:val="single" w:sz="4" w:space="0" w:color="auto"/>
              <w:left w:val="nil"/>
              <w:bottom w:val="single" w:sz="4" w:space="0" w:color="auto"/>
              <w:right w:val="single" w:sz="4" w:space="0" w:color="auto"/>
            </w:tcBorders>
            <w:shd w:val="clear" w:color="auto" w:fill="FCE0E6"/>
            <w:noWrap/>
            <w:vAlign w:val="bottom"/>
            <w:hideMark/>
          </w:tcPr>
          <w:p w:rsidR="002700D7" w:rsidRPr="009658BB" w:rsidRDefault="002700D7" w:rsidP="009658BB">
            <w:pPr>
              <w:keepNext/>
              <w:keepLines/>
              <w:spacing w:before="40" w:after="40"/>
              <w:ind w:right="-85"/>
              <w:rPr>
                <w:rFonts w:cs="Arial"/>
                <w:color w:val="000000"/>
                <w:sz w:val="19"/>
                <w:szCs w:val="19"/>
                <w:lang w:val="lt-LT" w:eastAsia="lt-LT"/>
              </w:rPr>
            </w:pPr>
            <w:r w:rsidRPr="009658BB">
              <w:rPr>
                <w:rFonts w:cs="Arial"/>
                <w:color w:val="000000"/>
                <w:sz w:val="19"/>
                <w:szCs w:val="19"/>
                <w:lang w:val="lt-LT" w:eastAsia="lt-LT"/>
              </w:rPr>
              <w:t>201</w:t>
            </w:r>
            <w:r w:rsidR="00B6694B" w:rsidRPr="009658BB">
              <w:rPr>
                <w:rFonts w:cs="Arial"/>
                <w:color w:val="000000"/>
                <w:sz w:val="19"/>
                <w:szCs w:val="19"/>
                <w:lang w:val="lt-LT" w:eastAsia="lt-LT"/>
              </w:rPr>
              <w:t>8</w:t>
            </w:r>
          </w:p>
        </w:tc>
        <w:tc>
          <w:tcPr>
            <w:tcW w:w="1166" w:type="pct"/>
            <w:gridSpan w:val="2"/>
            <w:tcBorders>
              <w:top w:val="single" w:sz="4" w:space="0" w:color="auto"/>
              <w:left w:val="single" w:sz="4" w:space="0" w:color="auto"/>
              <w:bottom w:val="single" w:sz="4" w:space="0" w:color="auto"/>
              <w:right w:val="single" w:sz="4" w:space="0" w:color="000000"/>
            </w:tcBorders>
            <w:shd w:val="clear" w:color="auto" w:fill="FCE0E6"/>
            <w:noWrap/>
            <w:vAlign w:val="bottom"/>
          </w:tcPr>
          <w:p w:rsidR="002700D7" w:rsidRPr="009658BB" w:rsidRDefault="002700D7" w:rsidP="009658BB">
            <w:pPr>
              <w:keepNext/>
              <w:keepLines/>
              <w:spacing w:before="40" w:after="40"/>
              <w:ind w:right="-85"/>
              <w:rPr>
                <w:rFonts w:cs="Arial"/>
                <w:color w:val="000000"/>
                <w:sz w:val="19"/>
                <w:szCs w:val="19"/>
                <w:lang w:val="lt-LT" w:eastAsia="lt-LT"/>
              </w:rPr>
            </w:pPr>
            <w:r w:rsidRPr="009658BB">
              <w:rPr>
                <w:rFonts w:cs="Arial"/>
                <w:color w:val="000000"/>
                <w:sz w:val="19"/>
                <w:szCs w:val="19"/>
                <w:lang w:val="lt-LT" w:eastAsia="lt-LT"/>
              </w:rPr>
              <w:t>201</w:t>
            </w:r>
            <w:r w:rsidR="00B6694B" w:rsidRPr="009658BB">
              <w:rPr>
                <w:rFonts w:cs="Arial"/>
                <w:color w:val="000000"/>
                <w:sz w:val="19"/>
                <w:szCs w:val="19"/>
                <w:lang w:val="lt-LT" w:eastAsia="lt-LT"/>
              </w:rPr>
              <w:t>9</w:t>
            </w:r>
          </w:p>
        </w:tc>
        <w:tc>
          <w:tcPr>
            <w:tcW w:w="1164" w:type="pct"/>
            <w:gridSpan w:val="2"/>
            <w:tcBorders>
              <w:top w:val="single" w:sz="4" w:space="0" w:color="auto"/>
              <w:left w:val="single" w:sz="4" w:space="0" w:color="auto"/>
              <w:bottom w:val="single" w:sz="4" w:space="0" w:color="auto"/>
              <w:right w:val="single" w:sz="4" w:space="0" w:color="000000"/>
            </w:tcBorders>
            <w:shd w:val="clear" w:color="auto" w:fill="FCE0E6"/>
            <w:vAlign w:val="bottom"/>
          </w:tcPr>
          <w:p w:rsidR="002700D7" w:rsidRPr="009658BB" w:rsidRDefault="002700D7" w:rsidP="009658BB">
            <w:pPr>
              <w:keepNext/>
              <w:keepLines/>
              <w:spacing w:before="40" w:after="40"/>
              <w:ind w:right="-85"/>
              <w:rPr>
                <w:rFonts w:cs="Arial"/>
                <w:color w:val="000000"/>
                <w:sz w:val="19"/>
                <w:szCs w:val="19"/>
                <w:lang w:val="lt-LT" w:eastAsia="lt-LT"/>
              </w:rPr>
            </w:pPr>
            <w:r w:rsidRPr="009658BB">
              <w:rPr>
                <w:rFonts w:cs="Arial"/>
                <w:color w:val="000000"/>
                <w:sz w:val="19"/>
                <w:szCs w:val="19"/>
                <w:lang w:val="lt-LT" w:eastAsia="lt-LT"/>
              </w:rPr>
              <w:t>20</w:t>
            </w:r>
            <w:r w:rsidR="00B6694B" w:rsidRPr="009658BB">
              <w:rPr>
                <w:rFonts w:cs="Arial"/>
                <w:color w:val="000000"/>
                <w:sz w:val="19"/>
                <w:szCs w:val="19"/>
                <w:lang w:val="lt-LT" w:eastAsia="lt-LT"/>
              </w:rPr>
              <w:t>20</w:t>
            </w:r>
          </w:p>
        </w:tc>
      </w:tr>
      <w:tr w:rsidR="002700D7" w:rsidRPr="009658BB" w:rsidTr="009658BB">
        <w:trPr>
          <w:tblHeader/>
        </w:trPr>
        <w:tc>
          <w:tcPr>
            <w:tcW w:w="1504" w:type="pct"/>
            <w:vMerge/>
            <w:tcBorders>
              <w:top w:val="single" w:sz="4" w:space="0" w:color="auto"/>
              <w:left w:val="single" w:sz="4" w:space="0" w:color="auto"/>
              <w:bottom w:val="single" w:sz="4" w:space="0" w:color="000000"/>
              <w:right w:val="single" w:sz="4" w:space="0" w:color="auto"/>
            </w:tcBorders>
            <w:shd w:val="clear" w:color="auto" w:fill="FCE0E6"/>
            <w:vAlign w:val="center"/>
            <w:hideMark/>
          </w:tcPr>
          <w:p w:rsidR="002700D7" w:rsidRPr="009658BB" w:rsidRDefault="002700D7" w:rsidP="009658BB">
            <w:pPr>
              <w:keepNext/>
              <w:keepLines/>
              <w:spacing w:before="40" w:after="40"/>
              <w:ind w:right="-85"/>
              <w:rPr>
                <w:rFonts w:cs="Arial"/>
                <w:color w:val="000000"/>
                <w:sz w:val="19"/>
                <w:szCs w:val="19"/>
                <w:lang w:val="lt-LT" w:eastAsia="lt-LT"/>
              </w:rPr>
            </w:pPr>
          </w:p>
        </w:tc>
        <w:tc>
          <w:tcPr>
            <w:tcW w:w="583" w:type="pct"/>
            <w:tcBorders>
              <w:top w:val="single" w:sz="4" w:space="0" w:color="auto"/>
              <w:left w:val="nil"/>
              <w:bottom w:val="single" w:sz="4" w:space="0" w:color="auto"/>
              <w:right w:val="single" w:sz="4" w:space="0" w:color="000000"/>
            </w:tcBorders>
            <w:shd w:val="clear" w:color="auto" w:fill="FCE0E6"/>
            <w:hideMark/>
          </w:tcPr>
          <w:p w:rsidR="002700D7" w:rsidRPr="009658BB" w:rsidRDefault="002700D7" w:rsidP="009658BB">
            <w:pPr>
              <w:keepNext/>
              <w:keepLines/>
              <w:spacing w:before="40" w:after="40"/>
              <w:ind w:right="-85"/>
              <w:rPr>
                <w:rFonts w:cs="Arial"/>
                <w:color w:val="000000"/>
                <w:sz w:val="19"/>
                <w:szCs w:val="19"/>
                <w:lang w:val="lt-LT" w:eastAsia="lt-LT"/>
              </w:rPr>
            </w:pPr>
            <w:r w:rsidRPr="009658BB">
              <w:rPr>
                <w:rFonts w:cs="Arial"/>
                <w:color w:val="000000"/>
                <w:sz w:val="19"/>
                <w:szCs w:val="19"/>
                <w:lang w:val="lt-LT" w:eastAsia="lt-LT"/>
              </w:rPr>
              <w:t>Laisvų darbo vietų skaičius,</w:t>
            </w:r>
            <w:r w:rsidR="009658BB">
              <w:rPr>
                <w:rFonts w:cs="Arial"/>
                <w:color w:val="000000"/>
                <w:sz w:val="19"/>
                <w:szCs w:val="19"/>
                <w:lang w:val="lt-LT" w:eastAsia="lt-LT"/>
              </w:rPr>
              <w:t xml:space="preserve"> </w:t>
            </w:r>
            <w:r w:rsidR="009658BB" w:rsidRPr="009658BB">
              <w:rPr>
                <w:rFonts w:cs="Arial"/>
                <w:color w:val="000000"/>
                <w:sz w:val="19"/>
                <w:szCs w:val="19"/>
                <w:lang w:val="lt-LT" w:eastAsia="lt-LT"/>
              </w:rPr>
              <w:t>tūkst.</w:t>
            </w:r>
          </w:p>
        </w:tc>
        <w:tc>
          <w:tcPr>
            <w:tcW w:w="583" w:type="pct"/>
            <w:tcBorders>
              <w:top w:val="single" w:sz="4" w:space="0" w:color="auto"/>
              <w:left w:val="nil"/>
              <w:bottom w:val="single" w:sz="4" w:space="0" w:color="auto"/>
              <w:right w:val="single" w:sz="4" w:space="0" w:color="000000"/>
            </w:tcBorders>
            <w:shd w:val="clear" w:color="auto" w:fill="FCE0E6"/>
          </w:tcPr>
          <w:p w:rsidR="002700D7" w:rsidRPr="009658BB" w:rsidRDefault="002700D7" w:rsidP="009658BB">
            <w:pPr>
              <w:keepNext/>
              <w:keepLines/>
              <w:spacing w:before="40" w:after="40"/>
              <w:ind w:right="-85"/>
              <w:rPr>
                <w:rFonts w:cs="Arial"/>
                <w:color w:val="000000"/>
                <w:sz w:val="19"/>
                <w:szCs w:val="19"/>
                <w:lang w:val="lt-LT" w:eastAsia="lt-LT"/>
              </w:rPr>
            </w:pPr>
            <w:r w:rsidRPr="009658BB">
              <w:rPr>
                <w:rFonts w:cs="Arial"/>
                <w:color w:val="000000"/>
                <w:sz w:val="19"/>
                <w:szCs w:val="19"/>
                <w:lang w:val="lt-LT" w:eastAsia="lt-LT"/>
              </w:rPr>
              <w:t>Laisvų darbo vietų lygis,</w:t>
            </w:r>
            <w:r w:rsidR="009658BB">
              <w:rPr>
                <w:rFonts w:cs="Arial"/>
                <w:color w:val="000000"/>
                <w:sz w:val="19"/>
                <w:szCs w:val="19"/>
                <w:lang w:val="lt-LT" w:eastAsia="lt-LT"/>
              </w:rPr>
              <w:t xml:space="preserve"> </w:t>
            </w:r>
            <w:r w:rsidR="009658BB" w:rsidRPr="009658BB">
              <w:rPr>
                <w:rFonts w:cs="Arial"/>
                <w:color w:val="000000"/>
                <w:sz w:val="19"/>
                <w:szCs w:val="19"/>
                <w:lang w:val="lt-LT" w:eastAsia="lt-LT"/>
              </w:rPr>
              <w:t>proc.</w:t>
            </w:r>
          </w:p>
        </w:tc>
        <w:tc>
          <w:tcPr>
            <w:tcW w:w="583" w:type="pct"/>
            <w:tcBorders>
              <w:top w:val="single" w:sz="4" w:space="0" w:color="auto"/>
              <w:left w:val="nil"/>
              <w:bottom w:val="single" w:sz="4" w:space="0" w:color="auto"/>
              <w:right w:val="single" w:sz="4" w:space="0" w:color="auto"/>
            </w:tcBorders>
            <w:shd w:val="clear" w:color="auto" w:fill="FCE0E6"/>
            <w:hideMark/>
          </w:tcPr>
          <w:p w:rsidR="002700D7" w:rsidRPr="009658BB" w:rsidRDefault="002700D7" w:rsidP="009658BB">
            <w:pPr>
              <w:keepNext/>
              <w:keepLines/>
              <w:spacing w:before="40" w:after="40"/>
              <w:ind w:right="-85"/>
              <w:rPr>
                <w:rFonts w:cs="Arial"/>
                <w:color w:val="000000"/>
                <w:sz w:val="19"/>
                <w:szCs w:val="19"/>
                <w:lang w:val="lt-LT" w:eastAsia="lt-LT"/>
              </w:rPr>
            </w:pPr>
            <w:r w:rsidRPr="009658BB">
              <w:rPr>
                <w:rFonts w:cs="Arial"/>
                <w:color w:val="000000"/>
                <w:sz w:val="19"/>
                <w:szCs w:val="19"/>
                <w:lang w:val="lt-LT" w:eastAsia="lt-LT"/>
              </w:rPr>
              <w:t>Laisvų darbo vietų skaičius,</w:t>
            </w:r>
            <w:r w:rsidR="009658BB">
              <w:rPr>
                <w:rFonts w:cs="Arial"/>
                <w:color w:val="000000"/>
                <w:sz w:val="19"/>
                <w:szCs w:val="19"/>
                <w:lang w:val="lt-LT" w:eastAsia="lt-LT"/>
              </w:rPr>
              <w:t xml:space="preserve"> </w:t>
            </w:r>
            <w:r w:rsidR="009658BB" w:rsidRPr="009658BB">
              <w:rPr>
                <w:rFonts w:cs="Arial"/>
                <w:color w:val="000000"/>
                <w:sz w:val="19"/>
                <w:szCs w:val="19"/>
                <w:lang w:val="lt-LT" w:eastAsia="lt-LT"/>
              </w:rPr>
              <w:t>tūkst.</w:t>
            </w:r>
          </w:p>
        </w:tc>
        <w:tc>
          <w:tcPr>
            <w:tcW w:w="583" w:type="pct"/>
            <w:tcBorders>
              <w:top w:val="single" w:sz="4" w:space="0" w:color="auto"/>
              <w:left w:val="single" w:sz="4" w:space="0" w:color="auto"/>
              <w:bottom w:val="single" w:sz="4" w:space="0" w:color="auto"/>
              <w:right w:val="single" w:sz="4" w:space="0" w:color="auto"/>
            </w:tcBorders>
            <w:shd w:val="clear" w:color="auto" w:fill="FCE0E6"/>
            <w:noWrap/>
            <w:hideMark/>
          </w:tcPr>
          <w:p w:rsidR="002700D7" w:rsidRPr="009658BB" w:rsidRDefault="002700D7" w:rsidP="009658BB">
            <w:pPr>
              <w:keepNext/>
              <w:keepLines/>
              <w:spacing w:before="40" w:after="40"/>
              <w:ind w:right="-85"/>
              <w:rPr>
                <w:rFonts w:cs="Arial"/>
                <w:color w:val="000000"/>
                <w:sz w:val="19"/>
                <w:szCs w:val="19"/>
                <w:lang w:val="lt-LT" w:eastAsia="lt-LT"/>
              </w:rPr>
            </w:pPr>
            <w:r w:rsidRPr="009658BB">
              <w:rPr>
                <w:rFonts w:cs="Arial"/>
                <w:color w:val="000000"/>
                <w:sz w:val="19"/>
                <w:szCs w:val="19"/>
                <w:lang w:val="lt-LT" w:eastAsia="lt-LT"/>
              </w:rPr>
              <w:t>Laisvų darbo vietų lygis,</w:t>
            </w:r>
            <w:r w:rsidR="009658BB">
              <w:rPr>
                <w:rFonts w:cs="Arial"/>
                <w:color w:val="000000"/>
                <w:sz w:val="19"/>
                <w:szCs w:val="19"/>
                <w:lang w:val="lt-LT" w:eastAsia="lt-LT"/>
              </w:rPr>
              <w:t xml:space="preserve"> </w:t>
            </w:r>
            <w:r w:rsidR="009658BB" w:rsidRPr="009658BB">
              <w:rPr>
                <w:rFonts w:cs="Arial"/>
                <w:color w:val="000000"/>
                <w:sz w:val="19"/>
                <w:szCs w:val="19"/>
                <w:lang w:val="lt-LT" w:eastAsia="lt-LT"/>
              </w:rPr>
              <w:t>proc.</w:t>
            </w:r>
          </w:p>
        </w:tc>
        <w:tc>
          <w:tcPr>
            <w:tcW w:w="583" w:type="pct"/>
            <w:tcBorders>
              <w:top w:val="single" w:sz="4" w:space="0" w:color="auto"/>
              <w:left w:val="single" w:sz="4" w:space="0" w:color="auto"/>
              <w:bottom w:val="single" w:sz="4" w:space="0" w:color="auto"/>
              <w:right w:val="single" w:sz="4" w:space="0" w:color="auto"/>
            </w:tcBorders>
            <w:shd w:val="clear" w:color="auto" w:fill="FCE0E6"/>
            <w:noWrap/>
          </w:tcPr>
          <w:p w:rsidR="002700D7" w:rsidRPr="009658BB" w:rsidRDefault="002700D7" w:rsidP="009658BB">
            <w:pPr>
              <w:keepNext/>
              <w:keepLines/>
              <w:spacing w:before="40" w:after="40"/>
              <w:ind w:right="-85"/>
              <w:rPr>
                <w:rFonts w:cs="Arial"/>
                <w:color w:val="000000"/>
                <w:sz w:val="19"/>
                <w:szCs w:val="19"/>
                <w:lang w:val="lt-LT" w:eastAsia="lt-LT"/>
              </w:rPr>
            </w:pPr>
            <w:r w:rsidRPr="009658BB">
              <w:rPr>
                <w:rFonts w:cs="Arial"/>
                <w:color w:val="000000"/>
                <w:sz w:val="19"/>
                <w:szCs w:val="19"/>
                <w:lang w:val="lt-LT" w:eastAsia="lt-LT"/>
              </w:rPr>
              <w:t>Laisvų darbo vietų skaičius,</w:t>
            </w:r>
            <w:r w:rsidR="009658BB">
              <w:rPr>
                <w:rFonts w:cs="Arial"/>
                <w:color w:val="000000"/>
                <w:sz w:val="19"/>
                <w:szCs w:val="19"/>
                <w:lang w:val="lt-LT" w:eastAsia="lt-LT"/>
              </w:rPr>
              <w:t xml:space="preserve"> </w:t>
            </w:r>
            <w:r w:rsidR="009658BB" w:rsidRPr="009658BB">
              <w:rPr>
                <w:rFonts w:cs="Arial"/>
                <w:color w:val="000000"/>
                <w:sz w:val="19"/>
                <w:szCs w:val="19"/>
                <w:lang w:val="lt-LT" w:eastAsia="lt-LT"/>
              </w:rPr>
              <w:t>tūkst.</w:t>
            </w:r>
          </w:p>
        </w:tc>
        <w:tc>
          <w:tcPr>
            <w:tcW w:w="581" w:type="pct"/>
            <w:tcBorders>
              <w:top w:val="single" w:sz="4" w:space="0" w:color="auto"/>
              <w:left w:val="single" w:sz="4" w:space="0" w:color="auto"/>
              <w:bottom w:val="single" w:sz="4" w:space="0" w:color="auto"/>
              <w:right w:val="single" w:sz="4" w:space="0" w:color="auto"/>
            </w:tcBorders>
            <w:shd w:val="clear" w:color="auto" w:fill="FCE0E6"/>
          </w:tcPr>
          <w:p w:rsidR="002700D7" w:rsidRPr="009658BB" w:rsidRDefault="002700D7" w:rsidP="009658BB">
            <w:pPr>
              <w:keepNext/>
              <w:keepLines/>
              <w:spacing w:before="40" w:after="40"/>
              <w:ind w:right="-85"/>
              <w:rPr>
                <w:rFonts w:cs="Arial"/>
                <w:color w:val="000000"/>
                <w:sz w:val="19"/>
                <w:szCs w:val="19"/>
                <w:lang w:val="lt-LT" w:eastAsia="lt-LT"/>
              </w:rPr>
            </w:pPr>
            <w:r w:rsidRPr="009658BB">
              <w:rPr>
                <w:rFonts w:cs="Arial"/>
                <w:color w:val="000000"/>
                <w:sz w:val="19"/>
                <w:szCs w:val="19"/>
                <w:lang w:val="lt-LT" w:eastAsia="lt-LT"/>
              </w:rPr>
              <w:t>Laisvų darbo vietų lygis,</w:t>
            </w:r>
            <w:r w:rsidR="009658BB">
              <w:rPr>
                <w:rFonts w:cs="Arial"/>
                <w:color w:val="000000"/>
                <w:sz w:val="19"/>
                <w:szCs w:val="19"/>
                <w:lang w:val="lt-LT" w:eastAsia="lt-LT"/>
              </w:rPr>
              <w:t xml:space="preserve"> </w:t>
            </w:r>
            <w:r w:rsidR="009658BB" w:rsidRPr="009658BB">
              <w:rPr>
                <w:rFonts w:cs="Arial"/>
                <w:color w:val="000000"/>
                <w:sz w:val="19"/>
                <w:szCs w:val="19"/>
                <w:lang w:val="lt-LT" w:eastAsia="lt-LT"/>
              </w:rPr>
              <w:t>proc.</w:t>
            </w:r>
          </w:p>
        </w:tc>
      </w:tr>
      <w:tr w:rsidR="00145C1C" w:rsidRPr="009658BB" w:rsidTr="009658BB">
        <w:tc>
          <w:tcPr>
            <w:tcW w:w="1504" w:type="pct"/>
            <w:tcBorders>
              <w:top w:val="nil"/>
              <w:left w:val="single" w:sz="4" w:space="0" w:color="auto"/>
              <w:bottom w:val="nil"/>
              <w:right w:val="single" w:sz="4" w:space="0" w:color="auto"/>
            </w:tcBorders>
            <w:shd w:val="clear" w:color="auto" w:fill="F7AFBE"/>
            <w:vAlign w:val="bottom"/>
            <w:hideMark/>
          </w:tcPr>
          <w:p w:rsidR="00145C1C" w:rsidRPr="009658BB" w:rsidRDefault="00145C1C" w:rsidP="00145C1C">
            <w:pPr>
              <w:spacing w:before="40" w:after="40"/>
              <w:ind w:right="-85"/>
              <w:rPr>
                <w:rFonts w:cs="Arial"/>
                <w:b/>
                <w:sz w:val="19"/>
                <w:szCs w:val="19"/>
                <w:lang w:val="lt-LT"/>
              </w:rPr>
            </w:pPr>
            <w:r w:rsidRPr="009658BB">
              <w:rPr>
                <w:rFonts w:cs="Arial"/>
                <w:b/>
                <w:sz w:val="19"/>
                <w:szCs w:val="19"/>
                <w:lang w:val="lt-LT"/>
              </w:rPr>
              <w:t>Iš viso</w:t>
            </w:r>
          </w:p>
        </w:tc>
        <w:tc>
          <w:tcPr>
            <w:tcW w:w="583" w:type="pct"/>
            <w:tcBorders>
              <w:top w:val="single" w:sz="4" w:space="0" w:color="auto"/>
              <w:left w:val="nil"/>
              <w:bottom w:val="nil"/>
              <w:right w:val="single" w:sz="4" w:space="0" w:color="auto"/>
            </w:tcBorders>
            <w:shd w:val="clear" w:color="auto" w:fill="F7AFBE"/>
            <w:vAlign w:val="bottom"/>
            <w:hideMark/>
          </w:tcPr>
          <w:p w:rsidR="00145C1C" w:rsidRPr="009658BB" w:rsidRDefault="00145C1C" w:rsidP="00145C1C">
            <w:pPr>
              <w:spacing w:before="40" w:after="40"/>
              <w:jc w:val="right"/>
              <w:rPr>
                <w:rFonts w:cs="Arial"/>
                <w:b/>
                <w:color w:val="000000"/>
                <w:sz w:val="19"/>
                <w:szCs w:val="19"/>
                <w:lang w:val="lt-LT"/>
              </w:rPr>
            </w:pPr>
            <w:r w:rsidRPr="009658BB">
              <w:rPr>
                <w:rFonts w:cs="Arial"/>
                <w:b/>
                <w:color w:val="000000"/>
                <w:sz w:val="19"/>
                <w:szCs w:val="19"/>
                <w:lang w:val="lt-LT"/>
              </w:rPr>
              <w:t>18,5</w:t>
            </w:r>
          </w:p>
        </w:tc>
        <w:tc>
          <w:tcPr>
            <w:tcW w:w="583" w:type="pct"/>
            <w:tcBorders>
              <w:top w:val="single" w:sz="4" w:space="0" w:color="auto"/>
              <w:left w:val="single" w:sz="4" w:space="0" w:color="auto"/>
              <w:bottom w:val="nil"/>
              <w:right w:val="single" w:sz="4" w:space="0" w:color="auto"/>
            </w:tcBorders>
            <w:shd w:val="clear" w:color="auto" w:fill="F7AFBE"/>
            <w:vAlign w:val="bottom"/>
            <w:hideMark/>
          </w:tcPr>
          <w:p w:rsidR="00145C1C" w:rsidRPr="009658BB" w:rsidRDefault="00145C1C" w:rsidP="00145C1C">
            <w:pPr>
              <w:spacing w:before="40" w:after="40"/>
              <w:jc w:val="right"/>
              <w:rPr>
                <w:rFonts w:cs="Arial"/>
                <w:b/>
                <w:color w:val="000000"/>
                <w:sz w:val="19"/>
                <w:szCs w:val="19"/>
                <w:lang w:val="lt-LT"/>
              </w:rPr>
            </w:pPr>
            <w:r w:rsidRPr="009658BB">
              <w:rPr>
                <w:rFonts w:cs="Arial"/>
                <w:b/>
                <w:color w:val="000000"/>
                <w:sz w:val="19"/>
                <w:szCs w:val="19"/>
                <w:lang w:val="lt-LT"/>
              </w:rPr>
              <w:t>1,4</w:t>
            </w:r>
          </w:p>
        </w:tc>
        <w:tc>
          <w:tcPr>
            <w:tcW w:w="583" w:type="pct"/>
            <w:tcBorders>
              <w:top w:val="single" w:sz="4" w:space="0" w:color="auto"/>
              <w:left w:val="nil"/>
              <w:bottom w:val="nil"/>
              <w:right w:val="single" w:sz="4" w:space="0" w:color="auto"/>
            </w:tcBorders>
            <w:shd w:val="clear" w:color="auto" w:fill="F7AFBE"/>
            <w:vAlign w:val="bottom"/>
            <w:hideMark/>
          </w:tcPr>
          <w:p w:rsidR="00145C1C" w:rsidRPr="009658BB" w:rsidRDefault="00145C1C" w:rsidP="00145C1C">
            <w:pPr>
              <w:spacing w:before="40" w:after="40"/>
              <w:jc w:val="right"/>
              <w:rPr>
                <w:rFonts w:cs="Arial"/>
                <w:b/>
                <w:color w:val="000000"/>
                <w:sz w:val="19"/>
                <w:szCs w:val="19"/>
                <w:lang w:val="lt-LT"/>
              </w:rPr>
            </w:pPr>
            <w:r w:rsidRPr="009658BB">
              <w:rPr>
                <w:rFonts w:cs="Arial"/>
                <w:b/>
                <w:color w:val="000000"/>
                <w:sz w:val="19"/>
                <w:szCs w:val="19"/>
                <w:lang w:val="lt-LT"/>
              </w:rPr>
              <w:t>18,3</w:t>
            </w:r>
          </w:p>
        </w:tc>
        <w:tc>
          <w:tcPr>
            <w:tcW w:w="583" w:type="pct"/>
            <w:tcBorders>
              <w:top w:val="single" w:sz="4" w:space="0" w:color="auto"/>
              <w:left w:val="single" w:sz="4" w:space="0" w:color="auto"/>
              <w:bottom w:val="nil"/>
              <w:right w:val="nil"/>
            </w:tcBorders>
            <w:shd w:val="clear" w:color="auto" w:fill="F7AFBE"/>
            <w:vAlign w:val="bottom"/>
          </w:tcPr>
          <w:p w:rsidR="00145C1C" w:rsidRPr="009658BB" w:rsidRDefault="00145C1C" w:rsidP="00145C1C">
            <w:pPr>
              <w:spacing w:before="40" w:after="40"/>
              <w:jc w:val="right"/>
              <w:rPr>
                <w:rFonts w:cs="Arial"/>
                <w:b/>
                <w:color w:val="000000"/>
                <w:sz w:val="19"/>
                <w:szCs w:val="19"/>
                <w:lang w:val="lt-LT"/>
              </w:rPr>
            </w:pPr>
            <w:r w:rsidRPr="009658BB">
              <w:rPr>
                <w:rFonts w:cs="Arial"/>
                <w:b/>
                <w:color w:val="000000"/>
                <w:sz w:val="19"/>
                <w:szCs w:val="19"/>
                <w:lang w:val="lt-LT"/>
              </w:rPr>
              <w:t>1,4</w:t>
            </w:r>
          </w:p>
        </w:tc>
        <w:tc>
          <w:tcPr>
            <w:tcW w:w="583" w:type="pct"/>
            <w:tcBorders>
              <w:top w:val="single" w:sz="4" w:space="0" w:color="auto"/>
              <w:left w:val="single" w:sz="4" w:space="0" w:color="auto"/>
              <w:bottom w:val="nil"/>
              <w:right w:val="single" w:sz="4" w:space="0" w:color="auto"/>
            </w:tcBorders>
            <w:shd w:val="clear" w:color="auto" w:fill="F7AFBE"/>
            <w:vAlign w:val="bottom"/>
          </w:tcPr>
          <w:p w:rsidR="00145C1C" w:rsidRPr="009658BB" w:rsidRDefault="00145C1C" w:rsidP="00145C1C">
            <w:pPr>
              <w:spacing w:before="40" w:after="40"/>
              <w:jc w:val="right"/>
              <w:rPr>
                <w:rFonts w:cs="Arial"/>
                <w:b/>
                <w:color w:val="000000"/>
                <w:sz w:val="19"/>
                <w:szCs w:val="19"/>
                <w:lang w:val="lt-LT"/>
              </w:rPr>
            </w:pPr>
            <w:r w:rsidRPr="009658BB">
              <w:rPr>
                <w:rFonts w:cs="Arial"/>
                <w:b/>
                <w:color w:val="000000"/>
                <w:sz w:val="19"/>
                <w:szCs w:val="19"/>
                <w:lang w:val="lt-LT"/>
              </w:rPr>
              <w:t>16,6</w:t>
            </w:r>
          </w:p>
        </w:tc>
        <w:tc>
          <w:tcPr>
            <w:tcW w:w="583" w:type="pct"/>
            <w:tcBorders>
              <w:top w:val="single" w:sz="4" w:space="0" w:color="auto"/>
              <w:left w:val="single" w:sz="4" w:space="0" w:color="auto"/>
              <w:bottom w:val="nil"/>
              <w:right w:val="single" w:sz="4" w:space="0" w:color="auto"/>
            </w:tcBorders>
            <w:shd w:val="clear" w:color="auto" w:fill="F7AFBE"/>
            <w:vAlign w:val="bottom"/>
          </w:tcPr>
          <w:p w:rsidR="00145C1C" w:rsidRPr="009658BB" w:rsidRDefault="00145C1C" w:rsidP="00145C1C">
            <w:pPr>
              <w:spacing w:before="40" w:after="40"/>
              <w:jc w:val="right"/>
              <w:rPr>
                <w:rFonts w:cs="Arial"/>
                <w:b/>
                <w:color w:val="000000"/>
                <w:sz w:val="19"/>
                <w:szCs w:val="19"/>
                <w:lang w:val="lt-LT"/>
              </w:rPr>
            </w:pPr>
            <w:r w:rsidRPr="009658BB">
              <w:rPr>
                <w:rFonts w:cs="Arial"/>
                <w:b/>
                <w:color w:val="000000"/>
                <w:sz w:val="19"/>
                <w:szCs w:val="19"/>
                <w:lang w:val="lt-LT"/>
              </w:rPr>
              <w:t>1,3</w:t>
            </w:r>
          </w:p>
        </w:tc>
      </w:tr>
      <w:tr w:rsidR="00145C1C" w:rsidRPr="009658BB" w:rsidTr="00B6694B">
        <w:tc>
          <w:tcPr>
            <w:tcW w:w="1504" w:type="pct"/>
            <w:tcBorders>
              <w:top w:val="nil"/>
              <w:left w:val="single" w:sz="4" w:space="0" w:color="auto"/>
              <w:bottom w:val="nil"/>
              <w:right w:val="single" w:sz="4" w:space="0" w:color="auto"/>
            </w:tcBorders>
            <w:shd w:val="clear" w:color="auto" w:fill="auto"/>
            <w:vAlign w:val="bottom"/>
            <w:hideMark/>
          </w:tcPr>
          <w:p w:rsidR="00145C1C" w:rsidRPr="009658BB" w:rsidRDefault="00145C1C" w:rsidP="00145C1C">
            <w:pPr>
              <w:spacing w:before="40" w:after="40"/>
              <w:ind w:right="-85"/>
              <w:rPr>
                <w:rFonts w:cs="Arial"/>
                <w:color w:val="000000"/>
                <w:sz w:val="19"/>
                <w:szCs w:val="19"/>
                <w:lang w:val="lt-LT" w:eastAsia="lt-LT"/>
              </w:rPr>
            </w:pPr>
            <w:r w:rsidRPr="009658BB">
              <w:rPr>
                <w:rFonts w:cs="Arial"/>
                <w:color w:val="000000"/>
                <w:sz w:val="19"/>
                <w:szCs w:val="19"/>
                <w:lang w:val="lt-LT" w:eastAsia="lt-LT"/>
              </w:rPr>
              <w:t>Žemės ūkis, miškininkystė ir žuvininkystė</w:t>
            </w:r>
          </w:p>
        </w:tc>
        <w:tc>
          <w:tcPr>
            <w:tcW w:w="583" w:type="pct"/>
            <w:tcBorders>
              <w:top w:val="nil"/>
              <w:left w:val="nil"/>
              <w:bottom w:val="nil"/>
              <w:right w:val="single" w:sz="4" w:space="0" w:color="auto"/>
            </w:tcBorders>
            <w:shd w:val="clear" w:color="auto" w:fill="auto"/>
            <w:vAlign w:val="bottom"/>
            <w:hideMark/>
          </w:tcPr>
          <w:p w:rsidR="00145C1C" w:rsidRPr="009658BB" w:rsidRDefault="00145C1C" w:rsidP="00145C1C">
            <w:pPr>
              <w:spacing w:before="40" w:after="40"/>
              <w:jc w:val="right"/>
              <w:rPr>
                <w:rFonts w:cs="Arial"/>
                <w:color w:val="000000"/>
                <w:sz w:val="19"/>
                <w:szCs w:val="19"/>
                <w:lang w:val="lt-LT"/>
              </w:rPr>
            </w:pPr>
            <w:r w:rsidRPr="009658BB">
              <w:rPr>
                <w:rFonts w:cs="Arial"/>
                <w:color w:val="000000"/>
                <w:sz w:val="19"/>
                <w:szCs w:val="19"/>
                <w:lang w:val="lt-LT"/>
              </w:rPr>
              <w:t>0,2</w:t>
            </w:r>
          </w:p>
        </w:tc>
        <w:tc>
          <w:tcPr>
            <w:tcW w:w="583" w:type="pct"/>
            <w:tcBorders>
              <w:top w:val="nil"/>
              <w:left w:val="single" w:sz="4" w:space="0" w:color="auto"/>
              <w:bottom w:val="nil"/>
              <w:right w:val="single" w:sz="4" w:space="0" w:color="auto"/>
            </w:tcBorders>
            <w:shd w:val="clear" w:color="auto" w:fill="auto"/>
            <w:vAlign w:val="bottom"/>
            <w:hideMark/>
          </w:tcPr>
          <w:p w:rsidR="00145C1C" w:rsidRPr="009658BB" w:rsidRDefault="00145C1C" w:rsidP="00145C1C">
            <w:pPr>
              <w:spacing w:before="40" w:after="40"/>
              <w:jc w:val="right"/>
              <w:rPr>
                <w:rFonts w:cs="Arial"/>
                <w:color w:val="000000"/>
                <w:sz w:val="19"/>
                <w:szCs w:val="19"/>
                <w:lang w:val="lt-LT"/>
              </w:rPr>
            </w:pPr>
            <w:r w:rsidRPr="009658BB">
              <w:rPr>
                <w:rFonts w:cs="Arial"/>
                <w:color w:val="000000"/>
                <w:sz w:val="19"/>
                <w:szCs w:val="19"/>
                <w:lang w:val="lt-LT"/>
              </w:rPr>
              <w:t>0,8</w:t>
            </w:r>
          </w:p>
        </w:tc>
        <w:tc>
          <w:tcPr>
            <w:tcW w:w="583" w:type="pct"/>
            <w:tcBorders>
              <w:top w:val="nil"/>
              <w:left w:val="nil"/>
              <w:bottom w:val="nil"/>
              <w:right w:val="single" w:sz="4" w:space="0" w:color="auto"/>
            </w:tcBorders>
            <w:shd w:val="clear" w:color="auto" w:fill="auto"/>
            <w:vAlign w:val="bottom"/>
            <w:hideMark/>
          </w:tcPr>
          <w:p w:rsidR="00145C1C" w:rsidRPr="009658BB" w:rsidRDefault="00145C1C" w:rsidP="00145C1C">
            <w:pPr>
              <w:spacing w:before="40" w:after="40"/>
              <w:jc w:val="right"/>
              <w:rPr>
                <w:rFonts w:cs="Arial"/>
                <w:color w:val="000000"/>
                <w:sz w:val="19"/>
                <w:szCs w:val="19"/>
                <w:lang w:val="lt-LT"/>
              </w:rPr>
            </w:pPr>
            <w:r w:rsidRPr="009658BB">
              <w:rPr>
                <w:rFonts w:cs="Arial"/>
                <w:color w:val="000000"/>
                <w:sz w:val="19"/>
                <w:szCs w:val="19"/>
                <w:lang w:val="lt-LT"/>
              </w:rPr>
              <w:t>0,2</w:t>
            </w:r>
          </w:p>
        </w:tc>
        <w:tc>
          <w:tcPr>
            <w:tcW w:w="583" w:type="pct"/>
            <w:tcBorders>
              <w:top w:val="nil"/>
              <w:left w:val="single" w:sz="4" w:space="0" w:color="auto"/>
              <w:bottom w:val="nil"/>
              <w:right w:val="nil"/>
            </w:tcBorders>
            <w:shd w:val="clear" w:color="auto" w:fill="auto"/>
            <w:vAlign w:val="bottom"/>
          </w:tcPr>
          <w:p w:rsidR="00145C1C" w:rsidRPr="009658BB" w:rsidRDefault="00145C1C" w:rsidP="00145C1C">
            <w:pPr>
              <w:spacing w:before="40" w:after="40"/>
              <w:jc w:val="right"/>
              <w:rPr>
                <w:rFonts w:cs="Arial"/>
                <w:color w:val="000000"/>
                <w:sz w:val="19"/>
                <w:szCs w:val="19"/>
                <w:lang w:val="lt-LT"/>
              </w:rPr>
            </w:pPr>
            <w:r w:rsidRPr="009658BB">
              <w:rPr>
                <w:rFonts w:cs="Arial"/>
                <w:color w:val="000000"/>
                <w:sz w:val="19"/>
                <w:szCs w:val="19"/>
                <w:lang w:val="lt-LT"/>
              </w:rPr>
              <w:t>0,8</w:t>
            </w:r>
          </w:p>
        </w:tc>
        <w:tc>
          <w:tcPr>
            <w:tcW w:w="583" w:type="pct"/>
            <w:tcBorders>
              <w:top w:val="nil"/>
              <w:left w:val="single" w:sz="4" w:space="0" w:color="auto"/>
              <w:bottom w:val="nil"/>
              <w:right w:val="single" w:sz="4" w:space="0" w:color="auto"/>
            </w:tcBorders>
            <w:shd w:val="clear" w:color="auto" w:fill="auto"/>
            <w:vAlign w:val="bottom"/>
          </w:tcPr>
          <w:p w:rsidR="00145C1C" w:rsidRPr="009658BB" w:rsidRDefault="00145C1C" w:rsidP="00145C1C">
            <w:pPr>
              <w:spacing w:before="40" w:after="40"/>
              <w:jc w:val="right"/>
              <w:rPr>
                <w:rFonts w:cs="Arial"/>
                <w:color w:val="000000"/>
                <w:sz w:val="19"/>
                <w:szCs w:val="19"/>
                <w:lang w:val="lt-LT"/>
              </w:rPr>
            </w:pPr>
            <w:r w:rsidRPr="009658BB">
              <w:rPr>
                <w:rFonts w:cs="Arial"/>
                <w:color w:val="000000"/>
                <w:sz w:val="19"/>
                <w:szCs w:val="19"/>
                <w:lang w:val="lt-LT"/>
              </w:rPr>
              <w:t>0,2</w:t>
            </w:r>
          </w:p>
        </w:tc>
        <w:tc>
          <w:tcPr>
            <w:tcW w:w="581" w:type="pct"/>
            <w:tcBorders>
              <w:top w:val="nil"/>
              <w:left w:val="single" w:sz="4" w:space="0" w:color="auto"/>
              <w:bottom w:val="nil"/>
              <w:right w:val="single" w:sz="4" w:space="0" w:color="auto"/>
            </w:tcBorders>
            <w:vAlign w:val="bottom"/>
          </w:tcPr>
          <w:p w:rsidR="00145C1C" w:rsidRPr="009658BB" w:rsidRDefault="00145C1C" w:rsidP="00145C1C">
            <w:pPr>
              <w:spacing w:before="40" w:after="40"/>
              <w:jc w:val="right"/>
              <w:rPr>
                <w:rFonts w:cs="Arial"/>
                <w:color w:val="000000"/>
                <w:sz w:val="19"/>
                <w:szCs w:val="19"/>
                <w:lang w:val="lt-LT"/>
              </w:rPr>
            </w:pPr>
            <w:r w:rsidRPr="009658BB">
              <w:rPr>
                <w:rFonts w:cs="Arial"/>
                <w:color w:val="000000"/>
                <w:sz w:val="19"/>
                <w:szCs w:val="19"/>
                <w:lang w:val="lt-LT"/>
              </w:rPr>
              <w:t>0,8</w:t>
            </w:r>
          </w:p>
        </w:tc>
      </w:tr>
      <w:tr w:rsidR="00145C1C" w:rsidRPr="009658BB" w:rsidTr="00B6694B">
        <w:tc>
          <w:tcPr>
            <w:tcW w:w="1504" w:type="pct"/>
            <w:tcBorders>
              <w:top w:val="nil"/>
              <w:left w:val="single" w:sz="4" w:space="0" w:color="auto"/>
              <w:bottom w:val="nil"/>
              <w:right w:val="single" w:sz="4" w:space="0" w:color="auto"/>
            </w:tcBorders>
            <w:shd w:val="clear" w:color="auto" w:fill="auto"/>
            <w:vAlign w:val="bottom"/>
            <w:hideMark/>
          </w:tcPr>
          <w:p w:rsidR="00145C1C" w:rsidRPr="009658BB" w:rsidRDefault="00145C1C" w:rsidP="00145C1C">
            <w:pPr>
              <w:spacing w:before="40" w:after="40"/>
              <w:ind w:right="-85"/>
              <w:rPr>
                <w:rFonts w:cs="Arial"/>
                <w:color w:val="000000"/>
                <w:sz w:val="19"/>
                <w:szCs w:val="19"/>
                <w:lang w:val="lt-LT" w:eastAsia="lt-LT"/>
              </w:rPr>
            </w:pPr>
            <w:r w:rsidRPr="009658BB">
              <w:rPr>
                <w:rFonts w:cs="Arial"/>
                <w:color w:val="000000"/>
                <w:sz w:val="19"/>
                <w:szCs w:val="19"/>
                <w:lang w:val="lt-LT" w:eastAsia="lt-LT"/>
              </w:rPr>
              <w:t>Pramonė</w:t>
            </w:r>
            <w:r w:rsidRPr="009658BB">
              <w:rPr>
                <w:rFonts w:cs="Arial"/>
                <w:sz w:val="19"/>
                <w:szCs w:val="19"/>
                <w:lang w:val="lt-LT"/>
              </w:rPr>
              <w:t>*</w:t>
            </w:r>
          </w:p>
        </w:tc>
        <w:tc>
          <w:tcPr>
            <w:tcW w:w="583" w:type="pct"/>
            <w:tcBorders>
              <w:top w:val="nil"/>
              <w:left w:val="nil"/>
              <w:bottom w:val="nil"/>
              <w:right w:val="single" w:sz="4" w:space="0" w:color="auto"/>
            </w:tcBorders>
            <w:shd w:val="clear" w:color="auto" w:fill="auto"/>
            <w:vAlign w:val="bottom"/>
            <w:hideMark/>
          </w:tcPr>
          <w:p w:rsidR="00145C1C" w:rsidRPr="009658BB" w:rsidRDefault="00145C1C" w:rsidP="00145C1C">
            <w:pPr>
              <w:spacing w:before="40" w:after="40"/>
              <w:jc w:val="right"/>
              <w:rPr>
                <w:rFonts w:cs="Arial"/>
                <w:color w:val="000000"/>
                <w:sz w:val="19"/>
                <w:szCs w:val="19"/>
                <w:lang w:val="lt-LT"/>
              </w:rPr>
            </w:pPr>
            <w:r w:rsidRPr="009658BB">
              <w:rPr>
                <w:rFonts w:cs="Arial"/>
                <w:color w:val="000000"/>
                <w:sz w:val="19"/>
                <w:szCs w:val="19"/>
                <w:lang w:val="lt-LT"/>
              </w:rPr>
              <w:t>4,3</w:t>
            </w:r>
          </w:p>
        </w:tc>
        <w:tc>
          <w:tcPr>
            <w:tcW w:w="583" w:type="pct"/>
            <w:tcBorders>
              <w:top w:val="nil"/>
              <w:left w:val="single" w:sz="4" w:space="0" w:color="auto"/>
              <w:bottom w:val="nil"/>
              <w:right w:val="single" w:sz="4" w:space="0" w:color="auto"/>
            </w:tcBorders>
            <w:shd w:val="clear" w:color="auto" w:fill="auto"/>
            <w:vAlign w:val="bottom"/>
            <w:hideMark/>
          </w:tcPr>
          <w:p w:rsidR="00145C1C" w:rsidRPr="009658BB" w:rsidRDefault="00145C1C" w:rsidP="00145C1C">
            <w:pPr>
              <w:spacing w:before="40" w:after="40"/>
              <w:jc w:val="right"/>
              <w:rPr>
                <w:rFonts w:cs="Arial"/>
                <w:color w:val="000000"/>
                <w:sz w:val="19"/>
                <w:szCs w:val="19"/>
                <w:lang w:val="lt-LT"/>
              </w:rPr>
            </w:pPr>
            <w:r w:rsidRPr="009658BB">
              <w:rPr>
                <w:rFonts w:cs="Arial"/>
                <w:color w:val="000000"/>
                <w:sz w:val="19"/>
                <w:szCs w:val="19"/>
                <w:lang w:val="lt-LT"/>
              </w:rPr>
              <w:t>1,8</w:t>
            </w:r>
          </w:p>
        </w:tc>
        <w:tc>
          <w:tcPr>
            <w:tcW w:w="583" w:type="pct"/>
            <w:tcBorders>
              <w:top w:val="nil"/>
              <w:left w:val="nil"/>
              <w:bottom w:val="nil"/>
              <w:right w:val="single" w:sz="4" w:space="0" w:color="auto"/>
            </w:tcBorders>
            <w:shd w:val="clear" w:color="auto" w:fill="auto"/>
            <w:vAlign w:val="bottom"/>
            <w:hideMark/>
          </w:tcPr>
          <w:p w:rsidR="00145C1C" w:rsidRPr="009658BB" w:rsidRDefault="00145C1C" w:rsidP="00145C1C">
            <w:pPr>
              <w:spacing w:before="40" w:after="40"/>
              <w:jc w:val="right"/>
              <w:rPr>
                <w:rFonts w:cs="Arial"/>
                <w:color w:val="000000"/>
                <w:sz w:val="19"/>
                <w:szCs w:val="19"/>
                <w:lang w:val="lt-LT"/>
              </w:rPr>
            </w:pPr>
            <w:r w:rsidRPr="009658BB">
              <w:rPr>
                <w:rFonts w:cs="Arial"/>
                <w:color w:val="000000"/>
                <w:sz w:val="19"/>
                <w:szCs w:val="19"/>
                <w:lang w:val="lt-LT"/>
              </w:rPr>
              <w:t>4,4</w:t>
            </w:r>
          </w:p>
        </w:tc>
        <w:tc>
          <w:tcPr>
            <w:tcW w:w="583" w:type="pct"/>
            <w:tcBorders>
              <w:top w:val="nil"/>
              <w:left w:val="single" w:sz="4" w:space="0" w:color="auto"/>
              <w:bottom w:val="nil"/>
              <w:right w:val="nil"/>
            </w:tcBorders>
            <w:shd w:val="clear" w:color="auto" w:fill="auto"/>
            <w:vAlign w:val="bottom"/>
          </w:tcPr>
          <w:p w:rsidR="00145C1C" w:rsidRPr="009658BB" w:rsidRDefault="00145C1C" w:rsidP="00145C1C">
            <w:pPr>
              <w:spacing w:before="40" w:after="40"/>
              <w:jc w:val="right"/>
              <w:rPr>
                <w:rFonts w:cs="Arial"/>
                <w:color w:val="000000"/>
                <w:sz w:val="19"/>
                <w:szCs w:val="19"/>
                <w:lang w:val="lt-LT"/>
              </w:rPr>
            </w:pPr>
            <w:r w:rsidRPr="009658BB">
              <w:rPr>
                <w:rFonts w:cs="Arial"/>
                <w:color w:val="000000"/>
                <w:sz w:val="19"/>
                <w:szCs w:val="19"/>
                <w:lang w:val="lt-LT"/>
              </w:rPr>
              <w:t>1,9</w:t>
            </w:r>
          </w:p>
        </w:tc>
        <w:tc>
          <w:tcPr>
            <w:tcW w:w="583" w:type="pct"/>
            <w:tcBorders>
              <w:top w:val="nil"/>
              <w:left w:val="single" w:sz="4" w:space="0" w:color="auto"/>
              <w:bottom w:val="nil"/>
              <w:right w:val="single" w:sz="4" w:space="0" w:color="auto"/>
            </w:tcBorders>
            <w:shd w:val="clear" w:color="auto" w:fill="auto"/>
            <w:vAlign w:val="bottom"/>
          </w:tcPr>
          <w:p w:rsidR="00145C1C" w:rsidRPr="009658BB" w:rsidRDefault="00145C1C" w:rsidP="00145C1C">
            <w:pPr>
              <w:spacing w:before="40" w:after="40"/>
              <w:jc w:val="right"/>
              <w:rPr>
                <w:rFonts w:cs="Arial"/>
                <w:color w:val="000000"/>
                <w:sz w:val="19"/>
                <w:szCs w:val="19"/>
                <w:lang w:val="lt-LT"/>
              </w:rPr>
            </w:pPr>
            <w:r w:rsidRPr="009658BB">
              <w:rPr>
                <w:rFonts w:cs="Arial"/>
                <w:color w:val="000000"/>
                <w:sz w:val="19"/>
                <w:szCs w:val="19"/>
                <w:lang w:val="lt-LT"/>
              </w:rPr>
              <w:t>2,9</w:t>
            </w:r>
          </w:p>
        </w:tc>
        <w:tc>
          <w:tcPr>
            <w:tcW w:w="581" w:type="pct"/>
            <w:tcBorders>
              <w:top w:val="nil"/>
              <w:left w:val="single" w:sz="4" w:space="0" w:color="auto"/>
              <w:bottom w:val="nil"/>
              <w:right w:val="single" w:sz="4" w:space="0" w:color="auto"/>
            </w:tcBorders>
            <w:vAlign w:val="bottom"/>
          </w:tcPr>
          <w:p w:rsidR="00145C1C" w:rsidRPr="009658BB" w:rsidRDefault="00145C1C" w:rsidP="00145C1C">
            <w:pPr>
              <w:spacing w:before="40" w:after="40"/>
              <w:jc w:val="right"/>
              <w:rPr>
                <w:rFonts w:cs="Arial"/>
                <w:color w:val="000000"/>
                <w:sz w:val="19"/>
                <w:szCs w:val="19"/>
                <w:lang w:val="lt-LT"/>
              </w:rPr>
            </w:pPr>
            <w:r w:rsidRPr="009658BB">
              <w:rPr>
                <w:rFonts w:cs="Arial"/>
                <w:color w:val="000000"/>
                <w:sz w:val="19"/>
                <w:szCs w:val="19"/>
                <w:lang w:val="lt-LT"/>
              </w:rPr>
              <w:t>1,3</w:t>
            </w:r>
          </w:p>
        </w:tc>
      </w:tr>
      <w:tr w:rsidR="00145C1C" w:rsidRPr="009658BB" w:rsidTr="00B6694B">
        <w:tc>
          <w:tcPr>
            <w:tcW w:w="1504" w:type="pct"/>
            <w:tcBorders>
              <w:top w:val="nil"/>
              <w:left w:val="single" w:sz="4" w:space="0" w:color="auto"/>
              <w:bottom w:val="nil"/>
              <w:right w:val="single" w:sz="4" w:space="0" w:color="auto"/>
            </w:tcBorders>
            <w:shd w:val="clear" w:color="auto" w:fill="auto"/>
            <w:vAlign w:val="bottom"/>
            <w:hideMark/>
          </w:tcPr>
          <w:p w:rsidR="00145C1C" w:rsidRPr="009658BB" w:rsidRDefault="00145C1C" w:rsidP="00145C1C">
            <w:pPr>
              <w:spacing w:before="40" w:after="40"/>
              <w:ind w:right="-85"/>
              <w:rPr>
                <w:rFonts w:cs="Arial"/>
                <w:color w:val="000000"/>
                <w:sz w:val="19"/>
                <w:szCs w:val="19"/>
                <w:lang w:val="lt-LT" w:eastAsia="lt-LT"/>
              </w:rPr>
            </w:pPr>
            <w:r w:rsidRPr="009658BB">
              <w:rPr>
                <w:rFonts w:cs="Arial"/>
                <w:color w:val="000000"/>
                <w:sz w:val="19"/>
                <w:szCs w:val="19"/>
                <w:lang w:val="lt-LT" w:eastAsia="lt-LT"/>
              </w:rPr>
              <w:t>Statyba</w:t>
            </w:r>
          </w:p>
        </w:tc>
        <w:tc>
          <w:tcPr>
            <w:tcW w:w="583" w:type="pct"/>
            <w:tcBorders>
              <w:top w:val="nil"/>
              <w:left w:val="nil"/>
              <w:bottom w:val="nil"/>
              <w:right w:val="single" w:sz="4" w:space="0" w:color="auto"/>
            </w:tcBorders>
            <w:shd w:val="clear" w:color="auto" w:fill="auto"/>
            <w:vAlign w:val="bottom"/>
            <w:hideMark/>
          </w:tcPr>
          <w:p w:rsidR="00145C1C" w:rsidRPr="009658BB" w:rsidRDefault="00145C1C" w:rsidP="00145C1C">
            <w:pPr>
              <w:spacing w:before="40" w:after="40"/>
              <w:jc w:val="right"/>
              <w:rPr>
                <w:rFonts w:cs="Arial"/>
                <w:color w:val="000000"/>
                <w:sz w:val="19"/>
                <w:szCs w:val="19"/>
                <w:lang w:val="lt-LT"/>
              </w:rPr>
            </w:pPr>
            <w:r w:rsidRPr="009658BB">
              <w:rPr>
                <w:rFonts w:cs="Arial"/>
                <w:color w:val="000000"/>
                <w:sz w:val="19"/>
                <w:szCs w:val="19"/>
                <w:lang w:val="lt-LT"/>
              </w:rPr>
              <w:t>1,2</w:t>
            </w:r>
          </w:p>
        </w:tc>
        <w:tc>
          <w:tcPr>
            <w:tcW w:w="583" w:type="pct"/>
            <w:tcBorders>
              <w:top w:val="nil"/>
              <w:left w:val="single" w:sz="4" w:space="0" w:color="auto"/>
              <w:bottom w:val="nil"/>
              <w:right w:val="single" w:sz="4" w:space="0" w:color="auto"/>
            </w:tcBorders>
            <w:shd w:val="clear" w:color="auto" w:fill="auto"/>
            <w:vAlign w:val="bottom"/>
            <w:hideMark/>
          </w:tcPr>
          <w:p w:rsidR="00145C1C" w:rsidRPr="009658BB" w:rsidRDefault="00145C1C" w:rsidP="00145C1C">
            <w:pPr>
              <w:spacing w:before="40" w:after="40"/>
              <w:jc w:val="right"/>
              <w:rPr>
                <w:rFonts w:cs="Arial"/>
                <w:color w:val="000000"/>
                <w:sz w:val="19"/>
                <w:szCs w:val="19"/>
                <w:lang w:val="lt-LT"/>
              </w:rPr>
            </w:pPr>
            <w:r w:rsidRPr="009658BB">
              <w:rPr>
                <w:rFonts w:cs="Arial"/>
                <w:color w:val="000000"/>
                <w:sz w:val="19"/>
                <w:szCs w:val="19"/>
                <w:lang w:val="lt-LT"/>
              </w:rPr>
              <w:t>1,3</w:t>
            </w:r>
          </w:p>
        </w:tc>
        <w:tc>
          <w:tcPr>
            <w:tcW w:w="583" w:type="pct"/>
            <w:tcBorders>
              <w:top w:val="nil"/>
              <w:left w:val="nil"/>
              <w:bottom w:val="nil"/>
              <w:right w:val="single" w:sz="4" w:space="0" w:color="auto"/>
            </w:tcBorders>
            <w:shd w:val="clear" w:color="auto" w:fill="auto"/>
            <w:vAlign w:val="bottom"/>
            <w:hideMark/>
          </w:tcPr>
          <w:p w:rsidR="00145C1C" w:rsidRPr="009658BB" w:rsidRDefault="00145C1C" w:rsidP="00145C1C">
            <w:pPr>
              <w:spacing w:before="40" w:after="40"/>
              <w:jc w:val="right"/>
              <w:rPr>
                <w:rFonts w:cs="Arial"/>
                <w:color w:val="000000"/>
                <w:sz w:val="19"/>
                <w:szCs w:val="19"/>
                <w:lang w:val="lt-LT"/>
              </w:rPr>
            </w:pPr>
            <w:r w:rsidRPr="009658BB">
              <w:rPr>
                <w:rFonts w:cs="Arial"/>
                <w:color w:val="000000"/>
                <w:sz w:val="19"/>
                <w:szCs w:val="19"/>
                <w:lang w:val="lt-LT"/>
              </w:rPr>
              <w:t>1,1</w:t>
            </w:r>
          </w:p>
        </w:tc>
        <w:tc>
          <w:tcPr>
            <w:tcW w:w="583" w:type="pct"/>
            <w:tcBorders>
              <w:top w:val="nil"/>
              <w:left w:val="single" w:sz="4" w:space="0" w:color="auto"/>
              <w:bottom w:val="nil"/>
              <w:right w:val="nil"/>
            </w:tcBorders>
            <w:shd w:val="clear" w:color="auto" w:fill="auto"/>
            <w:vAlign w:val="bottom"/>
          </w:tcPr>
          <w:p w:rsidR="00145C1C" w:rsidRPr="009658BB" w:rsidRDefault="00145C1C" w:rsidP="00145C1C">
            <w:pPr>
              <w:spacing w:before="40" w:after="40"/>
              <w:jc w:val="right"/>
              <w:rPr>
                <w:rFonts w:cs="Arial"/>
                <w:color w:val="000000"/>
                <w:sz w:val="19"/>
                <w:szCs w:val="19"/>
                <w:lang w:val="lt-LT"/>
              </w:rPr>
            </w:pPr>
            <w:r w:rsidRPr="009658BB">
              <w:rPr>
                <w:rFonts w:cs="Arial"/>
                <w:color w:val="000000"/>
                <w:sz w:val="19"/>
                <w:szCs w:val="19"/>
                <w:lang w:val="lt-LT"/>
              </w:rPr>
              <w:t>1,1</w:t>
            </w:r>
          </w:p>
        </w:tc>
        <w:tc>
          <w:tcPr>
            <w:tcW w:w="583" w:type="pct"/>
            <w:tcBorders>
              <w:top w:val="nil"/>
              <w:left w:val="single" w:sz="4" w:space="0" w:color="auto"/>
              <w:bottom w:val="nil"/>
              <w:right w:val="single" w:sz="4" w:space="0" w:color="auto"/>
            </w:tcBorders>
            <w:shd w:val="clear" w:color="auto" w:fill="auto"/>
            <w:vAlign w:val="bottom"/>
          </w:tcPr>
          <w:p w:rsidR="00145C1C" w:rsidRPr="009658BB" w:rsidRDefault="00145C1C" w:rsidP="00145C1C">
            <w:pPr>
              <w:spacing w:before="40" w:after="40"/>
              <w:jc w:val="right"/>
              <w:rPr>
                <w:rFonts w:cs="Arial"/>
                <w:color w:val="000000"/>
                <w:sz w:val="19"/>
                <w:szCs w:val="19"/>
                <w:lang w:val="lt-LT"/>
              </w:rPr>
            </w:pPr>
            <w:r w:rsidRPr="009658BB">
              <w:rPr>
                <w:rFonts w:cs="Arial"/>
                <w:color w:val="000000"/>
                <w:sz w:val="19"/>
                <w:szCs w:val="19"/>
                <w:lang w:val="lt-LT"/>
              </w:rPr>
              <w:t>1,1</w:t>
            </w:r>
          </w:p>
        </w:tc>
        <w:tc>
          <w:tcPr>
            <w:tcW w:w="581" w:type="pct"/>
            <w:tcBorders>
              <w:top w:val="nil"/>
              <w:left w:val="single" w:sz="4" w:space="0" w:color="auto"/>
              <w:bottom w:val="nil"/>
              <w:right w:val="single" w:sz="4" w:space="0" w:color="auto"/>
            </w:tcBorders>
            <w:vAlign w:val="bottom"/>
          </w:tcPr>
          <w:p w:rsidR="00145C1C" w:rsidRPr="009658BB" w:rsidRDefault="00145C1C" w:rsidP="00145C1C">
            <w:pPr>
              <w:spacing w:before="40" w:after="40"/>
              <w:jc w:val="right"/>
              <w:rPr>
                <w:rFonts w:cs="Arial"/>
                <w:color w:val="000000"/>
                <w:sz w:val="19"/>
                <w:szCs w:val="19"/>
                <w:lang w:val="lt-LT"/>
              </w:rPr>
            </w:pPr>
            <w:r w:rsidRPr="009658BB">
              <w:rPr>
                <w:rFonts w:cs="Arial"/>
                <w:color w:val="000000"/>
                <w:sz w:val="19"/>
                <w:szCs w:val="19"/>
                <w:lang w:val="lt-LT"/>
              </w:rPr>
              <w:t>1,1</w:t>
            </w:r>
          </w:p>
        </w:tc>
      </w:tr>
      <w:tr w:rsidR="00145C1C" w:rsidRPr="009658BB" w:rsidTr="00B6694B">
        <w:tc>
          <w:tcPr>
            <w:tcW w:w="1504" w:type="pct"/>
            <w:tcBorders>
              <w:top w:val="nil"/>
              <w:left w:val="single" w:sz="4" w:space="0" w:color="auto"/>
              <w:bottom w:val="nil"/>
              <w:right w:val="single" w:sz="4" w:space="0" w:color="auto"/>
            </w:tcBorders>
            <w:shd w:val="clear" w:color="auto" w:fill="auto"/>
            <w:vAlign w:val="bottom"/>
            <w:hideMark/>
          </w:tcPr>
          <w:p w:rsidR="00145C1C" w:rsidRPr="009658BB" w:rsidRDefault="00145C1C" w:rsidP="00145C1C">
            <w:pPr>
              <w:spacing w:before="40" w:after="40"/>
              <w:ind w:right="-85"/>
              <w:rPr>
                <w:rFonts w:cs="Arial"/>
                <w:color w:val="000000"/>
                <w:sz w:val="19"/>
                <w:szCs w:val="19"/>
                <w:lang w:val="lt-LT" w:eastAsia="lt-LT"/>
              </w:rPr>
            </w:pPr>
            <w:r w:rsidRPr="009658BB">
              <w:rPr>
                <w:rFonts w:cs="Arial"/>
                <w:color w:val="000000"/>
                <w:sz w:val="19"/>
                <w:szCs w:val="19"/>
                <w:lang w:val="lt-LT" w:eastAsia="lt-LT"/>
              </w:rPr>
              <w:t>Didmeninė ir mažmeninė prekyba; variklinių transporto priemonių ir motociklų remontas</w:t>
            </w:r>
          </w:p>
        </w:tc>
        <w:tc>
          <w:tcPr>
            <w:tcW w:w="583" w:type="pct"/>
            <w:tcBorders>
              <w:top w:val="nil"/>
              <w:left w:val="nil"/>
              <w:bottom w:val="nil"/>
              <w:right w:val="single" w:sz="4" w:space="0" w:color="auto"/>
            </w:tcBorders>
            <w:shd w:val="clear" w:color="auto" w:fill="auto"/>
            <w:vAlign w:val="bottom"/>
            <w:hideMark/>
          </w:tcPr>
          <w:p w:rsidR="00145C1C" w:rsidRPr="009658BB" w:rsidRDefault="00145C1C" w:rsidP="00145C1C">
            <w:pPr>
              <w:spacing w:before="40" w:after="40"/>
              <w:jc w:val="right"/>
              <w:rPr>
                <w:rFonts w:cs="Arial"/>
                <w:color w:val="000000"/>
                <w:sz w:val="19"/>
                <w:szCs w:val="19"/>
                <w:lang w:val="lt-LT"/>
              </w:rPr>
            </w:pPr>
            <w:r w:rsidRPr="009658BB">
              <w:rPr>
                <w:rFonts w:cs="Arial"/>
                <w:color w:val="000000"/>
                <w:sz w:val="19"/>
                <w:szCs w:val="19"/>
                <w:lang w:val="lt-LT"/>
              </w:rPr>
              <w:t>2,4</w:t>
            </w:r>
          </w:p>
        </w:tc>
        <w:tc>
          <w:tcPr>
            <w:tcW w:w="583" w:type="pct"/>
            <w:tcBorders>
              <w:top w:val="nil"/>
              <w:left w:val="single" w:sz="4" w:space="0" w:color="auto"/>
              <w:bottom w:val="nil"/>
              <w:right w:val="single" w:sz="4" w:space="0" w:color="auto"/>
            </w:tcBorders>
            <w:shd w:val="clear" w:color="auto" w:fill="auto"/>
            <w:vAlign w:val="bottom"/>
            <w:hideMark/>
          </w:tcPr>
          <w:p w:rsidR="00145C1C" w:rsidRPr="009658BB" w:rsidRDefault="00145C1C" w:rsidP="00145C1C">
            <w:pPr>
              <w:spacing w:before="40" w:after="40"/>
              <w:jc w:val="right"/>
              <w:rPr>
                <w:rFonts w:cs="Arial"/>
                <w:color w:val="000000"/>
                <w:sz w:val="19"/>
                <w:szCs w:val="19"/>
                <w:lang w:val="lt-LT"/>
              </w:rPr>
            </w:pPr>
            <w:r w:rsidRPr="009658BB">
              <w:rPr>
                <w:rFonts w:cs="Arial"/>
                <w:color w:val="000000"/>
                <w:sz w:val="19"/>
                <w:szCs w:val="19"/>
                <w:lang w:val="lt-LT"/>
              </w:rPr>
              <w:t>1,1</w:t>
            </w:r>
          </w:p>
        </w:tc>
        <w:tc>
          <w:tcPr>
            <w:tcW w:w="583" w:type="pct"/>
            <w:tcBorders>
              <w:top w:val="nil"/>
              <w:left w:val="nil"/>
              <w:bottom w:val="nil"/>
              <w:right w:val="single" w:sz="4" w:space="0" w:color="auto"/>
            </w:tcBorders>
            <w:shd w:val="clear" w:color="auto" w:fill="auto"/>
            <w:vAlign w:val="bottom"/>
            <w:hideMark/>
          </w:tcPr>
          <w:p w:rsidR="00145C1C" w:rsidRPr="009658BB" w:rsidRDefault="00145C1C" w:rsidP="00145C1C">
            <w:pPr>
              <w:spacing w:before="40" w:after="40"/>
              <w:jc w:val="right"/>
              <w:rPr>
                <w:rFonts w:cs="Arial"/>
                <w:color w:val="000000"/>
                <w:sz w:val="19"/>
                <w:szCs w:val="19"/>
                <w:lang w:val="lt-LT"/>
              </w:rPr>
            </w:pPr>
            <w:r w:rsidRPr="009658BB">
              <w:rPr>
                <w:rFonts w:cs="Arial"/>
                <w:color w:val="000000"/>
                <w:sz w:val="19"/>
                <w:szCs w:val="19"/>
                <w:lang w:val="lt-LT"/>
              </w:rPr>
              <w:t>2,4</w:t>
            </w:r>
          </w:p>
        </w:tc>
        <w:tc>
          <w:tcPr>
            <w:tcW w:w="583" w:type="pct"/>
            <w:tcBorders>
              <w:top w:val="nil"/>
              <w:left w:val="single" w:sz="4" w:space="0" w:color="auto"/>
              <w:bottom w:val="nil"/>
              <w:right w:val="nil"/>
            </w:tcBorders>
            <w:shd w:val="clear" w:color="auto" w:fill="auto"/>
            <w:vAlign w:val="bottom"/>
          </w:tcPr>
          <w:p w:rsidR="00145C1C" w:rsidRPr="009658BB" w:rsidRDefault="00145C1C" w:rsidP="00145C1C">
            <w:pPr>
              <w:spacing w:before="40" w:after="40"/>
              <w:jc w:val="right"/>
              <w:rPr>
                <w:rFonts w:cs="Arial"/>
                <w:color w:val="000000"/>
                <w:sz w:val="19"/>
                <w:szCs w:val="19"/>
                <w:lang w:val="lt-LT"/>
              </w:rPr>
            </w:pPr>
            <w:r w:rsidRPr="009658BB">
              <w:rPr>
                <w:rFonts w:cs="Arial"/>
                <w:color w:val="000000"/>
                <w:sz w:val="19"/>
                <w:szCs w:val="19"/>
                <w:lang w:val="lt-LT"/>
              </w:rPr>
              <w:t>1,1</w:t>
            </w:r>
          </w:p>
        </w:tc>
        <w:tc>
          <w:tcPr>
            <w:tcW w:w="583" w:type="pct"/>
            <w:tcBorders>
              <w:top w:val="nil"/>
              <w:left w:val="single" w:sz="4" w:space="0" w:color="auto"/>
              <w:bottom w:val="nil"/>
              <w:right w:val="single" w:sz="4" w:space="0" w:color="auto"/>
            </w:tcBorders>
            <w:shd w:val="clear" w:color="auto" w:fill="auto"/>
            <w:vAlign w:val="bottom"/>
          </w:tcPr>
          <w:p w:rsidR="00145C1C" w:rsidRPr="009658BB" w:rsidRDefault="00145C1C" w:rsidP="00145C1C">
            <w:pPr>
              <w:spacing w:before="40" w:after="40"/>
              <w:jc w:val="right"/>
              <w:rPr>
                <w:rFonts w:cs="Arial"/>
                <w:color w:val="000000"/>
                <w:sz w:val="19"/>
                <w:szCs w:val="19"/>
                <w:lang w:val="lt-LT"/>
              </w:rPr>
            </w:pPr>
            <w:r w:rsidRPr="009658BB">
              <w:rPr>
                <w:rFonts w:cs="Arial"/>
                <w:color w:val="000000"/>
                <w:sz w:val="19"/>
                <w:szCs w:val="19"/>
                <w:lang w:val="lt-LT"/>
              </w:rPr>
              <w:t>1,6</w:t>
            </w:r>
          </w:p>
        </w:tc>
        <w:tc>
          <w:tcPr>
            <w:tcW w:w="581" w:type="pct"/>
            <w:tcBorders>
              <w:top w:val="nil"/>
              <w:left w:val="single" w:sz="4" w:space="0" w:color="auto"/>
              <w:bottom w:val="nil"/>
              <w:right w:val="single" w:sz="4" w:space="0" w:color="auto"/>
            </w:tcBorders>
            <w:vAlign w:val="bottom"/>
          </w:tcPr>
          <w:p w:rsidR="00145C1C" w:rsidRPr="009658BB" w:rsidRDefault="00145C1C" w:rsidP="00145C1C">
            <w:pPr>
              <w:spacing w:before="40" w:after="40"/>
              <w:jc w:val="right"/>
              <w:rPr>
                <w:rFonts w:cs="Arial"/>
                <w:color w:val="000000"/>
                <w:sz w:val="19"/>
                <w:szCs w:val="19"/>
                <w:lang w:val="lt-LT"/>
              </w:rPr>
            </w:pPr>
            <w:r w:rsidRPr="009658BB">
              <w:rPr>
                <w:rFonts w:cs="Arial"/>
                <w:color w:val="000000"/>
                <w:sz w:val="19"/>
                <w:szCs w:val="19"/>
                <w:lang w:val="lt-LT"/>
              </w:rPr>
              <w:t>0,8</w:t>
            </w:r>
          </w:p>
        </w:tc>
      </w:tr>
      <w:tr w:rsidR="00145C1C" w:rsidRPr="009658BB" w:rsidTr="00B6694B">
        <w:tc>
          <w:tcPr>
            <w:tcW w:w="1504" w:type="pct"/>
            <w:tcBorders>
              <w:top w:val="nil"/>
              <w:left w:val="single" w:sz="4" w:space="0" w:color="auto"/>
              <w:bottom w:val="nil"/>
              <w:right w:val="single" w:sz="4" w:space="0" w:color="auto"/>
            </w:tcBorders>
            <w:shd w:val="clear" w:color="auto" w:fill="auto"/>
            <w:vAlign w:val="bottom"/>
            <w:hideMark/>
          </w:tcPr>
          <w:p w:rsidR="00145C1C" w:rsidRPr="009658BB" w:rsidRDefault="00145C1C" w:rsidP="00145C1C">
            <w:pPr>
              <w:spacing w:before="40" w:after="40"/>
              <w:ind w:right="-85"/>
              <w:rPr>
                <w:rFonts w:cs="Arial"/>
                <w:color w:val="000000"/>
                <w:sz w:val="19"/>
                <w:szCs w:val="19"/>
                <w:lang w:val="lt-LT" w:eastAsia="lt-LT"/>
              </w:rPr>
            </w:pPr>
            <w:r w:rsidRPr="009658BB">
              <w:rPr>
                <w:rFonts w:cs="Arial"/>
                <w:color w:val="000000"/>
                <w:sz w:val="19"/>
                <w:szCs w:val="19"/>
                <w:lang w:val="lt-LT" w:eastAsia="lt-LT"/>
              </w:rPr>
              <w:t>Transportas ir saugojimas</w:t>
            </w:r>
          </w:p>
        </w:tc>
        <w:tc>
          <w:tcPr>
            <w:tcW w:w="583" w:type="pct"/>
            <w:tcBorders>
              <w:top w:val="nil"/>
              <w:left w:val="nil"/>
              <w:bottom w:val="nil"/>
              <w:right w:val="single" w:sz="4" w:space="0" w:color="auto"/>
            </w:tcBorders>
            <w:shd w:val="clear" w:color="auto" w:fill="auto"/>
            <w:vAlign w:val="bottom"/>
            <w:hideMark/>
          </w:tcPr>
          <w:p w:rsidR="00145C1C" w:rsidRPr="009658BB" w:rsidRDefault="00145C1C" w:rsidP="00145C1C">
            <w:pPr>
              <w:spacing w:before="40" w:after="40"/>
              <w:jc w:val="right"/>
              <w:rPr>
                <w:rFonts w:cs="Arial"/>
                <w:color w:val="000000"/>
                <w:sz w:val="19"/>
                <w:szCs w:val="19"/>
                <w:lang w:val="lt-LT"/>
              </w:rPr>
            </w:pPr>
            <w:r w:rsidRPr="009658BB">
              <w:rPr>
                <w:rFonts w:cs="Arial"/>
                <w:color w:val="000000"/>
                <w:sz w:val="19"/>
                <w:szCs w:val="19"/>
                <w:lang w:val="lt-LT"/>
              </w:rPr>
              <w:t>2,0</w:t>
            </w:r>
          </w:p>
        </w:tc>
        <w:tc>
          <w:tcPr>
            <w:tcW w:w="583" w:type="pct"/>
            <w:tcBorders>
              <w:top w:val="nil"/>
              <w:left w:val="single" w:sz="4" w:space="0" w:color="auto"/>
              <w:bottom w:val="nil"/>
              <w:right w:val="single" w:sz="4" w:space="0" w:color="auto"/>
            </w:tcBorders>
            <w:shd w:val="clear" w:color="auto" w:fill="auto"/>
            <w:vAlign w:val="bottom"/>
            <w:hideMark/>
          </w:tcPr>
          <w:p w:rsidR="00145C1C" w:rsidRPr="009658BB" w:rsidRDefault="00145C1C" w:rsidP="00145C1C">
            <w:pPr>
              <w:spacing w:before="40" w:after="40"/>
              <w:jc w:val="right"/>
              <w:rPr>
                <w:rFonts w:cs="Arial"/>
                <w:color w:val="000000"/>
                <w:sz w:val="19"/>
                <w:szCs w:val="19"/>
                <w:lang w:val="lt-LT"/>
              </w:rPr>
            </w:pPr>
            <w:r w:rsidRPr="009658BB">
              <w:rPr>
                <w:rFonts w:cs="Arial"/>
                <w:color w:val="000000"/>
                <w:sz w:val="19"/>
                <w:szCs w:val="19"/>
                <w:lang w:val="lt-LT"/>
              </w:rPr>
              <w:t>1,6</w:t>
            </w:r>
          </w:p>
        </w:tc>
        <w:tc>
          <w:tcPr>
            <w:tcW w:w="583" w:type="pct"/>
            <w:tcBorders>
              <w:top w:val="nil"/>
              <w:left w:val="nil"/>
              <w:bottom w:val="nil"/>
              <w:right w:val="single" w:sz="4" w:space="0" w:color="auto"/>
            </w:tcBorders>
            <w:shd w:val="clear" w:color="auto" w:fill="auto"/>
            <w:vAlign w:val="bottom"/>
            <w:hideMark/>
          </w:tcPr>
          <w:p w:rsidR="00145C1C" w:rsidRPr="009658BB" w:rsidRDefault="00145C1C" w:rsidP="00145C1C">
            <w:pPr>
              <w:spacing w:before="40" w:after="40"/>
              <w:jc w:val="right"/>
              <w:rPr>
                <w:rFonts w:cs="Arial"/>
                <w:color w:val="000000"/>
                <w:sz w:val="19"/>
                <w:szCs w:val="19"/>
                <w:lang w:val="lt-LT"/>
              </w:rPr>
            </w:pPr>
            <w:r w:rsidRPr="009658BB">
              <w:rPr>
                <w:rFonts w:cs="Arial"/>
                <w:color w:val="000000"/>
                <w:sz w:val="19"/>
                <w:szCs w:val="19"/>
                <w:lang w:val="lt-LT"/>
              </w:rPr>
              <w:t>1,9</w:t>
            </w:r>
          </w:p>
        </w:tc>
        <w:tc>
          <w:tcPr>
            <w:tcW w:w="583" w:type="pct"/>
            <w:tcBorders>
              <w:top w:val="nil"/>
              <w:left w:val="single" w:sz="4" w:space="0" w:color="auto"/>
              <w:bottom w:val="nil"/>
              <w:right w:val="nil"/>
            </w:tcBorders>
            <w:shd w:val="clear" w:color="auto" w:fill="auto"/>
            <w:vAlign w:val="bottom"/>
          </w:tcPr>
          <w:p w:rsidR="00145C1C" w:rsidRPr="009658BB" w:rsidRDefault="00145C1C" w:rsidP="00145C1C">
            <w:pPr>
              <w:spacing w:before="40" w:after="40"/>
              <w:jc w:val="right"/>
              <w:rPr>
                <w:rFonts w:cs="Arial"/>
                <w:color w:val="000000"/>
                <w:sz w:val="19"/>
                <w:szCs w:val="19"/>
                <w:lang w:val="lt-LT"/>
              </w:rPr>
            </w:pPr>
            <w:r w:rsidRPr="009658BB">
              <w:rPr>
                <w:rFonts w:cs="Arial"/>
                <w:color w:val="000000"/>
                <w:sz w:val="19"/>
                <w:szCs w:val="19"/>
                <w:lang w:val="lt-LT"/>
              </w:rPr>
              <w:t>1,3</w:t>
            </w:r>
          </w:p>
        </w:tc>
        <w:tc>
          <w:tcPr>
            <w:tcW w:w="583" w:type="pct"/>
            <w:tcBorders>
              <w:top w:val="nil"/>
              <w:left w:val="single" w:sz="4" w:space="0" w:color="auto"/>
              <w:bottom w:val="nil"/>
              <w:right w:val="single" w:sz="4" w:space="0" w:color="auto"/>
            </w:tcBorders>
            <w:shd w:val="clear" w:color="auto" w:fill="auto"/>
            <w:vAlign w:val="bottom"/>
          </w:tcPr>
          <w:p w:rsidR="00145C1C" w:rsidRPr="009658BB" w:rsidRDefault="00145C1C" w:rsidP="00145C1C">
            <w:pPr>
              <w:spacing w:before="40" w:after="40"/>
              <w:jc w:val="right"/>
              <w:rPr>
                <w:rFonts w:cs="Arial"/>
                <w:color w:val="000000"/>
                <w:sz w:val="19"/>
                <w:szCs w:val="19"/>
                <w:lang w:val="lt-LT"/>
              </w:rPr>
            </w:pPr>
            <w:r w:rsidRPr="009658BB">
              <w:rPr>
                <w:rFonts w:cs="Arial"/>
                <w:color w:val="000000"/>
                <w:sz w:val="19"/>
                <w:szCs w:val="19"/>
                <w:lang w:val="lt-LT"/>
              </w:rPr>
              <w:t>3,1</w:t>
            </w:r>
          </w:p>
        </w:tc>
        <w:tc>
          <w:tcPr>
            <w:tcW w:w="581" w:type="pct"/>
            <w:tcBorders>
              <w:top w:val="nil"/>
              <w:left w:val="single" w:sz="4" w:space="0" w:color="auto"/>
              <w:bottom w:val="nil"/>
              <w:right w:val="single" w:sz="4" w:space="0" w:color="auto"/>
            </w:tcBorders>
            <w:vAlign w:val="bottom"/>
          </w:tcPr>
          <w:p w:rsidR="00145C1C" w:rsidRPr="009658BB" w:rsidRDefault="00145C1C" w:rsidP="00145C1C">
            <w:pPr>
              <w:spacing w:before="40" w:after="40"/>
              <w:jc w:val="right"/>
              <w:rPr>
                <w:rFonts w:cs="Arial"/>
                <w:color w:val="000000"/>
                <w:sz w:val="19"/>
                <w:szCs w:val="19"/>
                <w:lang w:val="lt-LT"/>
              </w:rPr>
            </w:pPr>
            <w:r w:rsidRPr="009658BB">
              <w:rPr>
                <w:rFonts w:cs="Arial"/>
                <w:color w:val="000000"/>
                <w:sz w:val="19"/>
                <w:szCs w:val="19"/>
                <w:lang w:val="lt-LT"/>
              </w:rPr>
              <w:t>2,2</w:t>
            </w:r>
          </w:p>
        </w:tc>
      </w:tr>
      <w:tr w:rsidR="00145C1C" w:rsidRPr="009658BB" w:rsidTr="00B6694B">
        <w:tc>
          <w:tcPr>
            <w:tcW w:w="1504" w:type="pct"/>
            <w:tcBorders>
              <w:top w:val="nil"/>
              <w:left w:val="single" w:sz="4" w:space="0" w:color="auto"/>
              <w:bottom w:val="nil"/>
              <w:right w:val="single" w:sz="4" w:space="0" w:color="auto"/>
            </w:tcBorders>
            <w:shd w:val="clear" w:color="auto" w:fill="auto"/>
            <w:vAlign w:val="bottom"/>
            <w:hideMark/>
          </w:tcPr>
          <w:p w:rsidR="00145C1C" w:rsidRPr="009658BB" w:rsidRDefault="00145C1C" w:rsidP="00145C1C">
            <w:pPr>
              <w:spacing w:before="40" w:after="40"/>
              <w:ind w:right="-85"/>
              <w:rPr>
                <w:rFonts w:cs="Arial"/>
                <w:color w:val="000000"/>
                <w:sz w:val="19"/>
                <w:szCs w:val="19"/>
                <w:lang w:val="lt-LT" w:eastAsia="lt-LT"/>
              </w:rPr>
            </w:pPr>
            <w:r w:rsidRPr="009658BB">
              <w:rPr>
                <w:rFonts w:cs="Arial"/>
                <w:color w:val="000000"/>
                <w:sz w:val="19"/>
                <w:szCs w:val="19"/>
                <w:lang w:val="lt-LT" w:eastAsia="lt-LT"/>
              </w:rPr>
              <w:t>Apgyvendinimo ir maitinimo paslaugų veikla</w:t>
            </w:r>
          </w:p>
        </w:tc>
        <w:tc>
          <w:tcPr>
            <w:tcW w:w="583" w:type="pct"/>
            <w:tcBorders>
              <w:top w:val="nil"/>
              <w:left w:val="nil"/>
              <w:bottom w:val="nil"/>
              <w:right w:val="single" w:sz="4" w:space="0" w:color="auto"/>
            </w:tcBorders>
            <w:shd w:val="clear" w:color="auto" w:fill="auto"/>
            <w:vAlign w:val="bottom"/>
            <w:hideMark/>
          </w:tcPr>
          <w:p w:rsidR="00145C1C" w:rsidRPr="009658BB" w:rsidRDefault="00145C1C" w:rsidP="00145C1C">
            <w:pPr>
              <w:spacing w:before="40" w:after="40"/>
              <w:jc w:val="right"/>
              <w:rPr>
                <w:rFonts w:cs="Arial"/>
                <w:color w:val="000000"/>
                <w:sz w:val="19"/>
                <w:szCs w:val="19"/>
                <w:lang w:val="lt-LT"/>
              </w:rPr>
            </w:pPr>
            <w:r w:rsidRPr="009658BB">
              <w:rPr>
                <w:rFonts w:cs="Arial"/>
                <w:color w:val="000000"/>
                <w:sz w:val="19"/>
                <w:szCs w:val="19"/>
                <w:lang w:val="lt-LT"/>
              </w:rPr>
              <w:t>0,4</w:t>
            </w:r>
          </w:p>
        </w:tc>
        <w:tc>
          <w:tcPr>
            <w:tcW w:w="583" w:type="pct"/>
            <w:tcBorders>
              <w:top w:val="nil"/>
              <w:left w:val="single" w:sz="4" w:space="0" w:color="auto"/>
              <w:bottom w:val="nil"/>
              <w:right w:val="single" w:sz="4" w:space="0" w:color="auto"/>
            </w:tcBorders>
            <w:shd w:val="clear" w:color="auto" w:fill="auto"/>
            <w:vAlign w:val="bottom"/>
            <w:hideMark/>
          </w:tcPr>
          <w:p w:rsidR="00145C1C" w:rsidRPr="009658BB" w:rsidRDefault="00145C1C" w:rsidP="00145C1C">
            <w:pPr>
              <w:spacing w:before="40" w:after="40"/>
              <w:jc w:val="right"/>
              <w:rPr>
                <w:rFonts w:cs="Arial"/>
                <w:color w:val="000000"/>
                <w:sz w:val="19"/>
                <w:szCs w:val="19"/>
                <w:lang w:val="lt-LT"/>
              </w:rPr>
            </w:pPr>
            <w:r w:rsidRPr="009658BB">
              <w:rPr>
                <w:rFonts w:cs="Arial"/>
                <w:color w:val="000000"/>
                <w:sz w:val="19"/>
                <w:szCs w:val="19"/>
                <w:lang w:val="lt-LT"/>
              </w:rPr>
              <w:t>1,1</w:t>
            </w:r>
          </w:p>
        </w:tc>
        <w:tc>
          <w:tcPr>
            <w:tcW w:w="583" w:type="pct"/>
            <w:tcBorders>
              <w:top w:val="nil"/>
              <w:left w:val="nil"/>
              <w:bottom w:val="nil"/>
              <w:right w:val="single" w:sz="4" w:space="0" w:color="auto"/>
            </w:tcBorders>
            <w:shd w:val="clear" w:color="auto" w:fill="auto"/>
            <w:vAlign w:val="bottom"/>
            <w:hideMark/>
          </w:tcPr>
          <w:p w:rsidR="00145C1C" w:rsidRPr="009658BB" w:rsidRDefault="00145C1C" w:rsidP="00145C1C">
            <w:pPr>
              <w:spacing w:before="40" w:after="40"/>
              <w:jc w:val="right"/>
              <w:rPr>
                <w:rFonts w:cs="Arial"/>
                <w:color w:val="000000"/>
                <w:sz w:val="19"/>
                <w:szCs w:val="19"/>
                <w:lang w:val="lt-LT"/>
              </w:rPr>
            </w:pPr>
            <w:r w:rsidRPr="009658BB">
              <w:rPr>
                <w:rFonts w:cs="Arial"/>
                <w:color w:val="000000"/>
                <w:sz w:val="19"/>
                <w:szCs w:val="19"/>
                <w:lang w:val="lt-LT"/>
              </w:rPr>
              <w:t>0,4</w:t>
            </w:r>
          </w:p>
        </w:tc>
        <w:tc>
          <w:tcPr>
            <w:tcW w:w="583" w:type="pct"/>
            <w:tcBorders>
              <w:top w:val="nil"/>
              <w:left w:val="single" w:sz="4" w:space="0" w:color="auto"/>
              <w:bottom w:val="nil"/>
              <w:right w:val="nil"/>
            </w:tcBorders>
            <w:shd w:val="clear" w:color="auto" w:fill="auto"/>
            <w:vAlign w:val="bottom"/>
          </w:tcPr>
          <w:p w:rsidR="00145C1C" w:rsidRPr="009658BB" w:rsidRDefault="00145C1C" w:rsidP="00145C1C">
            <w:pPr>
              <w:spacing w:before="40" w:after="40"/>
              <w:jc w:val="right"/>
              <w:rPr>
                <w:rFonts w:cs="Arial"/>
                <w:color w:val="000000"/>
                <w:sz w:val="19"/>
                <w:szCs w:val="19"/>
                <w:lang w:val="lt-LT"/>
              </w:rPr>
            </w:pPr>
            <w:r w:rsidRPr="009658BB">
              <w:rPr>
                <w:rFonts w:cs="Arial"/>
                <w:color w:val="000000"/>
                <w:sz w:val="19"/>
                <w:szCs w:val="19"/>
                <w:lang w:val="lt-LT"/>
              </w:rPr>
              <w:t>1,0</w:t>
            </w:r>
          </w:p>
        </w:tc>
        <w:tc>
          <w:tcPr>
            <w:tcW w:w="583" w:type="pct"/>
            <w:tcBorders>
              <w:top w:val="nil"/>
              <w:left w:val="single" w:sz="4" w:space="0" w:color="auto"/>
              <w:bottom w:val="nil"/>
              <w:right w:val="single" w:sz="4" w:space="0" w:color="auto"/>
            </w:tcBorders>
            <w:shd w:val="clear" w:color="auto" w:fill="auto"/>
            <w:vAlign w:val="bottom"/>
          </w:tcPr>
          <w:p w:rsidR="00145C1C" w:rsidRPr="009658BB" w:rsidRDefault="00145C1C" w:rsidP="00145C1C">
            <w:pPr>
              <w:spacing w:before="40" w:after="40"/>
              <w:jc w:val="right"/>
              <w:rPr>
                <w:rFonts w:cs="Arial"/>
                <w:color w:val="000000"/>
                <w:sz w:val="19"/>
                <w:szCs w:val="19"/>
                <w:lang w:val="lt-LT"/>
              </w:rPr>
            </w:pPr>
            <w:r w:rsidRPr="009658BB">
              <w:rPr>
                <w:rFonts w:cs="Arial"/>
                <w:color w:val="000000"/>
                <w:sz w:val="19"/>
                <w:szCs w:val="19"/>
                <w:lang w:val="lt-LT"/>
              </w:rPr>
              <w:t>0,1</w:t>
            </w:r>
          </w:p>
        </w:tc>
        <w:tc>
          <w:tcPr>
            <w:tcW w:w="581" w:type="pct"/>
            <w:tcBorders>
              <w:top w:val="nil"/>
              <w:left w:val="single" w:sz="4" w:space="0" w:color="auto"/>
              <w:bottom w:val="nil"/>
              <w:right w:val="single" w:sz="4" w:space="0" w:color="auto"/>
            </w:tcBorders>
            <w:vAlign w:val="bottom"/>
          </w:tcPr>
          <w:p w:rsidR="00145C1C" w:rsidRPr="009658BB" w:rsidRDefault="00145C1C" w:rsidP="00145C1C">
            <w:pPr>
              <w:spacing w:before="40" w:after="40"/>
              <w:jc w:val="right"/>
              <w:rPr>
                <w:rFonts w:cs="Arial"/>
                <w:color w:val="000000"/>
                <w:sz w:val="19"/>
                <w:szCs w:val="19"/>
                <w:lang w:val="lt-LT"/>
              </w:rPr>
            </w:pPr>
            <w:r w:rsidRPr="009658BB">
              <w:rPr>
                <w:rFonts w:cs="Arial"/>
                <w:color w:val="000000"/>
                <w:sz w:val="19"/>
                <w:szCs w:val="19"/>
                <w:lang w:val="lt-LT"/>
              </w:rPr>
              <w:t>0,3</w:t>
            </w:r>
          </w:p>
        </w:tc>
      </w:tr>
      <w:tr w:rsidR="00145C1C" w:rsidRPr="009658BB" w:rsidTr="00B6694B">
        <w:tc>
          <w:tcPr>
            <w:tcW w:w="1504" w:type="pct"/>
            <w:tcBorders>
              <w:top w:val="nil"/>
              <w:left w:val="single" w:sz="4" w:space="0" w:color="auto"/>
              <w:bottom w:val="nil"/>
              <w:right w:val="single" w:sz="4" w:space="0" w:color="auto"/>
            </w:tcBorders>
            <w:shd w:val="clear" w:color="auto" w:fill="auto"/>
            <w:vAlign w:val="bottom"/>
            <w:hideMark/>
          </w:tcPr>
          <w:p w:rsidR="00145C1C" w:rsidRPr="009658BB" w:rsidRDefault="00145C1C" w:rsidP="00145C1C">
            <w:pPr>
              <w:spacing w:before="40" w:after="40"/>
              <w:ind w:right="-85"/>
              <w:rPr>
                <w:rFonts w:cs="Arial"/>
                <w:color w:val="000000"/>
                <w:sz w:val="19"/>
                <w:szCs w:val="19"/>
                <w:lang w:val="lt-LT" w:eastAsia="lt-LT"/>
              </w:rPr>
            </w:pPr>
            <w:r w:rsidRPr="009658BB">
              <w:rPr>
                <w:rFonts w:cs="Arial"/>
                <w:color w:val="000000"/>
                <w:sz w:val="19"/>
                <w:szCs w:val="19"/>
                <w:lang w:val="lt-LT" w:eastAsia="lt-LT"/>
              </w:rPr>
              <w:t>Informacija ir ryšiai</w:t>
            </w:r>
          </w:p>
        </w:tc>
        <w:tc>
          <w:tcPr>
            <w:tcW w:w="583" w:type="pct"/>
            <w:tcBorders>
              <w:top w:val="nil"/>
              <w:left w:val="nil"/>
              <w:bottom w:val="nil"/>
              <w:right w:val="single" w:sz="4" w:space="0" w:color="auto"/>
            </w:tcBorders>
            <w:shd w:val="clear" w:color="auto" w:fill="auto"/>
            <w:vAlign w:val="bottom"/>
            <w:hideMark/>
          </w:tcPr>
          <w:p w:rsidR="00145C1C" w:rsidRPr="009658BB" w:rsidRDefault="00145C1C" w:rsidP="00145C1C">
            <w:pPr>
              <w:spacing w:before="40" w:after="40"/>
              <w:jc w:val="right"/>
              <w:rPr>
                <w:rFonts w:cs="Arial"/>
                <w:color w:val="000000"/>
                <w:sz w:val="19"/>
                <w:szCs w:val="19"/>
                <w:lang w:val="lt-LT"/>
              </w:rPr>
            </w:pPr>
            <w:r w:rsidRPr="009658BB">
              <w:rPr>
                <w:rFonts w:cs="Arial"/>
                <w:color w:val="000000"/>
                <w:sz w:val="19"/>
                <w:szCs w:val="19"/>
                <w:lang w:val="lt-LT"/>
              </w:rPr>
              <w:t>0,8</w:t>
            </w:r>
          </w:p>
        </w:tc>
        <w:tc>
          <w:tcPr>
            <w:tcW w:w="583" w:type="pct"/>
            <w:tcBorders>
              <w:top w:val="nil"/>
              <w:left w:val="single" w:sz="4" w:space="0" w:color="auto"/>
              <w:bottom w:val="nil"/>
              <w:right w:val="single" w:sz="4" w:space="0" w:color="auto"/>
            </w:tcBorders>
            <w:shd w:val="clear" w:color="auto" w:fill="auto"/>
            <w:vAlign w:val="bottom"/>
            <w:hideMark/>
          </w:tcPr>
          <w:p w:rsidR="00145C1C" w:rsidRPr="009658BB" w:rsidRDefault="00145C1C" w:rsidP="00145C1C">
            <w:pPr>
              <w:spacing w:before="40" w:after="40"/>
              <w:jc w:val="right"/>
              <w:rPr>
                <w:rFonts w:cs="Arial"/>
                <w:color w:val="000000"/>
                <w:sz w:val="19"/>
                <w:szCs w:val="19"/>
                <w:lang w:val="lt-LT"/>
              </w:rPr>
            </w:pPr>
            <w:r w:rsidRPr="009658BB">
              <w:rPr>
                <w:rFonts w:cs="Arial"/>
                <w:color w:val="000000"/>
                <w:sz w:val="19"/>
                <w:szCs w:val="19"/>
                <w:lang w:val="lt-LT"/>
              </w:rPr>
              <w:t>2,6</w:t>
            </w:r>
          </w:p>
        </w:tc>
        <w:tc>
          <w:tcPr>
            <w:tcW w:w="583" w:type="pct"/>
            <w:tcBorders>
              <w:top w:val="nil"/>
              <w:left w:val="nil"/>
              <w:bottom w:val="nil"/>
              <w:right w:val="single" w:sz="4" w:space="0" w:color="auto"/>
            </w:tcBorders>
            <w:shd w:val="clear" w:color="auto" w:fill="auto"/>
            <w:vAlign w:val="bottom"/>
            <w:hideMark/>
          </w:tcPr>
          <w:p w:rsidR="00145C1C" w:rsidRPr="009658BB" w:rsidRDefault="00145C1C" w:rsidP="00145C1C">
            <w:pPr>
              <w:spacing w:before="40" w:after="40"/>
              <w:jc w:val="right"/>
              <w:rPr>
                <w:rFonts w:cs="Arial"/>
                <w:color w:val="000000"/>
                <w:sz w:val="19"/>
                <w:szCs w:val="19"/>
                <w:lang w:val="lt-LT"/>
              </w:rPr>
            </w:pPr>
            <w:r w:rsidRPr="009658BB">
              <w:rPr>
                <w:rFonts w:cs="Arial"/>
                <w:color w:val="000000"/>
                <w:sz w:val="19"/>
                <w:szCs w:val="19"/>
                <w:lang w:val="lt-LT"/>
              </w:rPr>
              <w:t>0,7</w:t>
            </w:r>
          </w:p>
        </w:tc>
        <w:tc>
          <w:tcPr>
            <w:tcW w:w="583" w:type="pct"/>
            <w:tcBorders>
              <w:top w:val="nil"/>
              <w:left w:val="single" w:sz="4" w:space="0" w:color="auto"/>
              <w:bottom w:val="nil"/>
              <w:right w:val="nil"/>
            </w:tcBorders>
            <w:shd w:val="clear" w:color="auto" w:fill="auto"/>
            <w:vAlign w:val="bottom"/>
          </w:tcPr>
          <w:p w:rsidR="00145C1C" w:rsidRPr="009658BB" w:rsidRDefault="00145C1C" w:rsidP="00145C1C">
            <w:pPr>
              <w:spacing w:before="40" w:after="40"/>
              <w:jc w:val="right"/>
              <w:rPr>
                <w:rFonts w:cs="Arial"/>
                <w:color w:val="000000"/>
                <w:sz w:val="19"/>
                <w:szCs w:val="19"/>
                <w:lang w:val="lt-LT"/>
              </w:rPr>
            </w:pPr>
            <w:r w:rsidRPr="009658BB">
              <w:rPr>
                <w:rFonts w:cs="Arial"/>
                <w:color w:val="000000"/>
                <w:sz w:val="19"/>
                <w:szCs w:val="19"/>
                <w:lang w:val="lt-LT"/>
              </w:rPr>
              <w:t>2,1</w:t>
            </w:r>
          </w:p>
        </w:tc>
        <w:tc>
          <w:tcPr>
            <w:tcW w:w="583" w:type="pct"/>
            <w:tcBorders>
              <w:top w:val="nil"/>
              <w:left w:val="single" w:sz="4" w:space="0" w:color="auto"/>
              <w:bottom w:val="nil"/>
              <w:right w:val="single" w:sz="4" w:space="0" w:color="auto"/>
            </w:tcBorders>
            <w:shd w:val="clear" w:color="auto" w:fill="auto"/>
            <w:vAlign w:val="bottom"/>
          </w:tcPr>
          <w:p w:rsidR="00145C1C" w:rsidRPr="009658BB" w:rsidRDefault="00145C1C" w:rsidP="00145C1C">
            <w:pPr>
              <w:spacing w:before="40" w:after="40"/>
              <w:jc w:val="right"/>
              <w:rPr>
                <w:rFonts w:cs="Arial"/>
                <w:color w:val="000000"/>
                <w:sz w:val="19"/>
                <w:szCs w:val="19"/>
                <w:lang w:val="lt-LT"/>
              </w:rPr>
            </w:pPr>
            <w:r w:rsidRPr="009658BB">
              <w:rPr>
                <w:rFonts w:cs="Arial"/>
                <w:color w:val="000000"/>
                <w:sz w:val="19"/>
                <w:szCs w:val="19"/>
                <w:lang w:val="lt-LT"/>
              </w:rPr>
              <w:t>0,7</w:t>
            </w:r>
          </w:p>
        </w:tc>
        <w:tc>
          <w:tcPr>
            <w:tcW w:w="581" w:type="pct"/>
            <w:tcBorders>
              <w:top w:val="nil"/>
              <w:left w:val="single" w:sz="4" w:space="0" w:color="auto"/>
              <w:bottom w:val="nil"/>
              <w:right w:val="single" w:sz="4" w:space="0" w:color="auto"/>
            </w:tcBorders>
            <w:vAlign w:val="bottom"/>
          </w:tcPr>
          <w:p w:rsidR="00145C1C" w:rsidRPr="009658BB" w:rsidRDefault="00145C1C" w:rsidP="00145C1C">
            <w:pPr>
              <w:spacing w:before="40" w:after="40"/>
              <w:jc w:val="right"/>
              <w:rPr>
                <w:rFonts w:cs="Arial"/>
                <w:color w:val="000000"/>
                <w:sz w:val="19"/>
                <w:szCs w:val="19"/>
                <w:lang w:val="lt-LT"/>
              </w:rPr>
            </w:pPr>
            <w:r w:rsidRPr="009658BB">
              <w:rPr>
                <w:rFonts w:cs="Arial"/>
                <w:color w:val="000000"/>
                <w:sz w:val="19"/>
                <w:szCs w:val="19"/>
                <w:lang w:val="lt-LT"/>
              </w:rPr>
              <w:t>2,1</w:t>
            </w:r>
          </w:p>
        </w:tc>
      </w:tr>
      <w:tr w:rsidR="00145C1C" w:rsidRPr="009658BB" w:rsidTr="00B6694B">
        <w:tc>
          <w:tcPr>
            <w:tcW w:w="1504" w:type="pct"/>
            <w:tcBorders>
              <w:top w:val="nil"/>
              <w:left w:val="single" w:sz="4" w:space="0" w:color="auto"/>
              <w:bottom w:val="nil"/>
              <w:right w:val="single" w:sz="4" w:space="0" w:color="auto"/>
            </w:tcBorders>
            <w:shd w:val="clear" w:color="auto" w:fill="auto"/>
            <w:vAlign w:val="bottom"/>
            <w:hideMark/>
          </w:tcPr>
          <w:p w:rsidR="00145C1C" w:rsidRPr="009658BB" w:rsidRDefault="00145C1C" w:rsidP="00145C1C">
            <w:pPr>
              <w:spacing w:before="40" w:after="40"/>
              <w:ind w:right="-85"/>
              <w:rPr>
                <w:rFonts w:cs="Arial"/>
                <w:color w:val="000000"/>
                <w:sz w:val="19"/>
                <w:szCs w:val="19"/>
                <w:lang w:val="lt-LT" w:eastAsia="lt-LT"/>
              </w:rPr>
            </w:pPr>
            <w:r w:rsidRPr="009658BB">
              <w:rPr>
                <w:rFonts w:cs="Arial"/>
                <w:color w:val="000000"/>
                <w:sz w:val="19"/>
                <w:szCs w:val="19"/>
                <w:lang w:val="lt-LT" w:eastAsia="lt-LT"/>
              </w:rPr>
              <w:t>Finansinė ir draudimo veikla</w:t>
            </w:r>
          </w:p>
        </w:tc>
        <w:tc>
          <w:tcPr>
            <w:tcW w:w="583" w:type="pct"/>
            <w:tcBorders>
              <w:top w:val="nil"/>
              <w:left w:val="nil"/>
              <w:bottom w:val="nil"/>
              <w:right w:val="single" w:sz="4" w:space="0" w:color="auto"/>
            </w:tcBorders>
            <w:shd w:val="clear" w:color="auto" w:fill="auto"/>
            <w:vAlign w:val="bottom"/>
            <w:hideMark/>
          </w:tcPr>
          <w:p w:rsidR="00145C1C" w:rsidRPr="009658BB" w:rsidRDefault="00145C1C" w:rsidP="00145C1C">
            <w:pPr>
              <w:spacing w:before="40" w:after="40"/>
              <w:jc w:val="right"/>
              <w:rPr>
                <w:rFonts w:cs="Arial"/>
                <w:color w:val="000000"/>
                <w:sz w:val="19"/>
                <w:szCs w:val="19"/>
                <w:lang w:val="lt-LT"/>
              </w:rPr>
            </w:pPr>
            <w:r w:rsidRPr="009658BB">
              <w:rPr>
                <w:rFonts w:cs="Arial"/>
                <w:color w:val="000000"/>
                <w:sz w:val="19"/>
                <w:szCs w:val="19"/>
                <w:lang w:val="lt-LT"/>
              </w:rPr>
              <w:t>0,6</w:t>
            </w:r>
          </w:p>
        </w:tc>
        <w:tc>
          <w:tcPr>
            <w:tcW w:w="583" w:type="pct"/>
            <w:tcBorders>
              <w:top w:val="nil"/>
              <w:left w:val="single" w:sz="4" w:space="0" w:color="auto"/>
              <w:bottom w:val="nil"/>
              <w:right w:val="single" w:sz="4" w:space="0" w:color="auto"/>
            </w:tcBorders>
            <w:shd w:val="clear" w:color="auto" w:fill="auto"/>
            <w:vAlign w:val="bottom"/>
            <w:hideMark/>
          </w:tcPr>
          <w:p w:rsidR="00145C1C" w:rsidRPr="009658BB" w:rsidRDefault="00145C1C" w:rsidP="00145C1C">
            <w:pPr>
              <w:spacing w:before="40" w:after="40"/>
              <w:jc w:val="right"/>
              <w:rPr>
                <w:rFonts w:cs="Arial"/>
                <w:color w:val="000000"/>
                <w:sz w:val="19"/>
                <w:szCs w:val="19"/>
                <w:lang w:val="lt-LT"/>
              </w:rPr>
            </w:pPr>
            <w:r w:rsidRPr="009658BB">
              <w:rPr>
                <w:rFonts w:cs="Arial"/>
                <w:color w:val="000000"/>
                <w:sz w:val="19"/>
                <w:szCs w:val="19"/>
                <w:lang w:val="lt-LT"/>
              </w:rPr>
              <w:t>3,3</w:t>
            </w:r>
          </w:p>
        </w:tc>
        <w:tc>
          <w:tcPr>
            <w:tcW w:w="583" w:type="pct"/>
            <w:tcBorders>
              <w:top w:val="nil"/>
              <w:left w:val="nil"/>
              <w:bottom w:val="nil"/>
              <w:right w:val="single" w:sz="4" w:space="0" w:color="auto"/>
            </w:tcBorders>
            <w:shd w:val="clear" w:color="auto" w:fill="auto"/>
            <w:vAlign w:val="bottom"/>
            <w:hideMark/>
          </w:tcPr>
          <w:p w:rsidR="00145C1C" w:rsidRPr="009658BB" w:rsidRDefault="00145C1C" w:rsidP="00145C1C">
            <w:pPr>
              <w:spacing w:before="40" w:after="40"/>
              <w:jc w:val="right"/>
              <w:rPr>
                <w:rFonts w:cs="Arial"/>
                <w:color w:val="000000"/>
                <w:sz w:val="19"/>
                <w:szCs w:val="19"/>
                <w:lang w:val="lt-LT"/>
              </w:rPr>
            </w:pPr>
            <w:r w:rsidRPr="009658BB">
              <w:rPr>
                <w:rFonts w:cs="Arial"/>
                <w:color w:val="000000"/>
                <w:sz w:val="19"/>
                <w:szCs w:val="19"/>
                <w:lang w:val="lt-LT"/>
              </w:rPr>
              <w:t>0,5</w:t>
            </w:r>
          </w:p>
        </w:tc>
        <w:tc>
          <w:tcPr>
            <w:tcW w:w="583" w:type="pct"/>
            <w:tcBorders>
              <w:top w:val="nil"/>
              <w:left w:val="single" w:sz="4" w:space="0" w:color="auto"/>
              <w:bottom w:val="nil"/>
              <w:right w:val="nil"/>
            </w:tcBorders>
            <w:shd w:val="clear" w:color="auto" w:fill="auto"/>
            <w:vAlign w:val="bottom"/>
          </w:tcPr>
          <w:p w:rsidR="00145C1C" w:rsidRPr="009658BB" w:rsidRDefault="00145C1C" w:rsidP="00145C1C">
            <w:pPr>
              <w:spacing w:before="40" w:after="40"/>
              <w:jc w:val="right"/>
              <w:rPr>
                <w:rFonts w:cs="Arial"/>
                <w:color w:val="000000"/>
                <w:sz w:val="19"/>
                <w:szCs w:val="19"/>
                <w:lang w:val="lt-LT"/>
              </w:rPr>
            </w:pPr>
            <w:r w:rsidRPr="009658BB">
              <w:rPr>
                <w:rFonts w:cs="Arial"/>
                <w:color w:val="000000"/>
                <w:sz w:val="19"/>
                <w:szCs w:val="19"/>
                <w:lang w:val="lt-LT"/>
              </w:rPr>
              <w:t>2,7</w:t>
            </w:r>
          </w:p>
        </w:tc>
        <w:tc>
          <w:tcPr>
            <w:tcW w:w="583" w:type="pct"/>
            <w:tcBorders>
              <w:top w:val="nil"/>
              <w:left w:val="single" w:sz="4" w:space="0" w:color="auto"/>
              <w:bottom w:val="nil"/>
              <w:right w:val="single" w:sz="4" w:space="0" w:color="auto"/>
            </w:tcBorders>
            <w:shd w:val="clear" w:color="auto" w:fill="auto"/>
            <w:vAlign w:val="bottom"/>
          </w:tcPr>
          <w:p w:rsidR="00145C1C" w:rsidRPr="009658BB" w:rsidRDefault="00145C1C" w:rsidP="00145C1C">
            <w:pPr>
              <w:spacing w:before="40" w:after="40"/>
              <w:jc w:val="right"/>
              <w:rPr>
                <w:rFonts w:cs="Arial"/>
                <w:color w:val="000000"/>
                <w:sz w:val="19"/>
                <w:szCs w:val="19"/>
                <w:lang w:val="lt-LT"/>
              </w:rPr>
            </w:pPr>
            <w:r w:rsidRPr="009658BB">
              <w:rPr>
                <w:rFonts w:cs="Arial"/>
                <w:color w:val="000000"/>
                <w:sz w:val="19"/>
                <w:szCs w:val="19"/>
                <w:lang w:val="lt-LT"/>
              </w:rPr>
              <w:t>0,4</w:t>
            </w:r>
          </w:p>
        </w:tc>
        <w:tc>
          <w:tcPr>
            <w:tcW w:w="581" w:type="pct"/>
            <w:tcBorders>
              <w:top w:val="nil"/>
              <w:left w:val="single" w:sz="4" w:space="0" w:color="auto"/>
              <w:bottom w:val="nil"/>
              <w:right w:val="single" w:sz="4" w:space="0" w:color="auto"/>
            </w:tcBorders>
            <w:vAlign w:val="bottom"/>
          </w:tcPr>
          <w:p w:rsidR="00145C1C" w:rsidRPr="009658BB" w:rsidRDefault="00145C1C" w:rsidP="00145C1C">
            <w:pPr>
              <w:spacing w:before="40" w:after="40"/>
              <w:jc w:val="right"/>
              <w:rPr>
                <w:rFonts w:cs="Arial"/>
                <w:color w:val="000000"/>
                <w:sz w:val="19"/>
                <w:szCs w:val="19"/>
                <w:lang w:val="lt-LT"/>
              </w:rPr>
            </w:pPr>
            <w:r w:rsidRPr="009658BB">
              <w:rPr>
                <w:rFonts w:cs="Arial"/>
                <w:color w:val="000000"/>
                <w:sz w:val="19"/>
                <w:szCs w:val="19"/>
                <w:lang w:val="lt-LT"/>
              </w:rPr>
              <w:t>2,1</w:t>
            </w:r>
          </w:p>
        </w:tc>
      </w:tr>
      <w:tr w:rsidR="00145C1C" w:rsidRPr="009658BB" w:rsidTr="00B6694B">
        <w:tc>
          <w:tcPr>
            <w:tcW w:w="1504" w:type="pct"/>
            <w:tcBorders>
              <w:top w:val="nil"/>
              <w:left w:val="single" w:sz="4" w:space="0" w:color="auto"/>
              <w:bottom w:val="nil"/>
              <w:right w:val="single" w:sz="4" w:space="0" w:color="auto"/>
            </w:tcBorders>
            <w:shd w:val="clear" w:color="auto" w:fill="auto"/>
            <w:vAlign w:val="bottom"/>
            <w:hideMark/>
          </w:tcPr>
          <w:p w:rsidR="00145C1C" w:rsidRPr="009658BB" w:rsidRDefault="00145C1C" w:rsidP="00145C1C">
            <w:pPr>
              <w:spacing w:before="40" w:after="40"/>
              <w:ind w:right="-85"/>
              <w:rPr>
                <w:rFonts w:cs="Arial"/>
                <w:color w:val="000000"/>
                <w:sz w:val="19"/>
                <w:szCs w:val="19"/>
                <w:lang w:val="lt-LT" w:eastAsia="lt-LT"/>
              </w:rPr>
            </w:pPr>
            <w:r w:rsidRPr="009658BB">
              <w:rPr>
                <w:rFonts w:cs="Arial"/>
                <w:color w:val="000000"/>
                <w:sz w:val="19"/>
                <w:szCs w:val="19"/>
                <w:lang w:val="lt-LT" w:eastAsia="lt-LT"/>
              </w:rPr>
              <w:t>Nekilnojamojo turto operacijos</w:t>
            </w:r>
          </w:p>
        </w:tc>
        <w:tc>
          <w:tcPr>
            <w:tcW w:w="583" w:type="pct"/>
            <w:tcBorders>
              <w:top w:val="nil"/>
              <w:left w:val="nil"/>
              <w:bottom w:val="nil"/>
              <w:right w:val="single" w:sz="4" w:space="0" w:color="auto"/>
            </w:tcBorders>
            <w:shd w:val="clear" w:color="auto" w:fill="auto"/>
            <w:vAlign w:val="bottom"/>
            <w:hideMark/>
          </w:tcPr>
          <w:p w:rsidR="00145C1C" w:rsidRPr="009658BB" w:rsidRDefault="00145C1C" w:rsidP="00145C1C">
            <w:pPr>
              <w:spacing w:before="40" w:after="40"/>
              <w:jc w:val="right"/>
              <w:rPr>
                <w:rFonts w:cs="Arial"/>
                <w:color w:val="000000"/>
                <w:sz w:val="19"/>
                <w:szCs w:val="19"/>
                <w:lang w:val="lt-LT"/>
              </w:rPr>
            </w:pPr>
            <w:r w:rsidRPr="009658BB">
              <w:rPr>
                <w:rFonts w:cs="Arial"/>
                <w:color w:val="000000"/>
                <w:sz w:val="19"/>
                <w:szCs w:val="19"/>
                <w:lang w:val="lt-LT"/>
              </w:rPr>
              <w:t>0,1</w:t>
            </w:r>
          </w:p>
        </w:tc>
        <w:tc>
          <w:tcPr>
            <w:tcW w:w="583" w:type="pct"/>
            <w:tcBorders>
              <w:top w:val="nil"/>
              <w:left w:val="single" w:sz="4" w:space="0" w:color="auto"/>
              <w:bottom w:val="nil"/>
              <w:right w:val="single" w:sz="4" w:space="0" w:color="auto"/>
            </w:tcBorders>
            <w:shd w:val="clear" w:color="auto" w:fill="auto"/>
            <w:vAlign w:val="bottom"/>
            <w:hideMark/>
          </w:tcPr>
          <w:p w:rsidR="00145C1C" w:rsidRPr="009658BB" w:rsidRDefault="00145C1C" w:rsidP="00145C1C">
            <w:pPr>
              <w:spacing w:before="40" w:after="40"/>
              <w:jc w:val="right"/>
              <w:rPr>
                <w:rFonts w:cs="Arial"/>
                <w:color w:val="000000"/>
                <w:sz w:val="19"/>
                <w:szCs w:val="19"/>
                <w:lang w:val="lt-LT"/>
              </w:rPr>
            </w:pPr>
            <w:r w:rsidRPr="009658BB">
              <w:rPr>
                <w:rFonts w:cs="Arial"/>
                <w:color w:val="000000"/>
                <w:sz w:val="19"/>
                <w:szCs w:val="19"/>
                <w:lang w:val="lt-LT"/>
              </w:rPr>
              <w:t>0,7</w:t>
            </w:r>
          </w:p>
        </w:tc>
        <w:tc>
          <w:tcPr>
            <w:tcW w:w="583" w:type="pct"/>
            <w:tcBorders>
              <w:top w:val="nil"/>
              <w:left w:val="nil"/>
              <w:bottom w:val="nil"/>
              <w:right w:val="single" w:sz="4" w:space="0" w:color="auto"/>
            </w:tcBorders>
            <w:shd w:val="clear" w:color="auto" w:fill="auto"/>
            <w:vAlign w:val="bottom"/>
            <w:hideMark/>
          </w:tcPr>
          <w:p w:rsidR="00145C1C" w:rsidRPr="009658BB" w:rsidRDefault="00145C1C" w:rsidP="00145C1C">
            <w:pPr>
              <w:spacing w:before="40" w:after="40"/>
              <w:jc w:val="right"/>
              <w:rPr>
                <w:rFonts w:cs="Arial"/>
                <w:color w:val="000000"/>
                <w:sz w:val="19"/>
                <w:szCs w:val="19"/>
                <w:lang w:val="lt-LT"/>
              </w:rPr>
            </w:pPr>
            <w:r w:rsidRPr="009658BB">
              <w:rPr>
                <w:rFonts w:cs="Arial"/>
                <w:color w:val="000000"/>
                <w:sz w:val="19"/>
                <w:szCs w:val="19"/>
                <w:lang w:val="lt-LT"/>
              </w:rPr>
              <w:t>0,1</w:t>
            </w:r>
          </w:p>
        </w:tc>
        <w:tc>
          <w:tcPr>
            <w:tcW w:w="583" w:type="pct"/>
            <w:tcBorders>
              <w:top w:val="nil"/>
              <w:left w:val="single" w:sz="4" w:space="0" w:color="auto"/>
              <w:bottom w:val="nil"/>
              <w:right w:val="nil"/>
            </w:tcBorders>
            <w:shd w:val="clear" w:color="auto" w:fill="auto"/>
            <w:vAlign w:val="bottom"/>
          </w:tcPr>
          <w:p w:rsidR="00145C1C" w:rsidRPr="009658BB" w:rsidRDefault="00145C1C" w:rsidP="00145C1C">
            <w:pPr>
              <w:spacing w:before="40" w:after="40"/>
              <w:jc w:val="right"/>
              <w:rPr>
                <w:rFonts w:cs="Arial"/>
                <w:color w:val="000000"/>
                <w:sz w:val="19"/>
                <w:szCs w:val="19"/>
                <w:lang w:val="lt-LT"/>
              </w:rPr>
            </w:pPr>
            <w:r w:rsidRPr="009658BB">
              <w:rPr>
                <w:rFonts w:cs="Arial"/>
                <w:color w:val="000000"/>
                <w:sz w:val="19"/>
                <w:szCs w:val="19"/>
                <w:lang w:val="lt-LT"/>
              </w:rPr>
              <w:t>0,8</w:t>
            </w:r>
          </w:p>
        </w:tc>
        <w:tc>
          <w:tcPr>
            <w:tcW w:w="583" w:type="pct"/>
            <w:tcBorders>
              <w:top w:val="nil"/>
              <w:left w:val="single" w:sz="4" w:space="0" w:color="auto"/>
              <w:bottom w:val="nil"/>
              <w:right w:val="single" w:sz="4" w:space="0" w:color="auto"/>
            </w:tcBorders>
            <w:shd w:val="clear" w:color="auto" w:fill="auto"/>
            <w:vAlign w:val="bottom"/>
          </w:tcPr>
          <w:p w:rsidR="00145C1C" w:rsidRPr="009658BB" w:rsidRDefault="00145C1C" w:rsidP="00145C1C">
            <w:pPr>
              <w:spacing w:before="40" w:after="40"/>
              <w:jc w:val="right"/>
              <w:rPr>
                <w:rFonts w:cs="Arial"/>
                <w:color w:val="000000"/>
                <w:sz w:val="19"/>
                <w:szCs w:val="19"/>
                <w:lang w:val="lt-LT"/>
              </w:rPr>
            </w:pPr>
            <w:r w:rsidRPr="009658BB">
              <w:rPr>
                <w:rFonts w:cs="Arial"/>
                <w:color w:val="000000"/>
                <w:sz w:val="19"/>
                <w:szCs w:val="19"/>
                <w:lang w:val="lt-LT"/>
              </w:rPr>
              <w:t>0,0</w:t>
            </w:r>
          </w:p>
        </w:tc>
        <w:tc>
          <w:tcPr>
            <w:tcW w:w="581" w:type="pct"/>
            <w:tcBorders>
              <w:top w:val="nil"/>
              <w:left w:val="single" w:sz="4" w:space="0" w:color="auto"/>
              <w:bottom w:val="nil"/>
              <w:right w:val="single" w:sz="4" w:space="0" w:color="auto"/>
            </w:tcBorders>
            <w:vAlign w:val="bottom"/>
          </w:tcPr>
          <w:p w:rsidR="00145C1C" w:rsidRPr="009658BB" w:rsidRDefault="00145C1C" w:rsidP="00145C1C">
            <w:pPr>
              <w:spacing w:before="40" w:after="40"/>
              <w:jc w:val="right"/>
              <w:rPr>
                <w:rFonts w:cs="Arial"/>
                <w:color w:val="000000"/>
                <w:sz w:val="19"/>
                <w:szCs w:val="19"/>
                <w:lang w:val="lt-LT"/>
              </w:rPr>
            </w:pPr>
            <w:r w:rsidRPr="009658BB">
              <w:rPr>
                <w:rFonts w:cs="Arial"/>
                <w:color w:val="000000"/>
                <w:sz w:val="19"/>
                <w:szCs w:val="19"/>
                <w:lang w:val="lt-LT"/>
              </w:rPr>
              <w:t>0,2</w:t>
            </w:r>
          </w:p>
        </w:tc>
      </w:tr>
      <w:tr w:rsidR="00145C1C" w:rsidRPr="009658BB" w:rsidTr="00B6694B">
        <w:tc>
          <w:tcPr>
            <w:tcW w:w="1504" w:type="pct"/>
            <w:tcBorders>
              <w:top w:val="nil"/>
              <w:left w:val="single" w:sz="4" w:space="0" w:color="auto"/>
              <w:bottom w:val="nil"/>
              <w:right w:val="single" w:sz="4" w:space="0" w:color="auto"/>
            </w:tcBorders>
            <w:shd w:val="clear" w:color="auto" w:fill="auto"/>
            <w:vAlign w:val="bottom"/>
            <w:hideMark/>
          </w:tcPr>
          <w:p w:rsidR="00145C1C" w:rsidRPr="009658BB" w:rsidRDefault="00145C1C" w:rsidP="00145C1C">
            <w:pPr>
              <w:spacing w:before="40" w:after="40"/>
              <w:ind w:right="-85"/>
              <w:rPr>
                <w:rFonts w:cs="Arial"/>
                <w:color w:val="000000"/>
                <w:sz w:val="19"/>
                <w:szCs w:val="19"/>
                <w:lang w:val="lt-LT" w:eastAsia="lt-LT"/>
              </w:rPr>
            </w:pPr>
            <w:r w:rsidRPr="009658BB">
              <w:rPr>
                <w:rFonts w:cs="Arial"/>
                <w:color w:val="000000"/>
                <w:sz w:val="19"/>
                <w:szCs w:val="19"/>
                <w:lang w:val="lt-LT" w:eastAsia="lt-LT"/>
              </w:rPr>
              <w:t>Profesinė, mokslinė ir techninė veikla</w:t>
            </w:r>
          </w:p>
        </w:tc>
        <w:tc>
          <w:tcPr>
            <w:tcW w:w="583" w:type="pct"/>
            <w:tcBorders>
              <w:top w:val="nil"/>
              <w:left w:val="nil"/>
              <w:bottom w:val="nil"/>
              <w:right w:val="single" w:sz="4" w:space="0" w:color="auto"/>
            </w:tcBorders>
            <w:shd w:val="clear" w:color="auto" w:fill="auto"/>
            <w:vAlign w:val="bottom"/>
            <w:hideMark/>
          </w:tcPr>
          <w:p w:rsidR="00145C1C" w:rsidRPr="009658BB" w:rsidRDefault="00145C1C" w:rsidP="00145C1C">
            <w:pPr>
              <w:spacing w:before="40" w:after="40"/>
              <w:jc w:val="right"/>
              <w:rPr>
                <w:rFonts w:cs="Arial"/>
                <w:color w:val="000000"/>
                <w:sz w:val="19"/>
                <w:szCs w:val="19"/>
                <w:lang w:val="lt-LT"/>
              </w:rPr>
            </w:pPr>
            <w:r w:rsidRPr="009658BB">
              <w:rPr>
                <w:rFonts w:cs="Arial"/>
                <w:color w:val="000000"/>
                <w:sz w:val="19"/>
                <w:szCs w:val="19"/>
                <w:lang w:val="lt-LT"/>
              </w:rPr>
              <w:t>0,4</w:t>
            </w:r>
          </w:p>
        </w:tc>
        <w:tc>
          <w:tcPr>
            <w:tcW w:w="583" w:type="pct"/>
            <w:tcBorders>
              <w:top w:val="nil"/>
              <w:left w:val="single" w:sz="4" w:space="0" w:color="auto"/>
              <w:bottom w:val="nil"/>
              <w:right w:val="single" w:sz="4" w:space="0" w:color="auto"/>
            </w:tcBorders>
            <w:shd w:val="clear" w:color="auto" w:fill="auto"/>
            <w:vAlign w:val="bottom"/>
            <w:hideMark/>
          </w:tcPr>
          <w:p w:rsidR="00145C1C" w:rsidRPr="009658BB" w:rsidRDefault="00145C1C" w:rsidP="00145C1C">
            <w:pPr>
              <w:spacing w:before="40" w:after="40"/>
              <w:jc w:val="right"/>
              <w:rPr>
                <w:rFonts w:cs="Arial"/>
                <w:color w:val="000000"/>
                <w:sz w:val="19"/>
                <w:szCs w:val="19"/>
                <w:lang w:val="lt-LT"/>
              </w:rPr>
            </w:pPr>
            <w:r w:rsidRPr="009658BB">
              <w:rPr>
                <w:rFonts w:cs="Arial"/>
                <w:color w:val="000000"/>
                <w:sz w:val="19"/>
                <w:szCs w:val="19"/>
                <w:lang w:val="lt-LT"/>
              </w:rPr>
              <w:t>0,7</w:t>
            </w:r>
          </w:p>
        </w:tc>
        <w:tc>
          <w:tcPr>
            <w:tcW w:w="583" w:type="pct"/>
            <w:tcBorders>
              <w:top w:val="nil"/>
              <w:left w:val="nil"/>
              <w:bottom w:val="nil"/>
              <w:right w:val="single" w:sz="4" w:space="0" w:color="auto"/>
            </w:tcBorders>
            <w:shd w:val="clear" w:color="auto" w:fill="auto"/>
            <w:vAlign w:val="bottom"/>
            <w:hideMark/>
          </w:tcPr>
          <w:p w:rsidR="00145C1C" w:rsidRPr="009658BB" w:rsidRDefault="00145C1C" w:rsidP="00145C1C">
            <w:pPr>
              <w:spacing w:before="40" w:after="40"/>
              <w:jc w:val="right"/>
              <w:rPr>
                <w:rFonts w:cs="Arial"/>
                <w:color w:val="000000"/>
                <w:sz w:val="19"/>
                <w:szCs w:val="19"/>
                <w:lang w:val="lt-LT"/>
              </w:rPr>
            </w:pPr>
            <w:r w:rsidRPr="009658BB">
              <w:rPr>
                <w:rFonts w:cs="Arial"/>
                <w:color w:val="000000"/>
                <w:sz w:val="19"/>
                <w:szCs w:val="19"/>
                <w:lang w:val="lt-LT"/>
              </w:rPr>
              <w:t>0,5</w:t>
            </w:r>
          </w:p>
        </w:tc>
        <w:tc>
          <w:tcPr>
            <w:tcW w:w="583" w:type="pct"/>
            <w:tcBorders>
              <w:top w:val="nil"/>
              <w:left w:val="single" w:sz="4" w:space="0" w:color="auto"/>
              <w:bottom w:val="nil"/>
              <w:right w:val="nil"/>
            </w:tcBorders>
            <w:shd w:val="clear" w:color="auto" w:fill="auto"/>
            <w:vAlign w:val="bottom"/>
          </w:tcPr>
          <w:p w:rsidR="00145C1C" w:rsidRPr="009658BB" w:rsidRDefault="00145C1C" w:rsidP="00145C1C">
            <w:pPr>
              <w:spacing w:before="40" w:after="40"/>
              <w:jc w:val="right"/>
              <w:rPr>
                <w:rFonts w:cs="Arial"/>
                <w:color w:val="000000"/>
                <w:sz w:val="19"/>
                <w:szCs w:val="19"/>
                <w:lang w:val="lt-LT"/>
              </w:rPr>
            </w:pPr>
            <w:r w:rsidRPr="009658BB">
              <w:rPr>
                <w:rFonts w:cs="Arial"/>
                <w:color w:val="000000"/>
                <w:sz w:val="19"/>
                <w:szCs w:val="19"/>
                <w:lang w:val="lt-LT"/>
              </w:rPr>
              <w:t>0,8</w:t>
            </w:r>
          </w:p>
        </w:tc>
        <w:tc>
          <w:tcPr>
            <w:tcW w:w="583" w:type="pct"/>
            <w:tcBorders>
              <w:top w:val="nil"/>
              <w:left w:val="single" w:sz="4" w:space="0" w:color="auto"/>
              <w:bottom w:val="nil"/>
              <w:right w:val="single" w:sz="4" w:space="0" w:color="auto"/>
            </w:tcBorders>
            <w:shd w:val="clear" w:color="auto" w:fill="auto"/>
            <w:vAlign w:val="bottom"/>
          </w:tcPr>
          <w:p w:rsidR="00145C1C" w:rsidRPr="009658BB" w:rsidRDefault="00145C1C" w:rsidP="00145C1C">
            <w:pPr>
              <w:spacing w:before="40" w:after="40"/>
              <w:jc w:val="right"/>
              <w:rPr>
                <w:rFonts w:cs="Arial"/>
                <w:color w:val="000000"/>
                <w:sz w:val="19"/>
                <w:szCs w:val="19"/>
                <w:lang w:val="lt-LT"/>
              </w:rPr>
            </w:pPr>
            <w:r w:rsidRPr="009658BB">
              <w:rPr>
                <w:rFonts w:cs="Arial"/>
                <w:color w:val="000000"/>
                <w:sz w:val="19"/>
                <w:szCs w:val="19"/>
                <w:lang w:val="lt-LT"/>
              </w:rPr>
              <w:t>0,4</w:t>
            </w:r>
          </w:p>
        </w:tc>
        <w:tc>
          <w:tcPr>
            <w:tcW w:w="581" w:type="pct"/>
            <w:tcBorders>
              <w:top w:val="nil"/>
              <w:left w:val="single" w:sz="4" w:space="0" w:color="auto"/>
              <w:bottom w:val="nil"/>
              <w:right w:val="single" w:sz="4" w:space="0" w:color="auto"/>
            </w:tcBorders>
            <w:vAlign w:val="bottom"/>
          </w:tcPr>
          <w:p w:rsidR="00145C1C" w:rsidRPr="009658BB" w:rsidRDefault="00145C1C" w:rsidP="00145C1C">
            <w:pPr>
              <w:spacing w:before="40" w:after="40"/>
              <w:jc w:val="right"/>
              <w:rPr>
                <w:rFonts w:cs="Arial"/>
                <w:color w:val="000000"/>
                <w:sz w:val="19"/>
                <w:szCs w:val="19"/>
                <w:lang w:val="lt-LT"/>
              </w:rPr>
            </w:pPr>
            <w:r w:rsidRPr="009658BB">
              <w:rPr>
                <w:rFonts w:cs="Arial"/>
                <w:color w:val="000000"/>
                <w:sz w:val="19"/>
                <w:szCs w:val="19"/>
                <w:lang w:val="lt-LT"/>
              </w:rPr>
              <w:t>0,7</w:t>
            </w:r>
          </w:p>
        </w:tc>
      </w:tr>
      <w:tr w:rsidR="00145C1C" w:rsidRPr="009658BB" w:rsidTr="00B6694B">
        <w:tc>
          <w:tcPr>
            <w:tcW w:w="1504" w:type="pct"/>
            <w:tcBorders>
              <w:top w:val="nil"/>
              <w:left w:val="single" w:sz="4" w:space="0" w:color="auto"/>
              <w:bottom w:val="nil"/>
              <w:right w:val="single" w:sz="4" w:space="0" w:color="auto"/>
            </w:tcBorders>
            <w:shd w:val="clear" w:color="auto" w:fill="auto"/>
            <w:vAlign w:val="bottom"/>
            <w:hideMark/>
          </w:tcPr>
          <w:p w:rsidR="00145C1C" w:rsidRPr="009658BB" w:rsidRDefault="00145C1C" w:rsidP="00145C1C">
            <w:pPr>
              <w:spacing w:before="40" w:after="40"/>
              <w:ind w:right="-85"/>
              <w:rPr>
                <w:rFonts w:cs="Arial"/>
                <w:color w:val="000000"/>
                <w:sz w:val="19"/>
                <w:szCs w:val="19"/>
                <w:lang w:val="lt-LT" w:eastAsia="lt-LT"/>
              </w:rPr>
            </w:pPr>
            <w:r w:rsidRPr="009658BB">
              <w:rPr>
                <w:rFonts w:cs="Arial"/>
                <w:color w:val="000000"/>
                <w:sz w:val="19"/>
                <w:szCs w:val="19"/>
                <w:lang w:val="lt-LT" w:eastAsia="lt-LT"/>
              </w:rPr>
              <w:t>Administracinė ir aptarnavimo veikla</w:t>
            </w:r>
          </w:p>
        </w:tc>
        <w:tc>
          <w:tcPr>
            <w:tcW w:w="583" w:type="pct"/>
            <w:tcBorders>
              <w:top w:val="nil"/>
              <w:left w:val="nil"/>
              <w:bottom w:val="nil"/>
              <w:right w:val="single" w:sz="4" w:space="0" w:color="auto"/>
            </w:tcBorders>
            <w:shd w:val="clear" w:color="auto" w:fill="auto"/>
            <w:vAlign w:val="bottom"/>
            <w:hideMark/>
          </w:tcPr>
          <w:p w:rsidR="00145C1C" w:rsidRPr="009658BB" w:rsidRDefault="00145C1C" w:rsidP="00145C1C">
            <w:pPr>
              <w:spacing w:before="40" w:after="40"/>
              <w:jc w:val="right"/>
              <w:rPr>
                <w:rFonts w:cs="Arial"/>
                <w:color w:val="000000"/>
                <w:sz w:val="19"/>
                <w:szCs w:val="19"/>
                <w:lang w:val="lt-LT"/>
              </w:rPr>
            </w:pPr>
            <w:r w:rsidRPr="009658BB">
              <w:rPr>
                <w:rFonts w:cs="Arial"/>
                <w:color w:val="000000"/>
                <w:sz w:val="19"/>
                <w:szCs w:val="19"/>
                <w:lang w:val="lt-LT"/>
              </w:rPr>
              <w:t>1,2</w:t>
            </w:r>
          </w:p>
        </w:tc>
        <w:tc>
          <w:tcPr>
            <w:tcW w:w="583" w:type="pct"/>
            <w:tcBorders>
              <w:top w:val="nil"/>
              <w:left w:val="single" w:sz="4" w:space="0" w:color="auto"/>
              <w:bottom w:val="nil"/>
              <w:right w:val="single" w:sz="4" w:space="0" w:color="auto"/>
            </w:tcBorders>
            <w:shd w:val="clear" w:color="auto" w:fill="auto"/>
            <w:vAlign w:val="bottom"/>
            <w:hideMark/>
          </w:tcPr>
          <w:p w:rsidR="00145C1C" w:rsidRPr="009658BB" w:rsidRDefault="00145C1C" w:rsidP="00145C1C">
            <w:pPr>
              <w:spacing w:before="40" w:after="40"/>
              <w:jc w:val="right"/>
              <w:rPr>
                <w:rFonts w:cs="Arial"/>
                <w:color w:val="000000"/>
                <w:sz w:val="19"/>
                <w:szCs w:val="19"/>
                <w:lang w:val="lt-LT"/>
              </w:rPr>
            </w:pPr>
            <w:r w:rsidRPr="009658BB">
              <w:rPr>
                <w:rFonts w:cs="Arial"/>
                <w:color w:val="000000"/>
                <w:sz w:val="19"/>
                <w:szCs w:val="19"/>
                <w:lang w:val="lt-LT"/>
              </w:rPr>
              <w:t>2,0</w:t>
            </w:r>
          </w:p>
        </w:tc>
        <w:tc>
          <w:tcPr>
            <w:tcW w:w="583" w:type="pct"/>
            <w:tcBorders>
              <w:top w:val="nil"/>
              <w:left w:val="nil"/>
              <w:bottom w:val="nil"/>
              <w:right w:val="single" w:sz="4" w:space="0" w:color="auto"/>
            </w:tcBorders>
            <w:shd w:val="clear" w:color="auto" w:fill="auto"/>
            <w:vAlign w:val="bottom"/>
            <w:hideMark/>
          </w:tcPr>
          <w:p w:rsidR="00145C1C" w:rsidRPr="009658BB" w:rsidRDefault="00145C1C" w:rsidP="00145C1C">
            <w:pPr>
              <w:spacing w:before="40" w:after="40"/>
              <w:jc w:val="right"/>
              <w:rPr>
                <w:rFonts w:cs="Arial"/>
                <w:color w:val="000000"/>
                <w:sz w:val="19"/>
                <w:szCs w:val="19"/>
                <w:lang w:val="lt-LT"/>
              </w:rPr>
            </w:pPr>
            <w:r w:rsidRPr="009658BB">
              <w:rPr>
                <w:rFonts w:cs="Arial"/>
                <w:color w:val="000000"/>
                <w:sz w:val="19"/>
                <w:szCs w:val="19"/>
                <w:lang w:val="lt-LT"/>
              </w:rPr>
              <w:t>1,1</w:t>
            </w:r>
          </w:p>
        </w:tc>
        <w:tc>
          <w:tcPr>
            <w:tcW w:w="583" w:type="pct"/>
            <w:tcBorders>
              <w:top w:val="nil"/>
              <w:left w:val="single" w:sz="4" w:space="0" w:color="auto"/>
              <w:bottom w:val="nil"/>
              <w:right w:val="nil"/>
            </w:tcBorders>
            <w:shd w:val="clear" w:color="auto" w:fill="auto"/>
            <w:vAlign w:val="bottom"/>
          </w:tcPr>
          <w:p w:rsidR="00145C1C" w:rsidRPr="009658BB" w:rsidRDefault="00145C1C" w:rsidP="00145C1C">
            <w:pPr>
              <w:spacing w:before="40" w:after="40"/>
              <w:jc w:val="right"/>
              <w:rPr>
                <w:rFonts w:cs="Arial"/>
                <w:color w:val="000000"/>
                <w:sz w:val="19"/>
                <w:szCs w:val="19"/>
                <w:lang w:val="lt-LT"/>
              </w:rPr>
            </w:pPr>
            <w:r w:rsidRPr="009658BB">
              <w:rPr>
                <w:rFonts w:cs="Arial"/>
                <w:color w:val="000000"/>
                <w:sz w:val="19"/>
                <w:szCs w:val="19"/>
                <w:lang w:val="lt-LT"/>
              </w:rPr>
              <w:t>1,8</w:t>
            </w:r>
          </w:p>
        </w:tc>
        <w:tc>
          <w:tcPr>
            <w:tcW w:w="583" w:type="pct"/>
            <w:tcBorders>
              <w:top w:val="nil"/>
              <w:left w:val="single" w:sz="4" w:space="0" w:color="auto"/>
              <w:bottom w:val="nil"/>
              <w:right w:val="single" w:sz="4" w:space="0" w:color="auto"/>
            </w:tcBorders>
            <w:shd w:val="clear" w:color="auto" w:fill="auto"/>
            <w:vAlign w:val="bottom"/>
          </w:tcPr>
          <w:p w:rsidR="00145C1C" w:rsidRPr="009658BB" w:rsidRDefault="00145C1C" w:rsidP="00145C1C">
            <w:pPr>
              <w:spacing w:before="40" w:after="40"/>
              <w:jc w:val="right"/>
              <w:rPr>
                <w:rFonts w:cs="Arial"/>
                <w:color w:val="000000"/>
                <w:sz w:val="19"/>
                <w:szCs w:val="19"/>
                <w:lang w:val="lt-LT"/>
              </w:rPr>
            </w:pPr>
            <w:r w:rsidRPr="009658BB">
              <w:rPr>
                <w:rFonts w:cs="Arial"/>
                <w:color w:val="000000"/>
                <w:sz w:val="19"/>
                <w:szCs w:val="19"/>
                <w:lang w:val="lt-LT"/>
              </w:rPr>
              <w:t>1,0</w:t>
            </w:r>
          </w:p>
        </w:tc>
        <w:tc>
          <w:tcPr>
            <w:tcW w:w="581" w:type="pct"/>
            <w:tcBorders>
              <w:top w:val="nil"/>
              <w:left w:val="single" w:sz="4" w:space="0" w:color="auto"/>
              <w:bottom w:val="nil"/>
              <w:right w:val="single" w:sz="4" w:space="0" w:color="auto"/>
            </w:tcBorders>
            <w:vAlign w:val="bottom"/>
          </w:tcPr>
          <w:p w:rsidR="00145C1C" w:rsidRPr="009658BB" w:rsidRDefault="00145C1C" w:rsidP="00145C1C">
            <w:pPr>
              <w:spacing w:before="40" w:after="40"/>
              <w:jc w:val="right"/>
              <w:rPr>
                <w:rFonts w:cs="Arial"/>
                <w:color w:val="000000"/>
                <w:sz w:val="19"/>
                <w:szCs w:val="19"/>
                <w:lang w:val="lt-LT"/>
              </w:rPr>
            </w:pPr>
            <w:r w:rsidRPr="009658BB">
              <w:rPr>
                <w:rFonts w:cs="Arial"/>
                <w:color w:val="000000"/>
                <w:sz w:val="19"/>
                <w:szCs w:val="19"/>
                <w:lang w:val="lt-LT"/>
              </w:rPr>
              <w:t>1,7</w:t>
            </w:r>
          </w:p>
        </w:tc>
      </w:tr>
      <w:tr w:rsidR="00145C1C" w:rsidRPr="009658BB" w:rsidTr="00B6694B">
        <w:tc>
          <w:tcPr>
            <w:tcW w:w="1504" w:type="pct"/>
            <w:tcBorders>
              <w:top w:val="nil"/>
              <w:left w:val="single" w:sz="4" w:space="0" w:color="auto"/>
              <w:bottom w:val="nil"/>
              <w:right w:val="single" w:sz="4" w:space="0" w:color="auto"/>
            </w:tcBorders>
            <w:shd w:val="clear" w:color="auto" w:fill="auto"/>
            <w:vAlign w:val="bottom"/>
            <w:hideMark/>
          </w:tcPr>
          <w:p w:rsidR="00145C1C" w:rsidRPr="009658BB" w:rsidRDefault="00145C1C" w:rsidP="00145C1C">
            <w:pPr>
              <w:spacing w:before="40" w:after="40"/>
              <w:ind w:right="-85"/>
              <w:rPr>
                <w:rFonts w:cs="Arial"/>
                <w:color w:val="000000"/>
                <w:sz w:val="19"/>
                <w:szCs w:val="19"/>
                <w:lang w:val="lt-LT" w:eastAsia="lt-LT"/>
              </w:rPr>
            </w:pPr>
            <w:r w:rsidRPr="009658BB">
              <w:rPr>
                <w:rFonts w:cs="Arial"/>
                <w:color w:val="000000"/>
                <w:sz w:val="19"/>
                <w:szCs w:val="19"/>
                <w:lang w:val="lt-LT" w:eastAsia="lt-LT"/>
              </w:rPr>
              <w:t>Viešasis valdymas ir gynyba; privalomasis socialinis draudimas</w:t>
            </w:r>
          </w:p>
        </w:tc>
        <w:tc>
          <w:tcPr>
            <w:tcW w:w="583" w:type="pct"/>
            <w:tcBorders>
              <w:top w:val="nil"/>
              <w:left w:val="nil"/>
              <w:bottom w:val="nil"/>
              <w:right w:val="single" w:sz="4" w:space="0" w:color="auto"/>
            </w:tcBorders>
            <w:shd w:val="clear" w:color="auto" w:fill="auto"/>
            <w:vAlign w:val="bottom"/>
            <w:hideMark/>
          </w:tcPr>
          <w:p w:rsidR="00145C1C" w:rsidRPr="009658BB" w:rsidRDefault="00145C1C" w:rsidP="00145C1C">
            <w:pPr>
              <w:spacing w:before="40" w:after="40"/>
              <w:jc w:val="right"/>
              <w:rPr>
                <w:rFonts w:cs="Arial"/>
                <w:color w:val="000000"/>
                <w:sz w:val="19"/>
                <w:szCs w:val="19"/>
                <w:lang w:val="lt-LT"/>
              </w:rPr>
            </w:pPr>
            <w:r w:rsidRPr="009658BB">
              <w:rPr>
                <w:rFonts w:cs="Arial"/>
                <w:color w:val="000000"/>
                <w:sz w:val="19"/>
                <w:szCs w:val="19"/>
                <w:lang w:val="lt-LT"/>
              </w:rPr>
              <w:t>2,6</w:t>
            </w:r>
          </w:p>
        </w:tc>
        <w:tc>
          <w:tcPr>
            <w:tcW w:w="583" w:type="pct"/>
            <w:tcBorders>
              <w:top w:val="nil"/>
              <w:left w:val="single" w:sz="4" w:space="0" w:color="auto"/>
              <w:bottom w:val="nil"/>
              <w:right w:val="single" w:sz="4" w:space="0" w:color="auto"/>
            </w:tcBorders>
            <w:shd w:val="clear" w:color="auto" w:fill="auto"/>
            <w:vAlign w:val="bottom"/>
            <w:hideMark/>
          </w:tcPr>
          <w:p w:rsidR="00145C1C" w:rsidRPr="009658BB" w:rsidRDefault="00145C1C" w:rsidP="00145C1C">
            <w:pPr>
              <w:spacing w:before="40" w:after="40"/>
              <w:jc w:val="right"/>
              <w:rPr>
                <w:rFonts w:cs="Arial"/>
                <w:color w:val="000000"/>
                <w:sz w:val="19"/>
                <w:szCs w:val="19"/>
                <w:lang w:val="lt-LT"/>
              </w:rPr>
            </w:pPr>
            <w:r w:rsidRPr="009658BB">
              <w:rPr>
                <w:rFonts w:cs="Arial"/>
                <w:color w:val="000000"/>
                <w:sz w:val="19"/>
                <w:szCs w:val="19"/>
                <w:lang w:val="lt-LT"/>
              </w:rPr>
              <w:t>3,1</w:t>
            </w:r>
          </w:p>
        </w:tc>
        <w:tc>
          <w:tcPr>
            <w:tcW w:w="583" w:type="pct"/>
            <w:tcBorders>
              <w:top w:val="nil"/>
              <w:left w:val="nil"/>
              <w:bottom w:val="nil"/>
              <w:right w:val="single" w:sz="4" w:space="0" w:color="auto"/>
            </w:tcBorders>
            <w:shd w:val="clear" w:color="auto" w:fill="auto"/>
            <w:vAlign w:val="bottom"/>
            <w:hideMark/>
          </w:tcPr>
          <w:p w:rsidR="00145C1C" w:rsidRPr="009658BB" w:rsidRDefault="00145C1C" w:rsidP="00145C1C">
            <w:pPr>
              <w:spacing w:before="40" w:after="40"/>
              <w:jc w:val="right"/>
              <w:rPr>
                <w:rFonts w:cs="Arial"/>
                <w:color w:val="000000"/>
                <w:sz w:val="19"/>
                <w:szCs w:val="19"/>
                <w:lang w:val="lt-LT"/>
              </w:rPr>
            </w:pPr>
            <w:r w:rsidRPr="009658BB">
              <w:rPr>
                <w:rFonts w:cs="Arial"/>
                <w:color w:val="000000"/>
                <w:sz w:val="19"/>
                <w:szCs w:val="19"/>
                <w:lang w:val="lt-LT"/>
              </w:rPr>
              <w:t>2,6</w:t>
            </w:r>
          </w:p>
        </w:tc>
        <w:tc>
          <w:tcPr>
            <w:tcW w:w="583" w:type="pct"/>
            <w:tcBorders>
              <w:top w:val="nil"/>
              <w:left w:val="single" w:sz="4" w:space="0" w:color="auto"/>
              <w:bottom w:val="nil"/>
              <w:right w:val="nil"/>
            </w:tcBorders>
            <w:shd w:val="clear" w:color="auto" w:fill="auto"/>
            <w:vAlign w:val="bottom"/>
          </w:tcPr>
          <w:p w:rsidR="00145C1C" w:rsidRPr="009658BB" w:rsidRDefault="00145C1C" w:rsidP="00145C1C">
            <w:pPr>
              <w:spacing w:before="40" w:after="40"/>
              <w:jc w:val="right"/>
              <w:rPr>
                <w:rFonts w:cs="Arial"/>
                <w:color w:val="000000"/>
                <w:sz w:val="19"/>
                <w:szCs w:val="19"/>
                <w:lang w:val="lt-LT"/>
              </w:rPr>
            </w:pPr>
            <w:r w:rsidRPr="009658BB">
              <w:rPr>
                <w:rFonts w:cs="Arial"/>
                <w:color w:val="000000"/>
                <w:sz w:val="19"/>
                <w:szCs w:val="19"/>
                <w:lang w:val="lt-LT"/>
              </w:rPr>
              <w:t>3,1</w:t>
            </w:r>
          </w:p>
        </w:tc>
        <w:tc>
          <w:tcPr>
            <w:tcW w:w="583" w:type="pct"/>
            <w:tcBorders>
              <w:top w:val="nil"/>
              <w:left w:val="single" w:sz="4" w:space="0" w:color="auto"/>
              <w:bottom w:val="nil"/>
              <w:right w:val="single" w:sz="4" w:space="0" w:color="auto"/>
            </w:tcBorders>
            <w:shd w:val="clear" w:color="auto" w:fill="auto"/>
            <w:vAlign w:val="bottom"/>
          </w:tcPr>
          <w:p w:rsidR="00145C1C" w:rsidRPr="009658BB" w:rsidRDefault="00145C1C" w:rsidP="00145C1C">
            <w:pPr>
              <w:spacing w:before="40" w:after="40"/>
              <w:jc w:val="right"/>
              <w:rPr>
                <w:rFonts w:cs="Arial"/>
                <w:color w:val="000000"/>
                <w:sz w:val="19"/>
                <w:szCs w:val="19"/>
                <w:lang w:val="lt-LT"/>
              </w:rPr>
            </w:pPr>
            <w:r w:rsidRPr="009658BB">
              <w:rPr>
                <w:rFonts w:cs="Arial"/>
                <w:color w:val="000000"/>
                <w:sz w:val="19"/>
                <w:szCs w:val="19"/>
                <w:lang w:val="lt-LT"/>
              </w:rPr>
              <w:t>2,6</w:t>
            </w:r>
          </w:p>
        </w:tc>
        <w:tc>
          <w:tcPr>
            <w:tcW w:w="581" w:type="pct"/>
            <w:tcBorders>
              <w:top w:val="nil"/>
              <w:left w:val="single" w:sz="4" w:space="0" w:color="auto"/>
              <w:bottom w:val="nil"/>
              <w:right w:val="single" w:sz="4" w:space="0" w:color="auto"/>
            </w:tcBorders>
            <w:vAlign w:val="bottom"/>
          </w:tcPr>
          <w:p w:rsidR="00145C1C" w:rsidRPr="009658BB" w:rsidRDefault="00145C1C" w:rsidP="00145C1C">
            <w:pPr>
              <w:spacing w:before="40" w:after="40"/>
              <w:jc w:val="right"/>
              <w:rPr>
                <w:rFonts w:cs="Arial"/>
                <w:color w:val="000000"/>
                <w:sz w:val="19"/>
                <w:szCs w:val="19"/>
                <w:lang w:val="lt-LT"/>
              </w:rPr>
            </w:pPr>
            <w:r w:rsidRPr="009658BB">
              <w:rPr>
                <w:rFonts w:cs="Arial"/>
                <w:color w:val="000000"/>
                <w:sz w:val="19"/>
                <w:szCs w:val="19"/>
                <w:lang w:val="lt-LT"/>
              </w:rPr>
              <w:t>3,2</w:t>
            </w:r>
          </w:p>
        </w:tc>
      </w:tr>
      <w:tr w:rsidR="00145C1C" w:rsidRPr="009658BB" w:rsidTr="00B6694B">
        <w:tc>
          <w:tcPr>
            <w:tcW w:w="1504" w:type="pct"/>
            <w:tcBorders>
              <w:top w:val="nil"/>
              <w:left w:val="single" w:sz="4" w:space="0" w:color="auto"/>
              <w:bottom w:val="nil"/>
              <w:right w:val="single" w:sz="4" w:space="0" w:color="auto"/>
            </w:tcBorders>
            <w:shd w:val="clear" w:color="auto" w:fill="auto"/>
            <w:vAlign w:val="bottom"/>
            <w:hideMark/>
          </w:tcPr>
          <w:p w:rsidR="00145C1C" w:rsidRPr="009658BB" w:rsidRDefault="00145C1C" w:rsidP="00145C1C">
            <w:pPr>
              <w:spacing w:before="40" w:after="40"/>
              <w:ind w:right="-85"/>
              <w:rPr>
                <w:rFonts w:cs="Arial"/>
                <w:color w:val="000000"/>
                <w:sz w:val="19"/>
                <w:szCs w:val="19"/>
                <w:lang w:val="lt-LT" w:eastAsia="lt-LT"/>
              </w:rPr>
            </w:pPr>
            <w:r w:rsidRPr="009658BB">
              <w:rPr>
                <w:rFonts w:cs="Arial"/>
                <w:color w:val="000000"/>
                <w:sz w:val="19"/>
                <w:szCs w:val="19"/>
                <w:lang w:val="lt-LT" w:eastAsia="lt-LT"/>
              </w:rPr>
              <w:t>Švietimas</w:t>
            </w:r>
          </w:p>
        </w:tc>
        <w:tc>
          <w:tcPr>
            <w:tcW w:w="583" w:type="pct"/>
            <w:tcBorders>
              <w:top w:val="nil"/>
              <w:left w:val="nil"/>
              <w:bottom w:val="nil"/>
              <w:right w:val="single" w:sz="4" w:space="0" w:color="auto"/>
            </w:tcBorders>
            <w:shd w:val="clear" w:color="auto" w:fill="auto"/>
            <w:vAlign w:val="bottom"/>
            <w:hideMark/>
          </w:tcPr>
          <w:p w:rsidR="00145C1C" w:rsidRPr="009658BB" w:rsidRDefault="00145C1C" w:rsidP="00145C1C">
            <w:pPr>
              <w:spacing w:before="40" w:after="40"/>
              <w:jc w:val="right"/>
              <w:rPr>
                <w:rFonts w:cs="Arial"/>
                <w:color w:val="000000"/>
                <w:sz w:val="19"/>
                <w:szCs w:val="19"/>
                <w:lang w:val="lt-LT"/>
              </w:rPr>
            </w:pPr>
            <w:r w:rsidRPr="009658BB">
              <w:rPr>
                <w:rFonts w:cs="Arial"/>
                <w:color w:val="000000"/>
                <w:sz w:val="19"/>
                <w:szCs w:val="19"/>
                <w:lang w:val="lt-LT"/>
              </w:rPr>
              <w:t>0,4</w:t>
            </w:r>
          </w:p>
        </w:tc>
        <w:tc>
          <w:tcPr>
            <w:tcW w:w="583" w:type="pct"/>
            <w:tcBorders>
              <w:top w:val="nil"/>
              <w:left w:val="single" w:sz="4" w:space="0" w:color="auto"/>
              <w:bottom w:val="nil"/>
              <w:right w:val="single" w:sz="4" w:space="0" w:color="auto"/>
            </w:tcBorders>
            <w:shd w:val="clear" w:color="auto" w:fill="auto"/>
            <w:vAlign w:val="bottom"/>
            <w:hideMark/>
          </w:tcPr>
          <w:p w:rsidR="00145C1C" w:rsidRPr="009658BB" w:rsidRDefault="00145C1C" w:rsidP="00145C1C">
            <w:pPr>
              <w:spacing w:before="40" w:after="40"/>
              <w:jc w:val="right"/>
              <w:rPr>
                <w:rFonts w:cs="Arial"/>
                <w:color w:val="000000"/>
                <w:sz w:val="19"/>
                <w:szCs w:val="19"/>
                <w:lang w:val="lt-LT"/>
              </w:rPr>
            </w:pPr>
            <w:r w:rsidRPr="009658BB">
              <w:rPr>
                <w:rFonts w:cs="Arial"/>
                <w:color w:val="000000"/>
                <w:sz w:val="19"/>
                <w:szCs w:val="19"/>
                <w:lang w:val="lt-LT"/>
              </w:rPr>
              <w:t>0,3</w:t>
            </w:r>
          </w:p>
        </w:tc>
        <w:tc>
          <w:tcPr>
            <w:tcW w:w="583" w:type="pct"/>
            <w:tcBorders>
              <w:top w:val="nil"/>
              <w:left w:val="nil"/>
              <w:bottom w:val="nil"/>
              <w:right w:val="single" w:sz="4" w:space="0" w:color="auto"/>
            </w:tcBorders>
            <w:shd w:val="clear" w:color="auto" w:fill="auto"/>
            <w:vAlign w:val="bottom"/>
            <w:hideMark/>
          </w:tcPr>
          <w:p w:rsidR="00145C1C" w:rsidRPr="009658BB" w:rsidRDefault="00145C1C" w:rsidP="00145C1C">
            <w:pPr>
              <w:spacing w:before="40" w:after="40"/>
              <w:jc w:val="right"/>
              <w:rPr>
                <w:rFonts w:cs="Arial"/>
                <w:color w:val="000000"/>
                <w:sz w:val="19"/>
                <w:szCs w:val="19"/>
                <w:lang w:val="lt-LT"/>
              </w:rPr>
            </w:pPr>
            <w:r w:rsidRPr="009658BB">
              <w:rPr>
                <w:rFonts w:cs="Arial"/>
                <w:color w:val="000000"/>
                <w:sz w:val="19"/>
                <w:szCs w:val="19"/>
                <w:lang w:val="lt-LT"/>
              </w:rPr>
              <w:t>0,5</w:t>
            </w:r>
          </w:p>
        </w:tc>
        <w:tc>
          <w:tcPr>
            <w:tcW w:w="583" w:type="pct"/>
            <w:tcBorders>
              <w:top w:val="nil"/>
              <w:left w:val="single" w:sz="4" w:space="0" w:color="auto"/>
              <w:bottom w:val="nil"/>
              <w:right w:val="nil"/>
            </w:tcBorders>
            <w:shd w:val="clear" w:color="auto" w:fill="auto"/>
            <w:vAlign w:val="bottom"/>
          </w:tcPr>
          <w:p w:rsidR="00145C1C" w:rsidRPr="009658BB" w:rsidRDefault="00145C1C" w:rsidP="00145C1C">
            <w:pPr>
              <w:spacing w:before="40" w:after="40"/>
              <w:jc w:val="right"/>
              <w:rPr>
                <w:rFonts w:cs="Arial"/>
                <w:color w:val="000000"/>
                <w:sz w:val="19"/>
                <w:szCs w:val="19"/>
                <w:lang w:val="lt-LT"/>
              </w:rPr>
            </w:pPr>
            <w:r w:rsidRPr="009658BB">
              <w:rPr>
                <w:rFonts w:cs="Arial"/>
                <w:color w:val="000000"/>
                <w:sz w:val="19"/>
                <w:szCs w:val="19"/>
                <w:lang w:val="lt-LT"/>
              </w:rPr>
              <w:t>0,4</w:t>
            </w:r>
          </w:p>
        </w:tc>
        <w:tc>
          <w:tcPr>
            <w:tcW w:w="583" w:type="pct"/>
            <w:tcBorders>
              <w:top w:val="nil"/>
              <w:left w:val="single" w:sz="4" w:space="0" w:color="auto"/>
              <w:bottom w:val="nil"/>
              <w:right w:val="single" w:sz="4" w:space="0" w:color="auto"/>
            </w:tcBorders>
            <w:shd w:val="clear" w:color="auto" w:fill="auto"/>
            <w:vAlign w:val="bottom"/>
          </w:tcPr>
          <w:p w:rsidR="00145C1C" w:rsidRPr="009658BB" w:rsidRDefault="00145C1C" w:rsidP="00145C1C">
            <w:pPr>
              <w:spacing w:before="40" w:after="40"/>
              <w:jc w:val="right"/>
              <w:rPr>
                <w:rFonts w:cs="Arial"/>
                <w:color w:val="000000"/>
                <w:sz w:val="19"/>
                <w:szCs w:val="19"/>
                <w:lang w:val="lt-LT"/>
              </w:rPr>
            </w:pPr>
            <w:r w:rsidRPr="009658BB">
              <w:rPr>
                <w:rFonts w:cs="Arial"/>
                <w:color w:val="000000"/>
                <w:sz w:val="19"/>
                <w:szCs w:val="19"/>
                <w:lang w:val="lt-LT"/>
              </w:rPr>
              <w:t>0,6</w:t>
            </w:r>
          </w:p>
        </w:tc>
        <w:tc>
          <w:tcPr>
            <w:tcW w:w="581" w:type="pct"/>
            <w:tcBorders>
              <w:top w:val="nil"/>
              <w:left w:val="single" w:sz="4" w:space="0" w:color="auto"/>
              <w:bottom w:val="nil"/>
              <w:right w:val="single" w:sz="4" w:space="0" w:color="auto"/>
            </w:tcBorders>
            <w:vAlign w:val="bottom"/>
          </w:tcPr>
          <w:p w:rsidR="00145C1C" w:rsidRPr="009658BB" w:rsidRDefault="00145C1C" w:rsidP="00145C1C">
            <w:pPr>
              <w:spacing w:before="40" w:after="40"/>
              <w:jc w:val="right"/>
              <w:rPr>
                <w:rFonts w:cs="Arial"/>
                <w:color w:val="000000"/>
                <w:sz w:val="19"/>
                <w:szCs w:val="19"/>
                <w:lang w:val="lt-LT"/>
              </w:rPr>
            </w:pPr>
            <w:r w:rsidRPr="009658BB">
              <w:rPr>
                <w:rFonts w:cs="Arial"/>
                <w:color w:val="000000"/>
                <w:sz w:val="19"/>
                <w:szCs w:val="19"/>
                <w:lang w:val="lt-LT"/>
              </w:rPr>
              <w:t>0,4</w:t>
            </w:r>
          </w:p>
        </w:tc>
      </w:tr>
      <w:tr w:rsidR="00145C1C" w:rsidRPr="009658BB" w:rsidTr="00B6694B">
        <w:tc>
          <w:tcPr>
            <w:tcW w:w="1504" w:type="pct"/>
            <w:tcBorders>
              <w:top w:val="nil"/>
              <w:left w:val="single" w:sz="4" w:space="0" w:color="auto"/>
              <w:bottom w:val="nil"/>
              <w:right w:val="single" w:sz="4" w:space="0" w:color="auto"/>
            </w:tcBorders>
            <w:shd w:val="clear" w:color="auto" w:fill="auto"/>
            <w:vAlign w:val="bottom"/>
            <w:hideMark/>
          </w:tcPr>
          <w:p w:rsidR="00145C1C" w:rsidRPr="009658BB" w:rsidRDefault="00145C1C" w:rsidP="00145C1C">
            <w:pPr>
              <w:spacing w:before="40" w:after="40"/>
              <w:ind w:right="-85"/>
              <w:rPr>
                <w:rFonts w:cs="Arial"/>
                <w:color w:val="000000"/>
                <w:sz w:val="19"/>
                <w:szCs w:val="19"/>
                <w:lang w:val="lt-LT" w:eastAsia="lt-LT"/>
              </w:rPr>
            </w:pPr>
            <w:r w:rsidRPr="009658BB">
              <w:rPr>
                <w:rFonts w:cs="Arial"/>
                <w:color w:val="000000"/>
                <w:sz w:val="19"/>
                <w:szCs w:val="19"/>
                <w:lang w:val="lt-LT" w:eastAsia="lt-LT"/>
              </w:rPr>
              <w:t>Žmonių sveikatos priežiūra ir socialinis darbas</w:t>
            </w:r>
          </w:p>
        </w:tc>
        <w:tc>
          <w:tcPr>
            <w:tcW w:w="583" w:type="pct"/>
            <w:tcBorders>
              <w:top w:val="nil"/>
              <w:left w:val="nil"/>
              <w:bottom w:val="nil"/>
              <w:right w:val="single" w:sz="4" w:space="0" w:color="auto"/>
            </w:tcBorders>
            <w:shd w:val="clear" w:color="auto" w:fill="auto"/>
            <w:vAlign w:val="bottom"/>
            <w:hideMark/>
          </w:tcPr>
          <w:p w:rsidR="00145C1C" w:rsidRPr="009658BB" w:rsidRDefault="00145C1C" w:rsidP="00145C1C">
            <w:pPr>
              <w:spacing w:before="40" w:after="40"/>
              <w:jc w:val="right"/>
              <w:rPr>
                <w:rFonts w:cs="Arial"/>
                <w:color w:val="000000"/>
                <w:sz w:val="19"/>
                <w:szCs w:val="19"/>
                <w:lang w:val="lt-LT"/>
              </w:rPr>
            </w:pPr>
            <w:r w:rsidRPr="009658BB">
              <w:rPr>
                <w:rFonts w:cs="Arial"/>
                <w:color w:val="000000"/>
                <w:sz w:val="19"/>
                <w:szCs w:val="19"/>
                <w:lang w:val="lt-LT"/>
              </w:rPr>
              <w:t>1,3</w:t>
            </w:r>
          </w:p>
        </w:tc>
        <w:tc>
          <w:tcPr>
            <w:tcW w:w="583" w:type="pct"/>
            <w:tcBorders>
              <w:top w:val="nil"/>
              <w:left w:val="single" w:sz="4" w:space="0" w:color="auto"/>
              <w:bottom w:val="nil"/>
              <w:right w:val="single" w:sz="4" w:space="0" w:color="auto"/>
            </w:tcBorders>
            <w:shd w:val="clear" w:color="auto" w:fill="auto"/>
            <w:vAlign w:val="bottom"/>
            <w:hideMark/>
          </w:tcPr>
          <w:p w:rsidR="00145C1C" w:rsidRPr="009658BB" w:rsidRDefault="00145C1C" w:rsidP="00145C1C">
            <w:pPr>
              <w:spacing w:before="40" w:after="40"/>
              <w:jc w:val="right"/>
              <w:rPr>
                <w:rFonts w:cs="Arial"/>
                <w:color w:val="000000"/>
                <w:sz w:val="19"/>
                <w:szCs w:val="19"/>
                <w:lang w:val="lt-LT"/>
              </w:rPr>
            </w:pPr>
            <w:r w:rsidRPr="009658BB">
              <w:rPr>
                <w:rFonts w:cs="Arial"/>
                <w:color w:val="000000"/>
                <w:sz w:val="19"/>
                <w:szCs w:val="19"/>
                <w:lang w:val="lt-LT"/>
              </w:rPr>
              <w:t>1,2</w:t>
            </w:r>
          </w:p>
        </w:tc>
        <w:tc>
          <w:tcPr>
            <w:tcW w:w="583" w:type="pct"/>
            <w:tcBorders>
              <w:top w:val="nil"/>
              <w:left w:val="nil"/>
              <w:bottom w:val="nil"/>
              <w:right w:val="single" w:sz="4" w:space="0" w:color="auto"/>
            </w:tcBorders>
            <w:shd w:val="clear" w:color="auto" w:fill="auto"/>
            <w:vAlign w:val="bottom"/>
            <w:hideMark/>
          </w:tcPr>
          <w:p w:rsidR="00145C1C" w:rsidRPr="009658BB" w:rsidRDefault="00145C1C" w:rsidP="00145C1C">
            <w:pPr>
              <w:spacing w:before="40" w:after="40"/>
              <w:jc w:val="right"/>
              <w:rPr>
                <w:rFonts w:cs="Arial"/>
                <w:color w:val="000000"/>
                <w:sz w:val="19"/>
                <w:szCs w:val="19"/>
                <w:lang w:val="lt-LT"/>
              </w:rPr>
            </w:pPr>
            <w:r w:rsidRPr="009658BB">
              <w:rPr>
                <w:rFonts w:cs="Arial"/>
                <w:color w:val="000000"/>
                <w:sz w:val="19"/>
                <w:szCs w:val="19"/>
                <w:lang w:val="lt-LT"/>
              </w:rPr>
              <w:t>1,4</w:t>
            </w:r>
          </w:p>
        </w:tc>
        <w:tc>
          <w:tcPr>
            <w:tcW w:w="583" w:type="pct"/>
            <w:tcBorders>
              <w:top w:val="nil"/>
              <w:left w:val="single" w:sz="4" w:space="0" w:color="auto"/>
              <w:bottom w:val="nil"/>
              <w:right w:val="nil"/>
            </w:tcBorders>
            <w:shd w:val="clear" w:color="auto" w:fill="auto"/>
            <w:vAlign w:val="bottom"/>
          </w:tcPr>
          <w:p w:rsidR="00145C1C" w:rsidRPr="009658BB" w:rsidRDefault="00145C1C" w:rsidP="00145C1C">
            <w:pPr>
              <w:spacing w:before="40" w:after="40"/>
              <w:jc w:val="right"/>
              <w:rPr>
                <w:rFonts w:cs="Arial"/>
                <w:color w:val="000000"/>
                <w:sz w:val="19"/>
                <w:szCs w:val="19"/>
                <w:lang w:val="lt-LT"/>
              </w:rPr>
            </w:pPr>
            <w:r w:rsidRPr="009658BB">
              <w:rPr>
                <w:rFonts w:cs="Arial"/>
                <w:color w:val="000000"/>
                <w:sz w:val="19"/>
                <w:szCs w:val="19"/>
                <w:lang w:val="lt-LT"/>
              </w:rPr>
              <w:t>1,3</w:t>
            </w:r>
          </w:p>
        </w:tc>
        <w:tc>
          <w:tcPr>
            <w:tcW w:w="583" w:type="pct"/>
            <w:tcBorders>
              <w:top w:val="nil"/>
              <w:left w:val="single" w:sz="4" w:space="0" w:color="auto"/>
              <w:bottom w:val="nil"/>
              <w:right w:val="single" w:sz="4" w:space="0" w:color="auto"/>
            </w:tcBorders>
            <w:shd w:val="clear" w:color="auto" w:fill="auto"/>
            <w:vAlign w:val="bottom"/>
          </w:tcPr>
          <w:p w:rsidR="00145C1C" w:rsidRPr="009658BB" w:rsidRDefault="00145C1C" w:rsidP="00145C1C">
            <w:pPr>
              <w:spacing w:before="40" w:after="40"/>
              <w:jc w:val="right"/>
              <w:rPr>
                <w:rFonts w:cs="Arial"/>
                <w:color w:val="000000"/>
                <w:sz w:val="19"/>
                <w:szCs w:val="19"/>
                <w:lang w:val="lt-LT"/>
              </w:rPr>
            </w:pPr>
            <w:r w:rsidRPr="009658BB">
              <w:rPr>
                <w:rFonts w:cs="Arial"/>
                <w:color w:val="000000"/>
                <w:sz w:val="19"/>
                <w:szCs w:val="19"/>
                <w:lang w:val="lt-LT"/>
              </w:rPr>
              <w:t>1,4</w:t>
            </w:r>
          </w:p>
        </w:tc>
        <w:tc>
          <w:tcPr>
            <w:tcW w:w="581" w:type="pct"/>
            <w:tcBorders>
              <w:top w:val="nil"/>
              <w:left w:val="single" w:sz="4" w:space="0" w:color="auto"/>
              <w:bottom w:val="nil"/>
              <w:right w:val="single" w:sz="4" w:space="0" w:color="auto"/>
            </w:tcBorders>
            <w:vAlign w:val="bottom"/>
          </w:tcPr>
          <w:p w:rsidR="00145C1C" w:rsidRPr="009658BB" w:rsidRDefault="00145C1C" w:rsidP="00145C1C">
            <w:pPr>
              <w:spacing w:before="40" w:after="40"/>
              <w:jc w:val="right"/>
              <w:rPr>
                <w:rFonts w:cs="Arial"/>
                <w:color w:val="000000"/>
                <w:sz w:val="19"/>
                <w:szCs w:val="19"/>
                <w:lang w:val="lt-LT"/>
              </w:rPr>
            </w:pPr>
            <w:r w:rsidRPr="009658BB">
              <w:rPr>
                <w:rFonts w:cs="Arial"/>
                <w:color w:val="000000"/>
                <w:sz w:val="19"/>
                <w:szCs w:val="19"/>
                <w:lang w:val="lt-LT"/>
              </w:rPr>
              <w:t>1,3</w:t>
            </w:r>
          </w:p>
        </w:tc>
      </w:tr>
      <w:tr w:rsidR="00145C1C" w:rsidRPr="009658BB" w:rsidTr="00B6694B">
        <w:tc>
          <w:tcPr>
            <w:tcW w:w="1504" w:type="pct"/>
            <w:tcBorders>
              <w:top w:val="nil"/>
              <w:left w:val="single" w:sz="4" w:space="0" w:color="auto"/>
              <w:bottom w:val="nil"/>
              <w:right w:val="single" w:sz="4" w:space="0" w:color="auto"/>
            </w:tcBorders>
            <w:shd w:val="clear" w:color="auto" w:fill="auto"/>
            <w:vAlign w:val="bottom"/>
            <w:hideMark/>
          </w:tcPr>
          <w:p w:rsidR="00145C1C" w:rsidRPr="009658BB" w:rsidRDefault="00145C1C" w:rsidP="00145C1C">
            <w:pPr>
              <w:spacing w:before="40" w:after="40"/>
              <w:ind w:right="-85"/>
              <w:rPr>
                <w:rFonts w:cs="Arial"/>
                <w:color w:val="000000"/>
                <w:sz w:val="19"/>
                <w:szCs w:val="19"/>
                <w:lang w:val="lt-LT" w:eastAsia="lt-LT"/>
              </w:rPr>
            </w:pPr>
            <w:r w:rsidRPr="009658BB">
              <w:rPr>
                <w:rFonts w:cs="Arial"/>
                <w:color w:val="000000"/>
                <w:sz w:val="19"/>
                <w:szCs w:val="19"/>
                <w:lang w:val="lt-LT" w:eastAsia="lt-LT"/>
              </w:rPr>
              <w:t>Meninė, pramoginė ir poilsio organizavimo veikla</w:t>
            </w:r>
          </w:p>
        </w:tc>
        <w:tc>
          <w:tcPr>
            <w:tcW w:w="583" w:type="pct"/>
            <w:tcBorders>
              <w:top w:val="nil"/>
              <w:left w:val="nil"/>
              <w:bottom w:val="nil"/>
              <w:right w:val="single" w:sz="4" w:space="0" w:color="auto"/>
            </w:tcBorders>
            <w:shd w:val="clear" w:color="auto" w:fill="auto"/>
            <w:vAlign w:val="bottom"/>
            <w:hideMark/>
          </w:tcPr>
          <w:p w:rsidR="00145C1C" w:rsidRPr="009658BB" w:rsidRDefault="00145C1C" w:rsidP="00145C1C">
            <w:pPr>
              <w:spacing w:before="40" w:after="40"/>
              <w:jc w:val="right"/>
              <w:rPr>
                <w:rFonts w:cs="Arial"/>
                <w:color w:val="000000"/>
                <w:sz w:val="19"/>
                <w:szCs w:val="19"/>
                <w:lang w:val="lt-LT"/>
              </w:rPr>
            </w:pPr>
            <w:r w:rsidRPr="009658BB">
              <w:rPr>
                <w:rFonts w:cs="Arial"/>
                <w:color w:val="000000"/>
                <w:sz w:val="19"/>
                <w:szCs w:val="19"/>
                <w:lang w:val="lt-LT"/>
              </w:rPr>
              <w:t>0,4</w:t>
            </w:r>
          </w:p>
        </w:tc>
        <w:tc>
          <w:tcPr>
            <w:tcW w:w="583" w:type="pct"/>
            <w:tcBorders>
              <w:top w:val="nil"/>
              <w:left w:val="single" w:sz="4" w:space="0" w:color="auto"/>
              <w:bottom w:val="nil"/>
              <w:right w:val="single" w:sz="4" w:space="0" w:color="auto"/>
            </w:tcBorders>
            <w:shd w:val="clear" w:color="auto" w:fill="auto"/>
            <w:vAlign w:val="bottom"/>
            <w:hideMark/>
          </w:tcPr>
          <w:p w:rsidR="00145C1C" w:rsidRPr="009658BB" w:rsidRDefault="00145C1C" w:rsidP="00145C1C">
            <w:pPr>
              <w:spacing w:before="40" w:after="40"/>
              <w:jc w:val="right"/>
              <w:rPr>
                <w:rFonts w:cs="Arial"/>
                <w:color w:val="000000"/>
                <w:sz w:val="19"/>
                <w:szCs w:val="19"/>
                <w:lang w:val="lt-LT"/>
              </w:rPr>
            </w:pPr>
            <w:r w:rsidRPr="009658BB">
              <w:rPr>
                <w:rFonts w:cs="Arial"/>
                <w:color w:val="000000"/>
                <w:sz w:val="19"/>
                <w:szCs w:val="19"/>
                <w:lang w:val="lt-LT"/>
              </w:rPr>
              <w:t>1,5</w:t>
            </w:r>
          </w:p>
        </w:tc>
        <w:tc>
          <w:tcPr>
            <w:tcW w:w="583" w:type="pct"/>
            <w:tcBorders>
              <w:top w:val="nil"/>
              <w:left w:val="nil"/>
              <w:bottom w:val="nil"/>
              <w:right w:val="single" w:sz="4" w:space="0" w:color="auto"/>
            </w:tcBorders>
            <w:shd w:val="clear" w:color="auto" w:fill="auto"/>
            <w:vAlign w:val="bottom"/>
            <w:hideMark/>
          </w:tcPr>
          <w:p w:rsidR="00145C1C" w:rsidRPr="009658BB" w:rsidRDefault="00145C1C" w:rsidP="00145C1C">
            <w:pPr>
              <w:spacing w:before="40" w:after="40"/>
              <w:jc w:val="right"/>
              <w:rPr>
                <w:rFonts w:cs="Arial"/>
                <w:color w:val="000000"/>
                <w:sz w:val="19"/>
                <w:szCs w:val="19"/>
                <w:lang w:val="lt-LT"/>
              </w:rPr>
            </w:pPr>
            <w:r w:rsidRPr="009658BB">
              <w:rPr>
                <w:rFonts w:cs="Arial"/>
                <w:color w:val="000000"/>
                <w:sz w:val="19"/>
                <w:szCs w:val="19"/>
                <w:lang w:val="lt-LT"/>
              </w:rPr>
              <w:t>0,4</w:t>
            </w:r>
          </w:p>
        </w:tc>
        <w:tc>
          <w:tcPr>
            <w:tcW w:w="583" w:type="pct"/>
            <w:tcBorders>
              <w:top w:val="nil"/>
              <w:left w:val="single" w:sz="4" w:space="0" w:color="auto"/>
              <w:bottom w:val="nil"/>
              <w:right w:val="nil"/>
            </w:tcBorders>
            <w:shd w:val="clear" w:color="auto" w:fill="auto"/>
            <w:vAlign w:val="bottom"/>
          </w:tcPr>
          <w:p w:rsidR="00145C1C" w:rsidRPr="009658BB" w:rsidRDefault="00145C1C" w:rsidP="00145C1C">
            <w:pPr>
              <w:spacing w:before="40" w:after="40"/>
              <w:jc w:val="right"/>
              <w:rPr>
                <w:rFonts w:cs="Arial"/>
                <w:color w:val="000000"/>
                <w:sz w:val="19"/>
                <w:szCs w:val="19"/>
                <w:lang w:val="lt-LT"/>
              </w:rPr>
            </w:pPr>
            <w:r w:rsidRPr="009658BB">
              <w:rPr>
                <w:rFonts w:cs="Arial"/>
                <w:color w:val="000000"/>
                <w:sz w:val="19"/>
                <w:szCs w:val="19"/>
                <w:lang w:val="lt-LT"/>
              </w:rPr>
              <w:t>1,5</w:t>
            </w:r>
          </w:p>
        </w:tc>
        <w:tc>
          <w:tcPr>
            <w:tcW w:w="583" w:type="pct"/>
            <w:tcBorders>
              <w:top w:val="nil"/>
              <w:left w:val="single" w:sz="4" w:space="0" w:color="auto"/>
              <w:bottom w:val="nil"/>
              <w:right w:val="single" w:sz="4" w:space="0" w:color="auto"/>
            </w:tcBorders>
            <w:shd w:val="clear" w:color="auto" w:fill="auto"/>
            <w:vAlign w:val="bottom"/>
          </w:tcPr>
          <w:p w:rsidR="00145C1C" w:rsidRPr="009658BB" w:rsidRDefault="00145C1C" w:rsidP="00145C1C">
            <w:pPr>
              <w:spacing w:before="40" w:after="40"/>
              <w:jc w:val="right"/>
              <w:rPr>
                <w:rFonts w:cs="Arial"/>
                <w:color w:val="000000"/>
                <w:sz w:val="19"/>
                <w:szCs w:val="19"/>
                <w:lang w:val="lt-LT"/>
              </w:rPr>
            </w:pPr>
            <w:r w:rsidRPr="009658BB">
              <w:rPr>
                <w:rFonts w:cs="Arial"/>
                <w:color w:val="000000"/>
                <w:sz w:val="19"/>
                <w:szCs w:val="19"/>
                <w:lang w:val="lt-LT"/>
              </w:rPr>
              <w:t>0,2</w:t>
            </w:r>
          </w:p>
        </w:tc>
        <w:tc>
          <w:tcPr>
            <w:tcW w:w="581" w:type="pct"/>
            <w:tcBorders>
              <w:top w:val="nil"/>
              <w:left w:val="single" w:sz="4" w:space="0" w:color="auto"/>
              <w:bottom w:val="nil"/>
              <w:right w:val="single" w:sz="4" w:space="0" w:color="auto"/>
            </w:tcBorders>
            <w:vAlign w:val="bottom"/>
          </w:tcPr>
          <w:p w:rsidR="00145C1C" w:rsidRPr="009658BB" w:rsidRDefault="00145C1C" w:rsidP="00145C1C">
            <w:pPr>
              <w:spacing w:before="40" w:after="40"/>
              <w:jc w:val="right"/>
              <w:rPr>
                <w:rFonts w:cs="Arial"/>
                <w:color w:val="000000"/>
                <w:sz w:val="19"/>
                <w:szCs w:val="19"/>
                <w:lang w:val="lt-LT"/>
              </w:rPr>
            </w:pPr>
            <w:r w:rsidRPr="009658BB">
              <w:rPr>
                <w:rFonts w:cs="Arial"/>
                <w:color w:val="000000"/>
                <w:sz w:val="19"/>
                <w:szCs w:val="19"/>
                <w:lang w:val="lt-LT"/>
              </w:rPr>
              <w:t>0,8</w:t>
            </w:r>
          </w:p>
        </w:tc>
      </w:tr>
      <w:tr w:rsidR="00145C1C" w:rsidRPr="009658BB" w:rsidTr="00B6694B">
        <w:tc>
          <w:tcPr>
            <w:tcW w:w="1504" w:type="pct"/>
            <w:tcBorders>
              <w:top w:val="nil"/>
              <w:left w:val="single" w:sz="4" w:space="0" w:color="auto"/>
              <w:bottom w:val="single" w:sz="4" w:space="0" w:color="auto"/>
              <w:right w:val="single" w:sz="4" w:space="0" w:color="auto"/>
            </w:tcBorders>
            <w:shd w:val="clear" w:color="auto" w:fill="auto"/>
            <w:vAlign w:val="bottom"/>
            <w:hideMark/>
          </w:tcPr>
          <w:p w:rsidR="00145C1C" w:rsidRPr="009658BB" w:rsidRDefault="00145C1C" w:rsidP="00145C1C">
            <w:pPr>
              <w:spacing w:before="40" w:after="40"/>
              <w:ind w:right="-85"/>
              <w:rPr>
                <w:rFonts w:cs="Arial"/>
                <w:color w:val="000000"/>
                <w:sz w:val="19"/>
                <w:szCs w:val="19"/>
                <w:lang w:val="lt-LT" w:eastAsia="lt-LT"/>
              </w:rPr>
            </w:pPr>
            <w:r w:rsidRPr="009658BB">
              <w:rPr>
                <w:rFonts w:cs="Arial"/>
                <w:color w:val="000000"/>
                <w:sz w:val="19"/>
                <w:szCs w:val="19"/>
                <w:lang w:val="lt-LT" w:eastAsia="lt-LT"/>
              </w:rPr>
              <w:t>Kita aptarnavimo veikla</w:t>
            </w:r>
          </w:p>
        </w:tc>
        <w:tc>
          <w:tcPr>
            <w:tcW w:w="583" w:type="pct"/>
            <w:tcBorders>
              <w:top w:val="nil"/>
              <w:left w:val="nil"/>
              <w:bottom w:val="single" w:sz="4" w:space="0" w:color="auto"/>
              <w:right w:val="single" w:sz="4" w:space="0" w:color="auto"/>
            </w:tcBorders>
            <w:shd w:val="clear" w:color="auto" w:fill="auto"/>
            <w:vAlign w:val="bottom"/>
            <w:hideMark/>
          </w:tcPr>
          <w:p w:rsidR="00145C1C" w:rsidRPr="009658BB" w:rsidRDefault="00145C1C" w:rsidP="00145C1C">
            <w:pPr>
              <w:spacing w:before="40" w:after="40"/>
              <w:jc w:val="right"/>
              <w:rPr>
                <w:rFonts w:cs="Arial"/>
                <w:color w:val="000000"/>
                <w:sz w:val="19"/>
                <w:szCs w:val="19"/>
                <w:lang w:val="lt-LT"/>
              </w:rPr>
            </w:pPr>
            <w:r w:rsidRPr="009658BB">
              <w:rPr>
                <w:rFonts w:cs="Arial"/>
                <w:color w:val="000000"/>
                <w:sz w:val="19"/>
                <w:szCs w:val="19"/>
                <w:lang w:val="lt-LT"/>
              </w:rPr>
              <w:t>0,1</w:t>
            </w:r>
          </w:p>
        </w:tc>
        <w:tc>
          <w:tcPr>
            <w:tcW w:w="583" w:type="pct"/>
            <w:tcBorders>
              <w:top w:val="nil"/>
              <w:left w:val="single" w:sz="4" w:space="0" w:color="auto"/>
              <w:bottom w:val="single" w:sz="4" w:space="0" w:color="auto"/>
              <w:right w:val="single" w:sz="4" w:space="0" w:color="auto"/>
            </w:tcBorders>
            <w:shd w:val="clear" w:color="auto" w:fill="auto"/>
            <w:vAlign w:val="bottom"/>
            <w:hideMark/>
          </w:tcPr>
          <w:p w:rsidR="00145C1C" w:rsidRPr="009658BB" w:rsidRDefault="00145C1C" w:rsidP="00145C1C">
            <w:pPr>
              <w:spacing w:before="40" w:after="40"/>
              <w:jc w:val="right"/>
              <w:rPr>
                <w:rFonts w:cs="Arial"/>
                <w:color w:val="000000"/>
                <w:sz w:val="19"/>
                <w:szCs w:val="19"/>
                <w:lang w:val="lt-LT"/>
              </w:rPr>
            </w:pPr>
            <w:r w:rsidRPr="009658BB">
              <w:rPr>
                <w:rFonts w:cs="Arial"/>
                <w:color w:val="000000"/>
                <w:sz w:val="19"/>
                <w:szCs w:val="19"/>
                <w:lang w:val="lt-LT"/>
              </w:rPr>
              <w:t>0,7</w:t>
            </w:r>
          </w:p>
        </w:tc>
        <w:tc>
          <w:tcPr>
            <w:tcW w:w="583" w:type="pct"/>
            <w:tcBorders>
              <w:top w:val="nil"/>
              <w:left w:val="nil"/>
              <w:bottom w:val="single" w:sz="4" w:space="0" w:color="auto"/>
              <w:right w:val="single" w:sz="4" w:space="0" w:color="auto"/>
            </w:tcBorders>
            <w:shd w:val="clear" w:color="auto" w:fill="auto"/>
            <w:vAlign w:val="bottom"/>
            <w:hideMark/>
          </w:tcPr>
          <w:p w:rsidR="00145C1C" w:rsidRPr="009658BB" w:rsidRDefault="00145C1C" w:rsidP="00145C1C">
            <w:pPr>
              <w:spacing w:before="40" w:after="40"/>
              <w:jc w:val="right"/>
              <w:rPr>
                <w:rFonts w:cs="Arial"/>
                <w:color w:val="000000"/>
                <w:sz w:val="19"/>
                <w:szCs w:val="19"/>
                <w:lang w:val="lt-LT"/>
              </w:rPr>
            </w:pPr>
            <w:r w:rsidRPr="009658BB">
              <w:rPr>
                <w:rFonts w:cs="Arial"/>
                <w:color w:val="000000"/>
                <w:sz w:val="19"/>
                <w:szCs w:val="19"/>
                <w:lang w:val="lt-LT"/>
              </w:rPr>
              <w:t>0,1</w:t>
            </w:r>
          </w:p>
        </w:tc>
        <w:tc>
          <w:tcPr>
            <w:tcW w:w="583" w:type="pct"/>
            <w:tcBorders>
              <w:top w:val="nil"/>
              <w:left w:val="single" w:sz="4" w:space="0" w:color="auto"/>
              <w:bottom w:val="single" w:sz="4" w:space="0" w:color="auto"/>
              <w:right w:val="nil"/>
            </w:tcBorders>
            <w:shd w:val="clear" w:color="auto" w:fill="auto"/>
            <w:vAlign w:val="bottom"/>
          </w:tcPr>
          <w:p w:rsidR="00145C1C" w:rsidRPr="009658BB" w:rsidRDefault="00145C1C" w:rsidP="00145C1C">
            <w:pPr>
              <w:spacing w:before="40" w:after="40"/>
              <w:jc w:val="right"/>
              <w:rPr>
                <w:rFonts w:cs="Arial"/>
                <w:color w:val="000000"/>
                <w:sz w:val="19"/>
                <w:szCs w:val="19"/>
                <w:lang w:val="lt-LT"/>
              </w:rPr>
            </w:pPr>
            <w:r w:rsidRPr="009658BB">
              <w:rPr>
                <w:rFonts w:cs="Arial"/>
                <w:color w:val="000000"/>
                <w:sz w:val="19"/>
                <w:szCs w:val="19"/>
                <w:lang w:val="lt-LT"/>
              </w:rPr>
              <w:t>0,5</w:t>
            </w:r>
          </w:p>
        </w:tc>
        <w:tc>
          <w:tcPr>
            <w:tcW w:w="583" w:type="pct"/>
            <w:tcBorders>
              <w:top w:val="nil"/>
              <w:left w:val="single" w:sz="4" w:space="0" w:color="auto"/>
              <w:bottom w:val="single" w:sz="4" w:space="0" w:color="auto"/>
              <w:right w:val="single" w:sz="4" w:space="0" w:color="auto"/>
            </w:tcBorders>
            <w:shd w:val="clear" w:color="auto" w:fill="auto"/>
            <w:vAlign w:val="bottom"/>
          </w:tcPr>
          <w:p w:rsidR="00145C1C" w:rsidRPr="009658BB" w:rsidRDefault="00145C1C" w:rsidP="00145C1C">
            <w:pPr>
              <w:spacing w:before="40" w:after="40"/>
              <w:jc w:val="right"/>
              <w:rPr>
                <w:rFonts w:cs="Arial"/>
                <w:color w:val="000000"/>
                <w:sz w:val="19"/>
                <w:szCs w:val="19"/>
                <w:lang w:val="lt-LT"/>
              </w:rPr>
            </w:pPr>
            <w:r w:rsidRPr="009658BB">
              <w:rPr>
                <w:rFonts w:cs="Arial"/>
                <w:color w:val="000000"/>
                <w:sz w:val="19"/>
                <w:szCs w:val="19"/>
                <w:lang w:val="lt-LT"/>
              </w:rPr>
              <w:t>0,0</w:t>
            </w:r>
          </w:p>
        </w:tc>
        <w:tc>
          <w:tcPr>
            <w:tcW w:w="581" w:type="pct"/>
            <w:tcBorders>
              <w:top w:val="nil"/>
              <w:left w:val="single" w:sz="4" w:space="0" w:color="auto"/>
              <w:bottom w:val="single" w:sz="4" w:space="0" w:color="auto"/>
              <w:right w:val="single" w:sz="4" w:space="0" w:color="auto"/>
            </w:tcBorders>
            <w:vAlign w:val="bottom"/>
          </w:tcPr>
          <w:p w:rsidR="00145C1C" w:rsidRPr="009658BB" w:rsidRDefault="00145C1C" w:rsidP="00145C1C">
            <w:pPr>
              <w:spacing w:before="40" w:after="40"/>
              <w:jc w:val="right"/>
              <w:rPr>
                <w:rFonts w:cs="Arial"/>
                <w:color w:val="000000"/>
                <w:sz w:val="19"/>
                <w:szCs w:val="19"/>
                <w:lang w:val="lt-LT"/>
              </w:rPr>
            </w:pPr>
            <w:r w:rsidRPr="009658BB">
              <w:rPr>
                <w:rFonts w:cs="Arial"/>
                <w:color w:val="000000"/>
                <w:sz w:val="19"/>
                <w:szCs w:val="19"/>
                <w:lang w:val="lt-LT"/>
              </w:rPr>
              <w:t>0,3</w:t>
            </w:r>
          </w:p>
        </w:tc>
      </w:tr>
    </w:tbl>
    <w:p w:rsidR="002700D7" w:rsidRPr="009658BB" w:rsidRDefault="002700D7" w:rsidP="002700D7">
      <w:pPr>
        <w:pStyle w:val="Pasiteirauti"/>
        <w:spacing w:before="120"/>
        <w:rPr>
          <w:sz w:val="18"/>
        </w:rPr>
      </w:pPr>
      <w:r w:rsidRPr="009658BB">
        <w:rPr>
          <w:b/>
          <w:sz w:val="18"/>
        </w:rPr>
        <w:t>Pastaba.</w:t>
      </w:r>
      <w:r w:rsidRPr="009658BB">
        <w:rPr>
          <w:sz w:val="18"/>
        </w:rPr>
        <w:t xml:space="preserve"> Dėl apvalinimo eilučių suma gali nesutapti su duomenimis „Iš viso“.</w:t>
      </w:r>
    </w:p>
    <w:p w:rsidR="002700D7" w:rsidRPr="009658BB" w:rsidRDefault="002700D7" w:rsidP="002700D7">
      <w:pPr>
        <w:pStyle w:val="Pasiteirauti"/>
        <w:spacing w:before="120"/>
        <w:rPr>
          <w:sz w:val="18"/>
          <w:szCs w:val="18"/>
        </w:rPr>
      </w:pPr>
      <w:r w:rsidRPr="009658BB">
        <w:rPr>
          <w:sz w:val="18"/>
          <w:szCs w:val="18"/>
        </w:rPr>
        <w:t>__________________</w:t>
      </w:r>
    </w:p>
    <w:p w:rsidR="002700D7" w:rsidRPr="009658BB" w:rsidRDefault="002700D7" w:rsidP="002700D7">
      <w:pPr>
        <w:pStyle w:val="lentpav"/>
        <w:spacing w:before="60"/>
        <w:jc w:val="both"/>
        <w:rPr>
          <w:b w:val="0"/>
          <w:sz w:val="18"/>
          <w:szCs w:val="18"/>
        </w:rPr>
      </w:pPr>
      <w:r w:rsidRPr="009658BB">
        <w:rPr>
          <w:sz w:val="18"/>
          <w:szCs w:val="18"/>
        </w:rPr>
        <w:t>*</w:t>
      </w:r>
      <w:r w:rsidRPr="009658BB">
        <w:rPr>
          <w:b w:val="0"/>
          <w:sz w:val="18"/>
          <w:szCs w:val="18"/>
        </w:rPr>
        <w:t> </w:t>
      </w:r>
      <w:r w:rsidRPr="009658BB">
        <w:rPr>
          <w:b w:val="0"/>
          <w:spacing w:val="-2"/>
          <w:sz w:val="18"/>
          <w:szCs w:val="18"/>
        </w:rPr>
        <w:t>Pramonė apima kasybą ir karjerų eksploatavimą, apdirbamąją gamybą, elektros, dujų, garo tiekimą ir oro kondicionavimą,</w:t>
      </w:r>
      <w:r w:rsidRPr="009658BB">
        <w:rPr>
          <w:b w:val="0"/>
          <w:sz w:val="18"/>
          <w:szCs w:val="18"/>
        </w:rPr>
        <w:t xml:space="preserve"> vandens tiekimą, nuotekų valymą, atliekų tvarkymą ir regeneravimą.</w:t>
      </w:r>
    </w:p>
    <w:p w:rsidR="00336BFE" w:rsidRPr="009658BB" w:rsidRDefault="00336BFE" w:rsidP="00336BFE">
      <w:pPr>
        <w:pStyle w:val="Lentelespav"/>
        <w:jc w:val="both"/>
        <w:rPr>
          <w:b w:val="0"/>
          <w:sz w:val="18"/>
          <w:szCs w:val="18"/>
          <w:lang w:val="lt-LT"/>
        </w:rPr>
      </w:pPr>
    </w:p>
    <w:p w:rsidR="00336BFE" w:rsidRPr="009658BB" w:rsidRDefault="00336BFE" w:rsidP="00BA0372">
      <w:pPr>
        <w:pStyle w:val="Pagrtekstas"/>
        <w:ind w:firstLine="284"/>
        <w:rPr>
          <w:lang w:val="lt-LT"/>
        </w:rPr>
      </w:pPr>
      <w:r w:rsidRPr="009658BB">
        <w:rPr>
          <w:lang w:val="lt-LT"/>
        </w:rPr>
        <w:t>20</w:t>
      </w:r>
      <w:r w:rsidR="00785498" w:rsidRPr="009658BB">
        <w:rPr>
          <w:lang w:val="lt-LT"/>
        </w:rPr>
        <w:t>2</w:t>
      </w:r>
      <w:r w:rsidR="00B8251B" w:rsidRPr="009658BB">
        <w:rPr>
          <w:lang w:val="lt-LT"/>
        </w:rPr>
        <w:t>1</w:t>
      </w:r>
      <w:r w:rsidR="00F57ACF" w:rsidRPr="009658BB">
        <w:rPr>
          <w:lang w:val="lt-LT"/>
        </w:rPr>
        <w:t> m.</w:t>
      </w:r>
      <w:r w:rsidRPr="009658BB">
        <w:rPr>
          <w:lang w:val="lt-LT"/>
        </w:rPr>
        <w:t xml:space="preserve"> </w:t>
      </w:r>
      <w:r w:rsidR="00B8251B" w:rsidRPr="009658BB">
        <w:rPr>
          <w:lang w:val="lt-LT"/>
        </w:rPr>
        <w:t>pirmojo</w:t>
      </w:r>
      <w:r w:rsidRPr="009658BB">
        <w:rPr>
          <w:lang w:val="lt-LT"/>
        </w:rPr>
        <w:t xml:space="preserve"> ketvirčio laisvų darbo vietų rodiklius skelbsime 202</w:t>
      </w:r>
      <w:r w:rsidR="00C113C3" w:rsidRPr="009658BB">
        <w:rPr>
          <w:lang w:val="lt-LT"/>
        </w:rPr>
        <w:t>1</w:t>
      </w:r>
      <w:r w:rsidR="00F57ACF" w:rsidRPr="009658BB">
        <w:rPr>
          <w:lang w:val="lt-LT"/>
        </w:rPr>
        <w:t> m.</w:t>
      </w:r>
      <w:r w:rsidRPr="009658BB">
        <w:rPr>
          <w:lang w:val="lt-LT"/>
        </w:rPr>
        <w:t xml:space="preserve"> </w:t>
      </w:r>
      <w:r w:rsidR="00B8251B" w:rsidRPr="009658BB">
        <w:rPr>
          <w:lang w:val="lt-LT"/>
        </w:rPr>
        <w:t>gegužės</w:t>
      </w:r>
      <w:r w:rsidRPr="009658BB">
        <w:rPr>
          <w:lang w:val="lt-LT"/>
        </w:rPr>
        <w:t> </w:t>
      </w:r>
      <w:r w:rsidR="006947D2" w:rsidRPr="009658BB">
        <w:rPr>
          <w:lang w:val="lt-LT"/>
        </w:rPr>
        <w:t>2</w:t>
      </w:r>
      <w:r w:rsidR="00B8251B" w:rsidRPr="009658BB">
        <w:rPr>
          <w:lang w:val="lt-LT"/>
        </w:rPr>
        <w:t>5</w:t>
      </w:r>
      <w:r w:rsidR="006947D2" w:rsidRPr="009658BB">
        <w:rPr>
          <w:lang w:val="lt-LT"/>
        </w:rPr>
        <w:t> </w:t>
      </w:r>
      <w:r w:rsidRPr="009658BB">
        <w:rPr>
          <w:lang w:val="lt-LT"/>
        </w:rPr>
        <w:t>d.</w:t>
      </w:r>
    </w:p>
    <w:p w:rsidR="00336BFE" w:rsidRPr="009658BB" w:rsidRDefault="00336BFE" w:rsidP="00336BFE">
      <w:pPr>
        <w:pStyle w:val="Lentelespav"/>
        <w:jc w:val="both"/>
        <w:rPr>
          <w:b w:val="0"/>
          <w:sz w:val="18"/>
          <w:szCs w:val="18"/>
          <w:lang w:val="lt-LT"/>
        </w:rPr>
      </w:pPr>
    </w:p>
    <w:p w:rsidR="00336BFE" w:rsidRPr="009658BB" w:rsidRDefault="00336BFE" w:rsidP="00336BFE">
      <w:pPr>
        <w:pStyle w:val="Lentelespav"/>
        <w:jc w:val="both"/>
        <w:rPr>
          <w:b w:val="0"/>
          <w:sz w:val="18"/>
          <w:szCs w:val="18"/>
          <w:lang w:val="lt-LT"/>
        </w:rPr>
      </w:pPr>
    </w:p>
    <w:p w:rsidR="00336BFE" w:rsidRPr="009658BB" w:rsidRDefault="00336BFE" w:rsidP="00336BFE">
      <w:pPr>
        <w:pStyle w:val="Pasiteirauti"/>
        <w:rPr>
          <w:sz w:val="20"/>
        </w:rPr>
      </w:pPr>
      <w:r w:rsidRPr="009658BB">
        <w:rPr>
          <w:sz w:val="20"/>
        </w:rPr>
        <w:t xml:space="preserve">Daugiau informacijos šia tema rasite </w:t>
      </w:r>
      <w:hyperlink r:id="rId19" w:anchor="/" w:history="1">
        <w:r w:rsidRPr="009658BB">
          <w:rPr>
            <w:rStyle w:val="Hipersaitas"/>
            <w:sz w:val="20"/>
          </w:rPr>
          <w:t>Rodiklių duomenų bazėje</w:t>
        </w:r>
      </w:hyperlink>
      <w:r w:rsidRPr="009658BB">
        <w:rPr>
          <w:sz w:val="20"/>
        </w:rPr>
        <w:t>.</w:t>
      </w:r>
    </w:p>
    <w:p w:rsidR="00336BFE" w:rsidRPr="009658BB" w:rsidRDefault="005700EC" w:rsidP="00336BFE">
      <w:pPr>
        <w:rPr>
          <w:lang w:val="lt-LT"/>
        </w:rPr>
      </w:pPr>
      <w:r w:rsidRPr="009658BB">
        <w:rPr>
          <w:lang w:val="lt-LT"/>
        </w:rPr>
        <w:br/>
      </w:r>
      <w:r w:rsidR="00336BFE" w:rsidRPr="009658BB">
        <w:rPr>
          <w:lang w:val="lt-LT"/>
        </w:rPr>
        <w:t xml:space="preserve">Statistinė informacija rengiama ir skleidžiama vadovaujantis </w:t>
      </w:r>
      <w:hyperlink r:id="rId20" w:history="1">
        <w:r w:rsidR="00336BFE" w:rsidRPr="009658BB">
          <w:rPr>
            <w:rStyle w:val="Hipersaitas"/>
            <w:lang w:val="lt-LT"/>
          </w:rPr>
          <w:t>Europos statistikos praktikos kodeksu</w:t>
        </w:r>
      </w:hyperlink>
      <w:r w:rsidR="00336BFE" w:rsidRPr="009658BB">
        <w:rPr>
          <w:lang w:val="lt-LT"/>
        </w:rPr>
        <w:t>.</w:t>
      </w:r>
    </w:p>
    <w:p w:rsidR="00336BFE" w:rsidRPr="009658BB" w:rsidRDefault="005700EC" w:rsidP="00336BFE">
      <w:pPr>
        <w:rPr>
          <w:sz w:val="19"/>
          <w:lang w:val="lt-LT"/>
        </w:rPr>
      </w:pPr>
      <w:r w:rsidRPr="009658BB">
        <w:rPr>
          <w:lang w:val="lt-LT"/>
        </w:rPr>
        <w:br/>
      </w:r>
      <w:r w:rsidR="00336BFE" w:rsidRPr="009658BB">
        <w:rPr>
          <w:lang w:val="lt-LT"/>
        </w:rPr>
        <w:t>Daugiau susijusių terminų</w:t>
      </w:r>
      <w:r w:rsidR="00EB6C02" w:rsidRPr="009658BB">
        <w:rPr>
          <w:lang w:val="lt-LT"/>
        </w:rPr>
        <w:t xml:space="preserve"> ir paaiškinimų</w:t>
      </w:r>
      <w:r w:rsidR="00336BFE" w:rsidRPr="009658BB">
        <w:rPr>
          <w:lang w:val="lt-LT"/>
        </w:rPr>
        <w:t xml:space="preserve"> ieškokite</w:t>
      </w:r>
      <w:r w:rsidR="00336BFE" w:rsidRPr="009658BB">
        <w:rPr>
          <w:sz w:val="19"/>
          <w:lang w:val="lt-LT"/>
        </w:rPr>
        <w:t xml:space="preserve"> </w:t>
      </w:r>
      <w:hyperlink r:id="rId21" w:history="1">
        <w:r w:rsidR="00336BFE" w:rsidRPr="009658BB">
          <w:rPr>
            <w:rStyle w:val="Hipersaitas"/>
            <w:lang w:val="lt-LT"/>
          </w:rPr>
          <w:t>Statistikos terminų žodyne</w:t>
        </w:r>
      </w:hyperlink>
      <w:r w:rsidR="00336BFE" w:rsidRPr="009658BB">
        <w:rPr>
          <w:lang w:val="lt-LT"/>
        </w:rPr>
        <w:t>.</w:t>
      </w:r>
    </w:p>
    <w:p w:rsidR="00336BFE" w:rsidRPr="009658BB" w:rsidRDefault="00336BFE" w:rsidP="00336BFE">
      <w:pPr>
        <w:pStyle w:val="Lentelespav"/>
        <w:jc w:val="both"/>
        <w:rPr>
          <w:b w:val="0"/>
          <w:sz w:val="18"/>
          <w:szCs w:val="18"/>
          <w:lang w:val="lt-LT"/>
        </w:rPr>
      </w:pPr>
    </w:p>
    <w:p w:rsidR="00336BFE" w:rsidRPr="009658BB" w:rsidRDefault="00336BFE" w:rsidP="00336BFE">
      <w:pPr>
        <w:pStyle w:val="Lentelespav"/>
        <w:jc w:val="both"/>
        <w:rPr>
          <w:b w:val="0"/>
          <w:sz w:val="18"/>
          <w:szCs w:val="18"/>
          <w:lang w:val="lt-LT"/>
        </w:rPr>
      </w:pPr>
    </w:p>
    <w:p w:rsidR="00336BFE" w:rsidRPr="009658BB" w:rsidRDefault="00336BFE" w:rsidP="00336BFE">
      <w:pPr>
        <w:pStyle w:val="Pagrtekstas"/>
        <w:spacing w:after="60"/>
        <w:rPr>
          <w:b/>
          <w:bCs/>
          <w:lang w:val="lt-LT"/>
        </w:rPr>
      </w:pPr>
      <w:r w:rsidRPr="009658BB">
        <w:rPr>
          <w:b/>
          <w:bCs/>
          <w:lang w:val="lt-LT"/>
        </w:rPr>
        <w:t>Paaiškinimai</w:t>
      </w:r>
    </w:p>
    <w:p w:rsidR="00336BFE" w:rsidRPr="009658BB" w:rsidRDefault="00336BFE" w:rsidP="00336BFE">
      <w:pPr>
        <w:pStyle w:val="Pagrtekstas"/>
        <w:spacing w:after="60"/>
        <w:rPr>
          <w:lang w:val="lt-LT"/>
        </w:rPr>
      </w:pPr>
      <w:r w:rsidRPr="009658BB">
        <w:rPr>
          <w:b/>
          <w:lang w:val="lt-LT"/>
        </w:rPr>
        <w:t>Laisva darbo vieta</w:t>
      </w:r>
      <w:r w:rsidR="003C0C7C" w:rsidRPr="009658BB">
        <w:rPr>
          <w:lang w:val="lt-LT"/>
        </w:rPr>
        <w:t xml:space="preserve"> – </w:t>
      </w:r>
      <w:r w:rsidRPr="009658BB">
        <w:rPr>
          <w:lang w:val="lt-LT"/>
        </w:rPr>
        <w:t>naujai sukurta, neužimta arba artimiausiu metu tapsianti laisva mokamo darbo vieta, dėl kurios darbdavys imasi ir yra pasirengęs toliau imtis aktyvių veiksmų, ieškodamas tinkamo kandidato ne iš tos pačios įmonės ir į kurią iš karto ar per tam tikrą laikotarpį ketina priimti kandidatą.</w:t>
      </w:r>
    </w:p>
    <w:p w:rsidR="00336BFE" w:rsidRPr="009658BB" w:rsidRDefault="00336BFE" w:rsidP="00336BFE">
      <w:pPr>
        <w:pStyle w:val="Pagrtekstas"/>
        <w:spacing w:after="60"/>
        <w:rPr>
          <w:lang w:val="lt-LT"/>
        </w:rPr>
      </w:pPr>
      <w:r w:rsidRPr="009658BB">
        <w:rPr>
          <w:b/>
          <w:bCs/>
          <w:lang w:val="lt-LT"/>
        </w:rPr>
        <w:t>Laisvų darbo vietų lygis</w:t>
      </w:r>
      <w:r w:rsidR="003C0C7C" w:rsidRPr="009658BB">
        <w:rPr>
          <w:b/>
          <w:bCs/>
          <w:lang w:val="lt-LT"/>
        </w:rPr>
        <w:t xml:space="preserve"> </w:t>
      </w:r>
      <w:r w:rsidR="003C0C7C" w:rsidRPr="009658BB">
        <w:rPr>
          <w:bCs/>
          <w:lang w:val="lt-LT"/>
        </w:rPr>
        <w:t>–</w:t>
      </w:r>
      <w:r w:rsidR="003C0C7C" w:rsidRPr="009658BB">
        <w:rPr>
          <w:b/>
          <w:bCs/>
          <w:lang w:val="lt-LT"/>
        </w:rPr>
        <w:t xml:space="preserve"> </w:t>
      </w:r>
      <w:r w:rsidRPr="009658BB">
        <w:rPr>
          <w:lang w:val="lt-LT"/>
        </w:rPr>
        <w:t>rodiklis, išreiškiamas laisvų ir visų darbo vietų santykiu.</w:t>
      </w:r>
    </w:p>
    <w:p w:rsidR="00336BFE" w:rsidRPr="009658BB" w:rsidRDefault="00336BFE" w:rsidP="00336BFE">
      <w:pPr>
        <w:pStyle w:val="Lentelespav"/>
        <w:jc w:val="both"/>
        <w:rPr>
          <w:b w:val="0"/>
          <w:sz w:val="18"/>
          <w:szCs w:val="18"/>
          <w:lang w:val="lt-LT"/>
        </w:rPr>
      </w:pPr>
    </w:p>
    <w:p w:rsidR="00336BFE" w:rsidRPr="009658BB" w:rsidRDefault="00336BFE" w:rsidP="00336BFE">
      <w:pPr>
        <w:pStyle w:val="Lentelespav"/>
        <w:jc w:val="both"/>
        <w:rPr>
          <w:b w:val="0"/>
          <w:sz w:val="18"/>
          <w:szCs w:val="18"/>
          <w:lang w:val="lt-LT"/>
        </w:rPr>
      </w:pPr>
    </w:p>
    <w:p w:rsidR="00336BFE" w:rsidRPr="009658BB" w:rsidRDefault="00336BFE" w:rsidP="001817F9">
      <w:pPr>
        <w:pStyle w:val="Pasiteirauti"/>
        <w:keepNext/>
        <w:keepLines/>
      </w:pPr>
      <w:r w:rsidRPr="009658BB">
        <w:t xml:space="preserve">Kontaktinė informacija: </w:t>
      </w:r>
    </w:p>
    <w:p w:rsidR="00336BFE" w:rsidRPr="009658BB" w:rsidRDefault="00336BFE" w:rsidP="001817F9">
      <w:pPr>
        <w:pStyle w:val="Lentelespav"/>
        <w:keepNext/>
        <w:keepLines/>
        <w:jc w:val="both"/>
        <w:rPr>
          <w:b w:val="0"/>
          <w:sz w:val="18"/>
          <w:szCs w:val="18"/>
          <w:lang w:val="lt-LT"/>
        </w:rPr>
      </w:pPr>
    </w:p>
    <w:p w:rsidR="00336BFE" w:rsidRPr="009658BB" w:rsidRDefault="00336BFE" w:rsidP="001817F9">
      <w:pPr>
        <w:pStyle w:val="Pasiteirauti"/>
        <w:keepNext/>
        <w:keepLines/>
      </w:pPr>
      <w:r w:rsidRPr="009658BB">
        <w:t>Dalia Lukšienė</w:t>
      </w:r>
    </w:p>
    <w:p w:rsidR="00336BFE" w:rsidRPr="009658BB" w:rsidRDefault="00336BFE" w:rsidP="001817F9">
      <w:pPr>
        <w:pStyle w:val="Pasiteirauti"/>
        <w:keepNext/>
        <w:keepLines/>
      </w:pPr>
      <w:r w:rsidRPr="009658BB">
        <w:t>Darbo statistikos skyriaus vyresnioji specialistė</w:t>
      </w:r>
    </w:p>
    <w:p w:rsidR="00336BFE" w:rsidRPr="009658BB" w:rsidRDefault="00336BFE" w:rsidP="001817F9">
      <w:pPr>
        <w:pStyle w:val="Pasiteirauti"/>
        <w:keepNext/>
        <w:keepLines/>
      </w:pPr>
      <w:r w:rsidRPr="009658BB">
        <w:t>Tel. (8 5)  236 4865</w:t>
      </w:r>
    </w:p>
    <w:p w:rsidR="00336BFE" w:rsidRPr="009658BB" w:rsidRDefault="00336BFE" w:rsidP="001817F9">
      <w:pPr>
        <w:pStyle w:val="Pasiteirauti"/>
        <w:keepNext/>
        <w:keepLines/>
      </w:pPr>
      <w:r w:rsidRPr="009658BB">
        <w:t>El. p. dalia.luksiene@stat.gov.lt</w:t>
      </w:r>
    </w:p>
    <w:p w:rsidR="00336BFE" w:rsidRPr="009658BB" w:rsidRDefault="00336BFE" w:rsidP="00336BFE">
      <w:pPr>
        <w:pStyle w:val="Lentelespav"/>
        <w:jc w:val="both"/>
        <w:rPr>
          <w:b w:val="0"/>
          <w:sz w:val="18"/>
          <w:szCs w:val="18"/>
          <w:lang w:val="lt-LT"/>
        </w:rPr>
      </w:pPr>
    </w:p>
    <w:p w:rsidR="00336BFE" w:rsidRPr="009658BB" w:rsidRDefault="00336BFE" w:rsidP="00336BFE">
      <w:pPr>
        <w:pStyle w:val="Lentelespav"/>
        <w:jc w:val="both"/>
        <w:rPr>
          <w:b w:val="0"/>
          <w:sz w:val="18"/>
          <w:szCs w:val="18"/>
          <w:lang w:val="lt-LT"/>
        </w:rPr>
      </w:pPr>
    </w:p>
    <w:p w:rsidR="00336BFE" w:rsidRPr="009658BB" w:rsidRDefault="00336BFE" w:rsidP="00336BFE">
      <w:pPr>
        <w:pStyle w:val="Pasiteirauti"/>
      </w:pPr>
      <w:r w:rsidRPr="009658BB">
        <w:rPr>
          <w:color w:val="000000"/>
        </w:rPr>
        <w:t>© Lietuvos s</w:t>
      </w:r>
      <w:r w:rsidRPr="009658BB">
        <w:t>tatistikos departamentas</w:t>
      </w:r>
    </w:p>
    <w:p w:rsidR="00336BFE" w:rsidRPr="009658BB" w:rsidRDefault="00336BFE" w:rsidP="00336BFE">
      <w:pPr>
        <w:pStyle w:val="Pasiteirauti"/>
      </w:pPr>
      <w:r w:rsidRPr="009658BB">
        <w:t>Naudojant Lietuvos statistikos departamento duomenis, būtina nurodyti šaltinį.</w:t>
      </w:r>
    </w:p>
    <w:p w:rsidR="00336BFE" w:rsidRPr="009658BB" w:rsidRDefault="00336BFE" w:rsidP="00336BFE">
      <w:pPr>
        <w:pStyle w:val="Lentelespav"/>
        <w:jc w:val="both"/>
        <w:rPr>
          <w:b w:val="0"/>
          <w:sz w:val="18"/>
          <w:szCs w:val="18"/>
          <w:lang w:val="lt-LT"/>
        </w:rPr>
      </w:pPr>
    </w:p>
    <w:p w:rsidR="00336BFE" w:rsidRPr="009658BB" w:rsidRDefault="00336BFE" w:rsidP="00336BFE">
      <w:pPr>
        <w:pStyle w:val="Pasiteirauti"/>
      </w:pPr>
      <w:r w:rsidRPr="009658BB">
        <w:t xml:space="preserve">Žymos: laisvos darbo vietos. </w:t>
      </w:r>
    </w:p>
    <w:sectPr w:rsidR="00336BFE" w:rsidRPr="009658BB" w:rsidSect="009658BB">
      <w:headerReference w:type="even" r:id="rId22"/>
      <w:headerReference w:type="default" r:id="rId23"/>
      <w:headerReference w:type="first" r:id="rId24"/>
      <w:footerReference w:type="first" r:id="rId25"/>
      <w:pgSz w:w="11906" w:h="16838" w:code="9"/>
      <w:pgMar w:top="1134" w:right="1134" w:bottom="567" w:left="1134" w:header="851" w:footer="567" w:gutter="0"/>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0B6B" w:rsidRDefault="00A00B6B">
      <w:r>
        <w:separator/>
      </w:r>
    </w:p>
  </w:endnote>
  <w:endnote w:type="continuationSeparator" w:id="0">
    <w:p w:rsidR="00A00B6B" w:rsidRDefault="00A00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BA"/>
    <w:family w:val="modern"/>
    <w:pitch w:val="fixed"/>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AvantGarde Bk BT">
    <w:altName w:val="Century Gothic"/>
    <w:charset w:val="00"/>
    <w:family w:val="swiss"/>
    <w:pitch w:val="variable"/>
    <w:sig w:usb0="00000087" w:usb1="00000000" w:usb2="00000000" w:usb3="00000000" w:csb0="0000001B"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7D2" w:rsidRDefault="006947D2" w:rsidP="007F74C2">
    <w:pPr>
      <w:ind w:right="-113"/>
      <w:jc w:val="right"/>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0B6B" w:rsidRDefault="00A00B6B">
      <w:r>
        <w:separator/>
      </w:r>
    </w:p>
  </w:footnote>
  <w:footnote w:type="continuationSeparator" w:id="0">
    <w:p w:rsidR="00A00B6B" w:rsidRDefault="00A00B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7D2" w:rsidRDefault="006947D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6947D2" w:rsidRDefault="006947D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7D2" w:rsidRPr="00317478" w:rsidRDefault="006947D2">
    <w:pPr>
      <w:pStyle w:val="Antrats"/>
      <w:framePr w:wrap="around" w:vAnchor="text" w:hAnchor="margin" w:xAlign="center" w:y="1"/>
      <w:rPr>
        <w:rStyle w:val="Puslapionumeris"/>
        <w:sz w:val="18"/>
        <w:szCs w:val="18"/>
      </w:rPr>
    </w:pPr>
    <w:r w:rsidRPr="00317478">
      <w:rPr>
        <w:rStyle w:val="Puslapionumeris"/>
        <w:sz w:val="18"/>
        <w:szCs w:val="18"/>
      </w:rPr>
      <w:fldChar w:fldCharType="begin"/>
    </w:r>
    <w:r w:rsidRPr="00317478">
      <w:rPr>
        <w:rStyle w:val="Puslapionumeris"/>
        <w:sz w:val="18"/>
        <w:szCs w:val="18"/>
      </w:rPr>
      <w:instrText xml:space="preserve">PAGE  </w:instrText>
    </w:r>
    <w:r w:rsidRPr="00317478">
      <w:rPr>
        <w:rStyle w:val="Puslapionumeris"/>
        <w:sz w:val="18"/>
        <w:szCs w:val="18"/>
      </w:rPr>
      <w:fldChar w:fldCharType="separate"/>
    </w:r>
    <w:r w:rsidR="002A20FB">
      <w:rPr>
        <w:rStyle w:val="Puslapionumeris"/>
        <w:noProof/>
        <w:sz w:val="18"/>
        <w:szCs w:val="18"/>
      </w:rPr>
      <w:t>2</w:t>
    </w:r>
    <w:r w:rsidRPr="00317478">
      <w:rPr>
        <w:rStyle w:val="Puslapionumeris"/>
        <w:sz w:val="18"/>
        <w:szCs w:val="18"/>
      </w:rPr>
      <w:fldChar w:fldCharType="end"/>
    </w:r>
  </w:p>
  <w:p w:rsidR="006947D2" w:rsidRPr="00317478" w:rsidRDefault="006947D2">
    <w:pPr>
      <w:pStyle w:val="Antrats"/>
      <w:ind w:left="-57" w:right="-57"/>
      <w:rPr>
        <w:sz w:val="18"/>
        <w:szCs w:val="18"/>
      </w:rPr>
    </w:pPr>
  </w:p>
  <w:p w:rsidR="006947D2" w:rsidRPr="00317478" w:rsidRDefault="006947D2">
    <w:pPr>
      <w:pStyle w:val="Antrats"/>
      <w:ind w:left="-57" w:right="-57"/>
      <w:rPr>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000" w:firstRow="0" w:lastRow="0" w:firstColumn="0" w:lastColumn="0" w:noHBand="0" w:noVBand="0"/>
    </w:tblPr>
    <w:tblGrid>
      <w:gridCol w:w="4927"/>
      <w:gridCol w:w="4927"/>
    </w:tblGrid>
    <w:tr w:rsidR="006947D2" w:rsidTr="002B6634">
      <w:tc>
        <w:tcPr>
          <w:tcW w:w="2500" w:type="pct"/>
          <w:vAlign w:val="center"/>
        </w:tcPr>
        <w:p w:rsidR="006947D2" w:rsidRDefault="006947D2" w:rsidP="001825D1">
          <w:pPr>
            <w:pStyle w:val="Antrats"/>
            <w:ind w:right="-113"/>
          </w:pPr>
          <w:r>
            <w:rPr>
              <w:noProof/>
              <w:lang w:val="lt-LT" w:eastAsia="lt-LT"/>
            </w:rPr>
            <w:drawing>
              <wp:inline distT="0" distB="0" distL="0" distR="0" wp14:anchorId="09F72070" wp14:editId="68A40F20">
                <wp:extent cx="1358900" cy="429260"/>
                <wp:effectExtent l="0" t="0" r="0" b="8890"/>
                <wp:docPr id="9" name="Picture 5" descr="Q:\Exchange\SSKS\Firminis stilius\Galutinės priemonės\LS ir OSP\LS ir OSP Logopack\LS\Skaitmeninems priemonems\Spalvoti\LT\PNG\LS-horizontalus-spalvotas-baltam fonui-LT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Q:\Exchange\SSKS\Firminis stilius\Galutinės priemonės\LS ir OSP\LS ir OSP Logopack\LS\Skaitmeninems priemonems\Spalvoti\LT\PNG\LS-horizontalus-spalvotas-baltam fonui-LT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8900" cy="429260"/>
                        </a:xfrm>
                        <a:prstGeom prst="rect">
                          <a:avLst/>
                        </a:prstGeom>
                        <a:noFill/>
                        <a:ln>
                          <a:noFill/>
                        </a:ln>
                      </pic:spPr>
                    </pic:pic>
                  </a:graphicData>
                </a:graphic>
              </wp:inline>
            </w:drawing>
          </w:r>
        </w:p>
      </w:tc>
      <w:tc>
        <w:tcPr>
          <w:tcW w:w="2500" w:type="pct"/>
          <w:vAlign w:val="center"/>
        </w:tcPr>
        <w:p w:rsidR="006947D2" w:rsidRPr="00991C9F" w:rsidRDefault="006947D2" w:rsidP="002B6634">
          <w:pPr>
            <w:jc w:val="right"/>
            <w:rPr>
              <w:lang w:val="lt-LT"/>
            </w:rPr>
          </w:pPr>
          <w:r>
            <w:rPr>
              <w:noProof/>
              <w:lang w:val="lt-LT" w:eastAsia="lt-LT"/>
            </w:rPr>
            <w:drawing>
              <wp:inline distT="0" distB="0" distL="0" distR="0" wp14:anchorId="78E51F6E" wp14:editId="08F3B2E1">
                <wp:extent cx="1338580" cy="434340"/>
                <wp:effectExtent l="0" t="0" r="0" b="3810"/>
                <wp:docPr id="10" name="Picture 10" descr="C:\Users\BiruteGa\Documents\11_BLANKAI\Medium-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BiruteGa\Documents\11_BLANKAI\Medium-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8580" cy="434340"/>
                        </a:xfrm>
                        <a:prstGeom prst="rect">
                          <a:avLst/>
                        </a:prstGeom>
                        <a:noFill/>
                        <a:ln>
                          <a:noFill/>
                        </a:ln>
                      </pic:spPr>
                    </pic:pic>
                  </a:graphicData>
                </a:graphic>
              </wp:inline>
            </w:drawing>
          </w:r>
        </w:p>
      </w:tc>
    </w:tr>
  </w:tbl>
  <w:p w:rsidR="006947D2" w:rsidRDefault="006947D2">
    <w:pPr>
      <w:pStyle w:val="Antrats"/>
      <w:pBdr>
        <w:bottom w:val="double" w:sz="6" w:space="1" w:color="auto"/>
      </w:pBdr>
      <w:rPr>
        <w:sz w:val="16"/>
      </w:rPr>
    </w:pPr>
  </w:p>
  <w:p w:rsidR="006947D2" w:rsidRDefault="006947D2">
    <w:pPr>
      <w:pStyle w:val="Antrats"/>
      <w:ind w:left="-57" w:right="-57"/>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44465"/>
    <w:multiLevelType w:val="hybridMultilevel"/>
    <w:tmpl w:val="86FE4430"/>
    <w:lvl w:ilvl="0" w:tplc="04270003">
      <w:start w:val="1"/>
      <w:numFmt w:val="bullet"/>
      <w:lvlText w:val="o"/>
      <w:lvlJc w:val="left"/>
      <w:pPr>
        <w:ind w:left="1004" w:hanging="360"/>
      </w:pPr>
      <w:rPr>
        <w:rFonts w:ascii="Courier New" w:hAnsi="Courier New" w:cs="Courier New"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
    <w:nsid w:val="28C55745"/>
    <w:multiLevelType w:val="hybridMultilevel"/>
    <w:tmpl w:val="9D1CA2FC"/>
    <w:lvl w:ilvl="0" w:tplc="04270003">
      <w:start w:val="1"/>
      <w:numFmt w:val="bullet"/>
      <w:lvlText w:val="o"/>
      <w:lvlJc w:val="left"/>
      <w:pPr>
        <w:ind w:left="1004" w:hanging="360"/>
      </w:pPr>
      <w:rPr>
        <w:rFonts w:ascii="Courier New" w:hAnsi="Courier New" w:cs="Courier New"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2">
    <w:nsid w:val="43D92FA4"/>
    <w:multiLevelType w:val="hybridMultilevel"/>
    <w:tmpl w:val="394698EC"/>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5CB73480"/>
    <w:multiLevelType w:val="hybridMultilevel"/>
    <w:tmpl w:val="8F1453A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nsid w:val="75EE6F61"/>
    <w:multiLevelType w:val="hybridMultilevel"/>
    <w:tmpl w:val="78B8CBC6"/>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7A293A0E"/>
    <w:multiLevelType w:val="hybridMultilevel"/>
    <w:tmpl w:val="B5087AA2"/>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TrueType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51F"/>
    <w:rsid w:val="00002CB3"/>
    <w:rsid w:val="00016EA8"/>
    <w:rsid w:val="0002201B"/>
    <w:rsid w:val="000334BA"/>
    <w:rsid w:val="000467E0"/>
    <w:rsid w:val="0006201F"/>
    <w:rsid w:val="00072035"/>
    <w:rsid w:val="000726CC"/>
    <w:rsid w:val="0007306A"/>
    <w:rsid w:val="000A685F"/>
    <w:rsid w:val="000A6EAC"/>
    <w:rsid w:val="000A792F"/>
    <w:rsid w:val="000B655A"/>
    <w:rsid w:val="000C2508"/>
    <w:rsid w:val="000D3E46"/>
    <w:rsid w:val="000D60AA"/>
    <w:rsid w:val="000F660B"/>
    <w:rsid w:val="00134EC2"/>
    <w:rsid w:val="00136818"/>
    <w:rsid w:val="00145C1C"/>
    <w:rsid w:val="00145C88"/>
    <w:rsid w:val="00155048"/>
    <w:rsid w:val="00155099"/>
    <w:rsid w:val="0017517E"/>
    <w:rsid w:val="001817F9"/>
    <w:rsid w:val="001825D1"/>
    <w:rsid w:val="00182686"/>
    <w:rsid w:val="00182ADD"/>
    <w:rsid w:val="001850F9"/>
    <w:rsid w:val="0019431C"/>
    <w:rsid w:val="001A3E7B"/>
    <w:rsid w:val="001C5027"/>
    <w:rsid w:val="001C6A9F"/>
    <w:rsid w:val="001D7B6A"/>
    <w:rsid w:val="001E33D1"/>
    <w:rsid w:val="001F49B7"/>
    <w:rsid w:val="001F5A56"/>
    <w:rsid w:val="00201363"/>
    <w:rsid w:val="00203554"/>
    <w:rsid w:val="00215ED2"/>
    <w:rsid w:val="00231ABB"/>
    <w:rsid w:val="00252CE8"/>
    <w:rsid w:val="00267DD8"/>
    <w:rsid w:val="002700D7"/>
    <w:rsid w:val="00273456"/>
    <w:rsid w:val="00274CC3"/>
    <w:rsid w:val="0027529E"/>
    <w:rsid w:val="002878F8"/>
    <w:rsid w:val="00290E87"/>
    <w:rsid w:val="00291D6F"/>
    <w:rsid w:val="00295119"/>
    <w:rsid w:val="002A02D2"/>
    <w:rsid w:val="002A20FB"/>
    <w:rsid w:val="002A25D4"/>
    <w:rsid w:val="002A4595"/>
    <w:rsid w:val="002B2703"/>
    <w:rsid w:val="002B55C1"/>
    <w:rsid w:val="002B6634"/>
    <w:rsid w:val="002E1E65"/>
    <w:rsid w:val="002F3541"/>
    <w:rsid w:val="002F4EF0"/>
    <w:rsid w:val="00301C4F"/>
    <w:rsid w:val="00306FDA"/>
    <w:rsid w:val="00317478"/>
    <w:rsid w:val="003217FE"/>
    <w:rsid w:val="003254FA"/>
    <w:rsid w:val="003302E3"/>
    <w:rsid w:val="00336BFE"/>
    <w:rsid w:val="00343EDF"/>
    <w:rsid w:val="003446E8"/>
    <w:rsid w:val="0034495D"/>
    <w:rsid w:val="00377927"/>
    <w:rsid w:val="00380054"/>
    <w:rsid w:val="003816D8"/>
    <w:rsid w:val="003871E9"/>
    <w:rsid w:val="00397E4D"/>
    <w:rsid w:val="003B034E"/>
    <w:rsid w:val="003C0C7C"/>
    <w:rsid w:val="003C2D1D"/>
    <w:rsid w:val="003C450A"/>
    <w:rsid w:val="003C4539"/>
    <w:rsid w:val="003E3B3B"/>
    <w:rsid w:val="003E3C6A"/>
    <w:rsid w:val="00403B0A"/>
    <w:rsid w:val="00417C6A"/>
    <w:rsid w:val="00424B88"/>
    <w:rsid w:val="00430F3C"/>
    <w:rsid w:val="0043375C"/>
    <w:rsid w:val="00433D4C"/>
    <w:rsid w:val="0044340D"/>
    <w:rsid w:val="00457528"/>
    <w:rsid w:val="004632D1"/>
    <w:rsid w:val="004669BA"/>
    <w:rsid w:val="00484299"/>
    <w:rsid w:val="00486256"/>
    <w:rsid w:val="004B46FF"/>
    <w:rsid w:val="004B66F5"/>
    <w:rsid w:val="004C44FE"/>
    <w:rsid w:val="004D06F9"/>
    <w:rsid w:val="004D1195"/>
    <w:rsid w:val="004D188F"/>
    <w:rsid w:val="004F58DC"/>
    <w:rsid w:val="004F7D79"/>
    <w:rsid w:val="005268B6"/>
    <w:rsid w:val="0053140E"/>
    <w:rsid w:val="00534303"/>
    <w:rsid w:val="00557173"/>
    <w:rsid w:val="0056546B"/>
    <w:rsid w:val="005700EC"/>
    <w:rsid w:val="0058033F"/>
    <w:rsid w:val="00582A45"/>
    <w:rsid w:val="00592293"/>
    <w:rsid w:val="00593305"/>
    <w:rsid w:val="0059454A"/>
    <w:rsid w:val="005B0860"/>
    <w:rsid w:val="005B22FD"/>
    <w:rsid w:val="005C3B82"/>
    <w:rsid w:val="005E2B5F"/>
    <w:rsid w:val="005F34C0"/>
    <w:rsid w:val="005F67E4"/>
    <w:rsid w:val="00621212"/>
    <w:rsid w:val="00621A45"/>
    <w:rsid w:val="00630ACE"/>
    <w:rsid w:val="006321E7"/>
    <w:rsid w:val="00632802"/>
    <w:rsid w:val="00633120"/>
    <w:rsid w:val="00640CFD"/>
    <w:rsid w:val="00647C48"/>
    <w:rsid w:val="006506A0"/>
    <w:rsid w:val="006524D3"/>
    <w:rsid w:val="00652E01"/>
    <w:rsid w:val="00653C0D"/>
    <w:rsid w:val="00653F89"/>
    <w:rsid w:val="0065425F"/>
    <w:rsid w:val="0066741F"/>
    <w:rsid w:val="00671A14"/>
    <w:rsid w:val="00674366"/>
    <w:rsid w:val="0069190B"/>
    <w:rsid w:val="006947D2"/>
    <w:rsid w:val="006A1242"/>
    <w:rsid w:val="006B7132"/>
    <w:rsid w:val="006C2A5E"/>
    <w:rsid w:val="006C44D7"/>
    <w:rsid w:val="006C7DFB"/>
    <w:rsid w:val="006D5C02"/>
    <w:rsid w:val="006E3A15"/>
    <w:rsid w:val="006F5D2E"/>
    <w:rsid w:val="00732416"/>
    <w:rsid w:val="00746E95"/>
    <w:rsid w:val="00766206"/>
    <w:rsid w:val="00774493"/>
    <w:rsid w:val="00785498"/>
    <w:rsid w:val="00785F3F"/>
    <w:rsid w:val="00787422"/>
    <w:rsid w:val="00795D65"/>
    <w:rsid w:val="007A3684"/>
    <w:rsid w:val="007A416A"/>
    <w:rsid w:val="007A4C43"/>
    <w:rsid w:val="007B1E24"/>
    <w:rsid w:val="007C62F3"/>
    <w:rsid w:val="007E05AE"/>
    <w:rsid w:val="007E15E5"/>
    <w:rsid w:val="007F217F"/>
    <w:rsid w:val="007F5621"/>
    <w:rsid w:val="007F74C2"/>
    <w:rsid w:val="007F7625"/>
    <w:rsid w:val="0080178C"/>
    <w:rsid w:val="00805EA4"/>
    <w:rsid w:val="00807090"/>
    <w:rsid w:val="00812013"/>
    <w:rsid w:val="008144A4"/>
    <w:rsid w:val="00814615"/>
    <w:rsid w:val="00820AB8"/>
    <w:rsid w:val="00821C79"/>
    <w:rsid w:val="00827C20"/>
    <w:rsid w:val="0085726D"/>
    <w:rsid w:val="008609BF"/>
    <w:rsid w:val="00870787"/>
    <w:rsid w:val="00876720"/>
    <w:rsid w:val="008773F2"/>
    <w:rsid w:val="00881C20"/>
    <w:rsid w:val="00885B82"/>
    <w:rsid w:val="00886A9E"/>
    <w:rsid w:val="008B0C8B"/>
    <w:rsid w:val="008B108F"/>
    <w:rsid w:val="008B5B28"/>
    <w:rsid w:val="008B625E"/>
    <w:rsid w:val="008D4227"/>
    <w:rsid w:val="008D4D1C"/>
    <w:rsid w:val="008F0B66"/>
    <w:rsid w:val="008F5B43"/>
    <w:rsid w:val="008F6E68"/>
    <w:rsid w:val="0090199D"/>
    <w:rsid w:val="009065B0"/>
    <w:rsid w:val="00912F71"/>
    <w:rsid w:val="00917858"/>
    <w:rsid w:val="009455E1"/>
    <w:rsid w:val="00945DD1"/>
    <w:rsid w:val="009658BB"/>
    <w:rsid w:val="00967B8A"/>
    <w:rsid w:val="009744CE"/>
    <w:rsid w:val="00981796"/>
    <w:rsid w:val="00987E72"/>
    <w:rsid w:val="00991C9F"/>
    <w:rsid w:val="00996D7B"/>
    <w:rsid w:val="00997550"/>
    <w:rsid w:val="009A5382"/>
    <w:rsid w:val="009C2E14"/>
    <w:rsid w:val="009C2EA0"/>
    <w:rsid w:val="009D4600"/>
    <w:rsid w:val="009E278E"/>
    <w:rsid w:val="00A00B6B"/>
    <w:rsid w:val="00A01F20"/>
    <w:rsid w:val="00A032C7"/>
    <w:rsid w:val="00A03EA0"/>
    <w:rsid w:val="00A1323E"/>
    <w:rsid w:val="00A32485"/>
    <w:rsid w:val="00A37BB9"/>
    <w:rsid w:val="00A444DF"/>
    <w:rsid w:val="00A45A2E"/>
    <w:rsid w:val="00A71C1B"/>
    <w:rsid w:val="00A745FC"/>
    <w:rsid w:val="00A77FD9"/>
    <w:rsid w:val="00A85E1F"/>
    <w:rsid w:val="00A92EF1"/>
    <w:rsid w:val="00A938C5"/>
    <w:rsid w:val="00A95B92"/>
    <w:rsid w:val="00A972DD"/>
    <w:rsid w:val="00AA0896"/>
    <w:rsid w:val="00AA1C55"/>
    <w:rsid w:val="00AA2FB2"/>
    <w:rsid w:val="00AA7AD1"/>
    <w:rsid w:val="00AB06CC"/>
    <w:rsid w:val="00AB55A5"/>
    <w:rsid w:val="00AC484F"/>
    <w:rsid w:val="00AD298F"/>
    <w:rsid w:val="00AE76D7"/>
    <w:rsid w:val="00B224DD"/>
    <w:rsid w:val="00B22B65"/>
    <w:rsid w:val="00B2451F"/>
    <w:rsid w:val="00B4242F"/>
    <w:rsid w:val="00B44E6D"/>
    <w:rsid w:val="00B567D2"/>
    <w:rsid w:val="00B61FED"/>
    <w:rsid w:val="00B6568D"/>
    <w:rsid w:val="00B6694B"/>
    <w:rsid w:val="00B8063A"/>
    <w:rsid w:val="00B81BD9"/>
    <w:rsid w:val="00B8251B"/>
    <w:rsid w:val="00B85896"/>
    <w:rsid w:val="00B95F73"/>
    <w:rsid w:val="00BA0372"/>
    <w:rsid w:val="00BB0B36"/>
    <w:rsid w:val="00BB2ED3"/>
    <w:rsid w:val="00BB662B"/>
    <w:rsid w:val="00BB7670"/>
    <w:rsid w:val="00BC51D3"/>
    <w:rsid w:val="00BD5952"/>
    <w:rsid w:val="00BF3C93"/>
    <w:rsid w:val="00C06354"/>
    <w:rsid w:val="00C10500"/>
    <w:rsid w:val="00C113C3"/>
    <w:rsid w:val="00C13C77"/>
    <w:rsid w:val="00C15ACA"/>
    <w:rsid w:val="00C219F6"/>
    <w:rsid w:val="00C262C7"/>
    <w:rsid w:val="00C34623"/>
    <w:rsid w:val="00C565B1"/>
    <w:rsid w:val="00C72D36"/>
    <w:rsid w:val="00C74040"/>
    <w:rsid w:val="00C83210"/>
    <w:rsid w:val="00C85CF0"/>
    <w:rsid w:val="00C91975"/>
    <w:rsid w:val="00C941B7"/>
    <w:rsid w:val="00CA5030"/>
    <w:rsid w:val="00CA59B9"/>
    <w:rsid w:val="00CB371B"/>
    <w:rsid w:val="00CC1774"/>
    <w:rsid w:val="00CE117E"/>
    <w:rsid w:val="00D05EBC"/>
    <w:rsid w:val="00D10089"/>
    <w:rsid w:val="00D106AE"/>
    <w:rsid w:val="00D2175F"/>
    <w:rsid w:val="00D21C23"/>
    <w:rsid w:val="00D240C4"/>
    <w:rsid w:val="00D3015B"/>
    <w:rsid w:val="00D36213"/>
    <w:rsid w:val="00D476C4"/>
    <w:rsid w:val="00D5536F"/>
    <w:rsid w:val="00D7262C"/>
    <w:rsid w:val="00D758B5"/>
    <w:rsid w:val="00D8021D"/>
    <w:rsid w:val="00D83C33"/>
    <w:rsid w:val="00D96265"/>
    <w:rsid w:val="00DA6604"/>
    <w:rsid w:val="00DB171D"/>
    <w:rsid w:val="00DB521C"/>
    <w:rsid w:val="00DB5A55"/>
    <w:rsid w:val="00DC7153"/>
    <w:rsid w:val="00DE05A3"/>
    <w:rsid w:val="00DE6BEA"/>
    <w:rsid w:val="00DF0B0C"/>
    <w:rsid w:val="00E0495B"/>
    <w:rsid w:val="00E1061F"/>
    <w:rsid w:val="00E15AE4"/>
    <w:rsid w:val="00E241B0"/>
    <w:rsid w:val="00E327F9"/>
    <w:rsid w:val="00E42BC5"/>
    <w:rsid w:val="00E45CC8"/>
    <w:rsid w:val="00E460CC"/>
    <w:rsid w:val="00E80986"/>
    <w:rsid w:val="00E82C08"/>
    <w:rsid w:val="00E87031"/>
    <w:rsid w:val="00E92063"/>
    <w:rsid w:val="00E9789D"/>
    <w:rsid w:val="00EA3135"/>
    <w:rsid w:val="00EA57A1"/>
    <w:rsid w:val="00EB32B7"/>
    <w:rsid w:val="00EB6C02"/>
    <w:rsid w:val="00ED2B40"/>
    <w:rsid w:val="00EE09FC"/>
    <w:rsid w:val="00F04CE3"/>
    <w:rsid w:val="00F05E65"/>
    <w:rsid w:val="00F12092"/>
    <w:rsid w:val="00F20685"/>
    <w:rsid w:val="00F57ACF"/>
    <w:rsid w:val="00F67EA7"/>
    <w:rsid w:val="00F70B35"/>
    <w:rsid w:val="00F94A5D"/>
    <w:rsid w:val="00F97F3A"/>
    <w:rsid w:val="00FA77DD"/>
    <w:rsid w:val="00FD0C03"/>
    <w:rsid w:val="00FD21B4"/>
    <w:rsid w:val="00FF64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A02D2"/>
    <w:rPr>
      <w:rFonts w:ascii="Arial" w:hAnsi="Arial"/>
      <w:lang w:val="en-GB"/>
    </w:rPr>
  </w:style>
  <w:style w:type="paragraph" w:styleId="Antrat1">
    <w:name w:val="heading 1"/>
    <w:basedOn w:val="prastasis"/>
    <w:next w:val="prastasis"/>
    <w:qFormat/>
    <w:rsid w:val="002A02D2"/>
    <w:pPr>
      <w:keepNext/>
      <w:ind w:right="-85"/>
      <w:jc w:val="right"/>
      <w:outlineLvl w:val="0"/>
    </w:pPr>
    <w:rPr>
      <w:rFonts w:ascii="AvantGarde Bk BT" w:hAnsi="AvantGarde Bk BT"/>
      <w:sz w:val="35"/>
    </w:rPr>
  </w:style>
  <w:style w:type="paragraph" w:styleId="Antrat2">
    <w:name w:val="heading 2"/>
    <w:basedOn w:val="prastasis"/>
    <w:next w:val="prastasis"/>
    <w:qFormat/>
    <w:rsid w:val="002A02D2"/>
    <w:pPr>
      <w:keepNext/>
      <w:ind w:right="-113"/>
      <w:outlineLvl w:val="1"/>
    </w:pPr>
    <w:rPr>
      <w:i/>
      <w:sz w:val="18"/>
      <w:lang w:val="en-US"/>
    </w:rPr>
  </w:style>
  <w:style w:type="paragraph" w:styleId="Antrat3">
    <w:name w:val="heading 3"/>
    <w:basedOn w:val="prastasis"/>
    <w:next w:val="prastasis"/>
    <w:qFormat/>
    <w:rsid w:val="002A02D2"/>
    <w:pPr>
      <w:keepNext/>
      <w:jc w:val="right"/>
      <w:outlineLvl w:val="2"/>
    </w:pPr>
    <w:rPr>
      <w:i/>
      <w:sz w:val="17"/>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2A02D2"/>
    <w:pPr>
      <w:tabs>
        <w:tab w:val="center" w:pos="4153"/>
        <w:tab w:val="right" w:pos="8306"/>
      </w:tabs>
    </w:pPr>
  </w:style>
  <w:style w:type="paragraph" w:styleId="Porat">
    <w:name w:val="footer"/>
    <w:basedOn w:val="prastasis"/>
    <w:rsid w:val="002A02D2"/>
    <w:pPr>
      <w:tabs>
        <w:tab w:val="center" w:pos="4153"/>
        <w:tab w:val="right" w:pos="8306"/>
      </w:tabs>
    </w:pPr>
  </w:style>
  <w:style w:type="character" w:styleId="Puslapionumeris">
    <w:name w:val="page number"/>
    <w:rsid w:val="002A02D2"/>
    <w:rPr>
      <w:rFonts w:ascii="Arial" w:hAnsi="Arial"/>
      <w:dstrike w:val="0"/>
      <w:color w:val="auto"/>
      <w:vertAlign w:val="baseline"/>
    </w:rPr>
  </w:style>
  <w:style w:type="character" w:styleId="Hipersaitas">
    <w:name w:val="Hyperlink"/>
    <w:rsid w:val="002A02D2"/>
    <w:rPr>
      <w:color w:val="0000FF"/>
      <w:u w:val="single"/>
    </w:rPr>
  </w:style>
  <w:style w:type="paragraph" w:customStyle="1" w:styleId="Pasiteirauti">
    <w:name w:val="Pasiteirauti"/>
    <w:basedOn w:val="prastasis"/>
    <w:rsid w:val="002A02D2"/>
    <w:pPr>
      <w:outlineLvl w:val="1"/>
    </w:pPr>
    <w:rPr>
      <w:sz w:val="19"/>
      <w:lang w:val="lt-LT"/>
    </w:rPr>
  </w:style>
  <w:style w:type="paragraph" w:customStyle="1" w:styleId="Nrdata">
    <w:name w:val="Nr_data"/>
    <w:basedOn w:val="prastasis"/>
    <w:rsid w:val="002A02D2"/>
    <w:pPr>
      <w:jc w:val="right"/>
    </w:pPr>
    <w:rPr>
      <w:sz w:val="22"/>
    </w:rPr>
  </w:style>
  <w:style w:type="paragraph" w:customStyle="1" w:styleId="Antraste">
    <w:name w:val="Antraste"/>
    <w:basedOn w:val="Antrat2"/>
    <w:rsid w:val="002A02D2"/>
    <w:pPr>
      <w:keepNext w:val="0"/>
      <w:ind w:right="0"/>
      <w:jc w:val="center"/>
    </w:pPr>
    <w:rPr>
      <w:b/>
      <w:i w:val="0"/>
      <w:caps/>
      <w:sz w:val="24"/>
    </w:rPr>
  </w:style>
  <w:style w:type="paragraph" w:customStyle="1" w:styleId="Paantraste">
    <w:name w:val="Paantraste"/>
    <w:basedOn w:val="Antraste"/>
    <w:rsid w:val="002A02D2"/>
    <w:rPr>
      <w:sz w:val="20"/>
    </w:rPr>
  </w:style>
  <w:style w:type="paragraph" w:customStyle="1" w:styleId="Galva">
    <w:name w:val="Galva"/>
    <w:basedOn w:val="prastasis"/>
    <w:rsid w:val="002A02D2"/>
    <w:pPr>
      <w:spacing w:before="40" w:after="40"/>
      <w:ind w:left="-57" w:right="-57"/>
      <w:jc w:val="center"/>
    </w:pPr>
    <w:rPr>
      <w:sz w:val="19"/>
      <w:lang w:val="lt-LT"/>
    </w:rPr>
  </w:style>
  <w:style w:type="paragraph" w:styleId="Pagrindinistekstas2">
    <w:name w:val="Body Text 2"/>
    <w:basedOn w:val="prastasis"/>
    <w:rsid w:val="002A02D2"/>
    <w:pPr>
      <w:widowControl w:val="0"/>
      <w:spacing w:before="40" w:after="20"/>
      <w:jc w:val="center"/>
    </w:pPr>
    <w:rPr>
      <w:sz w:val="22"/>
      <w:lang w:val="en-AU"/>
    </w:rPr>
  </w:style>
  <w:style w:type="paragraph" w:customStyle="1" w:styleId="0atitr">
    <w:name w:val="0_atitr"/>
    <w:basedOn w:val="prastasis"/>
    <w:rsid w:val="002A02D2"/>
    <w:pPr>
      <w:spacing w:before="20" w:after="20"/>
      <w:ind w:left="113" w:hanging="113"/>
    </w:pPr>
    <w:rPr>
      <w:sz w:val="19"/>
      <w:lang w:val="lt-LT"/>
    </w:rPr>
  </w:style>
  <w:style w:type="paragraph" w:customStyle="1" w:styleId="1atitr">
    <w:name w:val="1_atitr"/>
    <w:basedOn w:val="0atitr"/>
    <w:rsid w:val="002A02D2"/>
    <w:pPr>
      <w:ind w:left="226"/>
    </w:pPr>
  </w:style>
  <w:style w:type="paragraph" w:customStyle="1" w:styleId="2atitr">
    <w:name w:val="2_atitr"/>
    <w:basedOn w:val="1atitr"/>
    <w:rsid w:val="002A02D2"/>
    <w:pPr>
      <w:ind w:left="340"/>
    </w:pPr>
  </w:style>
  <w:style w:type="paragraph" w:customStyle="1" w:styleId="skaic">
    <w:name w:val="skaic"/>
    <w:basedOn w:val="prastasis"/>
    <w:rsid w:val="002A02D2"/>
    <w:pPr>
      <w:spacing w:before="20" w:after="20"/>
      <w:ind w:right="284"/>
      <w:jc w:val="right"/>
    </w:pPr>
    <w:rPr>
      <w:sz w:val="19"/>
      <w:lang w:val="lt-LT"/>
    </w:rPr>
  </w:style>
  <w:style w:type="paragraph" w:customStyle="1" w:styleId="Pagrtekstas">
    <w:name w:val="Pagr_tekstas"/>
    <w:basedOn w:val="prastasis"/>
    <w:rsid w:val="002A02D2"/>
    <w:pPr>
      <w:ind w:firstLine="720"/>
      <w:jc w:val="both"/>
    </w:pPr>
  </w:style>
  <w:style w:type="paragraph" w:customStyle="1" w:styleId="Lentelespav">
    <w:name w:val="Lenteles pav"/>
    <w:basedOn w:val="Paantraste"/>
    <w:rsid w:val="002A02D2"/>
    <w:rPr>
      <w:caps w:val="0"/>
      <w:lang w:val="en-GB"/>
    </w:rPr>
  </w:style>
  <w:style w:type="paragraph" w:customStyle="1" w:styleId="Parasas">
    <w:name w:val="Parasas"/>
    <w:basedOn w:val="prastasis"/>
    <w:rsid w:val="002A02D2"/>
    <w:rPr>
      <w:lang w:val="lt-LT"/>
    </w:rPr>
  </w:style>
  <w:style w:type="paragraph" w:customStyle="1" w:styleId="Pranesimas">
    <w:name w:val="Pranesimas"/>
    <w:basedOn w:val="prastasis"/>
    <w:rsid w:val="002A02D2"/>
    <w:rPr>
      <w:sz w:val="12"/>
      <w:lang w:val="lt-LT"/>
    </w:rPr>
  </w:style>
  <w:style w:type="paragraph" w:customStyle="1" w:styleId="Saltinis">
    <w:name w:val="Saltinis"/>
    <w:basedOn w:val="prastasis"/>
    <w:rsid w:val="002A02D2"/>
    <w:rPr>
      <w:sz w:val="18"/>
    </w:rPr>
  </w:style>
  <w:style w:type="paragraph" w:styleId="Debesliotekstas">
    <w:name w:val="Balloon Text"/>
    <w:basedOn w:val="prastasis"/>
    <w:link w:val="DebesliotekstasDiagrama"/>
    <w:rsid w:val="00CB371B"/>
    <w:rPr>
      <w:rFonts w:ascii="Tahoma" w:hAnsi="Tahoma"/>
      <w:sz w:val="16"/>
      <w:szCs w:val="16"/>
    </w:rPr>
  </w:style>
  <w:style w:type="character" w:customStyle="1" w:styleId="DebesliotekstasDiagrama">
    <w:name w:val="Debesėlio tekstas Diagrama"/>
    <w:link w:val="Debesliotekstas"/>
    <w:rsid w:val="00CB371B"/>
    <w:rPr>
      <w:rFonts w:ascii="Tahoma" w:hAnsi="Tahoma" w:cs="Tahoma"/>
      <w:sz w:val="16"/>
      <w:szCs w:val="16"/>
      <w:lang w:val="en-GB" w:eastAsia="en-US"/>
    </w:rPr>
  </w:style>
  <w:style w:type="character" w:styleId="Perirtashipersaitas">
    <w:name w:val="FollowedHyperlink"/>
    <w:rsid w:val="00D8021D"/>
    <w:rPr>
      <w:color w:val="800080"/>
      <w:u w:val="single"/>
    </w:rPr>
  </w:style>
  <w:style w:type="character" w:styleId="Grietas">
    <w:name w:val="Strong"/>
    <w:uiPriority w:val="22"/>
    <w:qFormat/>
    <w:rsid w:val="00EB32B7"/>
    <w:rPr>
      <w:b/>
      <w:bCs/>
    </w:rPr>
  </w:style>
  <w:style w:type="paragraph" w:styleId="Sraopastraipa">
    <w:name w:val="List Paragraph"/>
    <w:basedOn w:val="prastasis"/>
    <w:uiPriority w:val="34"/>
    <w:qFormat/>
    <w:rsid w:val="00EB32B7"/>
    <w:pPr>
      <w:ind w:left="720"/>
      <w:contextualSpacing/>
    </w:pPr>
  </w:style>
  <w:style w:type="paragraph" w:styleId="prastasistinklapis">
    <w:name w:val="Normal (Web)"/>
    <w:basedOn w:val="prastasis"/>
    <w:uiPriority w:val="99"/>
    <w:unhideWhenUsed/>
    <w:rsid w:val="00EB32B7"/>
    <w:pPr>
      <w:spacing w:before="100" w:beforeAutospacing="1" w:after="100" w:afterAutospacing="1"/>
    </w:pPr>
    <w:rPr>
      <w:rFonts w:ascii="Times New Roman" w:hAnsi="Times New Roman"/>
      <w:sz w:val="24"/>
      <w:szCs w:val="24"/>
      <w:lang w:val="lt-LT" w:eastAsia="lt-LT"/>
    </w:rPr>
  </w:style>
  <w:style w:type="character" w:customStyle="1" w:styleId="term-name">
    <w:name w:val="term-name"/>
    <w:basedOn w:val="Numatytasispastraiposriftas"/>
    <w:rsid w:val="00EB32B7"/>
  </w:style>
  <w:style w:type="character" w:customStyle="1" w:styleId="term-description">
    <w:name w:val="term-description"/>
    <w:basedOn w:val="Numatytasispastraiposriftas"/>
    <w:rsid w:val="00EB32B7"/>
  </w:style>
  <w:style w:type="character" w:customStyle="1" w:styleId="AntratsDiagrama">
    <w:name w:val="Antraštės Diagrama"/>
    <w:basedOn w:val="Numatytasispastraiposriftas"/>
    <w:link w:val="Antrats"/>
    <w:rsid w:val="00336BFE"/>
    <w:rPr>
      <w:rFonts w:ascii="Arial" w:hAnsi="Arial"/>
      <w:lang w:val="en-GB"/>
    </w:rPr>
  </w:style>
  <w:style w:type="paragraph" w:customStyle="1" w:styleId="lentpav">
    <w:name w:val="lentpav"/>
    <w:basedOn w:val="prastasis"/>
    <w:rsid w:val="00336BFE"/>
    <w:rPr>
      <w:b/>
      <w:lang w:val="lt-LT"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A02D2"/>
    <w:rPr>
      <w:rFonts w:ascii="Arial" w:hAnsi="Arial"/>
      <w:lang w:val="en-GB"/>
    </w:rPr>
  </w:style>
  <w:style w:type="paragraph" w:styleId="Antrat1">
    <w:name w:val="heading 1"/>
    <w:basedOn w:val="prastasis"/>
    <w:next w:val="prastasis"/>
    <w:qFormat/>
    <w:rsid w:val="002A02D2"/>
    <w:pPr>
      <w:keepNext/>
      <w:ind w:right="-85"/>
      <w:jc w:val="right"/>
      <w:outlineLvl w:val="0"/>
    </w:pPr>
    <w:rPr>
      <w:rFonts w:ascii="AvantGarde Bk BT" w:hAnsi="AvantGarde Bk BT"/>
      <w:sz w:val="35"/>
    </w:rPr>
  </w:style>
  <w:style w:type="paragraph" w:styleId="Antrat2">
    <w:name w:val="heading 2"/>
    <w:basedOn w:val="prastasis"/>
    <w:next w:val="prastasis"/>
    <w:qFormat/>
    <w:rsid w:val="002A02D2"/>
    <w:pPr>
      <w:keepNext/>
      <w:ind w:right="-113"/>
      <w:outlineLvl w:val="1"/>
    </w:pPr>
    <w:rPr>
      <w:i/>
      <w:sz w:val="18"/>
      <w:lang w:val="en-US"/>
    </w:rPr>
  </w:style>
  <w:style w:type="paragraph" w:styleId="Antrat3">
    <w:name w:val="heading 3"/>
    <w:basedOn w:val="prastasis"/>
    <w:next w:val="prastasis"/>
    <w:qFormat/>
    <w:rsid w:val="002A02D2"/>
    <w:pPr>
      <w:keepNext/>
      <w:jc w:val="right"/>
      <w:outlineLvl w:val="2"/>
    </w:pPr>
    <w:rPr>
      <w:i/>
      <w:sz w:val="17"/>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2A02D2"/>
    <w:pPr>
      <w:tabs>
        <w:tab w:val="center" w:pos="4153"/>
        <w:tab w:val="right" w:pos="8306"/>
      </w:tabs>
    </w:pPr>
  </w:style>
  <w:style w:type="paragraph" w:styleId="Porat">
    <w:name w:val="footer"/>
    <w:basedOn w:val="prastasis"/>
    <w:rsid w:val="002A02D2"/>
    <w:pPr>
      <w:tabs>
        <w:tab w:val="center" w:pos="4153"/>
        <w:tab w:val="right" w:pos="8306"/>
      </w:tabs>
    </w:pPr>
  </w:style>
  <w:style w:type="character" w:styleId="Puslapionumeris">
    <w:name w:val="page number"/>
    <w:rsid w:val="002A02D2"/>
    <w:rPr>
      <w:rFonts w:ascii="Arial" w:hAnsi="Arial"/>
      <w:dstrike w:val="0"/>
      <w:color w:val="auto"/>
      <w:vertAlign w:val="baseline"/>
    </w:rPr>
  </w:style>
  <w:style w:type="character" w:styleId="Hipersaitas">
    <w:name w:val="Hyperlink"/>
    <w:rsid w:val="002A02D2"/>
    <w:rPr>
      <w:color w:val="0000FF"/>
      <w:u w:val="single"/>
    </w:rPr>
  </w:style>
  <w:style w:type="paragraph" w:customStyle="1" w:styleId="Pasiteirauti">
    <w:name w:val="Pasiteirauti"/>
    <w:basedOn w:val="prastasis"/>
    <w:rsid w:val="002A02D2"/>
    <w:pPr>
      <w:outlineLvl w:val="1"/>
    </w:pPr>
    <w:rPr>
      <w:sz w:val="19"/>
      <w:lang w:val="lt-LT"/>
    </w:rPr>
  </w:style>
  <w:style w:type="paragraph" w:customStyle="1" w:styleId="Nrdata">
    <w:name w:val="Nr_data"/>
    <w:basedOn w:val="prastasis"/>
    <w:rsid w:val="002A02D2"/>
    <w:pPr>
      <w:jc w:val="right"/>
    </w:pPr>
    <w:rPr>
      <w:sz w:val="22"/>
    </w:rPr>
  </w:style>
  <w:style w:type="paragraph" w:customStyle="1" w:styleId="Antraste">
    <w:name w:val="Antraste"/>
    <w:basedOn w:val="Antrat2"/>
    <w:rsid w:val="002A02D2"/>
    <w:pPr>
      <w:keepNext w:val="0"/>
      <w:ind w:right="0"/>
      <w:jc w:val="center"/>
    </w:pPr>
    <w:rPr>
      <w:b/>
      <w:i w:val="0"/>
      <w:caps/>
      <w:sz w:val="24"/>
    </w:rPr>
  </w:style>
  <w:style w:type="paragraph" w:customStyle="1" w:styleId="Paantraste">
    <w:name w:val="Paantraste"/>
    <w:basedOn w:val="Antraste"/>
    <w:rsid w:val="002A02D2"/>
    <w:rPr>
      <w:sz w:val="20"/>
    </w:rPr>
  </w:style>
  <w:style w:type="paragraph" w:customStyle="1" w:styleId="Galva">
    <w:name w:val="Galva"/>
    <w:basedOn w:val="prastasis"/>
    <w:rsid w:val="002A02D2"/>
    <w:pPr>
      <w:spacing w:before="40" w:after="40"/>
      <w:ind w:left="-57" w:right="-57"/>
      <w:jc w:val="center"/>
    </w:pPr>
    <w:rPr>
      <w:sz w:val="19"/>
      <w:lang w:val="lt-LT"/>
    </w:rPr>
  </w:style>
  <w:style w:type="paragraph" w:styleId="Pagrindinistekstas2">
    <w:name w:val="Body Text 2"/>
    <w:basedOn w:val="prastasis"/>
    <w:rsid w:val="002A02D2"/>
    <w:pPr>
      <w:widowControl w:val="0"/>
      <w:spacing w:before="40" w:after="20"/>
      <w:jc w:val="center"/>
    </w:pPr>
    <w:rPr>
      <w:sz w:val="22"/>
      <w:lang w:val="en-AU"/>
    </w:rPr>
  </w:style>
  <w:style w:type="paragraph" w:customStyle="1" w:styleId="0atitr">
    <w:name w:val="0_atitr"/>
    <w:basedOn w:val="prastasis"/>
    <w:rsid w:val="002A02D2"/>
    <w:pPr>
      <w:spacing w:before="20" w:after="20"/>
      <w:ind w:left="113" w:hanging="113"/>
    </w:pPr>
    <w:rPr>
      <w:sz w:val="19"/>
      <w:lang w:val="lt-LT"/>
    </w:rPr>
  </w:style>
  <w:style w:type="paragraph" w:customStyle="1" w:styleId="1atitr">
    <w:name w:val="1_atitr"/>
    <w:basedOn w:val="0atitr"/>
    <w:rsid w:val="002A02D2"/>
    <w:pPr>
      <w:ind w:left="226"/>
    </w:pPr>
  </w:style>
  <w:style w:type="paragraph" w:customStyle="1" w:styleId="2atitr">
    <w:name w:val="2_atitr"/>
    <w:basedOn w:val="1atitr"/>
    <w:rsid w:val="002A02D2"/>
    <w:pPr>
      <w:ind w:left="340"/>
    </w:pPr>
  </w:style>
  <w:style w:type="paragraph" w:customStyle="1" w:styleId="skaic">
    <w:name w:val="skaic"/>
    <w:basedOn w:val="prastasis"/>
    <w:rsid w:val="002A02D2"/>
    <w:pPr>
      <w:spacing w:before="20" w:after="20"/>
      <w:ind w:right="284"/>
      <w:jc w:val="right"/>
    </w:pPr>
    <w:rPr>
      <w:sz w:val="19"/>
      <w:lang w:val="lt-LT"/>
    </w:rPr>
  </w:style>
  <w:style w:type="paragraph" w:customStyle="1" w:styleId="Pagrtekstas">
    <w:name w:val="Pagr_tekstas"/>
    <w:basedOn w:val="prastasis"/>
    <w:rsid w:val="002A02D2"/>
    <w:pPr>
      <w:ind w:firstLine="720"/>
      <w:jc w:val="both"/>
    </w:pPr>
  </w:style>
  <w:style w:type="paragraph" w:customStyle="1" w:styleId="Lentelespav">
    <w:name w:val="Lenteles pav"/>
    <w:basedOn w:val="Paantraste"/>
    <w:rsid w:val="002A02D2"/>
    <w:rPr>
      <w:caps w:val="0"/>
      <w:lang w:val="en-GB"/>
    </w:rPr>
  </w:style>
  <w:style w:type="paragraph" w:customStyle="1" w:styleId="Parasas">
    <w:name w:val="Parasas"/>
    <w:basedOn w:val="prastasis"/>
    <w:rsid w:val="002A02D2"/>
    <w:rPr>
      <w:lang w:val="lt-LT"/>
    </w:rPr>
  </w:style>
  <w:style w:type="paragraph" w:customStyle="1" w:styleId="Pranesimas">
    <w:name w:val="Pranesimas"/>
    <w:basedOn w:val="prastasis"/>
    <w:rsid w:val="002A02D2"/>
    <w:rPr>
      <w:sz w:val="12"/>
      <w:lang w:val="lt-LT"/>
    </w:rPr>
  </w:style>
  <w:style w:type="paragraph" w:customStyle="1" w:styleId="Saltinis">
    <w:name w:val="Saltinis"/>
    <w:basedOn w:val="prastasis"/>
    <w:rsid w:val="002A02D2"/>
    <w:rPr>
      <w:sz w:val="18"/>
    </w:rPr>
  </w:style>
  <w:style w:type="paragraph" w:styleId="Debesliotekstas">
    <w:name w:val="Balloon Text"/>
    <w:basedOn w:val="prastasis"/>
    <w:link w:val="DebesliotekstasDiagrama"/>
    <w:rsid w:val="00CB371B"/>
    <w:rPr>
      <w:rFonts w:ascii="Tahoma" w:hAnsi="Tahoma"/>
      <w:sz w:val="16"/>
      <w:szCs w:val="16"/>
    </w:rPr>
  </w:style>
  <w:style w:type="character" w:customStyle="1" w:styleId="DebesliotekstasDiagrama">
    <w:name w:val="Debesėlio tekstas Diagrama"/>
    <w:link w:val="Debesliotekstas"/>
    <w:rsid w:val="00CB371B"/>
    <w:rPr>
      <w:rFonts w:ascii="Tahoma" w:hAnsi="Tahoma" w:cs="Tahoma"/>
      <w:sz w:val="16"/>
      <w:szCs w:val="16"/>
      <w:lang w:val="en-GB" w:eastAsia="en-US"/>
    </w:rPr>
  </w:style>
  <w:style w:type="character" w:styleId="Perirtashipersaitas">
    <w:name w:val="FollowedHyperlink"/>
    <w:rsid w:val="00D8021D"/>
    <w:rPr>
      <w:color w:val="800080"/>
      <w:u w:val="single"/>
    </w:rPr>
  </w:style>
  <w:style w:type="character" w:styleId="Grietas">
    <w:name w:val="Strong"/>
    <w:uiPriority w:val="22"/>
    <w:qFormat/>
    <w:rsid w:val="00EB32B7"/>
    <w:rPr>
      <w:b/>
      <w:bCs/>
    </w:rPr>
  </w:style>
  <w:style w:type="paragraph" w:styleId="Sraopastraipa">
    <w:name w:val="List Paragraph"/>
    <w:basedOn w:val="prastasis"/>
    <w:uiPriority w:val="34"/>
    <w:qFormat/>
    <w:rsid w:val="00EB32B7"/>
    <w:pPr>
      <w:ind w:left="720"/>
      <w:contextualSpacing/>
    </w:pPr>
  </w:style>
  <w:style w:type="paragraph" w:styleId="prastasistinklapis">
    <w:name w:val="Normal (Web)"/>
    <w:basedOn w:val="prastasis"/>
    <w:uiPriority w:val="99"/>
    <w:unhideWhenUsed/>
    <w:rsid w:val="00EB32B7"/>
    <w:pPr>
      <w:spacing w:before="100" w:beforeAutospacing="1" w:after="100" w:afterAutospacing="1"/>
    </w:pPr>
    <w:rPr>
      <w:rFonts w:ascii="Times New Roman" w:hAnsi="Times New Roman"/>
      <w:sz w:val="24"/>
      <w:szCs w:val="24"/>
      <w:lang w:val="lt-LT" w:eastAsia="lt-LT"/>
    </w:rPr>
  </w:style>
  <w:style w:type="character" w:customStyle="1" w:styleId="term-name">
    <w:name w:val="term-name"/>
    <w:basedOn w:val="Numatytasispastraiposriftas"/>
    <w:rsid w:val="00EB32B7"/>
  </w:style>
  <w:style w:type="character" w:customStyle="1" w:styleId="term-description">
    <w:name w:val="term-description"/>
    <w:basedOn w:val="Numatytasispastraiposriftas"/>
    <w:rsid w:val="00EB32B7"/>
  </w:style>
  <w:style w:type="character" w:customStyle="1" w:styleId="AntratsDiagrama">
    <w:name w:val="Antraštės Diagrama"/>
    <w:basedOn w:val="Numatytasispastraiposriftas"/>
    <w:link w:val="Antrats"/>
    <w:rsid w:val="00336BFE"/>
    <w:rPr>
      <w:rFonts w:ascii="Arial" w:hAnsi="Arial"/>
      <w:lang w:val="en-GB"/>
    </w:rPr>
  </w:style>
  <w:style w:type="paragraph" w:customStyle="1" w:styleId="lentpav">
    <w:name w:val="lentpav"/>
    <w:basedOn w:val="prastasis"/>
    <w:rsid w:val="00336BFE"/>
    <w:rPr>
      <w:b/>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649302">
      <w:bodyDiv w:val="1"/>
      <w:marLeft w:val="0"/>
      <w:marRight w:val="0"/>
      <w:marTop w:val="0"/>
      <w:marBottom w:val="0"/>
      <w:divBdr>
        <w:top w:val="none" w:sz="0" w:space="0" w:color="auto"/>
        <w:left w:val="none" w:sz="0" w:space="0" w:color="auto"/>
        <w:bottom w:val="none" w:sz="0" w:space="0" w:color="auto"/>
        <w:right w:val="none" w:sz="0" w:space="0" w:color="auto"/>
      </w:divBdr>
    </w:div>
    <w:div w:id="212422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osp.stat.gov.lt/statistiniu-rodikliu-analize?hash=327491e0-5f2e-4e65-8b88-6b7f899fc743" TargetMode="External"/><Relationship Id="rId18" Type="http://schemas.openxmlformats.org/officeDocument/2006/relationships/chart" Target="charts/chart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osp.stat.gov.lt/statistikos-terminu-zodynas"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s://osp.stat.gov.lt/statistiniu-rodikliu-analize?hash=f98ecddb-c8b3-420b-bc26-3c03f01051de"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hart" Target="charts/chart2.xml"/><Relationship Id="rId20" Type="http://schemas.openxmlformats.org/officeDocument/2006/relationships/hyperlink" Target="https://ec.europa.eu/eurostat/documents/4031688/9394165/KS-02-18-142-LT-N.pdf/2c6787ed-aaf1-4f30-bad1-aa65bf1e964b"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osp.stat.gov.lt/statistiniu-rodikliu-analize?hash=e7cad9af-3ba3-41a3-be20-1791a20dc0ff"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osp.stat.gov.lt/statistiniu-rodikliu-analize?indicator=S3R275"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hart" Target="charts/chart1.xml"/><Relationship Id="rId22" Type="http://schemas.openxmlformats.org/officeDocument/2006/relationships/header" Target="header1.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oleObject" Target="file:///C:\Users\DaliaL\Desktop\Laisvos%20darbo%20vietos\Laisvos%20darbo%20vietos\Ketvirtines\2020\2020%20IV%20ketv\Prane&#353;imai%20spaudai\2020%20m%20IV%20ketv%20inform%20%20prane&#353;%20laisvos%20darbo%20vietos.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24"/>
    </mc:Choice>
    <mc:Fallback>
      <c:style val="24"/>
    </mc:Fallback>
  </mc:AlternateContent>
  <c:chart>
    <c:autoTitleDeleted val="1"/>
    <c:plotArea>
      <c:layout>
        <c:manualLayout>
          <c:layoutTarget val="inner"/>
          <c:xMode val="edge"/>
          <c:yMode val="edge"/>
          <c:x val="4.0591009697981392E-2"/>
          <c:y val="0.10942747597015039"/>
          <c:w val="0.90538049782515595"/>
          <c:h val="0.73411186002969364"/>
        </c:manualLayout>
      </c:layout>
      <c:barChart>
        <c:barDir val="col"/>
        <c:grouping val="clustered"/>
        <c:varyColors val="0"/>
        <c:ser>
          <c:idx val="1"/>
          <c:order val="0"/>
          <c:tx>
            <c:strRef>
              <c:f>Sheet1!$A$2</c:f>
              <c:strCache>
                <c:ptCount val="1"/>
                <c:pt idx="0">
                  <c:v>Laisvos darbo vietos, tūkst.</c:v>
                </c:pt>
              </c:strCache>
            </c:strRef>
          </c:tx>
          <c:spPr>
            <a:solidFill>
              <a:srgbClr val="F0D2D2"/>
            </a:solidFill>
            <a:ln>
              <a:noFill/>
            </a:ln>
            <a:effectLst/>
          </c:spPr>
          <c:invertIfNegative val="0"/>
          <c:dLbls>
            <c:numFmt formatCode="#,##00" sourceLinked="0"/>
            <c:spPr>
              <a:noFill/>
              <a:ln>
                <a:noFill/>
              </a:ln>
              <a:effectLst/>
            </c:sp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Sheet1!$B$1:$U$1</c:f>
              <c:strCache>
                <c:ptCount val="20"/>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strCache>
            </c:strRef>
          </c:cat>
          <c:val>
            <c:numRef>
              <c:f>Sheet1!$B$2:$U$2</c:f>
              <c:numCache>
                <c:formatCode>#.#00</c:formatCode>
                <c:ptCount val="20"/>
                <c:pt idx="0">
                  <c:v>16.3</c:v>
                </c:pt>
                <c:pt idx="1">
                  <c:v>16.8</c:v>
                </c:pt>
                <c:pt idx="2">
                  <c:v>16.899999999999999</c:v>
                </c:pt>
                <c:pt idx="3">
                  <c:v>14.9</c:v>
                </c:pt>
                <c:pt idx="4">
                  <c:v>20.7</c:v>
                </c:pt>
                <c:pt idx="5">
                  <c:v>19.8</c:v>
                </c:pt>
                <c:pt idx="6">
                  <c:v>20.399999999999999</c:v>
                </c:pt>
                <c:pt idx="7">
                  <c:v>19.3</c:v>
                </c:pt>
                <c:pt idx="8">
                  <c:v>20.100000000000001</c:v>
                </c:pt>
                <c:pt idx="9">
                  <c:v>19.2</c:v>
                </c:pt>
                <c:pt idx="10">
                  <c:v>18.7</c:v>
                </c:pt>
                <c:pt idx="11">
                  <c:v>16</c:v>
                </c:pt>
                <c:pt idx="12">
                  <c:v>19.100000000000001</c:v>
                </c:pt>
                <c:pt idx="13">
                  <c:v>18.7</c:v>
                </c:pt>
                <c:pt idx="14">
                  <c:v>18.3</c:v>
                </c:pt>
                <c:pt idx="15">
                  <c:v>17.3</c:v>
                </c:pt>
                <c:pt idx="16">
                  <c:v>15</c:v>
                </c:pt>
                <c:pt idx="17">
                  <c:v>17.3</c:v>
                </c:pt>
                <c:pt idx="18">
                  <c:v>18.399999999999999</c:v>
                </c:pt>
                <c:pt idx="19">
                  <c:v>15.6</c:v>
                </c:pt>
              </c:numCache>
            </c:numRef>
          </c:val>
          <c:extLst xmlns:c16r2="http://schemas.microsoft.com/office/drawing/2015/06/chart">
            <c:ext xmlns:c16="http://schemas.microsoft.com/office/drawing/2014/chart" uri="{C3380CC4-5D6E-409C-BE32-E72D297353CC}">
              <c16:uniqueId val="{00000000-A24D-4123-9E13-3D2E0C2AF646}"/>
            </c:ext>
          </c:extLst>
        </c:ser>
        <c:dLbls>
          <c:showLegendKey val="0"/>
          <c:showVal val="1"/>
          <c:showCatName val="0"/>
          <c:showSerName val="0"/>
          <c:showPercent val="0"/>
          <c:showBubbleSize val="0"/>
        </c:dLbls>
        <c:gapWidth val="25"/>
        <c:axId val="123216640"/>
        <c:axId val="123219328"/>
      </c:barChart>
      <c:lineChart>
        <c:grouping val="standard"/>
        <c:varyColors val="0"/>
        <c:ser>
          <c:idx val="0"/>
          <c:order val="1"/>
          <c:tx>
            <c:strRef>
              <c:f>Sheet1!$A$3</c:f>
              <c:strCache>
                <c:ptCount val="1"/>
                <c:pt idx="0">
                  <c:v>Laisvų darbo vietų lygis, proc.</c:v>
                </c:pt>
              </c:strCache>
            </c:strRef>
          </c:tx>
          <c:spPr>
            <a:ln w="31750" cap="sq">
              <a:solidFill>
                <a:srgbClr val="DC506E"/>
              </a:solidFill>
            </a:ln>
            <a:effectLst/>
          </c:spPr>
          <c:marker>
            <c:symbol val="circle"/>
            <c:size val="5"/>
            <c:spPr>
              <a:solidFill>
                <a:schemeClr val="bg1"/>
              </a:solidFill>
              <a:ln w="12700">
                <a:solidFill>
                  <a:srgbClr val="DC506E"/>
                </a:solidFill>
              </a:ln>
              <a:effectLst/>
            </c:spPr>
          </c:marker>
          <c:dLbls>
            <c:dLbl>
              <c:idx val="17"/>
              <c:layout>
                <c:manualLayout>
                  <c:x val="-2.7388874167593284E-2"/>
                  <c:y val="-7.5428849074902979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A24D-4123-9E13-3D2E0C2AF646}"/>
                </c:ext>
              </c:extLst>
            </c:dLbl>
            <c:numFmt formatCode="#,##00" sourceLinked="0"/>
            <c:spPr>
              <a:effectLst/>
            </c:sp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Sheet1!$B$1:$U$1</c:f>
              <c:strCache>
                <c:ptCount val="20"/>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strCache>
            </c:strRef>
          </c:cat>
          <c:val>
            <c:numRef>
              <c:f>Sheet1!$B$3:$U$3</c:f>
              <c:numCache>
                <c:formatCode>#.#00</c:formatCode>
                <c:ptCount val="20"/>
                <c:pt idx="0">
                  <c:v>1.3</c:v>
                </c:pt>
                <c:pt idx="1">
                  <c:v>1.3</c:v>
                </c:pt>
                <c:pt idx="2">
                  <c:v>1.3</c:v>
                </c:pt>
                <c:pt idx="3">
                  <c:v>1.2</c:v>
                </c:pt>
                <c:pt idx="4">
                  <c:v>1.6</c:v>
                </c:pt>
                <c:pt idx="5">
                  <c:v>1.5</c:v>
                </c:pt>
                <c:pt idx="6">
                  <c:v>1.6</c:v>
                </c:pt>
                <c:pt idx="7">
                  <c:v>1.5</c:v>
                </c:pt>
                <c:pt idx="8">
                  <c:v>1.6</c:v>
                </c:pt>
                <c:pt idx="9">
                  <c:v>1.5</c:v>
                </c:pt>
                <c:pt idx="10">
                  <c:v>1.5</c:v>
                </c:pt>
                <c:pt idx="11">
                  <c:v>1.3</c:v>
                </c:pt>
                <c:pt idx="12">
                  <c:v>1.5</c:v>
                </c:pt>
                <c:pt idx="13">
                  <c:v>1.4</c:v>
                </c:pt>
                <c:pt idx="14">
                  <c:v>1.4</c:v>
                </c:pt>
                <c:pt idx="15">
                  <c:v>1.3</c:v>
                </c:pt>
                <c:pt idx="16">
                  <c:v>1.1000000000000001</c:v>
                </c:pt>
                <c:pt idx="17">
                  <c:v>1.3</c:v>
                </c:pt>
                <c:pt idx="18">
                  <c:v>1.4</c:v>
                </c:pt>
                <c:pt idx="19">
                  <c:v>1.2</c:v>
                </c:pt>
              </c:numCache>
            </c:numRef>
          </c:val>
          <c:smooth val="0"/>
          <c:extLst xmlns:c16r2="http://schemas.microsoft.com/office/drawing/2015/06/chart">
            <c:ext xmlns:c16="http://schemas.microsoft.com/office/drawing/2014/chart" uri="{C3380CC4-5D6E-409C-BE32-E72D297353CC}">
              <c16:uniqueId val="{00000002-A24D-4123-9E13-3D2E0C2AF646}"/>
            </c:ext>
          </c:extLst>
        </c:ser>
        <c:dLbls>
          <c:showLegendKey val="0"/>
          <c:showVal val="1"/>
          <c:showCatName val="0"/>
          <c:showSerName val="0"/>
          <c:showPercent val="0"/>
          <c:showBubbleSize val="0"/>
        </c:dLbls>
        <c:marker val="1"/>
        <c:smooth val="0"/>
        <c:axId val="173316736"/>
        <c:axId val="173315200"/>
      </c:lineChart>
      <c:catAx>
        <c:axId val="123216640"/>
        <c:scaling>
          <c:orientation val="minMax"/>
        </c:scaling>
        <c:delete val="0"/>
        <c:axPos val="b"/>
        <c:numFmt formatCode="#.000" sourceLinked="0"/>
        <c:majorTickMark val="cross"/>
        <c:minorTickMark val="none"/>
        <c:tickLblPos val="nextTo"/>
        <c:txPr>
          <a:bodyPr rot="0" vert="horz"/>
          <a:lstStyle/>
          <a:p>
            <a:pPr>
              <a:defRPr/>
            </a:pPr>
            <a:endParaRPr lang="lt-LT"/>
          </a:p>
        </c:txPr>
        <c:crossAx val="123219328"/>
        <c:crosses val="autoZero"/>
        <c:auto val="0"/>
        <c:lblAlgn val="ctr"/>
        <c:lblOffset val="100"/>
        <c:tickLblSkip val="1"/>
        <c:tickMarkSkip val="4"/>
        <c:noMultiLvlLbl val="0"/>
      </c:catAx>
      <c:valAx>
        <c:axId val="123219328"/>
        <c:scaling>
          <c:orientation val="minMax"/>
          <c:max val="22"/>
          <c:min val="0"/>
        </c:scaling>
        <c:delete val="0"/>
        <c:axPos val="l"/>
        <c:numFmt formatCode="0" sourceLinked="0"/>
        <c:majorTickMark val="out"/>
        <c:minorTickMark val="none"/>
        <c:tickLblPos val="nextTo"/>
        <c:spPr>
          <a:ln>
            <a:solidFill>
              <a:schemeClr val="tx1"/>
            </a:solidFill>
          </a:ln>
        </c:spPr>
        <c:txPr>
          <a:bodyPr rot="0" vert="horz"/>
          <a:lstStyle/>
          <a:p>
            <a:pPr>
              <a:defRPr/>
            </a:pPr>
            <a:endParaRPr lang="lt-LT"/>
          </a:p>
        </c:txPr>
        <c:crossAx val="123216640"/>
        <c:crosses val="autoZero"/>
        <c:crossBetween val="between"/>
        <c:majorUnit val="2"/>
      </c:valAx>
      <c:valAx>
        <c:axId val="173315200"/>
        <c:scaling>
          <c:orientation val="minMax"/>
        </c:scaling>
        <c:delete val="0"/>
        <c:axPos val="r"/>
        <c:numFmt formatCode="General" sourceLinked="0"/>
        <c:majorTickMark val="out"/>
        <c:minorTickMark val="none"/>
        <c:tickLblPos val="nextTo"/>
        <c:crossAx val="173316736"/>
        <c:crosses val="max"/>
        <c:crossBetween val="between"/>
      </c:valAx>
      <c:catAx>
        <c:axId val="173316736"/>
        <c:scaling>
          <c:orientation val="minMax"/>
        </c:scaling>
        <c:delete val="1"/>
        <c:axPos val="b"/>
        <c:numFmt formatCode="General" sourceLinked="1"/>
        <c:majorTickMark val="out"/>
        <c:minorTickMark val="none"/>
        <c:tickLblPos val="nextTo"/>
        <c:crossAx val="173315200"/>
        <c:crosses val="autoZero"/>
        <c:auto val="0"/>
        <c:lblAlgn val="ctr"/>
        <c:lblOffset val="100"/>
        <c:noMultiLvlLbl val="0"/>
      </c:catAx>
    </c:plotArea>
    <c:legend>
      <c:legendPos val="t"/>
      <c:layout>
        <c:manualLayout>
          <c:xMode val="edge"/>
          <c:yMode val="edge"/>
          <c:x val="1.3129760850381417E-2"/>
          <c:y val="2.500095280926283E-2"/>
          <c:w val="0.72188870169172381"/>
          <c:h val="7.0037666642256122E-2"/>
        </c:manualLayout>
      </c:layout>
      <c:overlay val="0"/>
    </c:legend>
    <c:plotVisOnly val="1"/>
    <c:dispBlanksAs val="gap"/>
    <c:showDLblsOverMax val="0"/>
  </c:chart>
  <c:spPr>
    <a:noFill/>
    <a:ln>
      <a:noFill/>
    </a:ln>
  </c:spPr>
  <c:txPr>
    <a:bodyPr/>
    <a:lstStyle/>
    <a:p>
      <a:pPr>
        <a:defRPr sz="800">
          <a:latin typeface="Arial" panose="020B0604020202020204" pitchFamily="34" charset="0"/>
          <a:cs typeface="Arial" panose="020B0604020202020204" pitchFamily="34" charset="0"/>
        </a:defRPr>
      </a:pPr>
      <a:endParaRPr lang="lt-LT"/>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50699355762347886"/>
          <c:y val="3.4920634920634921E-2"/>
          <c:w val="0.42348779129881492"/>
          <c:h val="0.86901062367204096"/>
        </c:manualLayout>
      </c:layout>
      <c:barChart>
        <c:barDir val="bar"/>
        <c:grouping val="clustered"/>
        <c:varyColors val="0"/>
        <c:ser>
          <c:idx val="0"/>
          <c:order val="0"/>
          <c:spPr>
            <a:solidFill>
              <a:srgbClr val="FABEC3"/>
            </a:solidFill>
            <a:effectLst/>
          </c:spPr>
          <c:invertIfNegative val="0"/>
          <c:dPt>
            <c:idx val="5"/>
            <c:invertIfNegative val="0"/>
            <c:bubble3D val="0"/>
            <c:extLst xmlns:c16r2="http://schemas.microsoft.com/office/drawing/2015/06/chart">
              <c:ext xmlns:c16="http://schemas.microsoft.com/office/drawing/2014/chart" uri="{C3380CC4-5D6E-409C-BE32-E72D297353CC}">
                <c16:uniqueId val="{00000000-85BB-4739-B2E4-3F603E89C225}"/>
              </c:ext>
            </c:extLst>
          </c:dPt>
          <c:dPt>
            <c:idx val="6"/>
            <c:invertIfNegative val="0"/>
            <c:bubble3D val="0"/>
            <c:spPr>
              <a:solidFill>
                <a:srgbClr val="FABEC2"/>
              </a:solidFill>
              <a:effectLst/>
            </c:spPr>
            <c:extLst xmlns:c16r2="http://schemas.microsoft.com/office/drawing/2015/06/chart">
              <c:ext xmlns:c16="http://schemas.microsoft.com/office/drawing/2014/chart" uri="{C3380CC4-5D6E-409C-BE32-E72D297353CC}">
                <c16:uniqueId val="{00000002-85BB-4739-B2E4-3F603E89C225}"/>
              </c:ext>
            </c:extLst>
          </c:dPt>
          <c:dPt>
            <c:idx val="7"/>
            <c:invertIfNegative val="0"/>
            <c:bubble3D val="0"/>
            <c:spPr>
              <a:solidFill>
                <a:srgbClr val="E66482"/>
              </a:solidFill>
              <a:effectLst/>
            </c:spPr>
            <c:extLst xmlns:c16r2="http://schemas.microsoft.com/office/drawing/2015/06/chart">
              <c:ext xmlns:c16="http://schemas.microsoft.com/office/drawing/2014/chart" uri="{C3380CC4-5D6E-409C-BE32-E72D297353CC}">
                <c16:uniqueId val="{00000004-85BB-4739-B2E4-3F603E89C225}"/>
              </c:ext>
            </c:extLst>
          </c:dPt>
          <c:dLbls>
            <c:numFmt formatCode="#,##00" sourceLinked="0"/>
            <c:spPr>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'palyg IV su IV 2019'!$B$26:$B$42</c:f>
              <c:strCache>
                <c:ptCount val="17"/>
                <c:pt idx="0">
                  <c:v>Viešasis valdymas ir gynyba; privalomasis socialinis draudimas</c:v>
                </c:pt>
                <c:pt idx="1">
                  <c:v>Informacija ir ryšiai</c:v>
                </c:pt>
                <c:pt idx="2">
                  <c:v>Finansinė ir draudimo veikla</c:v>
                </c:pt>
                <c:pt idx="3">
                  <c:v>Administracinė ir aptarnavimo veikla</c:v>
                </c:pt>
                <c:pt idx="4">
                  <c:v>Transportas ir saugojimas</c:v>
                </c:pt>
                <c:pt idx="5">
                  <c:v>Pramonė*</c:v>
                </c:pt>
                <c:pt idx="6">
                  <c:v>Žmonių sveikatos priežiūra ir socialinis darbas</c:v>
                </c:pt>
                <c:pt idx="7">
                  <c:v>Iš viso</c:v>
                </c:pt>
                <c:pt idx="8">
                  <c:v>Statyba</c:v>
                </c:pt>
                <c:pt idx="9">
                  <c:v>Prekyba</c:v>
                </c:pt>
                <c:pt idx="10">
                  <c:v>Profesinė, mokslinė ir techninė veikla</c:v>
                </c:pt>
                <c:pt idx="11">
                  <c:v>Meninė, pramoginė ir poilsio organizavimo veikla</c:v>
                </c:pt>
                <c:pt idx="12">
                  <c:v> Žemės ūkis, miškininkystė ir žuvininkystė</c:v>
                </c:pt>
                <c:pt idx="13">
                  <c:v>Švietimas</c:v>
                </c:pt>
                <c:pt idx="14">
                  <c:v>Kita aptarnavimo veikla</c:v>
                </c:pt>
                <c:pt idx="15">
                  <c:v>Apgyvendinimo ir maitinimo paslaugų veikla</c:v>
                </c:pt>
                <c:pt idx="16">
                  <c:v>Nekilnojamo turto operacijos</c:v>
                </c:pt>
              </c:strCache>
            </c:strRef>
          </c:cat>
          <c:val>
            <c:numRef>
              <c:f>'palyg IV su IV 2019'!$C$26:$C$42</c:f>
              <c:numCache>
                <c:formatCode>#.#00</c:formatCode>
                <c:ptCount val="17"/>
                <c:pt idx="0">
                  <c:v>3</c:v>
                </c:pt>
                <c:pt idx="1">
                  <c:v>2.2000000000000002</c:v>
                </c:pt>
                <c:pt idx="2">
                  <c:v>2.2000000000000002</c:v>
                </c:pt>
                <c:pt idx="3">
                  <c:v>2.2000000000000002</c:v>
                </c:pt>
                <c:pt idx="4">
                  <c:v>1.5</c:v>
                </c:pt>
                <c:pt idx="5">
                  <c:v>1.4</c:v>
                </c:pt>
                <c:pt idx="6">
                  <c:v>1.3</c:v>
                </c:pt>
                <c:pt idx="7">
                  <c:v>1.2</c:v>
                </c:pt>
                <c:pt idx="8">
                  <c:v>1</c:v>
                </c:pt>
                <c:pt idx="9">
                  <c:v>0.8</c:v>
                </c:pt>
                <c:pt idx="10">
                  <c:v>0.6</c:v>
                </c:pt>
                <c:pt idx="11">
                  <c:v>0.6</c:v>
                </c:pt>
                <c:pt idx="12">
                  <c:v>0.5</c:v>
                </c:pt>
                <c:pt idx="13">
                  <c:v>0.3</c:v>
                </c:pt>
                <c:pt idx="14">
                  <c:v>0.28000000000000003</c:v>
                </c:pt>
                <c:pt idx="15">
                  <c:v>0.2</c:v>
                </c:pt>
                <c:pt idx="16">
                  <c:v>0.2</c:v>
                </c:pt>
              </c:numCache>
            </c:numRef>
          </c:val>
          <c:extLst xmlns:c16r2="http://schemas.microsoft.com/office/drawing/2015/06/chart">
            <c:ext xmlns:c16="http://schemas.microsoft.com/office/drawing/2014/chart" uri="{C3380CC4-5D6E-409C-BE32-E72D297353CC}">
              <c16:uniqueId val="{00000005-85BB-4739-B2E4-3F603E89C225}"/>
            </c:ext>
          </c:extLst>
        </c:ser>
        <c:dLbls>
          <c:dLblPos val="outEnd"/>
          <c:showLegendKey val="0"/>
          <c:showVal val="1"/>
          <c:showCatName val="0"/>
          <c:showSerName val="0"/>
          <c:showPercent val="0"/>
          <c:showBubbleSize val="0"/>
        </c:dLbls>
        <c:gapWidth val="68"/>
        <c:axId val="51954816"/>
        <c:axId val="51958528"/>
      </c:barChart>
      <c:catAx>
        <c:axId val="51954816"/>
        <c:scaling>
          <c:orientation val="minMax"/>
        </c:scaling>
        <c:delete val="0"/>
        <c:axPos val="l"/>
        <c:numFmt formatCode="General" sourceLinked="0"/>
        <c:majorTickMark val="out"/>
        <c:minorTickMark val="none"/>
        <c:tickLblPos val="nextTo"/>
        <c:crossAx val="51958528"/>
        <c:crosses val="autoZero"/>
        <c:auto val="1"/>
        <c:lblAlgn val="ctr"/>
        <c:lblOffset val="100"/>
        <c:noMultiLvlLbl val="0"/>
      </c:catAx>
      <c:valAx>
        <c:axId val="51958528"/>
        <c:scaling>
          <c:orientation val="minMax"/>
        </c:scaling>
        <c:delete val="0"/>
        <c:axPos val="b"/>
        <c:title>
          <c:tx>
            <c:rich>
              <a:bodyPr/>
              <a:lstStyle/>
              <a:p>
                <a:pPr>
                  <a:defRPr b="0"/>
                </a:pPr>
                <a:r>
                  <a:rPr lang="lt-LT" b="0"/>
                  <a:t>Procentai</a:t>
                </a:r>
              </a:p>
            </c:rich>
          </c:tx>
          <c:layout>
            <c:manualLayout>
              <c:xMode val="edge"/>
              <c:yMode val="edge"/>
              <c:x val="0.8862771160819054"/>
              <c:y val="0.94702380952380949"/>
            </c:manualLayout>
          </c:layout>
          <c:overlay val="0"/>
        </c:title>
        <c:numFmt formatCode="#.#00" sourceLinked="1"/>
        <c:majorTickMark val="out"/>
        <c:minorTickMark val="none"/>
        <c:tickLblPos val="nextTo"/>
        <c:crossAx val="51954816"/>
        <c:crosses val="autoZero"/>
        <c:crossBetween val="between"/>
      </c:valAx>
    </c:plotArea>
    <c:plotVisOnly val="1"/>
    <c:dispBlanksAs val="gap"/>
    <c:showDLblsOverMax val="0"/>
  </c:chart>
  <c:spPr>
    <a:ln>
      <a:noFill/>
    </a:ln>
  </c:spPr>
  <c:txPr>
    <a:bodyPr/>
    <a:lstStyle/>
    <a:p>
      <a:pPr>
        <a:defRPr sz="800">
          <a:latin typeface="Arial" panose="020B0604020202020204" pitchFamily="34" charset="0"/>
          <a:cs typeface="Arial" panose="020B0604020202020204" pitchFamily="34" charset="0"/>
        </a:defRPr>
      </a:pPr>
      <a:endParaRPr lang="lt-LT"/>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24"/>
    </mc:Choice>
    <mc:Fallback>
      <c:style val="24"/>
    </mc:Fallback>
  </mc:AlternateContent>
  <c:chart>
    <c:autoTitleDeleted val="1"/>
    <c:plotArea>
      <c:layout>
        <c:manualLayout>
          <c:layoutTarget val="inner"/>
          <c:xMode val="edge"/>
          <c:yMode val="edge"/>
          <c:x val="4.0591009697981392E-2"/>
          <c:y val="0.16264454116517141"/>
          <c:w val="0.90538049782515595"/>
          <c:h val="0.70664219610671841"/>
        </c:manualLayout>
      </c:layout>
      <c:barChart>
        <c:barDir val="col"/>
        <c:grouping val="clustered"/>
        <c:varyColors val="0"/>
        <c:ser>
          <c:idx val="1"/>
          <c:order val="0"/>
          <c:tx>
            <c:strRef>
              <c:f>Sheet1!$A$2</c:f>
              <c:strCache>
                <c:ptCount val="1"/>
                <c:pt idx="0">
                  <c:v>Laisvos darbo vietos, tūkst.</c:v>
                </c:pt>
              </c:strCache>
            </c:strRef>
          </c:tx>
          <c:spPr>
            <a:solidFill>
              <a:srgbClr val="F0D2D2"/>
            </a:solidFill>
            <a:ln>
              <a:noFill/>
            </a:ln>
            <a:effectLst/>
          </c:spPr>
          <c:invertIfNegative val="0"/>
          <c:dLbls>
            <c:numFmt formatCode="#,##00" sourceLinked="0"/>
            <c:spPr>
              <a:noFill/>
              <a:effectLst/>
            </c:sp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Sheet1!$B$1:$L$1</c:f>
              <c:strCache>
                <c:ptCount val="11"/>
                <c:pt idx="0">
                  <c:v>2010</c:v>
                </c:pt>
                <c:pt idx="1">
                  <c:v>2011</c:v>
                </c:pt>
                <c:pt idx="2">
                  <c:v>2012</c:v>
                </c:pt>
                <c:pt idx="3">
                  <c:v>2013</c:v>
                </c:pt>
                <c:pt idx="4">
                  <c:v>2014</c:v>
                </c:pt>
                <c:pt idx="5">
                  <c:v>2015</c:v>
                </c:pt>
                <c:pt idx="6">
                  <c:v>2016</c:v>
                </c:pt>
                <c:pt idx="7">
                  <c:v>2017</c:v>
                </c:pt>
                <c:pt idx="8">
                  <c:v>2018</c:v>
                </c:pt>
                <c:pt idx="9">
                  <c:v>2019</c:v>
                </c:pt>
                <c:pt idx="10">
                  <c:v>2020</c:v>
                </c:pt>
              </c:strCache>
            </c:strRef>
          </c:cat>
          <c:val>
            <c:numRef>
              <c:f>Sheet1!$B$2:$L$2</c:f>
              <c:numCache>
                <c:formatCode>General</c:formatCode>
                <c:ptCount val="11"/>
                <c:pt idx="0">
                  <c:v>6.7</c:v>
                </c:pt>
                <c:pt idx="1">
                  <c:v>9.8000000000000007</c:v>
                </c:pt>
                <c:pt idx="2">
                  <c:v>10.5</c:v>
                </c:pt>
                <c:pt idx="3">
                  <c:v>10.7</c:v>
                </c:pt>
                <c:pt idx="4">
                  <c:v>11.6</c:v>
                </c:pt>
                <c:pt idx="5">
                  <c:v>13.2</c:v>
                </c:pt>
                <c:pt idx="6">
                  <c:v>16.2</c:v>
                </c:pt>
                <c:pt idx="7">
                  <c:v>20.100000000000001</c:v>
                </c:pt>
                <c:pt idx="8">
                  <c:v>18.5</c:v>
                </c:pt>
                <c:pt idx="9">
                  <c:v>18.3</c:v>
                </c:pt>
                <c:pt idx="10">
                  <c:v>16.600000000000001</c:v>
                </c:pt>
              </c:numCache>
            </c:numRef>
          </c:val>
          <c:extLst xmlns:c16r2="http://schemas.microsoft.com/office/drawing/2015/06/chart">
            <c:ext xmlns:c16="http://schemas.microsoft.com/office/drawing/2014/chart" uri="{C3380CC4-5D6E-409C-BE32-E72D297353CC}">
              <c16:uniqueId val="{00000000-0A6C-4528-A212-8BEB625D10E8}"/>
            </c:ext>
          </c:extLst>
        </c:ser>
        <c:dLbls>
          <c:showLegendKey val="0"/>
          <c:showVal val="1"/>
          <c:showCatName val="0"/>
          <c:showSerName val="0"/>
          <c:showPercent val="0"/>
          <c:showBubbleSize val="0"/>
        </c:dLbls>
        <c:gapWidth val="32"/>
        <c:axId val="111244032"/>
        <c:axId val="111246720"/>
      </c:barChart>
      <c:lineChart>
        <c:grouping val="standard"/>
        <c:varyColors val="0"/>
        <c:ser>
          <c:idx val="0"/>
          <c:order val="1"/>
          <c:tx>
            <c:strRef>
              <c:f>Sheet1!$A$3</c:f>
              <c:strCache>
                <c:ptCount val="1"/>
                <c:pt idx="0">
                  <c:v>Laisvų darbo vietų lygis, proc.</c:v>
                </c:pt>
              </c:strCache>
            </c:strRef>
          </c:tx>
          <c:spPr>
            <a:ln w="31750" cap="sq">
              <a:solidFill>
                <a:srgbClr val="DC506E"/>
              </a:solidFill>
            </a:ln>
            <a:effectLst/>
          </c:spPr>
          <c:marker>
            <c:symbol val="circle"/>
            <c:size val="5"/>
            <c:spPr>
              <a:solidFill>
                <a:schemeClr val="bg1"/>
              </a:solidFill>
              <a:ln w="12700">
                <a:solidFill>
                  <a:srgbClr val="DC506E"/>
                </a:solidFill>
              </a:ln>
              <a:effectLst/>
            </c:spPr>
          </c:marker>
          <c:dLbls>
            <c:dLbl>
              <c:idx val="0"/>
              <c:layout>
                <c:manualLayout>
                  <c:x val="-3.0958087786196537E-2"/>
                  <c:y val="-5.5929915540218492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0A6C-4528-A212-8BEB625D10E8}"/>
                </c:ext>
              </c:extLst>
            </c:dLbl>
            <c:dLbl>
              <c:idx val="1"/>
              <c:layout>
                <c:manualLayout>
                  <c:x val="-3.3057166966730139E-2"/>
                  <c:y val="-7.0854032948515902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0A6C-4528-A212-8BEB625D10E8}"/>
                </c:ext>
              </c:extLst>
            </c:dLbl>
            <c:dLbl>
              <c:idx val="2"/>
              <c:layout>
                <c:manualLayout>
                  <c:x val="-2.8859308187055833E-2"/>
                  <c:y val="-7.4613023988831753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0A6C-4528-A212-8BEB625D10E8}"/>
                </c:ext>
              </c:extLst>
            </c:dLbl>
            <c:dLbl>
              <c:idx val="3"/>
              <c:layout>
                <c:manualLayout>
                  <c:x val="-3.3057330097888707E-2"/>
                  <c:y val="-6.260014108405941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0A6C-4528-A212-8BEB625D10E8}"/>
                </c:ext>
              </c:extLst>
            </c:dLbl>
            <c:dLbl>
              <c:idx val="4"/>
              <c:layout>
                <c:manualLayout>
                  <c:x val="-2.8854058337047492E-2"/>
                  <c:y val="-6.6304169605917909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0A6C-4528-A212-8BEB625D10E8}"/>
                </c:ext>
              </c:extLst>
            </c:dLbl>
            <c:dLbl>
              <c:idx val="5"/>
              <c:layout>
                <c:manualLayout>
                  <c:x val="-2.8859340695620593E-2"/>
                  <c:y val="-6.8971802253531819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0A6C-4528-A212-8BEB625D10E8}"/>
                </c:ext>
              </c:extLst>
            </c:dLbl>
            <c:dLbl>
              <c:idx val="6"/>
              <c:layout>
                <c:manualLayout>
                  <c:x val="-2.8407329786591416E-2"/>
                  <c:y val="-8.1712514544018122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0A6C-4528-A212-8BEB625D10E8}"/>
                </c:ext>
              </c:extLst>
            </c:dLbl>
            <c:dLbl>
              <c:idx val="7"/>
              <c:layout>
                <c:manualLayout>
                  <c:x val="-2.9430646256792911E-2"/>
                  <c:y val="-5.9445330742789113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0A6C-4528-A212-8BEB625D10E8}"/>
                </c:ext>
              </c:extLst>
            </c:dLbl>
            <c:dLbl>
              <c:idx val="9"/>
              <c:layout>
                <c:manualLayout>
                  <c:x val="-2.8407368890209478E-2"/>
                  <c:y val="-7.1999389906770128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0A6C-4528-A212-8BEB625D10E8}"/>
                </c:ext>
              </c:extLst>
            </c:dLbl>
            <c:dLbl>
              <c:idx val="10"/>
              <c:layout>
                <c:manualLayout>
                  <c:x val="-3.157760940259826E-2"/>
                  <c:y val="-7.0689977312158009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0A6C-4528-A212-8BEB625D10E8}"/>
                </c:ext>
              </c:extLst>
            </c:dLbl>
            <c:dLbl>
              <c:idx val="11"/>
              <c:layout>
                <c:manualLayout>
                  <c:x val="-2.9481173343898052E-2"/>
                  <c:y val="-6.5847362300051476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0A6C-4528-A212-8BEB625D10E8}"/>
                </c:ext>
              </c:extLst>
            </c:dLbl>
            <c:dLbl>
              <c:idx val="12"/>
              <c:layout>
                <c:manualLayout>
                  <c:x val="-2.8407329786591416E-2"/>
                  <c:y val="-6.7192315651592976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C-0A6C-4528-A212-8BEB625D10E8}"/>
                </c:ext>
              </c:extLst>
            </c:dLbl>
            <c:dLbl>
              <c:idx val="13"/>
              <c:layout>
                <c:manualLayout>
                  <c:x val="-2.8407329786591416E-2"/>
                  <c:y val="-8.1712514544018122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0A6C-4528-A212-8BEB625D10E8}"/>
                </c:ext>
              </c:extLst>
            </c:dLbl>
            <c:dLbl>
              <c:idx val="14"/>
              <c:layout>
                <c:manualLayout>
                  <c:x val="-2.8404854087231101E-2"/>
                  <c:y val="-7.6935330997651999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E-0A6C-4528-A212-8BEB625D10E8}"/>
                </c:ext>
              </c:extLst>
            </c:dLbl>
            <c:numFmt formatCode="#,##00" sourceLinked="0"/>
            <c:spPr>
              <a:effectLst/>
            </c:sp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Sheet1!$B$1:$L$1</c:f>
              <c:strCache>
                <c:ptCount val="11"/>
                <c:pt idx="0">
                  <c:v>2010</c:v>
                </c:pt>
                <c:pt idx="1">
                  <c:v>2011</c:v>
                </c:pt>
                <c:pt idx="2">
                  <c:v>2012</c:v>
                </c:pt>
                <c:pt idx="3">
                  <c:v>2013</c:v>
                </c:pt>
                <c:pt idx="4">
                  <c:v>2014</c:v>
                </c:pt>
                <c:pt idx="5">
                  <c:v>2015</c:v>
                </c:pt>
                <c:pt idx="6">
                  <c:v>2016</c:v>
                </c:pt>
                <c:pt idx="7">
                  <c:v>2017</c:v>
                </c:pt>
                <c:pt idx="8">
                  <c:v>2018</c:v>
                </c:pt>
                <c:pt idx="9">
                  <c:v>2019</c:v>
                </c:pt>
                <c:pt idx="10">
                  <c:v>2020</c:v>
                </c:pt>
              </c:strCache>
            </c:strRef>
          </c:cat>
          <c:val>
            <c:numRef>
              <c:f>Sheet1!$B$3:$L$3</c:f>
              <c:numCache>
                <c:formatCode>General</c:formatCode>
                <c:ptCount val="11"/>
                <c:pt idx="0">
                  <c:v>0.6</c:v>
                </c:pt>
                <c:pt idx="1">
                  <c:v>0.9</c:v>
                </c:pt>
                <c:pt idx="2">
                  <c:v>0.9</c:v>
                </c:pt>
                <c:pt idx="3">
                  <c:v>0.9</c:v>
                </c:pt>
                <c:pt idx="4">
                  <c:v>0.9</c:v>
                </c:pt>
                <c:pt idx="5">
                  <c:v>1.1000000000000001</c:v>
                </c:pt>
                <c:pt idx="6">
                  <c:v>1.3</c:v>
                </c:pt>
                <c:pt idx="7">
                  <c:v>1.6</c:v>
                </c:pt>
                <c:pt idx="8">
                  <c:v>1.4</c:v>
                </c:pt>
                <c:pt idx="9">
                  <c:v>1.4</c:v>
                </c:pt>
                <c:pt idx="10">
                  <c:v>1.3</c:v>
                </c:pt>
              </c:numCache>
            </c:numRef>
          </c:val>
          <c:smooth val="0"/>
          <c:extLst xmlns:c16r2="http://schemas.microsoft.com/office/drawing/2015/06/chart">
            <c:ext xmlns:c16="http://schemas.microsoft.com/office/drawing/2014/chart" uri="{C3380CC4-5D6E-409C-BE32-E72D297353CC}">
              <c16:uniqueId val="{0000000F-0A6C-4528-A212-8BEB625D10E8}"/>
            </c:ext>
          </c:extLst>
        </c:ser>
        <c:dLbls>
          <c:showLegendKey val="0"/>
          <c:showVal val="1"/>
          <c:showCatName val="0"/>
          <c:showSerName val="0"/>
          <c:showPercent val="0"/>
          <c:showBubbleSize val="0"/>
        </c:dLbls>
        <c:marker val="1"/>
        <c:smooth val="0"/>
        <c:axId val="111258240"/>
        <c:axId val="111256704"/>
      </c:lineChart>
      <c:catAx>
        <c:axId val="111244032"/>
        <c:scaling>
          <c:orientation val="minMax"/>
        </c:scaling>
        <c:delete val="0"/>
        <c:axPos val="b"/>
        <c:numFmt formatCode="#.000" sourceLinked="0"/>
        <c:majorTickMark val="cross"/>
        <c:minorTickMark val="none"/>
        <c:tickLblPos val="nextTo"/>
        <c:txPr>
          <a:bodyPr rot="0" vert="horz"/>
          <a:lstStyle/>
          <a:p>
            <a:pPr>
              <a:defRPr/>
            </a:pPr>
            <a:endParaRPr lang="lt-LT"/>
          </a:p>
        </c:txPr>
        <c:crossAx val="111246720"/>
        <c:crosses val="autoZero"/>
        <c:auto val="1"/>
        <c:lblAlgn val="ctr"/>
        <c:lblOffset val="100"/>
        <c:tickMarkSkip val="1"/>
        <c:noMultiLvlLbl val="0"/>
      </c:catAx>
      <c:valAx>
        <c:axId val="111246720"/>
        <c:scaling>
          <c:orientation val="minMax"/>
          <c:max val="20"/>
          <c:min val="0"/>
        </c:scaling>
        <c:delete val="0"/>
        <c:axPos val="l"/>
        <c:numFmt formatCode="0" sourceLinked="0"/>
        <c:majorTickMark val="out"/>
        <c:minorTickMark val="none"/>
        <c:tickLblPos val="nextTo"/>
        <c:spPr>
          <a:ln>
            <a:solidFill>
              <a:schemeClr val="tx1"/>
            </a:solidFill>
          </a:ln>
        </c:spPr>
        <c:txPr>
          <a:bodyPr rot="0" vert="horz"/>
          <a:lstStyle/>
          <a:p>
            <a:pPr>
              <a:defRPr/>
            </a:pPr>
            <a:endParaRPr lang="lt-LT"/>
          </a:p>
        </c:txPr>
        <c:crossAx val="111244032"/>
        <c:crosses val="autoZero"/>
        <c:crossBetween val="between"/>
        <c:majorUnit val="2"/>
      </c:valAx>
      <c:valAx>
        <c:axId val="111256704"/>
        <c:scaling>
          <c:orientation val="minMax"/>
          <c:max val="1.6"/>
        </c:scaling>
        <c:delete val="0"/>
        <c:axPos val="r"/>
        <c:numFmt formatCode="#,##00" sourceLinked="0"/>
        <c:majorTickMark val="out"/>
        <c:minorTickMark val="none"/>
        <c:tickLblPos val="nextTo"/>
        <c:crossAx val="111258240"/>
        <c:crosses val="max"/>
        <c:crossBetween val="between"/>
      </c:valAx>
      <c:catAx>
        <c:axId val="111258240"/>
        <c:scaling>
          <c:orientation val="minMax"/>
        </c:scaling>
        <c:delete val="1"/>
        <c:axPos val="b"/>
        <c:numFmt formatCode="General" sourceLinked="1"/>
        <c:majorTickMark val="out"/>
        <c:minorTickMark val="none"/>
        <c:tickLblPos val="nextTo"/>
        <c:crossAx val="111256704"/>
        <c:crosses val="autoZero"/>
        <c:auto val="0"/>
        <c:lblAlgn val="ctr"/>
        <c:lblOffset val="100"/>
        <c:noMultiLvlLbl val="0"/>
      </c:catAx>
    </c:plotArea>
    <c:legend>
      <c:legendPos val="t"/>
      <c:layout>
        <c:manualLayout>
          <c:xMode val="edge"/>
          <c:yMode val="edge"/>
          <c:x val="5.246273088897787E-2"/>
          <c:y val="2.5004848531864552E-2"/>
          <c:w val="0.63448339637692353"/>
          <c:h val="7.0037666642256122E-2"/>
        </c:manualLayout>
      </c:layout>
      <c:overlay val="0"/>
    </c:legend>
    <c:plotVisOnly val="1"/>
    <c:dispBlanksAs val="gap"/>
    <c:showDLblsOverMax val="0"/>
  </c:chart>
  <c:spPr>
    <a:noFill/>
    <a:ln>
      <a:noFill/>
    </a:ln>
  </c:spPr>
  <c:txPr>
    <a:bodyPr/>
    <a:lstStyle/>
    <a:p>
      <a:pPr>
        <a:defRPr sz="800">
          <a:latin typeface="Arial" panose="020B0604020202020204" pitchFamily="34" charset="0"/>
          <a:cs typeface="Arial" panose="020B0604020202020204" pitchFamily="34" charset="0"/>
        </a:defRPr>
      </a:pPr>
      <a:endParaRPr lang="lt-LT"/>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0.90851</cdr:x>
      <cdr:y>0</cdr:y>
    </cdr:from>
    <cdr:to>
      <cdr:x>0.9925</cdr:x>
      <cdr:y>0.08183</cdr:y>
    </cdr:to>
    <cdr:sp macro="" textlink="">
      <cdr:nvSpPr>
        <cdr:cNvPr id="1028" name="Text Box 4"/>
        <cdr:cNvSpPr txBox="1">
          <a:spLocks xmlns:a="http://schemas.openxmlformats.org/drawingml/2006/main" noChangeArrowheads="1"/>
        </cdr:cNvSpPr>
      </cdr:nvSpPr>
      <cdr:spPr bwMode="auto">
        <a:xfrm xmlns:a="http://schemas.openxmlformats.org/drawingml/2006/main">
          <a:off x="5504238" y="0"/>
          <a:ext cx="508856" cy="214707"/>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lt-LT" sz="800" b="0" i="0" u="none" strike="noStrike" baseline="0">
              <a:solidFill>
                <a:srgbClr val="000000"/>
              </a:solidFill>
              <a:latin typeface="Arial"/>
              <a:cs typeface="Arial"/>
            </a:rPr>
            <a:t>Procentai</a:t>
          </a:r>
        </a:p>
        <a:p xmlns:a="http://schemas.openxmlformats.org/drawingml/2006/main">
          <a:pPr algn="l" rtl="0">
            <a:defRPr sz="1000"/>
          </a:pPr>
          <a:endParaRPr lang="lt-LT" sz="800" b="1" i="0" u="none" strike="noStrike" baseline="0">
            <a:solidFill>
              <a:srgbClr val="000000"/>
            </a:solidFill>
            <a:latin typeface="Arial"/>
            <a:cs typeface="Arial"/>
          </a:endParaRPr>
        </a:p>
        <a:p xmlns:a="http://schemas.openxmlformats.org/drawingml/2006/main">
          <a:pPr algn="l" rtl="0">
            <a:defRPr sz="1000"/>
          </a:pPr>
          <a:r>
            <a:rPr lang="lt-LT" sz="800" b="1" i="0" u="none" strike="noStrike" baseline="0">
              <a:solidFill>
                <a:srgbClr val="000000"/>
              </a:solidFill>
              <a:latin typeface="Arial"/>
              <a:cs typeface="Arial"/>
            </a:rPr>
            <a:t>LTL</a:t>
          </a:r>
        </a:p>
        <a:p xmlns:a="http://schemas.openxmlformats.org/drawingml/2006/main">
          <a:pPr algn="l" rtl="0">
            <a:defRPr sz="1000"/>
          </a:pPr>
          <a:r>
            <a:rPr lang="lt-LT" sz="800" b="1" i="0" u="none" strike="noStrike" baseline="0">
              <a:solidFill>
                <a:srgbClr val="000000"/>
              </a:solidFill>
              <a:latin typeface="Arial"/>
              <a:cs typeface="Arial"/>
            </a:rPr>
            <a:t> </a:t>
          </a:r>
        </a:p>
      </cdr:txBody>
    </cdr:sp>
  </cdr:relSizeAnchor>
  <cdr:relSizeAnchor xmlns:cdr="http://schemas.openxmlformats.org/drawingml/2006/chartDrawing">
    <cdr:from>
      <cdr:x>0.01298</cdr:x>
      <cdr:y>0.92731</cdr:y>
    </cdr:from>
    <cdr:to>
      <cdr:x>0.97773</cdr:x>
      <cdr:y>1</cdr:y>
    </cdr:to>
    <cdr:sp macro="" textlink="">
      <cdr:nvSpPr>
        <cdr:cNvPr id="1035" name="Text Box 11"/>
        <cdr:cNvSpPr txBox="1">
          <a:spLocks xmlns:a="http://schemas.openxmlformats.org/drawingml/2006/main" noChangeArrowheads="1"/>
        </cdr:cNvSpPr>
      </cdr:nvSpPr>
      <cdr:spPr bwMode="auto">
        <a:xfrm xmlns:a="http://schemas.openxmlformats.org/drawingml/2006/main">
          <a:off x="80467" y="2433095"/>
          <a:ext cx="5982854" cy="190725"/>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lt-LT" sz="800" b="0" i="0" u="none" strike="noStrike" baseline="0">
              <a:solidFill>
                <a:srgbClr val="000000"/>
              </a:solidFill>
              <a:latin typeface="Arial"/>
              <a:cs typeface="Arial"/>
            </a:rPr>
            <a:t>       2016                                    2017                                 2018                                 2019                                 2020</a:t>
          </a:r>
        </a:p>
      </cdr:txBody>
    </cdr:sp>
  </cdr:relSizeAnchor>
  <cdr:relSizeAnchor xmlns:cdr="http://schemas.openxmlformats.org/drawingml/2006/chartDrawing">
    <cdr:from>
      <cdr:x>0</cdr:x>
      <cdr:y>0</cdr:y>
    </cdr:from>
    <cdr:to>
      <cdr:x>0.15119</cdr:x>
      <cdr:y>0.07879</cdr:y>
    </cdr:to>
    <cdr:sp macro="" textlink="">
      <cdr:nvSpPr>
        <cdr:cNvPr id="1036" name="Text Box 12"/>
        <cdr:cNvSpPr txBox="1">
          <a:spLocks xmlns:a="http://schemas.openxmlformats.org/drawingml/2006/main" noChangeArrowheads="1"/>
        </cdr:cNvSpPr>
      </cdr:nvSpPr>
      <cdr:spPr bwMode="auto">
        <a:xfrm xmlns:a="http://schemas.openxmlformats.org/drawingml/2006/main">
          <a:off x="-716890" y="0"/>
          <a:ext cx="915990" cy="20673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lt-LT" sz="800" b="0" i="0" u="none" strike="noStrike" baseline="0">
              <a:solidFill>
                <a:srgbClr val="000000"/>
              </a:solidFill>
              <a:latin typeface="Arial"/>
              <a:cs typeface="Arial"/>
            </a:rPr>
            <a:t>Tūkst.</a:t>
          </a:r>
          <a:r>
            <a:rPr lang="lt-LT" sz="800" b="1" i="0" u="none" strike="noStrike" baseline="0">
              <a:solidFill>
                <a:srgbClr val="000000"/>
              </a:solidFill>
              <a:latin typeface="Arial"/>
              <a:cs typeface="Arial"/>
            </a:rPr>
            <a:t> </a:t>
          </a:r>
        </a:p>
      </cdr:txBody>
    </cdr:sp>
  </cdr:relSizeAnchor>
</c:userShapes>
</file>

<file path=word/drawings/drawing2.xml><?xml version="1.0" encoding="utf-8"?>
<c:userShapes xmlns:c="http://schemas.openxmlformats.org/drawingml/2006/chart">
  <cdr:relSizeAnchor xmlns:cdr="http://schemas.openxmlformats.org/drawingml/2006/chartDrawing">
    <cdr:from>
      <cdr:x>0.90557</cdr:x>
      <cdr:y>0.0303</cdr:y>
    </cdr:from>
    <cdr:to>
      <cdr:x>0.98956</cdr:x>
      <cdr:y>0.11213</cdr:y>
    </cdr:to>
    <cdr:sp macro="" textlink="">
      <cdr:nvSpPr>
        <cdr:cNvPr id="1028" name="Text Box 4"/>
        <cdr:cNvSpPr txBox="1">
          <a:spLocks xmlns:a="http://schemas.openxmlformats.org/drawingml/2006/main" noChangeArrowheads="1"/>
        </cdr:cNvSpPr>
      </cdr:nvSpPr>
      <cdr:spPr bwMode="auto">
        <a:xfrm xmlns:a="http://schemas.openxmlformats.org/drawingml/2006/main">
          <a:off x="5486400" y="79514"/>
          <a:ext cx="508882" cy="214685"/>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lt-LT" sz="800" b="0" i="0" u="none" strike="noStrike" baseline="0">
              <a:solidFill>
                <a:srgbClr val="000000"/>
              </a:solidFill>
              <a:latin typeface="Arial"/>
              <a:cs typeface="Arial"/>
            </a:rPr>
            <a:t>Procentai</a:t>
          </a:r>
        </a:p>
        <a:p xmlns:a="http://schemas.openxmlformats.org/drawingml/2006/main">
          <a:pPr algn="l" rtl="0">
            <a:defRPr sz="1000"/>
          </a:pPr>
          <a:endParaRPr lang="lt-LT" sz="800" b="1" i="0" u="none" strike="noStrike" baseline="0">
            <a:solidFill>
              <a:srgbClr val="000000"/>
            </a:solidFill>
            <a:latin typeface="Arial"/>
            <a:cs typeface="Arial"/>
          </a:endParaRPr>
        </a:p>
        <a:p xmlns:a="http://schemas.openxmlformats.org/drawingml/2006/main">
          <a:pPr algn="l" rtl="0">
            <a:defRPr sz="1000"/>
          </a:pPr>
          <a:r>
            <a:rPr lang="lt-LT" sz="800" b="1" i="0" u="none" strike="noStrike" baseline="0">
              <a:solidFill>
                <a:srgbClr val="000000"/>
              </a:solidFill>
              <a:latin typeface="Arial"/>
              <a:cs typeface="Arial"/>
            </a:rPr>
            <a:t>LTL</a:t>
          </a:r>
        </a:p>
        <a:p xmlns:a="http://schemas.openxmlformats.org/drawingml/2006/main">
          <a:pPr algn="l" rtl="0">
            <a:defRPr sz="1000"/>
          </a:pPr>
          <a:r>
            <a:rPr lang="lt-LT" sz="800" b="1" i="0" u="none" strike="noStrike" baseline="0">
              <a:solidFill>
                <a:srgbClr val="000000"/>
              </a:solidFill>
              <a:latin typeface="Arial"/>
              <a:cs typeface="Arial"/>
            </a:rPr>
            <a:t> </a:t>
          </a:r>
        </a:p>
      </cdr:txBody>
    </cdr:sp>
  </cdr:relSizeAnchor>
  <cdr:relSizeAnchor xmlns:cdr="http://schemas.openxmlformats.org/drawingml/2006/chartDrawing">
    <cdr:from>
      <cdr:x>0</cdr:x>
      <cdr:y>0.03585</cdr:y>
    </cdr:from>
    <cdr:to>
      <cdr:x>0.15119</cdr:x>
      <cdr:y>0.11464</cdr:y>
    </cdr:to>
    <cdr:sp macro="" textlink="">
      <cdr:nvSpPr>
        <cdr:cNvPr id="1036" name="Text Box 12"/>
        <cdr:cNvSpPr txBox="1">
          <a:spLocks xmlns:a="http://schemas.openxmlformats.org/drawingml/2006/main" noChangeArrowheads="1"/>
        </cdr:cNvSpPr>
      </cdr:nvSpPr>
      <cdr:spPr bwMode="auto">
        <a:xfrm xmlns:a="http://schemas.openxmlformats.org/drawingml/2006/main">
          <a:off x="0" y="80241"/>
          <a:ext cx="949976" cy="17636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lt-LT" sz="800" b="0" i="0" u="none" strike="noStrike" baseline="0">
              <a:solidFill>
                <a:srgbClr val="000000"/>
              </a:solidFill>
              <a:latin typeface="Arial"/>
              <a:cs typeface="Arial"/>
            </a:rPr>
            <a:t>Tūkst.</a:t>
          </a:r>
          <a:r>
            <a:rPr lang="lt-LT" sz="800" b="1" i="0" u="none" strike="noStrike" baseline="0">
              <a:solidFill>
                <a:srgbClr val="000000"/>
              </a:solidFill>
              <a:latin typeface="Arial"/>
              <a:cs typeface="Arial"/>
            </a:rPr>
            <a:t> </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0AB7D2F86D9524992F7F662FE4E933A" ma:contentTypeVersion="2" ma:contentTypeDescription="Kurkite naują dokumentą." ma:contentTypeScope="" ma:versionID="43e88be6171ac7401bd42ef43466c362">
  <xsd:schema xmlns:xsd="http://www.w3.org/2001/XMLSchema" xmlns:p="http://schemas.microsoft.com/office/2006/metadata/properties" xmlns:ns2="a341d734-d208-4b9c-bc9c-37362a563ed6" targetNamespace="http://schemas.microsoft.com/office/2006/metadata/properties" ma:root="true" ma:fieldsID="7a5b57ee6bfd0abd9d234b156c77817b" ns2:_="">
    <xsd:import namespace="a341d734-d208-4b9c-bc9c-37362a563ed6"/>
    <xsd:element name="properties">
      <xsd:complexType>
        <xsd:sequence>
          <xsd:element name="documentManagement">
            <xsd:complexType>
              <xsd:all>
                <xsd:element ref="ns2:Data" minOccurs="0"/>
                <xsd:element ref="ns2:Grup_x0117_" minOccurs="0"/>
              </xsd:all>
            </xsd:complexType>
          </xsd:element>
        </xsd:sequence>
      </xsd:complexType>
    </xsd:element>
  </xsd:schema>
  <xsd:schema xmlns:xsd="http://www.w3.org/2001/XMLSchema" xmlns:dms="http://schemas.microsoft.com/office/2006/documentManagement/types" targetNamespace="a341d734-d208-4b9c-bc9c-37362a563ed6" elementFormDefault="qualified">
    <xsd:import namespace="http://schemas.microsoft.com/office/2006/documentManagement/types"/>
    <xsd:element name="Data" ma:index="2" nillable="true" ma:displayName="Data" ma:internalName="Data">
      <xsd:simpleType>
        <xsd:restriction base="dms:Text">
          <xsd:maxLength value="255"/>
        </xsd:restriction>
      </xsd:simpleType>
    </xsd:element>
    <xsd:element name="Grup_x0117_" ma:index="3" nillable="true" ma:displayName="Grupė" ma:default="-" ma:format="Dropdown" ma:internalName="Grup_x0117_">
      <xsd:simpleType>
        <xsd:restriction base="dms:Choice">
          <xsd:enumeration value="-"/>
          <xsd:enumeration value="Įveskite pasirinkimą #2"/>
          <xsd:enumeration value="Įveskite pasirinkimą #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Turinio tipas" ma:readOnly="true"/>
        <xsd:element ref="dc:title" minOccurs="0" maxOccurs="1" ma:index="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Grup_x0117_ xmlns="a341d734-d208-4b9c-bc9c-37362a563ed6">-</Grup_x0117_>
    <Data xmlns="a341d734-d208-4b9c-bc9c-37362a563ed6">2019-09-10</Data>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67BCEA-10A1-466A-B082-67BADAB9580E}">
  <ds:schemaRefs>
    <ds:schemaRef ds:uri="http://schemas.microsoft.com/sharepoint/v3/contenttype/forms"/>
  </ds:schemaRefs>
</ds:datastoreItem>
</file>

<file path=customXml/itemProps2.xml><?xml version="1.0" encoding="utf-8"?>
<ds:datastoreItem xmlns:ds="http://schemas.openxmlformats.org/officeDocument/2006/customXml" ds:itemID="{E9A5C736-504B-44FB-8C06-D757E8951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1d734-d208-4b9c-bc9c-37362a563ed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E91B09E-A455-416F-925B-74863D595E86}">
  <ds:schemaRefs>
    <ds:schemaRef ds:uri="http://schemas.microsoft.com/office/2006/metadata/properties"/>
    <ds:schemaRef ds:uri="a341d734-d208-4b9c-bc9c-37362a563ed6"/>
  </ds:schemaRefs>
</ds:datastoreItem>
</file>

<file path=customXml/itemProps4.xml><?xml version="1.0" encoding="utf-8"?>
<ds:datastoreItem xmlns:ds="http://schemas.openxmlformats.org/officeDocument/2006/customXml" ds:itemID="{E1BB63E2-7AF7-4E64-BFF1-BC95EE98C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5137</Words>
  <Characters>2929</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Informaciniai pranešimai (naujas ženklas - LOGO)</vt:lpstr>
      <vt:lpstr>Informaciniai pranešimai (naujas ženklas - LOGO)</vt:lpstr>
    </vt:vector>
  </TitlesOfParts>
  <Company>Hewlett-Packard Company</Company>
  <LinksUpToDate>false</LinksUpToDate>
  <CharactersWithSpaces>8050</CharactersWithSpaces>
  <SharedDoc>false</SharedDoc>
  <HLinks>
    <vt:vector size="12" baseType="variant">
      <vt:variant>
        <vt:i4>3997808</vt:i4>
      </vt:variant>
      <vt:variant>
        <vt:i4>3</vt:i4>
      </vt:variant>
      <vt:variant>
        <vt:i4>0</vt:i4>
      </vt:variant>
      <vt:variant>
        <vt:i4>5</vt:i4>
      </vt:variant>
      <vt:variant>
        <vt:lpwstr>http://www.osp.stat.gov.lt/</vt:lpwstr>
      </vt:variant>
      <vt:variant>
        <vt:lpwstr/>
      </vt:variant>
      <vt:variant>
        <vt:i4>7340112</vt:i4>
      </vt:variant>
      <vt:variant>
        <vt:i4>0</vt:i4>
      </vt:variant>
      <vt:variant>
        <vt:i4>0</vt:i4>
      </vt:variant>
      <vt:variant>
        <vt:i4>5</vt:i4>
      </vt:variant>
      <vt:variant>
        <vt:lpwstr>mailto:vardas.pavarde@stat.gov.lt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Informaciniai pranešimai (naujas ženklas - LOGO)</dc:title>
  <dc:creator>std</dc:creator>
  <cp:lastModifiedBy>Lietuvos statistika</cp:lastModifiedBy>
  <cp:revision>3</cp:revision>
  <cp:lastPrinted>2020-02-18T09:19:00Z</cp:lastPrinted>
  <dcterms:created xsi:type="dcterms:W3CDTF">2021-02-22T06:18:00Z</dcterms:created>
  <dcterms:modified xsi:type="dcterms:W3CDTF">2021-02-22T06:19:00Z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ject">
    <vt:lpwstr/>
  </property>
  <property fmtid="{D5CDD505-2E9C-101B-9397-08002B2CF9AE}" pid="3" name="Keywords">
    <vt:lpwstr/>
  </property>
  <property fmtid="{D5CDD505-2E9C-101B-9397-08002B2CF9AE}" pid="4" name="_Author">
    <vt:lpwstr>std</vt:lpwstr>
  </property>
  <property fmtid="{D5CDD505-2E9C-101B-9397-08002B2CF9AE}" pid="5" name="_Category">
    <vt:lpwstr/>
  </property>
  <property fmtid="{D5CDD505-2E9C-101B-9397-08002B2CF9AE}" pid="6" name="Categories">
    <vt:lpwstr/>
  </property>
  <property fmtid="{D5CDD505-2E9C-101B-9397-08002B2CF9AE}" pid="7" name="Approval Level">
    <vt:lpwstr/>
  </property>
  <property fmtid="{D5CDD505-2E9C-101B-9397-08002B2CF9AE}" pid="8" name="_Comments">
    <vt:lpwstr/>
  </property>
  <property fmtid="{D5CDD505-2E9C-101B-9397-08002B2CF9AE}" pid="9" name="Assigned To">
    <vt:lpwstr/>
  </property>
  <property fmtid="{D5CDD505-2E9C-101B-9397-08002B2CF9AE}" pid="10" name="ContentType">
    <vt:lpwstr>Dokumentas</vt:lpwstr>
  </property>
  <property fmtid="{D5CDD505-2E9C-101B-9397-08002B2CF9AE}" pid="11" name="ContentTypeId">
    <vt:lpwstr>0x010100D0AB7D2F86D9524992F7F662FE4E933A</vt:lpwstr>
  </property>
  <property fmtid="{D5CDD505-2E9C-101B-9397-08002B2CF9AE}" pid="12" name="Data">
    <vt:lpwstr>2019-09-10</vt:lpwstr>
  </property>
</Properties>
</file>