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BFE" w:rsidRPr="009658BB" w:rsidRDefault="00336BFE" w:rsidP="00336BFE">
      <w:pPr>
        <w:pStyle w:val="Nrdata"/>
        <w:spacing w:before="120"/>
        <w:rPr>
          <w:lang w:val="lt-LT"/>
        </w:rPr>
      </w:pPr>
      <w:r w:rsidRPr="009658BB">
        <w:rPr>
          <w:lang w:val="lt-LT"/>
        </w:rPr>
        <w:t>20</w:t>
      </w:r>
      <w:r w:rsidR="00785498" w:rsidRPr="009658BB">
        <w:rPr>
          <w:lang w:val="lt-LT"/>
        </w:rPr>
        <w:t>2</w:t>
      </w:r>
      <w:r w:rsidR="00B8251B" w:rsidRPr="009658BB">
        <w:rPr>
          <w:lang w:val="lt-LT"/>
        </w:rPr>
        <w:t>1</w:t>
      </w:r>
      <w:r w:rsidR="00F57ACF" w:rsidRPr="009658BB">
        <w:rPr>
          <w:lang w:val="lt-LT"/>
        </w:rPr>
        <w:t> m.</w:t>
      </w:r>
      <w:r w:rsidRPr="009658BB">
        <w:rPr>
          <w:lang w:val="lt-LT"/>
        </w:rPr>
        <w:t xml:space="preserve"> </w:t>
      </w:r>
      <w:r w:rsidR="00B8251B" w:rsidRPr="009658BB">
        <w:rPr>
          <w:lang w:val="lt-LT"/>
        </w:rPr>
        <w:t>vasar</w:t>
      </w:r>
      <w:r w:rsidR="00B61FED" w:rsidRPr="009658BB">
        <w:rPr>
          <w:lang w:val="lt-LT"/>
        </w:rPr>
        <w:t>io</w:t>
      </w:r>
      <w:r w:rsidRPr="009658BB">
        <w:rPr>
          <w:lang w:val="lt-LT"/>
        </w:rPr>
        <w:t xml:space="preserve"> 2</w:t>
      </w:r>
      <w:r w:rsidR="00F04CE3" w:rsidRPr="009658BB">
        <w:rPr>
          <w:lang w:val="lt-LT"/>
        </w:rPr>
        <w:t>3</w:t>
      </w:r>
      <w:r w:rsidRPr="009658BB">
        <w:rPr>
          <w:lang w:val="lt-LT"/>
        </w:rPr>
        <w:t xml:space="preserve"> d., Vilnius</w:t>
      </w:r>
    </w:p>
    <w:p w:rsidR="00336BFE" w:rsidRPr="009658BB" w:rsidRDefault="002A20FB" w:rsidP="00336BFE">
      <w:pPr>
        <w:pStyle w:val="Lentelespav"/>
        <w:jc w:val="both"/>
        <w:rPr>
          <w:b w:val="0"/>
          <w:sz w:val="18"/>
          <w:szCs w:val="18"/>
          <w:lang w:val="lt-LT"/>
        </w:rPr>
      </w:pPr>
      <w:r>
        <w:rPr>
          <w:noProof/>
          <w:color w:val="1F497D"/>
          <w:lang w:val="lt-LT" w:eastAsia="lt-LT"/>
        </w:rPr>
        <w:drawing>
          <wp:inline distT="0" distB="0" distL="0" distR="0">
            <wp:extent cx="648335" cy="757555"/>
            <wp:effectExtent l="0" t="0" r="0" b="444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335" cy="757555"/>
                    </a:xfrm>
                    <a:prstGeom prst="rect">
                      <a:avLst/>
                    </a:prstGeom>
                    <a:noFill/>
                    <a:ln>
                      <a:noFill/>
                    </a:ln>
                  </pic:spPr>
                </pic:pic>
              </a:graphicData>
            </a:graphic>
          </wp:inline>
        </w:drawing>
      </w:r>
    </w:p>
    <w:p w:rsidR="00336BFE" w:rsidRDefault="00336BFE" w:rsidP="00336BFE">
      <w:pPr>
        <w:pStyle w:val="Lentelespav"/>
        <w:jc w:val="both"/>
        <w:rPr>
          <w:b w:val="0"/>
          <w:sz w:val="18"/>
          <w:szCs w:val="18"/>
          <w:lang w:val="lt-LT"/>
        </w:rPr>
      </w:pPr>
    </w:p>
    <w:p w:rsidR="002A20FB" w:rsidRPr="009658BB" w:rsidRDefault="002A20FB" w:rsidP="00336BFE">
      <w:pPr>
        <w:pStyle w:val="Lentelespav"/>
        <w:jc w:val="both"/>
        <w:rPr>
          <w:b w:val="0"/>
          <w:sz w:val="18"/>
          <w:szCs w:val="18"/>
          <w:lang w:val="lt-LT"/>
        </w:rPr>
      </w:pPr>
    </w:p>
    <w:p w:rsidR="00336BFE" w:rsidRPr="009658BB" w:rsidRDefault="005700EC" w:rsidP="00336BFE">
      <w:pPr>
        <w:pStyle w:val="Antraste"/>
        <w:jc w:val="left"/>
        <w:rPr>
          <w:lang w:val="lt-LT"/>
        </w:rPr>
      </w:pPr>
      <w:r w:rsidRPr="009658BB">
        <w:rPr>
          <w:caps w:val="0"/>
          <w:lang w:val="lt-LT"/>
        </w:rPr>
        <w:t>Laisvos darbo vietos</w:t>
      </w:r>
    </w:p>
    <w:p w:rsidR="00336BFE" w:rsidRPr="009658BB" w:rsidRDefault="00336BFE" w:rsidP="00336BFE">
      <w:pPr>
        <w:pStyle w:val="Lentelespav"/>
        <w:jc w:val="both"/>
        <w:rPr>
          <w:b w:val="0"/>
          <w:sz w:val="18"/>
          <w:szCs w:val="18"/>
          <w:lang w:val="lt-LT"/>
        </w:rPr>
      </w:pPr>
    </w:p>
    <w:p w:rsidR="00336BFE" w:rsidRPr="009658BB" w:rsidRDefault="00336BFE" w:rsidP="000A6EAC">
      <w:pPr>
        <w:pStyle w:val="Pagrtekstas"/>
        <w:numPr>
          <w:ilvl w:val="0"/>
          <w:numId w:val="4"/>
        </w:numPr>
        <w:spacing w:before="120"/>
        <w:ind w:left="284" w:hanging="284"/>
        <w:rPr>
          <w:lang w:val="lt-LT"/>
        </w:rPr>
      </w:pPr>
      <w:r w:rsidRPr="009658BB">
        <w:rPr>
          <w:b/>
          <w:lang w:val="lt-LT"/>
        </w:rPr>
        <w:t>20</w:t>
      </w:r>
      <w:r w:rsidR="00B81BD9" w:rsidRPr="009658BB">
        <w:rPr>
          <w:b/>
          <w:lang w:val="lt-LT"/>
        </w:rPr>
        <w:t>20</w:t>
      </w:r>
      <w:r w:rsidR="00F57ACF" w:rsidRPr="009658BB">
        <w:rPr>
          <w:b/>
          <w:lang w:val="lt-LT"/>
        </w:rPr>
        <w:t> m.</w:t>
      </w:r>
      <w:r w:rsidRPr="009658BB">
        <w:rPr>
          <w:b/>
          <w:lang w:val="lt-LT"/>
        </w:rPr>
        <w:t xml:space="preserve"> </w:t>
      </w:r>
      <w:r w:rsidR="00B8251B" w:rsidRPr="009658BB">
        <w:rPr>
          <w:b/>
          <w:lang w:val="lt-LT"/>
        </w:rPr>
        <w:t>ketvirtojo</w:t>
      </w:r>
      <w:r w:rsidRPr="009658BB">
        <w:rPr>
          <w:b/>
          <w:lang w:val="lt-LT"/>
        </w:rPr>
        <w:t xml:space="preserve"> ketvirčio pabaigoje šalyje buvo 1</w:t>
      </w:r>
      <w:r w:rsidR="00B8251B" w:rsidRPr="009658BB">
        <w:rPr>
          <w:b/>
          <w:lang w:val="lt-LT"/>
        </w:rPr>
        <w:t>5</w:t>
      </w:r>
      <w:r w:rsidR="00787422" w:rsidRPr="009658BB">
        <w:rPr>
          <w:b/>
          <w:lang w:val="lt-LT"/>
        </w:rPr>
        <w:t>,</w:t>
      </w:r>
      <w:r w:rsidR="002F3541" w:rsidRPr="009658BB">
        <w:rPr>
          <w:b/>
          <w:lang w:val="lt-LT"/>
        </w:rPr>
        <w:t>6</w:t>
      </w:r>
      <w:r w:rsidR="009658BB" w:rsidRPr="009658BB">
        <w:rPr>
          <w:b/>
          <w:lang w:val="lt-LT"/>
        </w:rPr>
        <w:t> tūkst.</w:t>
      </w:r>
      <w:r w:rsidRPr="009658BB">
        <w:rPr>
          <w:b/>
          <w:lang w:val="lt-LT"/>
        </w:rPr>
        <w:t xml:space="preserve"> </w:t>
      </w:r>
      <w:r w:rsidRPr="009658BB">
        <w:rPr>
          <w:b/>
          <w:color w:val="9BBB59" w:themeColor="accent3"/>
          <w:lang w:val="lt-LT"/>
        </w:rPr>
        <w:t xml:space="preserve">laisvų darbo vietų </w:t>
      </w:r>
      <w:r w:rsidRPr="009658BB">
        <w:rPr>
          <w:b/>
          <w:lang w:val="lt-LT"/>
        </w:rPr>
        <w:t>samdomiesiems darbuotojams</w:t>
      </w:r>
      <w:r w:rsidR="003C0C7C" w:rsidRPr="009658BB">
        <w:rPr>
          <w:lang w:val="lt-LT"/>
        </w:rPr>
        <w:t xml:space="preserve"> – </w:t>
      </w:r>
      <w:r w:rsidR="00B8251B" w:rsidRPr="009658BB">
        <w:rPr>
          <w:lang w:val="lt-LT"/>
        </w:rPr>
        <w:t>2</w:t>
      </w:r>
      <w:r w:rsidR="00B224DD" w:rsidRPr="009658BB">
        <w:rPr>
          <w:lang w:val="lt-LT"/>
        </w:rPr>
        <w:t>,</w:t>
      </w:r>
      <w:r w:rsidR="00B8251B" w:rsidRPr="009658BB">
        <w:rPr>
          <w:lang w:val="lt-LT"/>
        </w:rPr>
        <w:t>7</w:t>
      </w:r>
      <w:r w:rsidR="009658BB" w:rsidRPr="009658BB">
        <w:rPr>
          <w:lang w:val="lt-LT"/>
        </w:rPr>
        <w:t> tūkst.</w:t>
      </w:r>
      <w:r w:rsidRPr="009658BB">
        <w:rPr>
          <w:lang w:val="lt-LT"/>
        </w:rPr>
        <w:t xml:space="preserve">, arba </w:t>
      </w:r>
      <w:r w:rsidR="00B8251B" w:rsidRPr="009658BB">
        <w:rPr>
          <w:lang w:val="lt-LT"/>
        </w:rPr>
        <w:t>14</w:t>
      </w:r>
      <w:r w:rsidR="00632802" w:rsidRPr="009658BB">
        <w:rPr>
          <w:lang w:val="lt-LT"/>
        </w:rPr>
        <w:t>,</w:t>
      </w:r>
      <w:r w:rsidR="00BB2ED3" w:rsidRPr="009658BB">
        <w:rPr>
          <w:lang w:val="lt-LT"/>
        </w:rPr>
        <w:t>9</w:t>
      </w:r>
      <w:r w:rsidR="009658BB" w:rsidRPr="009658BB">
        <w:rPr>
          <w:lang w:val="lt-LT"/>
        </w:rPr>
        <w:t> proc.</w:t>
      </w:r>
      <w:r w:rsidRPr="009658BB">
        <w:rPr>
          <w:lang w:val="lt-LT"/>
        </w:rPr>
        <w:t xml:space="preserve">, </w:t>
      </w:r>
      <w:r w:rsidR="00B8251B" w:rsidRPr="009658BB">
        <w:rPr>
          <w:lang w:val="lt-LT"/>
        </w:rPr>
        <w:t>mažiau</w:t>
      </w:r>
      <w:r w:rsidRPr="009658BB">
        <w:rPr>
          <w:lang w:val="lt-LT"/>
        </w:rPr>
        <w:t xml:space="preserve"> nei 20</w:t>
      </w:r>
      <w:r w:rsidR="00B61FED" w:rsidRPr="009658BB">
        <w:rPr>
          <w:lang w:val="lt-LT"/>
        </w:rPr>
        <w:t>20</w:t>
      </w:r>
      <w:r w:rsidR="00F57ACF" w:rsidRPr="009658BB">
        <w:rPr>
          <w:lang w:val="lt-LT"/>
        </w:rPr>
        <w:t> m.</w:t>
      </w:r>
      <w:r w:rsidRPr="009658BB">
        <w:rPr>
          <w:lang w:val="lt-LT"/>
        </w:rPr>
        <w:t xml:space="preserve"> </w:t>
      </w:r>
      <w:r w:rsidR="00B8251B" w:rsidRPr="009658BB">
        <w:rPr>
          <w:lang w:val="lt-LT"/>
        </w:rPr>
        <w:t>trečiąjį</w:t>
      </w:r>
      <w:r w:rsidRPr="009658BB">
        <w:rPr>
          <w:lang w:val="lt-LT"/>
        </w:rPr>
        <w:t xml:space="preserve"> ketvirtį</w:t>
      </w:r>
      <w:r w:rsidR="006524D3" w:rsidRPr="009658BB">
        <w:rPr>
          <w:lang w:val="lt-LT"/>
        </w:rPr>
        <w:t xml:space="preserve"> </w:t>
      </w:r>
      <w:r w:rsidR="000A6EAC" w:rsidRPr="009658BB">
        <w:rPr>
          <w:lang w:val="lt-LT"/>
        </w:rPr>
        <w:t>ir 1,6</w:t>
      </w:r>
      <w:r w:rsidR="009658BB" w:rsidRPr="009658BB">
        <w:rPr>
          <w:lang w:val="lt-LT"/>
        </w:rPr>
        <w:t> tūkst.</w:t>
      </w:r>
      <w:r w:rsidR="000A6EAC" w:rsidRPr="009658BB">
        <w:rPr>
          <w:lang w:val="lt-LT"/>
        </w:rPr>
        <w:t>, arba</w:t>
      </w:r>
      <w:r w:rsidR="009658BB">
        <w:rPr>
          <w:lang w:val="lt-LT"/>
        </w:rPr>
        <w:t xml:space="preserve"> </w:t>
      </w:r>
      <w:r w:rsidR="000A6EAC" w:rsidRPr="009658BB">
        <w:rPr>
          <w:lang w:val="lt-LT"/>
        </w:rPr>
        <w:t>9,</w:t>
      </w:r>
      <w:r w:rsidR="00002CB3" w:rsidRPr="009658BB">
        <w:rPr>
          <w:lang w:val="lt-LT"/>
        </w:rPr>
        <w:t>4</w:t>
      </w:r>
      <w:r w:rsidR="009658BB" w:rsidRPr="009658BB">
        <w:rPr>
          <w:lang w:val="lt-LT"/>
        </w:rPr>
        <w:t> proc.</w:t>
      </w:r>
      <w:r w:rsidR="000A6EAC" w:rsidRPr="009658BB">
        <w:rPr>
          <w:lang w:val="lt-LT"/>
        </w:rPr>
        <w:t>, mažiau nei prieš metus.</w:t>
      </w:r>
    </w:p>
    <w:p w:rsidR="00336BFE" w:rsidRPr="009658BB" w:rsidRDefault="000A6EAC" w:rsidP="00B61FED">
      <w:pPr>
        <w:pStyle w:val="Pagrtekstas"/>
        <w:numPr>
          <w:ilvl w:val="0"/>
          <w:numId w:val="4"/>
        </w:numPr>
        <w:spacing w:before="120"/>
        <w:ind w:left="284" w:hanging="284"/>
        <w:rPr>
          <w:lang w:val="lt-LT"/>
        </w:rPr>
      </w:pPr>
      <w:r w:rsidRPr="009658BB">
        <w:rPr>
          <w:lang w:val="lt-LT"/>
        </w:rPr>
        <w:t>Labiausiai</w:t>
      </w:r>
      <w:r w:rsidR="009658BB">
        <w:rPr>
          <w:lang w:val="lt-LT"/>
        </w:rPr>
        <w:t xml:space="preserve"> </w:t>
      </w:r>
      <w:r w:rsidRPr="009658BB">
        <w:rPr>
          <w:lang w:val="lt-LT"/>
        </w:rPr>
        <w:t>– 1,1</w:t>
      </w:r>
      <w:r w:rsidR="009658BB" w:rsidRPr="009658BB">
        <w:rPr>
          <w:lang w:val="lt-LT"/>
        </w:rPr>
        <w:t> tūkst.</w:t>
      </w:r>
      <w:r w:rsidR="009658BB">
        <w:rPr>
          <w:lang w:val="lt-LT"/>
        </w:rPr>
        <w:t xml:space="preserve"> </w:t>
      </w:r>
      <w:r w:rsidRPr="009658BB">
        <w:rPr>
          <w:lang w:val="lt-LT"/>
        </w:rPr>
        <w:t xml:space="preserve">– laisvų darbo vietų sumažėjo transporto </w:t>
      </w:r>
      <w:r w:rsidR="00AC484F" w:rsidRPr="009658BB">
        <w:rPr>
          <w:lang w:val="lt-LT"/>
        </w:rPr>
        <w:t xml:space="preserve">ir saugojimo veiklos </w:t>
      </w:r>
      <w:r w:rsidRPr="009658BB">
        <w:rPr>
          <w:lang w:val="lt-LT"/>
        </w:rPr>
        <w:t xml:space="preserve">įmonėse. </w:t>
      </w:r>
      <w:r w:rsidR="00457528" w:rsidRPr="009658BB">
        <w:rPr>
          <w:lang w:val="lt-LT"/>
        </w:rPr>
        <w:t xml:space="preserve">Prekybos įmonėse </w:t>
      </w:r>
      <w:r w:rsidRPr="009658BB">
        <w:rPr>
          <w:lang w:val="lt-LT"/>
        </w:rPr>
        <w:t>jų buvo 0,6</w:t>
      </w:r>
      <w:r w:rsidR="009658BB" w:rsidRPr="009658BB">
        <w:rPr>
          <w:lang w:val="lt-LT"/>
        </w:rPr>
        <w:t> tūkst.</w:t>
      </w:r>
      <w:r w:rsidRPr="009658BB">
        <w:rPr>
          <w:lang w:val="lt-LT"/>
        </w:rPr>
        <w:t xml:space="preserve"> mažiau, statybos</w:t>
      </w:r>
      <w:r w:rsidR="009658BB">
        <w:rPr>
          <w:lang w:val="lt-LT"/>
        </w:rPr>
        <w:t xml:space="preserve"> </w:t>
      </w:r>
      <w:r w:rsidRPr="009658BB">
        <w:rPr>
          <w:lang w:val="lt-LT"/>
        </w:rPr>
        <w:t>–</w:t>
      </w:r>
      <w:r w:rsidR="009658BB">
        <w:rPr>
          <w:lang w:val="lt-LT"/>
        </w:rPr>
        <w:t xml:space="preserve"> </w:t>
      </w:r>
      <w:r w:rsidRPr="009658BB">
        <w:rPr>
          <w:lang w:val="lt-LT"/>
        </w:rPr>
        <w:t>0,3</w:t>
      </w:r>
      <w:r w:rsidR="009658BB" w:rsidRPr="009658BB">
        <w:rPr>
          <w:lang w:val="lt-LT"/>
        </w:rPr>
        <w:t> tūkst.</w:t>
      </w:r>
      <w:r w:rsidRPr="009658BB">
        <w:rPr>
          <w:lang w:val="lt-LT"/>
        </w:rPr>
        <w:t xml:space="preserve"> mažiau nei 2020 m. trečiąjį ketvirtį</w:t>
      </w:r>
      <w:r w:rsidR="00336BFE" w:rsidRPr="009658BB">
        <w:rPr>
          <w:lang w:val="lt-LT"/>
        </w:rPr>
        <w:t>.</w:t>
      </w:r>
      <w:r w:rsidR="00E327F9" w:rsidRPr="009658BB">
        <w:rPr>
          <w:lang w:val="lt-LT"/>
        </w:rPr>
        <w:t xml:space="preserve"> </w:t>
      </w:r>
    </w:p>
    <w:p w:rsidR="00593305" w:rsidRPr="009658BB" w:rsidRDefault="00593305" w:rsidP="00593305">
      <w:pPr>
        <w:pStyle w:val="Pagrtekstas"/>
        <w:numPr>
          <w:ilvl w:val="0"/>
          <w:numId w:val="4"/>
        </w:numPr>
        <w:spacing w:before="120"/>
        <w:ind w:left="284" w:hanging="284"/>
        <w:rPr>
          <w:lang w:val="lt-LT"/>
        </w:rPr>
      </w:pPr>
      <w:r w:rsidRPr="009658BB">
        <w:rPr>
          <w:lang w:val="lt-LT"/>
        </w:rPr>
        <w:t xml:space="preserve">Laisvų darbo vietų šiek tiek padaugėjo </w:t>
      </w:r>
      <w:r w:rsidRPr="009658BB">
        <w:rPr>
          <w:rFonts w:cs="Arial"/>
          <w:szCs w:val="19"/>
          <w:lang w:val="lt-LT"/>
        </w:rPr>
        <w:t>administracinės ir aptarnavimo veiklos</w:t>
      </w:r>
      <w:r w:rsidRPr="009658BB">
        <w:rPr>
          <w:lang w:val="lt-LT"/>
        </w:rPr>
        <w:t xml:space="preserve"> įmonėse – jų buvo</w:t>
      </w:r>
      <w:r w:rsidR="009658BB">
        <w:rPr>
          <w:lang w:val="lt-LT"/>
        </w:rPr>
        <w:t xml:space="preserve"> </w:t>
      </w:r>
      <w:r w:rsidRPr="009658BB">
        <w:rPr>
          <w:lang w:val="lt-LT"/>
        </w:rPr>
        <w:t>0,1</w:t>
      </w:r>
      <w:r w:rsidR="009658BB" w:rsidRPr="009658BB">
        <w:rPr>
          <w:lang w:val="lt-LT"/>
        </w:rPr>
        <w:t> tūkst.</w:t>
      </w:r>
      <w:r w:rsidRPr="009658BB">
        <w:rPr>
          <w:lang w:val="lt-LT"/>
        </w:rPr>
        <w:t xml:space="preserve"> daugiau nei 2020 m. trečiąjį ketvirtį.</w:t>
      </w:r>
    </w:p>
    <w:p w:rsidR="00336BFE" w:rsidRPr="009658BB" w:rsidRDefault="00336BFE" w:rsidP="009E278E">
      <w:pPr>
        <w:pStyle w:val="Pagrtekstas"/>
        <w:numPr>
          <w:ilvl w:val="0"/>
          <w:numId w:val="5"/>
        </w:numPr>
        <w:spacing w:before="120"/>
        <w:ind w:left="284" w:hanging="284"/>
        <w:rPr>
          <w:lang w:val="lt-LT"/>
        </w:rPr>
      </w:pPr>
      <w:r w:rsidRPr="009658BB">
        <w:rPr>
          <w:lang w:val="lt-LT"/>
        </w:rPr>
        <w:t>20</w:t>
      </w:r>
      <w:r w:rsidR="00B81BD9" w:rsidRPr="009658BB">
        <w:rPr>
          <w:lang w:val="lt-LT"/>
        </w:rPr>
        <w:t>20</w:t>
      </w:r>
      <w:r w:rsidR="00F57ACF" w:rsidRPr="009658BB">
        <w:rPr>
          <w:lang w:val="lt-LT"/>
        </w:rPr>
        <w:t> m.</w:t>
      </w:r>
      <w:r w:rsidRPr="009658BB">
        <w:rPr>
          <w:lang w:val="lt-LT"/>
        </w:rPr>
        <w:t xml:space="preserve"> </w:t>
      </w:r>
      <w:r w:rsidR="00593305" w:rsidRPr="009658BB">
        <w:rPr>
          <w:lang w:val="lt-LT"/>
        </w:rPr>
        <w:t>ketvirtojo</w:t>
      </w:r>
      <w:r w:rsidRPr="009658BB">
        <w:rPr>
          <w:lang w:val="lt-LT"/>
        </w:rPr>
        <w:t xml:space="preserve"> ketvirčio pabaigoje </w:t>
      </w:r>
      <w:r w:rsidRPr="009658BB">
        <w:rPr>
          <w:color w:val="9BBB59" w:themeColor="accent3"/>
          <w:lang w:val="lt-LT"/>
        </w:rPr>
        <w:t xml:space="preserve">laisvų darbo vietų lygis </w:t>
      </w:r>
      <w:r w:rsidRPr="009658BB">
        <w:rPr>
          <w:lang w:val="lt-LT"/>
        </w:rPr>
        <w:t>šalyje siekė 1,</w:t>
      </w:r>
      <w:r w:rsidR="00593305" w:rsidRPr="009658BB">
        <w:rPr>
          <w:lang w:val="lt-LT"/>
        </w:rPr>
        <w:t>2</w:t>
      </w:r>
      <w:r w:rsidR="009658BB" w:rsidRPr="009658BB">
        <w:rPr>
          <w:lang w:val="lt-LT"/>
        </w:rPr>
        <w:t> proc.</w:t>
      </w:r>
      <w:r w:rsidR="003C0C7C" w:rsidRPr="009658BB">
        <w:rPr>
          <w:lang w:val="lt-LT"/>
        </w:rPr>
        <w:t xml:space="preserve"> – </w:t>
      </w:r>
      <w:r w:rsidR="00AB06CC" w:rsidRPr="009658BB">
        <w:rPr>
          <w:lang w:val="lt-LT"/>
        </w:rPr>
        <w:t>tai 0,</w:t>
      </w:r>
      <w:r w:rsidR="00593305" w:rsidRPr="009658BB">
        <w:rPr>
          <w:lang w:val="lt-LT"/>
        </w:rPr>
        <w:t>2</w:t>
      </w:r>
      <w:r w:rsidR="00AB06CC" w:rsidRPr="009658BB">
        <w:rPr>
          <w:lang w:val="lt-LT"/>
        </w:rPr>
        <w:t xml:space="preserve"> procentinio punkto </w:t>
      </w:r>
      <w:r w:rsidR="00593305" w:rsidRPr="009658BB">
        <w:rPr>
          <w:lang w:val="lt-LT"/>
        </w:rPr>
        <w:t>mažiau</w:t>
      </w:r>
      <w:r w:rsidR="00AB06CC" w:rsidRPr="009658BB">
        <w:rPr>
          <w:lang w:val="lt-LT"/>
        </w:rPr>
        <w:t xml:space="preserve"> nei </w:t>
      </w:r>
      <w:r w:rsidR="00593305" w:rsidRPr="009658BB">
        <w:rPr>
          <w:lang w:val="lt-LT"/>
        </w:rPr>
        <w:t>trečiąj</w:t>
      </w:r>
      <w:r w:rsidR="00DF0B0C" w:rsidRPr="009658BB">
        <w:rPr>
          <w:lang w:val="lt-LT"/>
        </w:rPr>
        <w:t>į</w:t>
      </w:r>
      <w:r w:rsidR="00AB06CC" w:rsidRPr="009658BB">
        <w:rPr>
          <w:lang w:val="lt-LT"/>
        </w:rPr>
        <w:t xml:space="preserve"> 20</w:t>
      </w:r>
      <w:r w:rsidR="00DF0B0C" w:rsidRPr="009658BB">
        <w:rPr>
          <w:lang w:val="lt-LT"/>
        </w:rPr>
        <w:t>20</w:t>
      </w:r>
      <w:r w:rsidR="00F57ACF" w:rsidRPr="009658BB">
        <w:rPr>
          <w:lang w:val="lt-LT"/>
        </w:rPr>
        <w:t> m.</w:t>
      </w:r>
      <w:r w:rsidR="00AB06CC" w:rsidRPr="009658BB">
        <w:rPr>
          <w:lang w:val="lt-LT"/>
        </w:rPr>
        <w:t xml:space="preserve"> ketvirtį</w:t>
      </w:r>
      <w:r w:rsidR="00F70B35" w:rsidRPr="009658BB">
        <w:rPr>
          <w:lang w:val="lt-LT"/>
        </w:rPr>
        <w:t xml:space="preserve"> </w:t>
      </w:r>
      <w:r w:rsidR="00593305" w:rsidRPr="009658BB">
        <w:rPr>
          <w:lang w:val="lt-LT"/>
        </w:rPr>
        <w:t>ir 0,1</w:t>
      </w:r>
      <w:r w:rsidR="009658BB">
        <w:rPr>
          <w:lang w:val="lt-LT"/>
        </w:rPr>
        <w:t> </w:t>
      </w:r>
      <w:r w:rsidR="00593305" w:rsidRPr="009658BB">
        <w:rPr>
          <w:lang w:val="lt-LT"/>
        </w:rPr>
        <w:t>procentinio punkto mažiau nei prieš metus</w:t>
      </w:r>
      <w:r w:rsidR="00A972DD" w:rsidRPr="009658BB">
        <w:rPr>
          <w:lang w:val="lt-LT"/>
        </w:rPr>
        <w:t>.</w:t>
      </w:r>
    </w:p>
    <w:p w:rsidR="00336BFE" w:rsidRPr="009658BB" w:rsidRDefault="00336BFE" w:rsidP="00336BFE">
      <w:pPr>
        <w:rPr>
          <w:lang w:val="lt-LT"/>
        </w:rPr>
      </w:pPr>
    </w:p>
    <w:p w:rsidR="001D7B6A" w:rsidRPr="009658BB" w:rsidRDefault="001D7B6A" w:rsidP="001D7B6A">
      <w:pPr>
        <w:pStyle w:val="Lentelespav"/>
        <w:keepNext/>
        <w:keepLines/>
        <w:spacing w:after="60"/>
        <w:jc w:val="left"/>
        <w:outlineLvl w:val="9"/>
        <w:rPr>
          <w:lang w:val="lt-LT"/>
        </w:rPr>
      </w:pPr>
      <w:r w:rsidRPr="009658BB">
        <w:rPr>
          <w:lang w:val="lt-LT"/>
        </w:rPr>
        <w:t xml:space="preserve">1 pav. </w:t>
      </w:r>
      <w:hyperlink r:id="rId13" w:anchor="/" w:history="1">
        <w:r w:rsidRPr="009658BB">
          <w:rPr>
            <w:lang w:val="lt-LT"/>
          </w:rPr>
          <w:t>Laisvų darbo vietų skaičius ir laisvų darbo vietų lygis ketvirčiais</w:t>
        </w:r>
      </w:hyperlink>
    </w:p>
    <w:p w:rsidR="001D7B6A" w:rsidRPr="009658BB" w:rsidRDefault="004F58DC" w:rsidP="001D7B6A">
      <w:pPr>
        <w:rPr>
          <w:lang w:val="lt-LT"/>
        </w:rPr>
      </w:pPr>
      <w:r w:rsidRPr="009658BB">
        <w:rPr>
          <w:b/>
          <w:i/>
          <w:noProof/>
          <w:color w:val="000000"/>
          <w:sz w:val="16"/>
          <w:lang w:val="lt-LT" w:eastAsia="lt-LT"/>
        </w:rPr>
        <w:drawing>
          <wp:inline distT="0" distB="0" distL="0" distR="0" wp14:anchorId="19AFAEA9" wp14:editId="03CC42CB">
            <wp:extent cx="6120130" cy="2589430"/>
            <wp:effectExtent l="0" t="0" r="0" b="0"/>
            <wp:docPr id="2"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36BFE" w:rsidRPr="009658BB" w:rsidRDefault="00336BFE" w:rsidP="00BA0372">
      <w:pPr>
        <w:pStyle w:val="Pagrtekstas"/>
        <w:numPr>
          <w:ilvl w:val="0"/>
          <w:numId w:val="5"/>
        </w:numPr>
        <w:spacing w:before="120"/>
        <w:ind w:left="284" w:hanging="284"/>
        <w:rPr>
          <w:lang w:val="lt-LT"/>
        </w:rPr>
      </w:pPr>
      <w:r w:rsidRPr="009658BB">
        <w:rPr>
          <w:lang w:val="lt-LT"/>
        </w:rPr>
        <w:t>Aukščiausias laisvų darbo vietų lygis 20</w:t>
      </w:r>
      <w:r w:rsidR="00647C48" w:rsidRPr="009658BB">
        <w:rPr>
          <w:lang w:val="lt-LT"/>
        </w:rPr>
        <w:t>20</w:t>
      </w:r>
      <w:r w:rsidR="00F57ACF" w:rsidRPr="009658BB">
        <w:rPr>
          <w:lang w:val="lt-LT"/>
        </w:rPr>
        <w:t> m.</w:t>
      </w:r>
      <w:r w:rsidRPr="009658BB">
        <w:rPr>
          <w:lang w:val="lt-LT"/>
        </w:rPr>
        <w:t xml:space="preserve"> </w:t>
      </w:r>
      <w:r w:rsidR="00593305" w:rsidRPr="009658BB">
        <w:rPr>
          <w:lang w:val="lt-LT"/>
        </w:rPr>
        <w:t xml:space="preserve">ketvirtąjį </w:t>
      </w:r>
      <w:r w:rsidRPr="009658BB">
        <w:rPr>
          <w:lang w:val="lt-LT"/>
        </w:rPr>
        <w:t xml:space="preserve">ketvirtį buvo </w:t>
      </w:r>
      <w:r w:rsidR="00EB6C02" w:rsidRPr="009658BB">
        <w:rPr>
          <w:lang w:val="lt-LT"/>
        </w:rPr>
        <w:t xml:space="preserve">viešojo valdymo </w:t>
      </w:r>
      <w:r w:rsidRPr="009658BB">
        <w:rPr>
          <w:lang w:val="lt-LT"/>
        </w:rPr>
        <w:t xml:space="preserve">ir </w:t>
      </w:r>
      <w:r w:rsidR="00EB6C02" w:rsidRPr="009658BB">
        <w:rPr>
          <w:lang w:val="lt-LT"/>
        </w:rPr>
        <w:t>gynybos</w:t>
      </w:r>
      <w:r w:rsidR="0027529E" w:rsidRPr="009658BB">
        <w:rPr>
          <w:lang w:val="lt-LT"/>
        </w:rPr>
        <w:t xml:space="preserve">; </w:t>
      </w:r>
      <w:r w:rsidR="00EB6C02" w:rsidRPr="009658BB">
        <w:rPr>
          <w:lang w:val="lt-LT"/>
        </w:rPr>
        <w:t xml:space="preserve">privalomojo socialinio draudimo </w:t>
      </w:r>
      <w:r w:rsidR="007A416A" w:rsidRPr="009658BB">
        <w:rPr>
          <w:lang w:val="lt-LT"/>
        </w:rPr>
        <w:t>(3</w:t>
      </w:r>
      <w:r w:rsidR="009658BB" w:rsidRPr="009658BB">
        <w:rPr>
          <w:lang w:val="lt-LT"/>
        </w:rPr>
        <w:t> proc.</w:t>
      </w:r>
      <w:r w:rsidRPr="009658BB">
        <w:rPr>
          <w:lang w:val="lt-LT"/>
        </w:rPr>
        <w:t>),</w:t>
      </w:r>
      <w:r w:rsidR="0027529E" w:rsidRPr="009658BB">
        <w:rPr>
          <w:lang w:val="lt-LT"/>
        </w:rPr>
        <w:t xml:space="preserve"> </w:t>
      </w:r>
      <w:r w:rsidR="00BB662B" w:rsidRPr="009658BB">
        <w:rPr>
          <w:lang w:val="lt-LT"/>
        </w:rPr>
        <w:t xml:space="preserve">informacijos ir ryšių, </w:t>
      </w:r>
      <w:r w:rsidR="00DF0B0C" w:rsidRPr="009658BB">
        <w:rPr>
          <w:lang w:val="lt-LT"/>
        </w:rPr>
        <w:t>finansinės ir draudimo</w:t>
      </w:r>
      <w:r w:rsidR="00BB662B" w:rsidRPr="009658BB">
        <w:rPr>
          <w:lang w:val="lt-LT"/>
        </w:rPr>
        <w:t>, administracinės ir aptarnavimo</w:t>
      </w:r>
      <w:r w:rsidR="00DF0B0C" w:rsidRPr="009658BB">
        <w:rPr>
          <w:lang w:val="lt-LT"/>
        </w:rPr>
        <w:t xml:space="preserve"> veiklos įmonėse (</w:t>
      </w:r>
      <w:r w:rsidR="00A972DD" w:rsidRPr="009658BB">
        <w:rPr>
          <w:lang w:val="lt-LT"/>
        </w:rPr>
        <w:t>po</w:t>
      </w:r>
      <w:r w:rsidR="00D36213" w:rsidRPr="009658BB">
        <w:rPr>
          <w:lang w:val="lt-LT"/>
        </w:rPr>
        <w:t> </w:t>
      </w:r>
      <w:r w:rsidR="00DF0B0C" w:rsidRPr="009658BB">
        <w:rPr>
          <w:lang w:val="lt-LT"/>
        </w:rPr>
        <w:t>2</w:t>
      </w:r>
      <w:r w:rsidR="00A972DD" w:rsidRPr="009658BB">
        <w:rPr>
          <w:lang w:val="lt-LT"/>
        </w:rPr>
        <w:t>,</w:t>
      </w:r>
      <w:r w:rsidR="00BB662B" w:rsidRPr="009658BB">
        <w:rPr>
          <w:lang w:val="lt-LT"/>
        </w:rPr>
        <w:t>2</w:t>
      </w:r>
      <w:r w:rsidR="009658BB" w:rsidRPr="009658BB">
        <w:rPr>
          <w:lang w:val="lt-LT"/>
        </w:rPr>
        <w:t> proc.</w:t>
      </w:r>
      <w:r w:rsidR="00DF0B0C" w:rsidRPr="009658BB">
        <w:rPr>
          <w:lang w:val="lt-LT"/>
        </w:rPr>
        <w:t>)</w:t>
      </w:r>
      <w:r w:rsidRPr="009658BB">
        <w:rPr>
          <w:lang w:val="lt-LT"/>
        </w:rPr>
        <w:t xml:space="preserve">. Žemiausias laisvų darbo vietų lygis buvo </w:t>
      </w:r>
      <w:r w:rsidR="00CA59B9" w:rsidRPr="009658BB">
        <w:rPr>
          <w:lang w:val="lt-LT"/>
        </w:rPr>
        <w:t>nekilnojamo turto operacijų</w:t>
      </w:r>
      <w:r w:rsidR="00BB662B" w:rsidRPr="009658BB">
        <w:rPr>
          <w:lang w:val="lt-LT"/>
        </w:rPr>
        <w:t>, apgyvendinimo ir maitinimo paslaugų</w:t>
      </w:r>
      <w:r w:rsidR="00CA59B9" w:rsidRPr="009658BB">
        <w:rPr>
          <w:lang w:val="lt-LT"/>
        </w:rPr>
        <w:t xml:space="preserve"> (</w:t>
      </w:r>
      <w:r w:rsidR="00BB662B" w:rsidRPr="009658BB">
        <w:rPr>
          <w:lang w:val="lt-LT"/>
        </w:rPr>
        <w:t>po</w:t>
      </w:r>
      <w:r w:rsidR="00BA0372" w:rsidRPr="009658BB">
        <w:rPr>
          <w:lang w:val="lt-LT"/>
        </w:rPr>
        <w:t> </w:t>
      </w:r>
      <w:r w:rsidR="00CA59B9" w:rsidRPr="009658BB">
        <w:rPr>
          <w:lang w:val="lt-LT"/>
        </w:rPr>
        <w:t>0,</w:t>
      </w:r>
      <w:r w:rsidR="00BB662B" w:rsidRPr="009658BB">
        <w:rPr>
          <w:lang w:val="lt-LT"/>
        </w:rPr>
        <w:t>2</w:t>
      </w:r>
      <w:r w:rsidR="009658BB" w:rsidRPr="009658BB">
        <w:rPr>
          <w:lang w:val="lt-LT"/>
        </w:rPr>
        <w:t> proc.</w:t>
      </w:r>
      <w:r w:rsidR="00BB662B" w:rsidRPr="009658BB">
        <w:rPr>
          <w:lang w:val="lt-LT"/>
        </w:rPr>
        <w:t>)</w:t>
      </w:r>
      <w:r w:rsidR="00CA59B9" w:rsidRPr="009658BB">
        <w:rPr>
          <w:lang w:val="lt-LT"/>
        </w:rPr>
        <w:t xml:space="preserve"> bei</w:t>
      </w:r>
      <w:r w:rsidR="008F5B43" w:rsidRPr="009658BB">
        <w:rPr>
          <w:lang w:val="lt-LT"/>
        </w:rPr>
        <w:t xml:space="preserve"> </w:t>
      </w:r>
      <w:r w:rsidR="00486256" w:rsidRPr="009658BB">
        <w:rPr>
          <w:lang w:val="lt-LT"/>
        </w:rPr>
        <w:t>kito</w:t>
      </w:r>
      <w:r w:rsidR="00CA59B9" w:rsidRPr="009658BB">
        <w:rPr>
          <w:lang w:val="lt-LT"/>
        </w:rPr>
        <w:t>s</w:t>
      </w:r>
      <w:r w:rsidR="00486256" w:rsidRPr="009658BB">
        <w:rPr>
          <w:lang w:val="lt-LT"/>
        </w:rPr>
        <w:t xml:space="preserve"> aptarnavimo </w:t>
      </w:r>
      <w:r w:rsidR="00CA59B9" w:rsidRPr="009658BB">
        <w:rPr>
          <w:lang w:val="lt-LT"/>
        </w:rPr>
        <w:t>veiklos įmonėse</w:t>
      </w:r>
      <w:r w:rsidR="00885B82" w:rsidRPr="009658BB">
        <w:rPr>
          <w:lang w:val="lt-LT"/>
        </w:rPr>
        <w:t xml:space="preserve"> (</w:t>
      </w:r>
      <w:r w:rsidR="00CA59B9" w:rsidRPr="009658BB">
        <w:rPr>
          <w:lang w:val="lt-LT"/>
        </w:rPr>
        <w:t>0,</w:t>
      </w:r>
      <w:r w:rsidR="00BB662B" w:rsidRPr="009658BB">
        <w:rPr>
          <w:lang w:val="lt-LT"/>
        </w:rPr>
        <w:t>3</w:t>
      </w:r>
      <w:r w:rsidR="009658BB" w:rsidRPr="009658BB">
        <w:rPr>
          <w:lang w:val="lt-LT"/>
        </w:rPr>
        <w:t> proc.</w:t>
      </w:r>
      <w:r w:rsidR="00486256" w:rsidRPr="009658BB">
        <w:rPr>
          <w:lang w:val="lt-LT"/>
        </w:rPr>
        <w:t>)</w:t>
      </w:r>
      <w:r w:rsidRPr="009658BB">
        <w:rPr>
          <w:lang w:val="lt-LT"/>
        </w:rPr>
        <w:t>.</w:t>
      </w:r>
    </w:p>
    <w:p w:rsidR="00336BFE" w:rsidRPr="009658BB" w:rsidRDefault="00336BFE" w:rsidP="00BA0372">
      <w:pPr>
        <w:pStyle w:val="Pagrtekstas"/>
        <w:spacing w:before="120"/>
        <w:ind w:left="284" w:hanging="284"/>
        <w:rPr>
          <w:lang w:val="lt-LT"/>
        </w:rPr>
      </w:pPr>
    </w:p>
    <w:p w:rsidR="00336BFE" w:rsidRPr="009658BB" w:rsidRDefault="00336BFE" w:rsidP="00336BFE">
      <w:pPr>
        <w:pStyle w:val="Pagrtekstas"/>
        <w:keepNext/>
        <w:keepLines/>
        <w:spacing w:after="60"/>
        <w:ind w:firstLine="0"/>
        <w:rPr>
          <w:b/>
          <w:noProof/>
          <w:lang w:val="lt-LT" w:eastAsia="lt-LT"/>
        </w:rPr>
      </w:pPr>
      <w:r w:rsidRPr="009658BB">
        <w:rPr>
          <w:b/>
          <w:lang w:val="lt-LT"/>
        </w:rPr>
        <w:t xml:space="preserve">2 pav. </w:t>
      </w:r>
      <w:hyperlink r:id="rId15" w:anchor="/" w:history="1">
        <w:r w:rsidRPr="009658BB">
          <w:rPr>
            <w:rStyle w:val="Hipersaitas"/>
            <w:b/>
            <w:color w:val="auto"/>
            <w:u w:val="none"/>
            <w:lang w:val="lt-LT"/>
          </w:rPr>
          <w:t>Laisvų darbo vietų lygis pagal ekonominės veiklos rūšis 20</w:t>
        </w:r>
        <w:r w:rsidR="00647C48" w:rsidRPr="009658BB">
          <w:rPr>
            <w:rStyle w:val="Hipersaitas"/>
            <w:b/>
            <w:color w:val="auto"/>
            <w:u w:val="none"/>
            <w:lang w:val="lt-LT"/>
          </w:rPr>
          <w:t>20</w:t>
        </w:r>
        <w:r w:rsidR="00F57ACF" w:rsidRPr="009658BB">
          <w:rPr>
            <w:rStyle w:val="Hipersaitas"/>
            <w:b/>
            <w:color w:val="auto"/>
            <w:u w:val="none"/>
            <w:lang w:val="lt-LT"/>
          </w:rPr>
          <w:t> m.</w:t>
        </w:r>
        <w:r w:rsidRPr="009658BB">
          <w:rPr>
            <w:rStyle w:val="Hipersaitas"/>
            <w:b/>
            <w:color w:val="auto"/>
            <w:u w:val="none"/>
            <w:lang w:val="lt-LT"/>
          </w:rPr>
          <w:t xml:space="preserve"> </w:t>
        </w:r>
        <w:r w:rsidR="00593305" w:rsidRPr="009658BB">
          <w:rPr>
            <w:rStyle w:val="Hipersaitas"/>
            <w:b/>
            <w:color w:val="auto"/>
            <w:u w:val="none"/>
            <w:lang w:val="lt-LT"/>
          </w:rPr>
          <w:t>ketvirtą</w:t>
        </w:r>
        <w:r w:rsidR="00AA2FB2" w:rsidRPr="009658BB">
          <w:rPr>
            <w:rStyle w:val="Hipersaitas"/>
            <w:b/>
            <w:color w:val="auto"/>
            <w:u w:val="none"/>
            <w:lang w:val="lt-LT"/>
          </w:rPr>
          <w:t>jį</w:t>
        </w:r>
        <w:r w:rsidRPr="009658BB">
          <w:rPr>
            <w:rStyle w:val="Hipersaitas"/>
            <w:b/>
            <w:color w:val="auto"/>
            <w:u w:val="none"/>
            <w:lang w:val="lt-LT"/>
          </w:rPr>
          <w:t xml:space="preserve"> ketvirtį</w:t>
        </w:r>
      </w:hyperlink>
    </w:p>
    <w:p w:rsidR="00336BFE" w:rsidRPr="009658BB" w:rsidRDefault="00336BFE" w:rsidP="00336BFE">
      <w:pPr>
        <w:keepNext/>
        <w:keepLines/>
        <w:spacing w:after="60"/>
        <w:rPr>
          <w:sz w:val="18"/>
          <w:szCs w:val="18"/>
          <w:lang w:val="lt-LT"/>
        </w:rPr>
      </w:pPr>
      <w:r w:rsidRPr="009658BB">
        <w:rPr>
          <w:sz w:val="18"/>
          <w:szCs w:val="18"/>
          <w:lang w:val="lt-LT"/>
        </w:rPr>
        <w:t>Procentais</w:t>
      </w:r>
    </w:p>
    <w:p w:rsidR="00766206" w:rsidRPr="009658BB" w:rsidRDefault="00002CB3" w:rsidP="00336BFE">
      <w:pPr>
        <w:keepNext/>
        <w:keepLines/>
        <w:spacing w:after="60"/>
        <w:rPr>
          <w:sz w:val="18"/>
          <w:szCs w:val="18"/>
          <w:lang w:val="lt-LT"/>
        </w:rPr>
      </w:pPr>
      <w:r w:rsidRPr="009658BB">
        <w:rPr>
          <w:noProof/>
          <w:lang w:val="lt-LT" w:eastAsia="lt-LT"/>
        </w:rPr>
        <w:drawing>
          <wp:inline distT="0" distB="0" distL="0" distR="0" wp14:anchorId="4E2B1E77" wp14:editId="673CA853">
            <wp:extent cx="6120130" cy="4135755"/>
            <wp:effectExtent l="0" t="0" r="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700EC" w:rsidRPr="009658BB" w:rsidRDefault="005700EC" w:rsidP="005700EC">
      <w:pPr>
        <w:rPr>
          <w:sz w:val="18"/>
          <w:szCs w:val="18"/>
          <w:lang w:val="lt-LT"/>
        </w:rPr>
      </w:pPr>
      <w:r w:rsidRPr="009658BB">
        <w:rPr>
          <w:sz w:val="18"/>
          <w:szCs w:val="18"/>
          <w:lang w:val="lt-LT"/>
        </w:rPr>
        <w:t>________________</w:t>
      </w:r>
    </w:p>
    <w:p w:rsidR="00336BFE" w:rsidRPr="009658BB" w:rsidRDefault="00336BFE" w:rsidP="00336BFE">
      <w:pPr>
        <w:pStyle w:val="Lentelespav"/>
        <w:spacing w:before="60"/>
        <w:jc w:val="both"/>
        <w:rPr>
          <w:b w:val="0"/>
          <w:sz w:val="18"/>
          <w:szCs w:val="18"/>
          <w:lang w:val="lt-LT"/>
        </w:rPr>
      </w:pPr>
      <w:r w:rsidRPr="009658BB">
        <w:rPr>
          <w:b w:val="0"/>
          <w:sz w:val="18"/>
          <w:szCs w:val="18"/>
          <w:lang w:val="lt-LT"/>
        </w:rPr>
        <w:t>*</w:t>
      </w:r>
      <w:r w:rsidR="005700EC" w:rsidRPr="009658BB">
        <w:rPr>
          <w:b w:val="0"/>
          <w:sz w:val="18"/>
          <w:szCs w:val="18"/>
          <w:lang w:val="lt-LT"/>
        </w:rPr>
        <w:t> </w:t>
      </w:r>
      <w:r w:rsidRPr="009658BB">
        <w:rPr>
          <w:b w:val="0"/>
          <w:spacing w:val="-2"/>
          <w:sz w:val="18"/>
          <w:szCs w:val="18"/>
          <w:lang w:val="lt-LT"/>
        </w:rPr>
        <w:t>Pramonė apima kasybą ir karjerų eksploatavimą, apdirbamąją gamybą, elektros, dujų, garo tiekimą ir oro kondicionavimą,</w:t>
      </w:r>
      <w:r w:rsidRPr="009658BB">
        <w:rPr>
          <w:b w:val="0"/>
          <w:sz w:val="18"/>
          <w:szCs w:val="18"/>
          <w:lang w:val="lt-LT"/>
        </w:rPr>
        <w:t xml:space="preserve"> vandens tiekimą, nuotekų valymą, atliekų tvarkymą ir regeneravimą.</w:t>
      </w:r>
    </w:p>
    <w:p w:rsidR="00336BFE" w:rsidRPr="009658BB" w:rsidRDefault="00336BFE" w:rsidP="00336BFE">
      <w:pPr>
        <w:pStyle w:val="Lentelespav"/>
        <w:jc w:val="both"/>
        <w:rPr>
          <w:b w:val="0"/>
          <w:sz w:val="18"/>
          <w:szCs w:val="18"/>
          <w:lang w:val="lt-LT"/>
        </w:rPr>
      </w:pPr>
    </w:p>
    <w:p w:rsidR="00155048" w:rsidRPr="009658BB" w:rsidRDefault="00336BFE" w:rsidP="00336BFE">
      <w:pPr>
        <w:pStyle w:val="Pagrtekstas"/>
        <w:numPr>
          <w:ilvl w:val="0"/>
          <w:numId w:val="5"/>
        </w:numPr>
        <w:spacing w:before="120"/>
        <w:ind w:left="284" w:hanging="284"/>
        <w:rPr>
          <w:lang w:val="lt-LT"/>
        </w:rPr>
      </w:pPr>
      <w:r w:rsidRPr="009658BB">
        <w:rPr>
          <w:lang w:val="lt-LT"/>
        </w:rPr>
        <w:t>Daugiausia laisvų darbo vietų 20</w:t>
      </w:r>
      <w:r w:rsidR="00647C48" w:rsidRPr="009658BB">
        <w:rPr>
          <w:lang w:val="lt-LT"/>
        </w:rPr>
        <w:t>20</w:t>
      </w:r>
      <w:r w:rsidR="00F57ACF" w:rsidRPr="009658BB">
        <w:rPr>
          <w:lang w:val="lt-LT"/>
        </w:rPr>
        <w:t> m.</w:t>
      </w:r>
      <w:r w:rsidRPr="009658BB">
        <w:rPr>
          <w:lang w:val="lt-LT"/>
        </w:rPr>
        <w:t xml:space="preserve"> </w:t>
      </w:r>
      <w:r w:rsidR="00593305" w:rsidRPr="009658BB">
        <w:rPr>
          <w:lang w:val="lt-LT"/>
        </w:rPr>
        <w:t>ketvirtąjį</w:t>
      </w:r>
      <w:r w:rsidRPr="009658BB">
        <w:rPr>
          <w:lang w:val="lt-LT"/>
        </w:rPr>
        <w:t xml:space="preserve"> ketvirtį buvo </w:t>
      </w:r>
      <w:r w:rsidR="00AA2FB2" w:rsidRPr="009658BB">
        <w:rPr>
          <w:lang w:val="lt-LT"/>
        </w:rPr>
        <w:t>pramonės</w:t>
      </w:r>
      <w:r w:rsidR="003C0C7C" w:rsidRPr="009658BB">
        <w:rPr>
          <w:lang w:val="lt-LT"/>
        </w:rPr>
        <w:t xml:space="preserve"> – </w:t>
      </w:r>
      <w:r w:rsidR="00EA57A1" w:rsidRPr="009658BB">
        <w:rPr>
          <w:lang w:val="lt-LT"/>
        </w:rPr>
        <w:t>3,</w:t>
      </w:r>
      <w:r w:rsidR="003E3C6A" w:rsidRPr="009658BB">
        <w:rPr>
          <w:lang w:val="lt-LT"/>
        </w:rPr>
        <w:t>3</w:t>
      </w:r>
      <w:r w:rsidR="009658BB" w:rsidRPr="009658BB">
        <w:rPr>
          <w:lang w:val="lt-LT"/>
        </w:rPr>
        <w:t> tūkst.</w:t>
      </w:r>
      <w:r w:rsidR="00EA57A1" w:rsidRPr="009658BB">
        <w:rPr>
          <w:lang w:val="lt-LT"/>
        </w:rPr>
        <w:t xml:space="preserve"> (</w:t>
      </w:r>
      <w:r w:rsidR="003E3C6A" w:rsidRPr="009658BB">
        <w:rPr>
          <w:lang w:val="lt-LT"/>
        </w:rPr>
        <w:t>21</w:t>
      </w:r>
      <w:r w:rsidR="00EA57A1" w:rsidRPr="009658BB">
        <w:rPr>
          <w:lang w:val="lt-LT"/>
        </w:rPr>
        <w:t>,</w:t>
      </w:r>
      <w:r w:rsidR="00DE05A3" w:rsidRPr="009658BB">
        <w:rPr>
          <w:lang w:val="lt-LT"/>
        </w:rPr>
        <w:t>1</w:t>
      </w:r>
      <w:r w:rsidR="009658BB" w:rsidRPr="009658BB">
        <w:rPr>
          <w:lang w:val="lt-LT"/>
        </w:rPr>
        <w:t> proc.</w:t>
      </w:r>
      <w:r w:rsidR="00EA57A1" w:rsidRPr="009658BB">
        <w:rPr>
          <w:lang w:val="lt-LT"/>
        </w:rPr>
        <w:t xml:space="preserve"> visų laisvų darbo vietų), </w:t>
      </w:r>
      <w:r w:rsidR="00EB6C02" w:rsidRPr="009658BB">
        <w:rPr>
          <w:lang w:val="lt-LT"/>
        </w:rPr>
        <w:t xml:space="preserve">viešojo valdymo </w:t>
      </w:r>
      <w:r w:rsidR="009E278E" w:rsidRPr="009658BB">
        <w:rPr>
          <w:lang w:val="lt-LT"/>
        </w:rPr>
        <w:t xml:space="preserve">ir </w:t>
      </w:r>
      <w:r w:rsidR="00EB6C02" w:rsidRPr="009658BB">
        <w:rPr>
          <w:lang w:val="lt-LT"/>
        </w:rPr>
        <w:t>gynybos</w:t>
      </w:r>
      <w:r w:rsidR="009E278E" w:rsidRPr="009658BB">
        <w:rPr>
          <w:lang w:val="lt-LT"/>
        </w:rPr>
        <w:t xml:space="preserve">; </w:t>
      </w:r>
      <w:r w:rsidR="00EB6C02" w:rsidRPr="009658BB">
        <w:rPr>
          <w:lang w:val="lt-LT"/>
        </w:rPr>
        <w:t>privalomojo socialinio draudimo</w:t>
      </w:r>
      <w:r w:rsidR="003C0C7C" w:rsidRPr="009658BB">
        <w:rPr>
          <w:lang w:val="lt-LT"/>
        </w:rPr>
        <w:t xml:space="preserve"> – </w:t>
      </w:r>
      <w:r w:rsidR="009E278E" w:rsidRPr="009658BB">
        <w:rPr>
          <w:lang w:val="lt-LT"/>
        </w:rPr>
        <w:t>2,</w:t>
      </w:r>
      <w:r w:rsidR="003E3C6A" w:rsidRPr="009658BB">
        <w:rPr>
          <w:lang w:val="lt-LT"/>
        </w:rPr>
        <w:t>5</w:t>
      </w:r>
      <w:r w:rsidR="009658BB" w:rsidRPr="009658BB">
        <w:rPr>
          <w:lang w:val="lt-LT"/>
        </w:rPr>
        <w:t> tūkst.</w:t>
      </w:r>
      <w:r w:rsidR="009E278E" w:rsidRPr="009658BB">
        <w:rPr>
          <w:lang w:val="lt-LT"/>
        </w:rPr>
        <w:t xml:space="preserve"> (</w:t>
      </w:r>
      <w:r w:rsidR="00B22B65" w:rsidRPr="009658BB">
        <w:rPr>
          <w:lang w:val="lt-LT"/>
        </w:rPr>
        <w:t>1</w:t>
      </w:r>
      <w:r w:rsidR="003E3C6A" w:rsidRPr="009658BB">
        <w:rPr>
          <w:lang w:val="lt-LT"/>
        </w:rPr>
        <w:t>6</w:t>
      </w:r>
      <w:r w:rsidR="00B22B65" w:rsidRPr="009658BB">
        <w:rPr>
          <w:lang w:val="lt-LT"/>
        </w:rPr>
        <w:t>,</w:t>
      </w:r>
      <w:r w:rsidR="003E3C6A" w:rsidRPr="009658BB">
        <w:rPr>
          <w:lang w:val="lt-LT"/>
        </w:rPr>
        <w:t>1</w:t>
      </w:r>
      <w:r w:rsidR="009658BB" w:rsidRPr="009658BB">
        <w:rPr>
          <w:lang w:val="lt-LT"/>
        </w:rPr>
        <w:t> proc.</w:t>
      </w:r>
      <w:r w:rsidR="00EA57A1" w:rsidRPr="009658BB">
        <w:rPr>
          <w:lang w:val="lt-LT"/>
        </w:rPr>
        <w:t>)</w:t>
      </w:r>
      <w:r w:rsidR="003E3C6A" w:rsidRPr="009658BB">
        <w:rPr>
          <w:lang w:val="lt-LT"/>
        </w:rPr>
        <w:t>, transporto ir saugojimo – 2,2</w:t>
      </w:r>
      <w:r w:rsidR="009658BB" w:rsidRPr="009658BB">
        <w:rPr>
          <w:lang w:val="lt-LT"/>
        </w:rPr>
        <w:t> tūkst.</w:t>
      </w:r>
      <w:r w:rsidR="003E3C6A" w:rsidRPr="009658BB">
        <w:rPr>
          <w:lang w:val="lt-LT"/>
        </w:rPr>
        <w:t xml:space="preserve"> (13,9</w:t>
      </w:r>
      <w:r w:rsidR="009658BB" w:rsidRPr="009658BB">
        <w:rPr>
          <w:lang w:val="lt-LT"/>
        </w:rPr>
        <w:t> proc.</w:t>
      </w:r>
      <w:r w:rsidR="003E3C6A" w:rsidRPr="009658BB">
        <w:rPr>
          <w:lang w:val="lt-LT"/>
        </w:rPr>
        <w:t>),</w:t>
      </w:r>
      <w:r w:rsidR="00FD21B4" w:rsidRPr="009658BB">
        <w:rPr>
          <w:lang w:val="lt-LT"/>
        </w:rPr>
        <w:t xml:space="preserve"> įmonėse.</w:t>
      </w:r>
    </w:p>
    <w:p w:rsidR="00002CB3" w:rsidRPr="009658BB" w:rsidRDefault="00002CB3" w:rsidP="00002CB3">
      <w:pPr>
        <w:pStyle w:val="Pagrtekstas"/>
        <w:spacing w:before="120"/>
        <w:ind w:firstLine="0"/>
        <w:rPr>
          <w:lang w:val="lt-LT"/>
        </w:rPr>
      </w:pPr>
    </w:p>
    <w:p w:rsidR="00336BFE" w:rsidRPr="009658BB" w:rsidRDefault="00136818" w:rsidP="00336BFE">
      <w:pPr>
        <w:pStyle w:val="lentpav"/>
        <w:keepNext/>
        <w:keepLines/>
        <w:spacing w:after="60"/>
      </w:pPr>
      <w:r w:rsidRPr="009658BB">
        <w:t xml:space="preserve">1 lentelė. </w:t>
      </w:r>
      <w:r w:rsidR="00336BFE" w:rsidRPr="009658BB">
        <w:t>Laisvų darbo vietų skaičius ir laisvų darbo vietų lygis pagal ekonominės veiklos rūšis</w:t>
      </w:r>
    </w:p>
    <w:p w:rsidR="00336BFE" w:rsidRPr="009658BB" w:rsidRDefault="00336BFE" w:rsidP="00336BFE">
      <w:pPr>
        <w:pStyle w:val="Antrats"/>
        <w:keepNext/>
        <w:keepLines/>
        <w:tabs>
          <w:tab w:val="clear" w:pos="4153"/>
          <w:tab w:val="clear" w:pos="8306"/>
        </w:tabs>
        <w:spacing w:after="60"/>
        <w:rPr>
          <w:sz w:val="18"/>
          <w:szCs w:val="18"/>
          <w:lang w:val="lt-LT"/>
        </w:rPr>
      </w:pPr>
      <w:r w:rsidRPr="009658BB">
        <w:rPr>
          <w:sz w:val="18"/>
          <w:szCs w:val="18"/>
          <w:lang w:val="lt-LT"/>
        </w:rPr>
        <w:t>Ketvirčio pabaigoje</w:t>
      </w:r>
    </w:p>
    <w:tbl>
      <w:tblPr>
        <w:tblW w:w="5000" w:type="pct"/>
        <w:tblLook w:val="01E0" w:firstRow="1" w:lastRow="1" w:firstColumn="1" w:lastColumn="1" w:noHBand="0" w:noVBand="0"/>
      </w:tblPr>
      <w:tblGrid>
        <w:gridCol w:w="2732"/>
        <w:gridCol w:w="893"/>
        <w:gridCol w:w="893"/>
        <w:gridCol w:w="666"/>
        <w:gridCol w:w="666"/>
        <w:gridCol w:w="666"/>
        <w:gridCol w:w="670"/>
        <w:gridCol w:w="666"/>
        <w:gridCol w:w="666"/>
        <w:gridCol w:w="666"/>
        <w:gridCol w:w="670"/>
      </w:tblGrid>
      <w:tr w:rsidR="00155048" w:rsidRPr="009658BB" w:rsidTr="00155048">
        <w:trPr>
          <w:tblHeader/>
        </w:trPr>
        <w:tc>
          <w:tcPr>
            <w:tcW w:w="1386" w:type="pct"/>
            <w:vMerge w:val="restart"/>
            <w:tcBorders>
              <w:top w:val="single" w:sz="4" w:space="0" w:color="auto"/>
              <w:left w:val="single" w:sz="4" w:space="0" w:color="auto"/>
              <w:right w:val="single" w:sz="4" w:space="0" w:color="auto"/>
            </w:tcBorders>
            <w:shd w:val="clear" w:color="auto" w:fill="FCE0E6"/>
          </w:tcPr>
          <w:p w:rsidR="00155048" w:rsidRPr="009658BB" w:rsidRDefault="00155048" w:rsidP="00F57ACF">
            <w:pPr>
              <w:pStyle w:val="Galva"/>
              <w:ind w:left="0" w:right="-85"/>
              <w:jc w:val="left"/>
              <w:rPr>
                <w:rFonts w:cs="Arial"/>
                <w:szCs w:val="19"/>
              </w:rPr>
            </w:pPr>
            <w:r w:rsidRPr="009658BB">
              <w:rPr>
                <w:rFonts w:cs="Arial"/>
                <w:szCs w:val="19"/>
              </w:rPr>
              <w:t>Ekonominės veiklos rūšys</w:t>
            </w:r>
          </w:p>
        </w:tc>
        <w:tc>
          <w:tcPr>
            <w:tcW w:w="906" w:type="pct"/>
            <w:gridSpan w:val="2"/>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F57ACF">
            <w:pPr>
              <w:pStyle w:val="Galva"/>
              <w:tabs>
                <w:tab w:val="left" w:pos="3998"/>
              </w:tabs>
              <w:ind w:right="-85"/>
              <w:jc w:val="left"/>
              <w:rPr>
                <w:rFonts w:cs="Arial"/>
                <w:szCs w:val="19"/>
              </w:rPr>
            </w:pPr>
            <w:r w:rsidRPr="009658BB">
              <w:rPr>
                <w:rFonts w:cs="Arial"/>
                <w:szCs w:val="19"/>
              </w:rPr>
              <w:t>2019 m.</w:t>
            </w:r>
          </w:p>
        </w:tc>
        <w:tc>
          <w:tcPr>
            <w:tcW w:w="2708" w:type="pct"/>
            <w:gridSpan w:val="8"/>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F57ACF">
            <w:pPr>
              <w:pStyle w:val="Galva"/>
              <w:tabs>
                <w:tab w:val="left" w:pos="3998"/>
              </w:tabs>
              <w:ind w:right="-85"/>
              <w:jc w:val="left"/>
              <w:rPr>
                <w:rFonts w:cs="Arial"/>
                <w:szCs w:val="19"/>
              </w:rPr>
            </w:pPr>
            <w:r w:rsidRPr="009658BB">
              <w:rPr>
                <w:rFonts w:cs="Arial"/>
                <w:szCs w:val="19"/>
              </w:rPr>
              <w:t>2020 m.</w:t>
            </w:r>
          </w:p>
        </w:tc>
      </w:tr>
      <w:tr w:rsidR="00155048" w:rsidRPr="009658BB" w:rsidTr="009658BB">
        <w:trPr>
          <w:cantSplit/>
          <w:tblHeader/>
        </w:trPr>
        <w:tc>
          <w:tcPr>
            <w:tcW w:w="1386" w:type="pct"/>
            <w:vMerge/>
            <w:tcBorders>
              <w:left w:val="single" w:sz="4" w:space="0" w:color="auto"/>
              <w:right w:val="single" w:sz="4" w:space="0" w:color="auto"/>
            </w:tcBorders>
            <w:shd w:val="clear" w:color="auto" w:fill="FCE0E6"/>
          </w:tcPr>
          <w:p w:rsidR="00155048" w:rsidRPr="009658BB" w:rsidRDefault="00155048" w:rsidP="00F57ACF">
            <w:pPr>
              <w:pStyle w:val="Galva"/>
              <w:ind w:right="-85"/>
              <w:jc w:val="left"/>
              <w:rPr>
                <w:rFonts w:cs="Arial"/>
                <w:szCs w:val="19"/>
              </w:rPr>
            </w:pPr>
          </w:p>
        </w:tc>
        <w:tc>
          <w:tcPr>
            <w:tcW w:w="453"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9658BB">
            <w:pPr>
              <w:pStyle w:val="Galva"/>
              <w:ind w:right="-85"/>
              <w:jc w:val="left"/>
              <w:rPr>
                <w:rFonts w:cs="Arial"/>
                <w:szCs w:val="19"/>
              </w:rPr>
            </w:pPr>
            <w:r w:rsidRPr="009658BB">
              <w:rPr>
                <w:rFonts w:cs="Arial"/>
                <w:szCs w:val="19"/>
              </w:rPr>
              <w:t>Laisvų darbo vietų skaičius,</w:t>
            </w:r>
            <w:r w:rsidR="009658BB">
              <w:rPr>
                <w:rFonts w:cs="Arial"/>
                <w:szCs w:val="19"/>
              </w:rPr>
              <w:t xml:space="preserve"> </w:t>
            </w:r>
            <w:r w:rsidR="009658BB" w:rsidRPr="009658BB">
              <w:rPr>
                <w:rFonts w:cs="Arial"/>
                <w:szCs w:val="19"/>
              </w:rPr>
              <w:t>tūkst.</w:t>
            </w:r>
          </w:p>
        </w:tc>
        <w:tc>
          <w:tcPr>
            <w:tcW w:w="453"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9658BB">
            <w:pPr>
              <w:pStyle w:val="Galva"/>
              <w:ind w:right="-85"/>
              <w:jc w:val="left"/>
              <w:rPr>
                <w:rFonts w:cs="Arial"/>
                <w:szCs w:val="19"/>
              </w:rPr>
            </w:pPr>
            <w:r w:rsidRPr="009658BB">
              <w:rPr>
                <w:rFonts w:cs="Arial"/>
                <w:szCs w:val="19"/>
              </w:rPr>
              <w:t>Laisvų darbo vietų lygis,</w:t>
            </w:r>
            <w:r w:rsidR="009658BB">
              <w:rPr>
                <w:rFonts w:cs="Arial"/>
                <w:szCs w:val="19"/>
              </w:rPr>
              <w:t xml:space="preserve"> </w:t>
            </w:r>
            <w:r w:rsidR="009658BB" w:rsidRPr="009658BB">
              <w:rPr>
                <w:rFonts w:cs="Arial"/>
                <w:szCs w:val="19"/>
              </w:rPr>
              <w:t>proc.</w:t>
            </w:r>
          </w:p>
        </w:tc>
        <w:tc>
          <w:tcPr>
            <w:tcW w:w="1354" w:type="pct"/>
            <w:gridSpan w:val="4"/>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9658BB">
            <w:pPr>
              <w:pStyle w:val="Galva"/>
              <w:ind w:right="-85"/>
              <w:jc w:val="left"/>
              <w:rPr>
                <w:rFonts w:cs="Arial"/>
                <w:szCs w:val="19"/>
              </w:rPr>
            </w:pPr>
            <w:r w:rsidRPr="009658BB">
              <w:rPr>
                <w:rFonts w:cs="Arial"/>
                <w:szCs w:val="19"/>
              </w:rPr>
              <w:t>Laisvų darbo vietų skaičius,</w:t>
            </w:r>
            <w:r w:rsidR="009658BB">
              <w:rPr>
                <w:rFonts w:cs="Arial"/>
                <w:szCs w:val="19"/>
              </w:rPr>
              <w:t xml:space="preserve"> </w:t>
            </w:r>
            <w:r w:rsidR="009658BB" w:rsidRPr="009658BB">
              <w:rPr>
                <w:rFonts w:cs="Arial"/>
                <w:szCs w:val="19"/>
              </w:rPr>
              <w:t>tūkst.</w:t>
            </w:r>
          </w:p>
        </w:tc>
        <w:tc>
          <w:tcPr>
            <w:tcW w:w="1354" w:type="pct"/>
            <w:gridSpan w:val="4"/>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9658BB">
            <w:pPr>
              <w:pStyle w:val="Galva"/>
              <w:ind w:right="-85"/>
              <w:jc w:val="left"/>
              <w:rPr>
                <w:rFonts w:cs="Arial"/>
                <w:szCs w:val="19"/>
              </w:rPr>
            </w:pPr>
            <w:r w:rsidRPr="009658BB">
              <w:rPr>
                <w:rFonts w:cs="Arial"/>
                <w:szCs w:val="19"/>
              </w:rPr>
              <w:t>Laisvų darbo vietų lygis,</w:t>
            </w:r>
            <w:r w:rsidR="009658BB">
              <w:rPr>
                <w:rFonts w:cs="Arial"/>
                <w:szCs w:val="19"/>
              </w:rPr>
              <w:t xml:space="preserve"> </w:t>
            </w:r>
            <w:r w:rsidR="009658BB" w:rsidRPr="009658BB">
              <w:rPr>
                <w:rFonts w:cs="Arial"/>
                <w:szCs w:val="19"/>
              </w:rPr>
              <w:t>proc.</w:t>
            </w:r>
          </w:p>
        </w:tc>
      </w:tr>
      <w:tr w:rsidR="00155048" w:rsidRPr="009658BB" w:rsidTr="009658BB">
        <w:trPr>
          <w:tblHeader/>
        </w:trPr>
        <w:tc>
          <w:tcPr>
            <w:tcW w:w="1386" w:type="pct"/>
            <w:vMerge/>
            <w:tcBorders>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p>
        </w:tc>
        <w:tc>
          <w:tcPr>
            <w:tcW w:w="453"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 xml:space="preserve">IV </w:t>
            </w:r>
          </w:p>
        </w:tc>
        <w:tc>
          <w:tcPr>
            <w:tcW w:w="453"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IV</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II</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III</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IV</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II</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III</w:t>
            </w:r>
          </w:p>
        </w:tc>
        <w:tc>
          <w:tcPr>
            <w:tcW w:w="338" w:type="pct"/>
            <w:tcBorders>
              <w:top w:val="single" w:sz="4" w:space="0" w:color="auto"/>
              <w:left w:val="single" w:sz="4" w:space="0" w:color="auto"/>
              <w:bottom w:val="single" w:sz="4" w:space="0" w:color="auto"/>
              <w:right w:val="single" w:sz="4" w:space="0" w:color="auto"/>
            </w:tcBorders>
            <w:shd w:val="clear" w:color="auto" w:fill="FCE0E6"/>
          </w:tcPr>
          <w:p w:rsidR="00155048" w:rsidRPr="009658BB" w:rsidRDefault="00155048" w:rsidP="00155048">
            <w:pPr>
              <w:pStyle w:val="Galva"/>
              <w:ind w:right="-85"/>
              <w:jc w:val="left"/>
              <w:rPr>
                <w:rFonts w:cs="Arial"/>
                <w:szCs w:val="19"/>
              </w:rPr>
            </w:pPr>
            <w:r w:rsidRPr="009658BB">
              <w:rPr>
                <w:rFonts w:cs="Arial"/>
                <w:szCs w:val="19"/>
              </w:rPr>
              <w:t>IV</w:t>
            </w:r>
          </w:p>
        </w:tc>
      </w:tr>
      <w:tr w:rsidR="0002201B" w:rsidRPr="009658BB" w:rsidTr="009658BB">
        <w:tc>
          <w:tcPr>
            <w:tcW w:w="1386"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pStyle w:val="Galva"/>
              <w:ind w:left="0"/>
              <w:jc w:val="left"/>
              <w:rPr>
                <w:rFonts w:cs="Arial"/>
                <w:b/>
                <w:szCs w:val="19"/>
              </w:rPr>
            </w:pPr>
            <w:r w:rsidRPr="009658BB">
              <w:rPr>
                <w:rFonts w:cs="Arial"/>
                <w:b/>
                <w:szCs w:val="19"/>
              </w:rPr>
              <w:t>Iš viso</w:t>
            </w:r>
          </w:p>
        </w:tc>
        <w:tc>
          <w:tcPr>
            <w:tcW w:w="453"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b/>
                <w:color w:val="000000"/>
                <w:sz w:val="19"/>
                <w:szCs w:val="19"/>
                <w:lang w:val="lt-LT"/>
              </w:rPr>
            </w:pPr>
            <w:r w:rsidRPr="009658BB">
              <w:rPr>
                <w:rFonts w:cs="Arial"/>
                <w:b/>
                <w:color w:val="000000"/>
                <w:sz w:val="19"/>
                <w:szCs w:val="19"/>
                <w:lang w:val="lt-LT"/>
              </w:rPr>
              <w:t>17,3</w:t>
            </w:r>
          </w:p>
        </w:tc>
        <w:tc>
          <w:tcPr>
            <w:tcW w:w="453"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b/>
                <w:color w:val="000000"/>
                <w:sz w:val="19"/>
                <w:szCs w:val="19"/>
                <w:lang w:val="lt-LT"/>
              </w:rPr>
            </w:pPr>
            <w:r w:rsidRPr="009658BB">
              <w:rPr>
                <w:rFonts w:cs="Arial"/>
                <w:b/>
                <w:color w:val="000000"/>
                <w:sz w:val="19"/>
                <w:szCs w:val="19"/>
                <w:lang w:val="lt-LT"/>
              </w:rPr>
              <w:t>1,3</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b/>
                <w:sz w:val="19"/>
                <w:szCs w:val="19"/>
                <w:lang w:val="lt-LT"/>
              </w:rPr>
              <w:t>15,0</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b/>
                <w:sz w:val="19"/>
                <w:szCs w:val="19"/>
                <w:lang w:val="lt-LT"/>
              </w:rPr>
              <w:t>17,3</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b/>
                <w:sz w:val="19"/>
                <w:szCs w:val="19"/>
                <w:lang w:val="lt-LT"/>
              </w:rPr>
            </w:pPr>
            <w:r w:rsidRPr="009658BB">
              <w:rPr>
                <w:rFonts w:cs="Arial"/>
                <w:b/>
                <w:sz w:val="19"/>
                <w:szCs w:val="19"/>
                <w:lang w:val="lt-LT"/>
              </w:rPr>
              <w:t>18,4</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b/>
                <w:sz w:val="19"/>
                <w:szCs w:val="19"/>
                <w:lang w:val="lt-LT"/>
              </w:rPr>
              <w:t>15,6</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b/>
                <w:sz w:val="19"/>
                <w:szCs w:val="19"/>
                <w:lang w:val="lt-LT"/>
              </w:rPr>
            </w:pPr>
            <w:r w:rsidRPr="009658BB">
              <w:rPr>
                <w:rFonts w:cs="Arial"/>
                <w:b/>
                <w:sz w:val="19"/>
                <w:szCs w:val="19"/>
                <w:lang w:val="lt-LT"/>
              </w:rPr>
              <w:t>1,1</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b/>
                <w:sz w:val="19"/>
                <w:szCs w:val="19"/>
                <w:lang w:val="lt-LT"/>
              </w:rPr>
            </w:pPr>
            <w:r w:rsidRPr="009658BB">
              <w:rPr>
                <w:rFonts w:cs="Arial"/>
                <w:b/>
                <w:sz w:val="19"/>
                <w:szCs w:val="19"/>
                <w:lang w:val="lt-LT"/>
              </w:rPr>
              <w:t>1,3</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b/>
                <w:sz w:val="19"/>
                <w:szCs w:val="19"/>
                <w:lang w:val="lt-LT"/>
              </w:rPr>
            </w:pPr>
            <w:r w:rsidRPr="009658BB">
              <w:rPr>
                <w:rFonts w:cs="Arial"/>
                <w:b/>
                <w:sz w:val="19"/>
                <w:szCs w:val="19"/>
                <w:lang w:val="lt-LT"/>
              </w:rPr>
              <w:t>1,4</w:t>
            </w:r>
          </w:p>
        </w:tc>
        <w:tc>
          <w:tcPr>
            <w:tcW w:w="338" w:type="pct"/>
            <w:tcBorders>
              <w:top w:val="single" w:sz="4" w:space="0" w:color="auto"/>
              <w:left w:val="single" w:sz="4" w:space="0" w:color="auto"/>
              <w:right w:val="single" w:sz="4" w:space="0" w:color="auto"/>
            </w:tcBorders>
            <w:shd w:val="clear" w:color="auto" w:fill="F7AFBE"/>
            <w:vAlign w:val="bottom"/>
          </w:tcPr>
          <w:p w:rsidR="0002201B" w:rsidRPr="009658BB" w:rsidRDefault="0002201B" w:rsidP="0002201B">
            <w:pPr>
              <w:keepNext/>
              <w:keepLines/>
              <w:spacing w:before="40" w:after="40"/>
              <w:ind w:left="-85"/>
              <w:jc w:val="right"/>
              <w:rPr>
                <w:rFonts w:cs="Arial"/>
                <w:b/>
                <w:sz w:val="19"/>
                <w:szCs w:val="19"/>
                <w:lang w:val="lt-LT"/>
              </w:rPr>
            </w:pPr>
            <w:r w:rsidRPr="009658BB">
              <w:rPr>
                <w:rFonts w:cs="Arial"/>
                <w:b/>
                <w:sz w:val="19"/>
                <w:szCs w:val="19"/>
                <w:lang w:val="lt-LT"/>
              </w:rPr>
              <w:t>1,2</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Žemės ūkis, miškininkystė ir žuvininkystė</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0,9</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0,5</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Pramonė*</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4,4</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1,8</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2,3</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2,6</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3,5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3,3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1,4</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Statyba</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0,9</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1,1</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0,9</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1,0</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Didmeninė ir mažmeninė prekyba; variklinių transporto priemonių ir motociklų remontas</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2,0</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0,9</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0,9</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1,9</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1,6</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0,9</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0,8</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Transportas ir saugojimas</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1,9</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1,4</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3,3</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3,9</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3,2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2,7</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1,5</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Apgyvendinimo ir maitinimo paslaugų veikla</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0,2</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Informacija ir ryšiai</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2,5</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0,6</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0,7</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1,9</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2,2</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Finansinė ir draudimo veikla</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0,5</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2,4</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2,2</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Nekilnojamojo turto operacijos</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0,7</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0,2</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Profesinė, mokslinė ir techninė veikla</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0,7</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0,6</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0,7</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0,8</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0,6</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Administracinė ir aptarnavimo veikla</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1,1</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1,8</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0,7</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1,7</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2,2</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Viešasis valdymas ir gynyba; privalomasis socialinis draudimas</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2,5</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3,0</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2,7</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2,7</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2,6</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2,5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3,3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3,2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3,2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3,0</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Švietimas</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0,5</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0,5</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0,7</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0,6</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0,3</w:t>
            </w:r>
          </w:p>
        </w:tc>
      </w:tr>
      <w:tr w:rsidR="0002201B" w:rsidRPr="009658BB" w:rsidTr="009658BB">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Žmonių sveikatos priežiūra ir socialinis darbas</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1,5</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1,3</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1,4</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1,5</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1,4</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1,3</w:t>
            </w:r>
          </w:p>
        </w:tc>
      </w:tr>
      <w:tr w:rsidR="0002201B" w:rsidRPr="009658BB" w:rsidTr="009658BB">
        <w:trPr>
          <w:trHeight w:val="247"/>
        </w:trPr>
        <w:tc>
          <w:tcPr>
            <w:tcW w:w="1386" w:type="pct"/>
            <w:tcBorders>
              <w:left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Meninė, pramoginė ir poilsio organizavimo veikla</w:t>
            </w:r>
          </w:p>
        </w:tc>
        <w:tc>
          <w:tcPr>
            <w:tcW w:w="453"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453"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1,6</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0,2</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0,7</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1,0</w:t>
            </w:r>
          </w:p>
        </w:tc>
        <w:tc>
          <w:tcPr>
            <w:tcW w:w="338" w:type="pct"/>
            <w:tcBorders>
              <w:left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0,6</w:t>
            </w:r>
          </w:p>
        </w:tc>
      </w:tr>
      <w:tr w:rsidR="0002201B" w:rsidRPr="009658BB" w:rsidTr="009658BB">
        <w:tc>
          <w:tcPr>
            <w:tcW w:w="1386" w:type="pct"/>
            <w:tcBorders>
              <w:left w:val="single" w:sz="4" w:space="0" w:color="auto"/>
              <w:bottom w:val="single" w:sz="4" w:space="0" w:color="auto"/>
              <w:right w:val="single" w:sz="4" w:space="0" w:color="auto"/>
            </w:tcBorders>
            <w:vAlign w:val="bottom"/>
          </w:tcPr>
          <w:p w:rsidR="0002201B" w:rsidRPr="009658BB" w:rsidRDefault="0002201B" w:rsidP="0002201B">
            <w:pPr>
              <w:pStyle w:val="Galva"/>
              <w:ind w:left="0"/>
              <w:jc w:val="left"/>
              <w:rPr>
                <w:rFonts w:cs="Arial"/>
                <w:szCs w:val="19"/>
              </w:rPr>
            </w:pPr>
            <w:r w:rsidRPr="009658BB">
              <w:rPr>
                <w:rFonts w:cs="Arial"/>
                <w:szCs w:val="19"/>
              </w:rPr>
              <w:t>Kita aptarnavimo veikla</w:t>
            </w:r>
          </w:p>
        </w:tc>
        <w:tc>
          <w:tcPr>
            <w:tcW w:w="453" w:type="pct"/>
            <w:tcBorders>
              <w:left w:val="single" w:sz="4" w:space="0" w:color="auto"/>
              <w:bottom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0,1</w:t>
            </w:r>
          </w:p>
        </w:tc>
        <w:tc>
          <w:tcPr>
            <w:tcW w:w="453" w:type="pct"/>
            <w:tcBorders>
              <w:left w:val="single" w:sz="4" w:space="0" w:color="auto"/>
              <w:bottom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0,6</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0,0</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0,3</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0,4</w:t>
            </w:r>
          </w:p>
        </w:tc>
        <w:tc>
          <w:tcPr>
            <w:tcW w:w="338" w:type="pct"/>
            <w:tcBorders>
              <w:left w:val="single" w:sz="4" w:space="0" w:color="auto"/>
              <w:bottom w:val="single" w:sz="4" w:space="0" w:color="auto"/>
              <w:right w:val="single" w:sz="4" w:space="0" w:color="auto"/>
            </w:tcBorders>
            <w:vAlign w:val="bottom"/>
          </w:tcPr>
          <w:p w:rsidR="0002201B" w:rsidRPr="009658BB" w:rsidRDefault="0002201B" w:rsidP="0002201B">
            <w:pPr>
              <w:keepNext/>
              <w:keepLines/>
              <w:spacing w:before="40" w:after="40"/>
              <w:ind w:left="-85"/>
              <w:jc w:val="right"/>
              <w:rPr>
                <w:rFonts w:cs="Arial"/>
                <w:color w:val="000000"/>
                <w:sz w:val="19"/>
                <w:szCs w:val="19"/>
                <w:lang w:val="lt-LT"/>
              </w:rPr>
            </w:pPr>
            <w:r w:rsidRPr="009658BB">
              <w:rPr>
                <w:rFonts w:cs="Arial"/>
                <w:color w:val="000000"/>
                <w:sz w:val="19"/>
                <w:szCs w:val="19"/>
                <w:lang w:val="lt-LT"/>
              </w:rPr>
              <w:t>0,3</w:t>
            </w:r>
          </w:p>
        </w:tc>
      </w:tr>
    </w:tbl>
    <w:p w:rsidR="00336BFE" w:rsidRPr="009658BB" w:rsidRDefault="00336BFE" w:rsidP="00336BFE">
      <w:pPr>
        <w:pStyle w:val="Lentelespav"/>
        <w:jc w:val="both"/>
        <w:rPr>
          <w:b w:val="0"/>
          <w:sz w:val="18"/>
          <w:szCs w:val="18"/>
          <w:lang w:val="lt-LT"/>
        </w:rPr>
      </w:pPr>
    </w:p>
    <w:p w:rsidR="00336BFE" w:rsidRPr="009658BB" w:rsidRDefault="00336BFE" w:rsidP="00336BFE">
      <w:pPr>
        <w:pStyle w:val="Pasiteirauti"/>
        <w:rPr>
          <w:sz w:val="18"/>
          <w:szCs w:val="18"/>
        </w:rPr>
      </w:pPr>
      <w:r w:rsidRPr="009658BB">
        <w:rPr>
          <w:b/>
          <w:sz w:val="18"/>
          <w:szCs w:val="18"/>
        </w:rPr>
        <w:t>Pastaba.</w:t>
      </w:r>
      <w:r w:rsidRPr="009658BB">
        <w:rPr>
          <w:sz w:val="18"/>
          <w:szCs w:val="18"/>
        </w:rPr>
        <w:t xml:space="preserve"> Dėl apvalinimo eilučių suma gali nesutapti su duomenimis „Iš</w:t>
      </w:r>
      <w:r w:rsidR="008B108F" w:rsidRPr="009658BB">
        <w:rPr>
          <w:sz w:val="18"/>
          <w:szCs w:val="18"/>
        </w:rPr>
        <w:t> </w:t>
      </w:r>
      <w:r w:rsidRPr="009658BB">
        <w:rPr>
          <w:sz w:val="18"/>
          <w:szCs w:val="18"/>
        </w:rPr>
        <w:t>viso“.</w:t>
      </w:r>
    </w:p>
    <w:p w:rsidR="00336BFE" w:rsidRPr="009658BB" w:rsidRDefault="00336BFE" w:rsidP="00336BFE">
      <w:pPr>
        <w:rPr>
          <w:sz w:val="18"/>
          <w:szCs w:val="18"/>
          <w:lang w:val="lt-LT"/>
        </w:rPr>
      </w:pPr>
      <w:r w:rsidRPr="009658BB">
        <w:rPr>
          <w:sz w:val="18"/>
          <w:szCs w:val="18"/>
          <w:lang w:val="lt-LT"/>
        </w:rPr>
        <w:t>________________</w:t>
      </w:r>
    </w:p>
    <w:p w:rsidR="00336BFE" w:rsidRPr="009658BB" w:rsidRDefault="00336BFE" w:rsidP="00336BFE">
      <w:pPr>
        <w:pStyle w:val="Lentelespav"/>
        <w:spacing w:before="60"/>
        <w:jc w:val="both"/>
        <w:rPr>
          <w:b w:val="0"/>
          <w:sz w:val="18"/>
          <w:szCs w:val="18"/>
          <w:lang w:val="lt-LT"/>
        </w:rPr>
      </w:pPr>
      <w:r w:rsidRPr="009658BB">
        <w:rPr>
          <w:b w:val="0"/>
          <w:sz w:val="18"/>
          <w:szCs w:val="18"/>
          <w:lang w:val="lt-LT"/>
        </w:rPr>
        <w:t>*</w:t>
      </w:r>
      <w:r w:rsidR="005700EC" w:rsidRPr="009658BB">
        <w:rPr>
          <w:b w:val="0"/>
          <w:sz w:val="18"/>
          <w:szCs w:val="18"/>
          <w:lang w:val="lt-LT"/>
        </w:rPr>
        <w:t> </w:t>
      </w:r>
      <w:r w:rsidRPr="009658BB">
        <w:rPr>
          <w:b w:val="0"/>
          <w:spacing w:val="-2"/>
          <w:sz w:val="18"/>
          <w:szCs w:val="18"/>
          <w:lang w:val="lt-LT"/>
        </w:rPr>
        <w:t>Pramonė apima kasybą ir karjerų eksploatavimą, apdirbamąją gamybą, elektros, dujų, garo tiekimą ir oro kondicionavimą,</w:t>
      </w:r>
      <w:r w:rsidRPr="009658BB">
        <w:rPr>
          <w:b w:val="0"/>
          <w:sz w:val="18"/>
          <w:szCs w:val="18"/>
          <w:lang w:val="lt-LT"/>
        </w:rPr>
        <w:t xml:space="preserve"> vandens tiekimą, nuotekų valymą, atliekų tvarkymą ir regeneravimą.</w:t>
      </w:r>
    </w:p>
    <w:p w:rsidR="002700D7" w:rsidRPr="009658BB" w:rsidRDefault="002700D7" w:rsidP="003E3C6A">
      <w:pPr>
        <w:pStyle w:val="Pagrtekstas"/>
        <w:numPr>
          <w:ilvl w:val="0"/>
          <w:numId w:val="5"/>
        </w:numPr>
        <w:spacing w:before="120"/>
        <w:ind w:left="284" w:hanging="284"/>
        <w:rPr>
          <w:lang w:val="lt-LT"/>
        </w:rPr>
      </w:pPr>
      <w:r w:rsidRPr="009658BB">
        <w:rPr>
          <w:b/>
          <w:lang w:val="lt-LT"/>
        </w:rPr>
        <w:t>2020 m. šalyje buvo 1</w:t>
      </w:r>
      <w:r w:rsidR="00B6694B" w:rsidRPr="009658BB">
        <w:rPr>
          <w:b/>
          <w:lang w:val="lt-LT"/>
        </w:rPr>
        <w:t>6</w:t>
      </w:r>
      <w:r w:rsidRPr="009658BB">
        <w:rPr>
          <w:b/>
          <w:lang w:val="lt-LT"/>
        </w:rPr>
        <w:t>,</w:t>
      </w:r>
      <w:r w:rsidR="00B6694B" w:rsidRPr="009658BB">
        <w:rPr>
          <w:b/>
          <w:lang w:val="lt-LT"/>
        </w:rPr>
        <w:t>6</w:t>
      </w:r>
      <w:r w:rsidR="009658BB" w:rsidRPr="009658BB">
        <w:rPr>
          <w:b/>
          <w:lang w:val="lt-LT"/>
        </w:rPr>
        <w:t> tūkst.</w:t>
      </w:r>
      <w:r w:rsidRPr="009658BB">
        <w:rPr>
          <w:b/>
          <w:lang w:val="lt-LT"/>
        </w:rPr>
        <w:t xml:space="preserve"> laisvų darbo vietų samdomiesiems darbuotojams</w:t>
      </w:r>
      <w:r w:rsidRPr="009658BB">
        <w:rPr>
          <w:lang w:val="lt-LT"/>
        </w:rPr>
        <w:t xml:space="preserve">, palyginti su 2019 m., jų skaičius sumažėjo </w:t>
      </w:r>
      <w:r w:rsidR="00B6694B" w:rsidRPr="009658BB">
        <w:rPr>
          <w:lang w:val="lt-LT"/>
        </w:rPr>
        <w:t>1</w:t>
      </w:r>
      <w:r w:rsidRPr="009658BB">
        <w:rPr>
          <w:lang w:val="lt-LT"/>
        </w:rPr>
        <w:t>,</w:t>
      </w:r>
      <w:r w:rsidR="00B6694B" w:rsidRPr="009658BB">
        <w:rPr>
          <w:lang w:val="lt-LT"/>
        </w:rPr>
        <w:t>7</w:t>
      </w:r>
      <w:r w:rsidR="009658BB" w:rsidRPr="009658BB">
        <w:rPr>
          <w:lang w:val="lt-LT"/>
        </w:rPr>
        <w:t> tūkst.</w:t>
      </w:r>
      <w:r w:rsidRPr="009658BB">
        <w:rPr>
          <w:lang w:val="lt-LT"/>
        </w:rPr>
        <w:t xml:space="preserve"> (</w:t>
      </w:r>
      <w:r w:rsidR="003E3C6A" w:rsidRPr="009658BB">
        <w:rPr>
          <w:lang w:val="lt-LT"/>
        </w:rPr>
        <w:t>9</w:t>
      </w:r>
      <w:r w:rsidRPr="009658BB">
        <w:rPr>
          <w:lang w:val="lt-LT"/>
        </w:rPr>
        <w:t>,</w:t>
      </w:r>
      <w:r w:rsidR="003E3C6A" w:rsidRPr="009658BB">
        <w:rPr>
          <w:lang w:val="lt-LT"/>
        </w:rPr>
        <w:t>5</w:t>
      </w:r>
      <w:r w:rsidR="009658BB" w:rsidRPr="009658BB">
        <w:rPr>
          <w:lang w:val="lt-LT"/>
        </w:rPr>
        <w:t> proc.</w:t>
      </w:r>
      <w:r w:rsidRPr="009658BB">
        <w:rPr>
          <w:lang w:val="lt-LT"/>
        </w:rPr>
        <w:t xml:space="preserve">). Per metus laisvų darbo vietų sumažėjo </w:t>
      </w:r>
      <w:r w:rsidR="003E3C6A" w:rsidRPr="009658BB">
        <w:rPr>
          <w:lang w:val="lt-LT"/>
        </w:rPr>
        <w:t>pramonės</w:t>
      </w:r>
      <w:r w:rsidR="009658BB">
        <w:rPr>
          <w:lang w:val="lt-LT"/>
        </w:rPr>
        <w:t xml:space="preserve"> </w:t>
      </w:r>
      <w:r w:rsidRPr="009658BB">
        <w:rPr>
          <w:lang w:val="lt-LT"/>
        </w:rPr>
        <w:t xml:space="preserve">– </w:t>
      </w:r>
      <w:r w:rsidR="003E3C6A" w:rsidRPr="009658BB">
        <w:rPr>
          <w:lang w:val="lt-LT"/>
        </w:rPr>
        <w:t>1</w:t>
      </w:r>
      <w:r w:rsidRPr="009658BB">
        <w:rPr>
          <w:lang w:val="lt-LT"/>
        </w:rPr>
        <w:t>,</w:t>
      </w:r>
      <w:r w:rsidR="003E3C6A" w:rsidRPr="009658BB">
        <w:rPr>
          <w:lang w:val="lt-LT"/>
        </w:rPr>
        <w:t>5</w:t>
      </w:r>
      <w:r w:rsidR="009658BB" w:rsidRPr="009658BB">
        <w:rPr>
          <w:lang w:val="lt-LT"/>
        </w:rPr>
        <w:t> tūkst.</w:t>
      </w:r>
      <w:r w:rsidRPr="009658BB">
        <w:rPr>
          <w:lang w:val="lt-LT"/>
        </w:rPr>
        <w:t xml:space="preserve">, </w:t>
      </w:r>
      <w:r w:rsidR="003E3C6A" w:rsidRPr="009658BB">
        <w:rPr>
          <w:lang w:val="lt-LT"/>
        </w:rPr>
        <w:t>prekybos – 0,8</w:t>
      </w:r>
      <w:r w:rsidR="009658BB" w:rsidRPr="009658BB">
        <w:rPr>
          <w:lang w:val="lt-LT"/>
        </w:rPr>
        <w:t> tūkst.</w:t>
      </w:r>
      <w:r w:rsidR="003E3C6A" w:rsidRPr="009658BB">
        <w:rPr>
          <w:lang w:val="lt-LT"/>
        </w:rPr>
        <w:t>, apgyvendinimo ir maitinimo paslaugų veiklos</w:t>
      </w:r>
      <w:r w:rsidRPr="009658BB">
        <w:rPr>
          <w:lang w:val="lt-LT"/>
        </w:rPr>
        <w:t xml:space="preserve"> įmonėse</w:t>
      </w:r>
      <w:r w:rsidR="009658BB">
        <w:rPr>
          <w:lang w:val="lt-LT"/>
        </w:rPr>
        <w:t xml:space="preserve"> </w:t>
      </w:r>
      <w:r w:rsidRPr="009658BB">
        <w:rPr>
          <w:lang w:val="lt-LT"/>
        </w:rPr>
        <w:t>– 0,</w:t>
      </w:r>
      <w:r w:rsidR="003E3C6A" w:rsidRPr="009658BB">
        <w:rPr>
          <w:lang w:val="lt-LT"/>
        </w:rPr>
        <w:t>3</w:t>
      </w:r>
      <w:r w:rsidR="009658BB" w:rsidRPr="009658BB">
        <w:rPr>
          <w:lang w:val="lt-LT"/>
        </w:rPr>
        <w:t> tūkst.</w:t>
      </w:r>
      <w:r w:rsidRPr="009658BB">
        <w:rPr>
          <w:lang w:val="lt-LT"/>
        </w:rPr>
        <w:t xml:space="preserve">, o padaugėjo </w:t>
      </w:r>
      <w:r w:rsidR="003E3C6A" w:rsidRPr="009658BB">
        <w:rPr>
          <w:lang w:val="lt-LT"/>
        </w:rPr>
        <w:t>transporto ir saugojimo</w:t>
      </w:r>
      <w:r w:rsidRPr="009658BB">
        <w:rPr>
          <w:lang w:val="lt-LT"/>
        </w:rPr>
        <w:t xml:space="preserve"> įmonėse</w:t>
      </w:r>
      <w:r w:rsidR="009658BB">
        <w:rPr>
          <w:lang w:val="lt-LT"/>
        </w:rPr>
        <w:t xml:space="preserve"> </w:t>
      </w:r>
      <w:r w:rsidRPr="009658BB">
        <w:rPr>
          <w:lang w:val="lt-LT"/>
        </w:rPr>
        <w:t xml:space="preserve">– </w:t>
      </w:r>
      <w:r w:rsidR="003E3C6A" w:rsidRPr="009658BB">
        <w:rPr>
          <w:lang w:val="lt-LT"/>
        </w:rPr>
        <w:t>1</w:t>
      </w:r>
      <w:r w:rsidRPr="009658BB">
        <w:rPr>
          <w:lang w:val="lt-LT"/>
        </w:rPr>
        <w:t>,</w:t>
      </w:r>
      <w:r w:rsidR="003E3C6A" w:rsidRPr="009658BB">
        <w:rPr>
          <w:lang w:val="lt-LT"/>
        </w:rPr>
        <w:t>3</w:t>
      </w:r>
      <w:r w:rsidR="009658BB" w:rsidRPr="009658BB">
        <w:rPr>
          <w:lang w:val="lt-LT"/>
        </w:rPr>
        <w:t> tūkst.</w:t>
      </w:r>
    </w:p>
    <w:p w:rsidR="002700D7" w:rsidRPr="009658BB" w:rsidRDefault="002700D7" w:rsidP="002700D7">
      <w:pPr>
        <w:pStyle w:val="Pagrtekstas"/>
        <w:numPr>
          <w:ilvl w:val="0"/>
          <w:numId w:val="5"/>
        </w:numPr>
        <w:spacing w:before="120"/>
        <w:ind w:left="284" w:hanging="284"/>
        <w:rPr>
          <w:lang w:val="lt-LT"/>
        </w:rPr>
      </w:pPr>
      <w:r w:rsidRPr="009658BB">
        <w:rPr>
          <w:lang w:val="lt-LT"/>
        </w:rPr>
        <w:t>2020 m. laisvų darbo vietų lygis šalyje sudarė 1,</w:t>
      </w:r>
      <w:r w:rsidR="00B6694B" w:rsidRPr="009658BB">
        <w:rPr>
          <w:lang w:val="lt-LT"/>
        </w:rPr>
        <w:t>3</w:t>
      </w:r>
      <w:r w:rsidR="009658BB" w:rsidRPr="009658BB">
        <w:rPr>
          <w:lang w:val="lt-LT"/>
        </w:rPr>
        <w:t> proc.</w:t>
      </w:r>
      <w:r w:rsidR="009658BB">
        <w:rPr>
          <w:lang w:val="lt-LT"/>
        </w:rPr>
        <w:t xml:space="preserve"> </w:t>
      </w:r>
      <w:r w:rsidRPr="009658BB">
        <w:rPr>
          <w:lang w:val="lt-LT"/>
        </w:rPr>
        <w:t xml:space="preserve">– </w:t>
      </w:r>
      <w:r w:rsidR="00B6694B" w:rsidRPr="009658BB">
        <w:rPr>
          <w:lang w:val="lt-LT"/>
        </w:rPr>
        <w:t>tai 0,1</w:t>
      </w:r>
      <w:r w:rsidR="00AA7AD1" w:rsidRPr="009658BB">
        <w:rPr>
          <w:lang w:val="lt-LT"/>
        </w:rPr>
        <w:t> </w:t>
      </w:r>
      <w:r w:rsidR="00B6694B" w:rsidRPr="009658BB">
        <w:rPr>
          <w:lang w:val="lt-LT"/>
        </w:rPr>
        <w:t>procentinio punkto mažiau nei 2019</w:t>
      </w:r>
      <w:r w:rsidR="00AA7AD1" w:rsidRPr="009658BB">
        <w:rPr>
          <w:lang w:val="lt-LT"/>
        </w:rPr>
        <w:t> </w:t>
      </w:r>
      <w:r w:rsidR="00B6694B" w:rsidRPr="009658BB">
        <w:rPr>
          <w:lang w:val="lt-LT"/>
        </w:rPr>
        <w:t>m.</w:t>
      </w:r>
      <w:r w:rsidRPr="009658BB">
        <w:rPr>
          <w:lang w:val="lt-LT"/>
        </w:rPr>
        <w:t xml:space="preserve"> Aukščiausias laisvų darbo vietų lygis buvo </w:t>
      </w:r>
      <w:r w:rsidR="00AA7AD1" w:rsidRPr="009658BB">
        <w:rPr>
          <w:lang w:val="lt-LT"/>
        </w:rPr>
        <w:t>viešojo valdymo ir gynybos; privalomojo socialinio draudimo</w:t>
      </w:r>
      <w:r w:rsidR="009658BB">
        <w:rPr>
          <w:lang w:val="lt-LT"/>
        </w:rPr>
        <w:t xml:space="preserve"> </w:t>
      </w:r>
      <w:r w:rsidRPr="009658BB">
        <w:rPr>
          <w:lang w:val="lt-LT"/>
        </w:rPr>
        <w:t>– 3,</w:t>
      </w:r>
      <w:r w:rsidR="00AA7AD1" w:rsidRPr="009658BB">
        <w:rPr>
          <w:lang w:val="lt-LT"/>
        </w:rPr>
        <w:t>2</w:t>
      </w:r>
      <w:r w:rsidR="009658BB" w:rsidRPr="009658BB">
        <w:rPr>
          <w:lang w:val="lt-LT"/>
        </w:rPr>
        <w:t> proc.</w:t>
      </w:r>
      <w:r w:rsidRPr="009658BB">
        <w:rPr>
          <w:lang w:val="lt-LT"/>
        </w:rPr>
        <w:t>,</w:t>
      </w:r>
      <w:r w:rsidR="00AA7AD1" w:rsidRPr="009658BB">
        <w:rPr>
          <w:lang w:val="lt-LT"/>
        </w:rPr>
        <w:t xml:space="preserve"> transporto ir saugojimo</w:t>
      </w:r>
      <w:r w:rsidRPr="009658BB">
        <w:rPr>
          <w:lang w:val="lt-LT"/>
        </w:rPr>
        <w:t xml:space="preserve"> </w:t>
      </w:r>
      <w:r w:rsidR="00AA7AD1" w:rsidRPr="009658BB">
        <w:rPr>
          <w:lang w:val="lt-LT"/>
        </w:rPr>
        <w:t>– 2,2</w:t>
      </w:r>
      <w:r w:rsidR="009658BB" w:rsidRPr="009658BB">
        <w:rPr>
          <w:lang w:val="lt-LT"/>
        </w:rPr>
        <w:t> proc.</w:t>
      </w:r>
      <w:r w:rsidR="00AA7AD1" w:rsidRPr="009658BB">
        <w:rPr>
          <w:lang w:val="lt-LT"/>
        </w:rPr>
        <w:t xml:space="preserve">, </w:t>
      </w:r>
      <w:r w:rsidRPr="009658BB">
        <w:rPr>
          <w:lang w:val="lt-LT"/>
        </w:rPr>
        <w:t>finansinės ir draudimo</w:t>
      </w:r>
      <w:r w:rsidR="00AA7AD1" w:rsidRPr="009658BB">
        <w:rPr>
          <w:lang w:val="lt-LT"/>
        </w:rPr>
        <w:t>, informacijos ir ryšių</w:t>
      </w:r>
      <w:r w:rsidRPr="009658BB">
        <w:rPr>
          <w:lang w:val="lt-LT"/>
        </w:rPr>
        <w:t xml:space="preserve"> veiklos įmonėse – </w:t>
      </w:r>
      <w:r w:rsidR="00AA7AD1" w:rsidRPr="009658BB">
        <w:rPr>
          <w:lang w:val="lt-LT"/>
        </w:rPr>
        <w:t xml:space="preserve">po </w:t>
      </w:r>
      <w:r w:rsidRPr="009658BB">
        <w:rPr>
          <w:lang w:val="lt-LT"/>
        </w:rPr>
        <w:t>2,</w:t>
      </w:r>
      <w:r w:rsidR="00AA7AD1" w:rsidRPr="009658BB">
        <w:rPr>
          <w:lang w:val="lt-LT"/>
        </w:rPr>
        <w:t>1</w:t>
      </w:r>
      <w:r w:rsidR="009658BB" w:rsidRPr="009658BB">
        <w:rPr>
          <w:lang w:val="lt-LT"/>
        </w:rPr>
        <w:t> proc.</w:t>
      </w:r>
      <w:r w:rsidRPr="009658BB">
        <w:rPr>
          <w:lang w:val="lt-LT"/>
        </w:rPr>
        <w:t xml:space="preserve"> Žemiausias laisvų darbo vietų lygis buvo </w:t>
      </w:r>
      <w:r w:rsidR="00AA7AD1" w:rsidRPr="009658BB">
        <w:rPr>
          <w:lang w:val="lt-LT"/>
        </w:rPr>
        <w:t>nekilnojamo turto operacijų</w:t>
      </w:r>
      <w:r w:rsidR="001E33D1" w:rsidRPr="009658BB">
        <w:rPr>
          <w:lang w:val="lt-LT"/>
        </w:rPr>
        <w:t xml:space="preserve"> (0,2</w:t>
      </w:r>
      <w:r w:rsidR="009658BB" w:rsidRPr="009658BB">
        <w:rPr>
          <w:lang w:val="lt-LT"/>
        </w:rPr>
        <w:t> proc.</w:t>
      </w:r>
      <w:r w:rsidR="001E33D1" w:rsidRPr="009658BB">
        <w:rPr>
          <w:lang w:val="lt-LT"/>
        </w:rPr>
        <w:t xml:space="preserve">), </w:t>
      </w:r>
      <w:r w:rsidR="00AA7AD1" w:rsidRPr="009658BB">
        <w:rPr>
          <w:lang w:val="lt-LT"/>
        </w:rPr>
        <w:t>apgyvendinimo ir maitinimo paslaugų bei kitos aptarnavimo veiklos įmonėse (</w:t>
      </w:r>
      <w:r w:rsidR="001E33D1" w:rsidRPr="009658BB">
        <w:rPr>
          <w:lang w:val="lt-LT"/>
        </w:rPr>
        <w:t>po</w:t>
      </w:r>
      <w:r w:rsidR="00AA7AD1" w:rsidRPr="009658BB">
        <w:rPr>
          <w:lang w:val="lt-LT"/>
        </w:rPr>
        <w:t> 0,3</w:t>
      </w:r>
      <w:r w:rsidR="009658BB" w:rsidRPr="009658BB">
        <w:rPr>
          <w:lang w:val="lt-LT"/>
        </w:rPr>
        <w:t> proc.</w:t>
      </w:r>
      <w:r w:rsidR="00AA7AD1" w:rsidRPr="009658BB">
        <w:rPr>
          <w:lang w:val="lt-LT"/>
        </w:rPr>
        <w:t>).</w:t>
      </w:r>
    </w:p>
    <w:p w:rsidR="002700D7" w:rsidRPr="009658BB" w:rsidRDefault="002700D7" w:rsidP="002700D7">
      <w:pPr>
        <w:pStyle w:val="Lentelespav"/>
        <w:jc w:val="both"/>
        <w:rPr>
          <w:b w:val="0"/>
          <w:sz w:val="18"/>
          <w:szCs w:val="18"/>
          <w:lang w:val="lt-LT"/>
        </w:rPr>
      </w:pPr>
    </w:p>
    <w:p w:rsidR="002700D7" w:rsidRPr="009658BB" w:rsidRDefault="002700D7" w:rsidP="002700D7">
      <w:pPr>
        <w:rPr>
          <w:b/>
          <w:lang w:val="lt-LT"/>
        </w:rPr>
      </w:pPr>
      <w:r w:rsidRPr="009658BB">
        <w:rPr>
          <w:b/>
          <w:lang w:val="lt-LT"/>
        </w:rPr>
        <w:t xml:space="preserve">3 pav. </w:t>
      </w:r>
      <w:hyperlink r:id="rId17" w:anchor="/" w:history="1">
        <w:r w:rsidRPr="009658BB">
          <w:rPr>
            <w:b/>
            <w:lang w:val="lt-LT"/>
          </w:rPr>
          <w:t>Laisvų darbo vietų skaičiaus ir laisvų darbo vietų lygio dinamika</w:t>
        </w:r>
      </w:hyperlink>
    </w:p>
    <w:p w:rsidR="002700D7" w:rsidRPr="009658BB" w:rsidRDefault="002700D7" w:rsidP="002700D7">
      <w:pPr>
        <w:pStyle w:val="Pagrtekstas"/>
        <w:spacing w:line="260" w:lineRule="atLeast"/>
        <w:ind w:firstLine="0"/>
        <w:rPr>
          <w:lang w:val="lt-LT"/>
        </w:rPr>
      </w:pPr>
      <w:r w:rsidRPr="009658BB">
        <w:rPr>
          <w:b/>
          <w:i/>
          <w:noProof/>
          <w:color w:val="000000"/>
          <w:sz w:val="16"/>
          <w:lang w:val="lt-LT" w:eastAsia="lt-LT"/>
        </w:rPr>
        <w:drawing>
          <wp:inline distT="0" distB="0" distL="0" distR="0" wp14:anchorId="1D1263FA" wp14:editId="65922FE8">
            <wp:extent cx="6217920" cy="2242268"/>
            <wp:effectExtent l="0" t="0" r="0" b="0"/>
            <wp:docPr id="6"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45C1C" w:rsidRPr="009658BB" w:rsidRDefault="00145C1C" w:rsidP="002700D7">
      <w:pPr>
        <w:pStyle w:val="Lentelespav"/>
        <w:jc w:val="both"/>
        <w:rPr>
          <w:b w:val="0"/>
          <w:sz w:val="18"/>
          <w:szCs w:val="18"/>
          <w:lang w:val="lt-LT"/>
        </w:rPr>
      </w:pPr>
    </w:p>
    <w:p w:rsidR="002700D7" w:rsidRPr="009658BB" w:rsidRDefault="002700D7" w:rsidP="009658BB">
      <w:pPr>
        <w:pStyle w:val="lentpav"/>
        <w:keepNext/>
        <w:keepLines/>
      </w:pPr>
      <w:r w:rsidRPr="009658BB">
        <w:t>2 lentelė. Laisvų darbo vietų skaičius ir laisvų darbo vietų lygis pagal ekonominės veiklos rūšis</w:t>
      </w:r>
    </w:p>
    <w:p w:rsidR="002700D7" w:rsidRPr="009658BB" w:rsidRDefault="002700D7" w:rsidP="009658BB">
      <w:pPr>
        <w:pStyle w:val="Lentelespav"/>
        <w:keepNext/>
        <w:keepLines/>
        <w:jc w:val="both"/>
        <w:rPr>
          <w:b w:val="0"/>
          <w:sz w:val="18"/>
          <w:szCs w:val="18"/>
          <w:lang w:val="lt-LT"/>
        </w:rPr>
      </w:pPr>
    </w:p>
    <w:tbl>
      <w:tblPr>
        <w:tblW w:w="5000" w:type="pct"/>
        <w:tblLayout w:type="fixed"/>
        <w:tblLook w:val="04A0" w:firstRow="1" w:lastRow="0" w:firstColumn="1" w:lastColumn="0" w:noHBand="0" w:noVBand="1"/>
      </w:tblPr>
      <w:tblGrid>
        <w:gridCol w:w="2964"/>
        <w:gridCol w:w="1149"/>
        <w:gridCol w:w="1149"/>
        <w:gridCol w:w="1149"/>
        <w:gridCol w:w="1149"/>
        <w:gridCol w:w="1149"/>
        <w:gridCol w:w="1145"/>
      </w:tblGrid>
      <w:tr w:rsidR="002700D7" w:rsidRPr="009658BB" w:rsidTr="009658BB">
        <w:trPr>
          <w:tblHeader/>
        </w:trPr>
        <w:tc>
          <w:tcPr>
            <w:tcW w:w="1504" w:type="pct"/>
            <w:vMerge w:val="restart"/>
            <w:tcBorders>
              <w:top w:val="single" w:sz="4" w:space="0" w:color="auto"/>
              <w:left w:val="single" w:sz="4" w:space="0" w:color="auto"/>
              <w:bottom w:val="single" w:sz="4" w:space="0" w:color="000000"/>
              <w:right w:val="single" w:sz="4" w:space="0" w:color="auto"/>
            </w:tcBorders>
            <w:shd w:val="clear" w:color="auto" w:fill="FCE0E6"/>
            <w:hideMark/>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Ekonominės veiklos rūšys</w:t>
            </w:r>
          </w:p>
        </w:tc>
        <w:tc>
          <w:tcPr>
            <w:tcW w:w="1166" w:type="pct"/>
            <w:gridSpan w:val="2"/>
            <w:tcBorders>
              <w:top w:val="single" w:sz="4" w:space="0" w:color="auto"/>
              <w:left w:val="nil"/>
              <w:bottom w:val="single" w:sz="4" w:space="0" w:color="auto"/>
              <w:right w:val="single" w:sz="4" w:space="0" w:color="auto"/>
            </w:tcBorders>
            <w:shd w:val="clear" w:color="auto" w:fill="FCE0E6"/>
            <w:noWrap/>
            <w:vAlign w:val="bottom"/>
            <w:hideMark/>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201</w:t>
            </w:r>
            <w:r w:rsidR="00B6694B" w:rsidRPr="009658BB">
              <w:rPr>
                <w:rFonts w:cs="Arial"/>
                <w:color w:val="000000"/>
                <w:sz w:val="19"/>
                <w:szCs w:val="19"/>
                <w:lang w:val="lt-LT" w:eastAsia="lt-LT"/>
              </w:rPr>
              <w:t>8</w:t>
            </w:r>
          </w:p>
        </w:tc>
        <w:tc>
          <w:tcPr>
            <w:tcW w:w="1166" w:type="pct"/>
            <w:gridSpan w:val="2"/>
            <w:tcBorders>
              <w:top w:val="single" w:sz="4" w:space="0" w:color="auto"/>
              <w:left w:val="single" w:sz="4" w:space="0" w:color="auto"/>
              <w:bottom w:val="single" w:sz="4" w:space="0" w:color="auto"/>
              <w:right w:val="single" w:sz="4" w:space="0" w:color="000000"/>
            </w:tcBorders>
            <w:shd w:val="clear" w:color="auto" w:fill="FCE0E6"/>
            <w:noWrap/>
            <w:vAlign w:val="bottom"/>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201</w:t>
            </w:r>
            <w:r w:rsidR="00B6694B" w:rsidRPr="009658BB">
              <w:rPr>
                <w:rFonts w:cs="Arial"/>
                <w:color w:val="000000"/>
                <w:sz w:val="19"/>
                <w:szCs w:val="19"/>
                <w:lang w:val="lt-LT" w:eastAsia="lt-LT"/>
              </w:rPr>
              <w:t>9</w:t>
            </w:r>
          </w:p>
        </w:tc>
        <w:tc>
          <w:tcPr>
            <w:tcW w:w="1164" w:type="pct"/>
            <w:gridSpan w:val="2"/>
            <w:tcBorders>
              <w:top w:val="single" w:sz="4" w:space="0" w:color="auto"/>
              <w:left w:val="single" w:sz="4" w:space="0" w:color="auto"/>
              <w:bottom w:val="single" w:sz="4" w:space="0" w:color="auto"/>
              <w:right w:val="single" w:sz="4" w:space="0" w:color="000000"/>
            </w:tcBorders>
            <w:shd w:val="clear" w:color="auto" w:fill="FCE0E6"/>
            <w:vAlign w:val="bottom"/>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20</w:t>
            </w:r>
            <w:r w:rsidR="00B6694B" w:rsidRPr="009658BB">
              <w:rPr>
                <w:rFonts w:cs="Arial"/>
                <w:color w:val="000000"/>
                <w:sz w:val="19"/>
                <w:szCs w:val="19"/>
                <w:lang w:val="lt-LT" w:eastAsia="lt-LT"/>
              </w:rPr>
              <w:t>20</w:t>
            </w:r>
          </w:p>
        </w:tc>
      </w:tr>
      <w:tr w:rsidR="002700D7" w:rsidRPr="009658BB" w:rsidTr="009658BB">
        <w:trPr>
          <w:tblHeader/>
        </w:trPr>
        <w:tc>
          <w:tcPr>
            <w:tcW w:w="1504" w:type="pct"/>
            <w:vMerge/>
            <w:tcBorders>
              <w:top w:val="single" w:sz="4" w:space="0" w:color="auto"/>
              <w:left w:val="single" w:sz="4" w:space="0" w:color="auto"/>
              <w:bottom w:val="single" w:sz="4" w:space="0" w:color="000000"/>
              <w:right w:val="single" w:sz="4" w:space="0" w:color="auto"/>
            </w:tcBorders>
            <w:shd w:val="clear" w:color="auto" w:fill="FCE0E6"/>
            <w:vAlign w:val="center"/>
            <w:hideMark/>
          </w:tcPr>
          <w:p w:rsidR="002700D7" w:rsidRPr="009658BB" w:rsidRDefault="002700D7" w:rsidP="009658BB">
            <w:pPr>
              <w:keepNext/>
              <w:keepLines/>
              <w:spacing w:before="40" w:after="40"/>
              <w:ind w:right="-85"/>
              <w:rPr>
                <w:rFonts w:cs="Arial"/>
                <w:color w:val="000000"/>
                <w:sz w:val="19"/>
                <w:szCs w:val="19"/>
                <w:lang w:val="lt-LT" w:eastAsia="lt-LT"/>
              </w:rPr>
            </w:pPr>
          </w:p>
        </w:tc>
        <w:tc>
          <w:tcPr>
            <w:tcW w:w="583" w:type="pct"/>
            <w:tcBorders>
              <w:top w:val="single" w:sz="4" w:space="0" w:color="auto"/>
              <w:left w:val="nil"/>
              <w:bottom w:val="single" w:sz="4" w:space="0" w:color="auto"/>
              <w:right w:val="single" w:sz="4" w:space="0" w:color="000000"/>
            </w:tcBorders>
            <w:shd w:val="clear" w:color="auto" w:fill="FCE0E6"/>
            <w:hideMark/>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Laisvų darbo vietų skaičius,</w:t>
            </w:r>
            <w:r w:rsidR="009658BB">
              <w:rPr>
                <w:rFonts w:cs="Arial"/>
                <w:color w:val="000000"/>
                <w:sz w:val="19"/>
                <w:szCs w:val="19"/>
                <w:lang w:val="lt-LT" w:eastAsia="lt-LT"/>
              </w:rPr>
              <w:t xml:space="preserve"> </w:t>
            </w:r>
            <w:r w:rsidR="009658BB" w:rsidRPr="009658BB">
              <w:rPr>
                <w:rFonts w:cs="Arial"/>
                <w:color w:val="000000"/>
                <w:sz w:val="19"/>
                <w:szCs w:val="19"/>
                <w:lang w:val="lt-LT" w:eastAsia="lt-LT"/>
              </w:rPr>
              <w:t>tūkst.</w:t>
            </w:r>
          </w:p>
        </w:tc>
        <w:tc>
          <w:tcPr>
            <w:tcW w:w="583" w:type="pct"/>
            <w:tcBorders>
              <w:top w:val="single" w:sz="4" w:space="0" w:color="auto"/>
              <w:left w:val="nil"/>
              <w:bottom w:val="single" w:sz="4" w:space="0" w:color="auto"/>
              <w:right w:val="single" w:sz="4" w:space="0" w:color="000000"/>
            </w:tcBorders>
            <w:shd w:val="clear" w:color="auto" w:fill="FCE0E6"/>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Laisvų darbo vietų lygis,</w:t>
            </w:r>
            <w:r w:rsidR="009658BB">
              <w:rPr>
                <w:rFonts w:cs="Arial"/>
                <w:color w:val="000000"/>
                <w:sz w:val="19"/>
                <w:szCs w:val="19"/>
                <w:lang w:val="lt-LT" w:eastAsia="lt-LT"/>
              </w:rPr>
              <w:t xml:space="preserve"> </w:t>
            </w:r>
            <w:r w:rsidR="009658BB" w:rsidRPr="009658BB">
              <w:rPr>
                <w:rFonts w:cs="Arial"/>
                <w:color w:val="000000"/>
                <w:sz w:val="19"/>
                <w:szCs w:val="19"/>
                <w:lang w:val="lt-LT" w:eastAsia="lt-LT"/>
              </w:rPr>
              <w:t>proc.</w:t>
            </w:r>
          </w:p>
        </w:tc>
        <w:tc>
          <w:tcPr>
            <w:tcW w:w="583" w:type="pct"/>
            <w:tcBorders>
              <w:top w:val="single" w:sz="4" w:space="0" w:color="auto"/>
              <w:left w:val="nil"/>
              <w:bottom w:val="single" w:sz="4" w:space="0" w:color="auto"/>
              <w:right w:val="single" w:sz="4" w:space="0" w:color="auto"/>
            </w:tcBorders>
            <w:shd w:val="clear" w:color="auto" w:fill="FCE0E6"/>
            <w:hideMark/>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Laisvų darbo vietų skaičius,</w:t>
            </w:r>
            <w:r w:rsidR="009658BB">
              <w:rPr>
                <w:rFonts w:cs="Arial"/>
                <w:color w:val="000000"/>
                <w:sz w:val="19"/>
                <w:szCs w:val="19"/>
                <w:lang w:val="lt-LT" w:eastAsia="lt-LT"/>
              </w:rPr>
              <w:t xml:space="preserve"> </w:t>
            </w:r>
            <w:r w:rsidR="009658BB" w:rsidRPr="009658BB">
              <w:rPr>
                <w:rFonts w:cs="Arial"/>
                <w:color w:val="000000"/>
                <w:sz w:val="19"/>
                <w:szCs w:val="19"/>
                <w:lang w:val="lt-LT" w:eastAsia="lt-LT"/>
              </w:rPr>
              <w:t>tūkst.</w:t>
            </w:r>
          </w:p>
        </w:tc>
        <w:tc>
          <w:tcPr>
            <w:tcW w:w="583" w:type="pct"/>
            <w:tcBorders>
              <w:top w:val="single" w:sz="4" w:space="0" w:color="auto"/>
              <w:left w:val="single" w:sz="4" w:space="0" w:color="auto"/>
              <w:bottom w:val="single" w:sz="4" w:space="0" w:color="auto"/>
              <w:right w:val="single" w:sz="4" w:space="0" w:color="auto"/>
            </w:tcBorders>
            <w:shd w:val="clear" w:color="auto" w:fill="FCE0E6"/>
            <w:noWrap/>
            <w:hideMark/>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Laisvų darbo vietų lygis,</w:t>
            </w:r>
            <w:r w:rsidR="009658BB">
              <w:rPr>
                <w:rFonts w:cs="Arial"/>
                <w:color w:val="000000"/>
                <w:sz w:val="19"/>
                <w:szCs w:val="19"/>
                <w:lang w:val="lt-LT" w:eastAsia="lt-LT"/>
              </w:rPr>
              <w:t xml:space="preserve"> </w:t>
            </w:r>
            <w:r w:rsidR="009658BB" w:rsidRPr="009658BB">
              <w:rPr>
                <w:rFonts w:cs="Arial"/>
                <w:color w:val="000000"/>
                <w:sz w:val="19"/>
                <w:szCs w:val="19"/>
                <w:lang w:val="lt-LT" w:eastAsia="lt-LT"/>
              </w:rPr>
              <w:t>proc.</w:t>
            </w:r>
          </w:p>
        </w:tc>
        <w:tc>
          <w:tcPr>
            <w:tcW w:w="583" w:type="pct"/>
            <w:tcBorders>
              <w:top w:val="single" w:sz="4" w:space="0" w:color="auto"/>
              <w:left w:val="single" w:sz="4" w:space="0" w:color="auto"/>
              <w:bottom w:val="single" w:sz="4" w:space="0" w:color="auto"/>
              <w:right w:val="single" w:sz="4" w:space="0" w:color="auto"/>
            </w:tcBorders>
            <w:shd w:val="clear" w:color="auto" w:fill="FCE0E6"/>
            <w:noWrap/>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Laisvų darbo vietų skaičius,</w:t>
            </w:r>
            <w:r w:rsidR="009658BB">
              <w:rPr>
                <w:rFonts w:cs="Arial"/>
                <w:color w:val="000000"/>
                <w:sz w:val="19"/>
                <w:szCs w:val="19"/>
                <w:lang w:val="lt-LT" w:eastAsia="lt-LT"/>
              </w:rPr>
              <w:t xml:space="preserve"> </w:t>
            </w:r>
            <w:r w:rsidR="009658BB" w:rsidRPr="009658BB">
              <w:rPr>
                <w:rFonts w:cs="Arial"/>
                <w:color w:val="000000"/>
                <w:sz w:val="19"/>
                <w:szCs w:val="19"/>
                <w:lang w:val="lt-LT" w:eastAsia="lt-LT"/>
              </w:rPr>
              <w:t>tūkst.</w:t>
            </w:r>
          </w:p>
        </w:tc>
        <w:tc>
          <w:tcPr>
            <w:tcW w:w="581" w:type="pct"/>
            <w:tcBorders>
              <w:top w:val="single" w:sz="4" w:space="0" w:color="auto"/>
              <w:left w:val="single" w:sz="4" w:space="0" w:color="auto"/>
              <w:bottom w:val="single" w:sz="4" w:space="0" w:color="auto"/>
              <w:right w:val="single" w:sz="4" w:space="0" w:color="auto"/>
            </w:tcBorders>
            <w:shd w:val="clear" w:color="auto" w:fill="FCE0E6"/>
          </w:tcPr>
          <w:p w:rsidR="002700D7" w:rsidRPr="009658BB" w:rsidRDefault="002700D7" w:rsidP="009658BB">
            <w:pPr>
              <w:keepNext/>
              <w:keepLines/>
              <w:spacing w:before="40" w:after="40"/>
              <w:ind w:right="-85"/>
              <w:rPr>
                <w:rFonts w:cs="Arial"/>
                <w:color w:val="000000"/>
                <w:sz w:val="19"/>
                <w:szCs w:val="19"/>
                <w:lang w:val="lt-LT" w:eastAsia="lt-LT"/>
              </w:rPr>
            </w:pPr>
            <w:r w:rsidRPr="009658BB">
              <w:rPr>
                <w:rFonts w:cs="Arial"/>
                <w:color w:val="000000"/>
                <w:sz w:val="19"/>
                <w:szCs w:val="19"/>
                <w:lang w:val="lt-LT" w:eastAsia="lt-LT"/>
              </w:rPr>
              <w:t>Laisvų darbo vietų lygis,</w:t>
            </w:r>
            <w:r w:rsidR="009658BB">
              <w:rPr>
                <w:rFonts w:cs="Arial"/>
                <w:color w:val="000000"/>
                <w:sz w:val="19"/>
                <w:szCs w:val="19"/>
                <w:lang w:val="lt-LT" w:eastAsia="lt-LT"/>
              </w:rPr>
              <w:t xml:space="preserve"> </w:t>
            </w:r>
            <w:r w:rsidR="009658BB" w:rsidRPr="009658BB">
              <w:rPr>
                <w:rFonts w:cs="Arial"/>
                <w:color w:val="000000"/>
                <w:sz w:val="19"/>
                <w:szCs w:val="19"/>
                <w:lang w:val="lt-LT" w:eastAsia="lt-LT"/>
              </w:rPr>
              <w:t>proc.</w:t>
            </w:r>
          </w:p>
        </w:tc>
      </w:tr>
      <w:tr w:rsidR="00145C1C" w:rsidRPr="009658BB" w:rsidTr="009658BB">
        <w:tc>
          <w:tcPr>
            <w:tcW w:w="1504" w:type="pct"/>
            <w:tcBorders>
              <w:top w:val="nil"/>
              <w:left w:val="single" w:sz="4" w:space="0" w:color="auto"/>
              <w:bottom w:val="nil"/>
              <w:right w:val="single" w:sz="4" w:space="0" w:color="auto"/>
            </w:tcBorders>
            <w:shd w:val="clear" w:color="auto" w:fill="F7AFBE"/>
            <w:vAlign w:val="bottom"/>
            <w:hideMark/>
          </w:tcPr>
          <w:p w:rsidR="00145C1C" w:rsidRPr="009658BB" w:rsidRDefault="00145C1C" w:rsidP="00145C1C">
            <w:pPr>
              <w:spacing w:before="40" w:after="40"/>
              <w:ind w:right="-85"/>
              <w:rPr>
                <w:rFonts w:cs="Arial"/>
                <w:b/>
                <w:sz w:val="19"/>
                <w:szCs w:val="19"/>
                <w:lang w:val="lt-LT"/>
              </w:rPr>
            </w:pPr>
            <w:r w:rsidRPr="009658BB">
              <w:rPr>
                <w:rFonts w:cs="Arial"/>
                <w:b/>
                <w:sz w:val="19"/>
                <w:szCs w:val="19"/>
                <w:lang w:val="lt-LT"/>
              </w:rPr>
              <w:t>Iš viso</w:t>
            </w:r>
          </w:p>
        </w:tc>
        <w:tc>
          <w:tcPr>
            <w:tcW w:w="583" w:type="pct"/>
            <w:tcBorders>
              <w:top w:val="single" w:sz="4" w:space="0" w:color="auto"/>
              <w:left w:val="nil"/>
              <w:bottom w:val="nil"/>
              <w:right w:val="single" w:sz="4" w:space="0" w:color="auto"/>
            </w:tcBorders>
            <w:shd w:val="clear" w:color="auto" w:fill="F7AFBE"/>
            <w:vAlign w:val="bottom"/>
            <w:hideMark/>
          </w:tcPr>
          <w:p w:rsidR="00145C1C" w:rsidRPr="009658BB" w:rsidRDefault="00145C1C" w:rsidP="00145C1C">
            <w:pPr>
              <w:spacing w:before="40" w:after="40"/>
              <w:jc w:val="right"/>
              <w:rPr>
                <w:rFonts w:cs="Arial"/>
                <w:b/>
                <w:color w:val="000000"/>
                <w:sz w:val="19"/>
                <w:szCs w:val="19"/>
                <w:lang w:val="lt-LT"/>
              </w:rPr>
            </w:pPr>
            <w:r w:rsidRPr="009658BB">
              <w:rPr>
                <w:rFonts w:cs="Arial"/>
                <w:b/>
                <w:color w:val="000000"/>
                <w:sz w:val="19"/>
                <w:szCs w:val="19"/>
                <w:lang w:val="lt-LT"/>
              </w:rPr>
              <w:t>18,5</w:t>
            </w:r>
          </w:p>
        </w:tc>
        <w:tc>
          <w:tcPr>
            <w:tcW w:w="583" w:type="pct"/>
            <w:tcBorders>
              <w:top w:val="single" w:sz="4" w:space="0" w:color="auto"/>
              <w:left w:val="single" w:sz="4" w:space="0" w:color="auto"/>
              <w:bottom w:val="nil"/>
              <w:right w:val="single" w:sz="4" w:space="0" w:color="auto"/>
            </w:tcBorders>
            <w:shd w:val="clear" w:color="auto" w:fill="F7AFBE"/>
            <w:vAlign w:val="bottom"/>
            <w:hideMark/>
          </w:tcPr>
          <w:p w:rsidR="00145C1C" w:rsidRPr="009658BB" w:rsidRDefault="00145C1C" w:rsidP="00145C1C">
            <w:pPr>
              <w:spacing w:before="40" w:after="40"/>
              <w:jc w:val="right"/>
              <w:rPr>
                <w:rFonts w:cs="Arial"/>
                <w:b/>
                <w:color w:val="000000"/>
                <w:sz w:val="19"/>
                <w:szCs w:val="19"/>
                <w:lang w:val="lt-LT"/>
              </w:rPr>
            </w:pPr>
            <w:r w:rsidRPr="009658BB">
              <w:rPr>
                <w:rFonts w:cs="Arial"/>
                <w:b/>
                <w:color w:val="000000"/>
                <w:sz w:val="19"/>
                <w:szCs w:val="19"/>
                <w:lang w:val="lt-LT"/>
              </w:rPr>
              <w:t>1,4</w:t>
            </w:r>
          </w:p>
        </w:tc>
        <w:tc>
          <w:tcPr>
            <w:tcW w:w="583" w:type="pct"/>
            <w:tcBorders>
              <w:top w:val="single" w:sz="4" w:space="0" w:color="auto"/>
              <w:left w:val="nil"/>
              <w:bottom w:val="nil"/>
              <w:right w:val="single" w:sz="4" w:space="0" w:color="auto"/>
            </w:tcBorders>
            <w:shd w:val="clear" w:color="auto" w:fill="F7AFBE"/>
            <w:vAlign w:val="bottom"/>
            <w:hideMark/>
          </w:tcPr>
          <w:p w:rsidR="00145C1C" w:rsidRPr="009658BB" w:rsidRDefault="00145C1C" w:rsidP="00145C1C">
            <w:pPr>
              <w:spacing w:before="40" w:after="40"/>
              <w:jc w:val="right"/>
              <w:rPr>
                <w:rFonts w:cs="Arial"/>
                <w:b/>
                <w:color w:val="000000"/>
                <w:sz w:val="19"/>
                <w:szCs w:val="19"/>
                <w:lang w:val="lt-LT"/>
              </w:rPr>
            </w:pPr>
            <w:r w:rsidRPr="009658BB">
              <w:rPr>
                <w:rFonts w:cs="Arial"/>
                <w:b/>
                <w:color w:val="000000"/>
                <w:sz w:val="19"/>
                <w:szCs w:val="19"/>
                <w:lang w:val="lt-LT"/>
              </w:rPr>
              <w:t>18,3</w:t>
            </w:r>
          </w:p>
        </w:tc>
        <w:tc>
          <w:tcPr>
            <w:tcW w:w="583" w:type="pct"/>
            <w:tcBorders>
              <w:top w:val="single" w:sz="4" w:space="0" w:color="auto"/>
              <w:left w:val="single" w:sz="4" w:space="0" w:color="auto"/>
              <w:bottom w:val="nil"/>
              <w:right w:val="nil"/>
            </w:tcBorders>
            <w:shd w:val="clear" w:color="auto" w:fill="F7AFBE"/>
            <w:vAlign w:val="bottom"/>
          </w:tcPr>
          <w:p w:rsidR="00145C1C" w:rsidRPr="009658BB" w:rsidRDefault="00145C1C" w:rsidP="00145C1C">
            <w:pPr>
              <w:spacing w:before="40" w:after="40"/>
              <w:jc w:val="right"/>
              <w:rPr>
                <w:rFonts w:cs="Arial"/>
                <w:b/>
                <w:color w:val="000000"/>
                <w:sz w:val="19"/>
                <w:szCs w:val="19"/>
                <w:lang w:val="lt-LT"/>
              </w:rPr>
            </w:pPr>
            <w:r w:rsidRPr="009658BB">
              <w:rPr>
                <w:rFonts w:cs="Arial"/>
                <w:b/>
                <w:color w:val="000000"/>
                <w:sz w:val="19"/>
                <w:szCs w:val="19"/>
                <w:lang w:val="lt-LT"/>
              </w:rPr>
              <w:t>1,4</w:t>
            </w:r>
          </w:p>
        </w:tc>
        <w:tc>
          <w:tcPr>
            <w:tcW w:w="583" w:type="pct"/>
            <w:tcBorders>
              <w:top w:val="single" w:sz="4" w:space="0" w:color="auto"/>
              <w:left w:val="single" w:sz="4" w:space="0" w:color="auto"/>
              <w:bottom w:val="nil"/>
              <w:right w:val="single" w:sz="4" w:space="0" w:color="auto"/>
            </w:tcBorders>
            <w:shd w:val="clear" w:color="auto" w:fill="F7AFBE"/>
            <w:vAlign w:val="bottom"/>
          </w:tcPr>
          <w:p w:rsidR="00145C1C" w:rsidRPr="009658BB" w:rsidRDefault="00145C1C" w:rsidP="00145C1C">
            <w:pPr>
              <w:spacing w:before="40" w:after="40"/>
              <w:jc w:val="right"/>
              <w:rPr>
                <w:rFonts w:cs="Arial"/>
                <w:b/>
                <w:color w:val="000000"/>
                <w:sz w:val="19"/>
                <w:szCs w:val="19"/>
                <w:lang w:val="lt-LT"/>
              </w:rPr>
            </w:pPr>
            <w:r w:rsidRPr="009658BB">
              <w:rPr>
                <w:rFonts w:cs="Arial"/>
                <w:b/>
                <w:color w:val="000000"/>
                <w:sz w:val="19"/>
                <w:szCs w:val="19"/>
                <w:lang w:val="lt-LT"/>
              </w:rPr>
              <w:t>16,6</w:t>
            </w:r>
          </w:p>
        </w:tc>
        <w:tc>
          <w:tcPr>
            <w:tcW w:w="583" w:type="pct"/>
            <w:tcBorders>
              <w:top w:val="single" w:sz="4" w:space="0" w:color="auto"/>
              <w:left w:val="single" w:sz="4" w:space="0" w:color="auto"/>
              <w:bottom w:val="nil"/>
              <w:right w:val="single" w:sz="4" w:space="0" w:color="auto"/>
            </w:tcBorders>
            <w:shd w:val="clear" w:color="auto" w:fill="F7AFBE"/>
            <w:vAlign w:val="bottom"/>
          </w:tcPr>
          <w:p w:rsidR="00145C1C" w:rsidRPr="009658BB" w:rsidRDefault="00145C1C" w:rsidP="00145C1C">
            <w:pPr>
              <w:spacing w:before="40" w:after="40"/>
              <w:jc w:val="right"/>
              <w:rPr>
                <w:rFonts w:cs="Arial"/>
                <w:b/>
                <w:color w:val="000000"/>
                <w:sz w:val="19"/>
                <w:szCs w:val="19"/>
                <w:lang w:val="lt-LT"/>
              </w:rPr>
            </w:pPr>
            <w:r w:rsidRPr="009658BB">
              <w:rPr>
                <w:rFonts w:cs="Arial"/>
                <w:b/>
                <w:color w:val="000000"/>
                <w:sz w:val="19"/>
                <w:szCs w:val="19"/>
                <w:lang w:val="lt-LT"/>
              </w:rPr>
              <w:t>1,3</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Žemės ūkis, miškininkystė ir žuvininkystė</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0,2</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0,2</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0,2</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Pramonė</w:t>
            </w:r>
            <w:r w:rsidRPr="009658BB">
              <w:rPr>
                <w:rFonts w:cs="Arial"/>
                <w:sz w:val="19"/>
                <w:szCs w:val="19"/>
                <w:lang w:val="lt-LT"/>
              </w:rPr>
              <w:t>*</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4,3</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1,8</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4,4</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1,9</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2,9</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1,3</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Statyba</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1,2</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1,3</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Didmeninė ir mažmeninė prekyba; variklinių transporto priemonių ir motociklų remontas</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2,4</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2,4</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1,6</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Transportas ir saugojimas</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2,0</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1,6</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1,9</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1,3</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3,1</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2,2</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Apgyvendinimo ir maitinimo paslaugų veikla</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1,0</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0,1</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0,3</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Informacija ir ryšiai</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2,6</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0,7</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2,1</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0,7</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2,1</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Finansinė ir draudimo veikla</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0,6</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3,3</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0,5</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2,7</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2,1</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Nekilnojamojo turto operacijos</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0,1</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0,7</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0,1</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0,0</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0,2</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Profesinė, mokslinė ir techninė veikla</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0,7</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0,5</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0,7</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Administracinė ir aptarnavimo veikla</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1,2</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2,0</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1,1</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1,8</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1,0</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1,7</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Viešasis valdymas ir gynyba; privalomasis socialinis draudimas</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2,6</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3,1</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2,6</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3,1</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2,6</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3,2</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Švietimas</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0,3</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0,5</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0,6</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Žmonių sveikatos priežiūra ir socialinis darbas</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1,3</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1,2</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1,4</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1,3</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1,4</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1,3</w:t>
            </w:r>
          </w:p>
        </w:tc>
      </w:tr>
      <w:tr w:rsidR="00145C1C" w:rsidRPr="009658BB" w:rsidTr="00B6694B">
        <w:tc>
          <w:tcPr>
            <w:tcW w:w="1504"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Meninė, pramoginė ir poilsio organizavimo veikla</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3" w:type="pct"/>
            <w:tcBorders>
              <w:top w:val="nil"/>
              <w:left w:val="single" w:sz="4" w:space="0" w:color="auto"/>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1,5</w:t>
            </w:r>
          </w:p>
        </w:tc>
        <w:tc>
          <w:tcPr>
            <w:tcW w:w="583" w:type="pct"/>
            <w:tcBorders>
              <w:top w:val="nil"/>
              <w:left w:val="nil"/>
              <w:bottom w:val="nil"/>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0,4</w:t>
            </w:r>
          </w:p>
        </w:tc>
        <w:tc>
          <w:tcPr>
            <w:tcW w:w="583" w:type="pct"/>
            <w:tcBorders>
              <w:top w:val="nil"/>
              <w:left w:val="single" w:sz="4" w:space="0" w:color="auto"/>
              <w:bottom w:val="nil"/>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1,5</w:t>
            </w:r>
          </w:p>
        </w:tc>
        <w:tc>
          <w:tcPr>
            <w:tcW w:w="583" w:type="pct"/>
            <w:tcBorders>
              <w:top w:val="nil"/>
              <w:left w:val="single" w:sz="4" w:space="0" w:color="auto"/>
              <w:bottom w:val="nil"/>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0,2</w:t>
            </w:r>
          </w:p>
        </w:tc>
        <w:tc>
          <w:tcPr>
            <w:tcW w:w="581" w:type="pct"/>
            <w:tcBorders>
              <w:top w:val="nil"/>
              <w:left w:val="single" w:sz="4" w:space="0" w:color="auto"/>
              <w:bottom w:val="nil"/>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0,8</w:t>
            </w:r>
          </w:p>
        </w:tc>
      </w:tr>
      <w:tr w:rsidR="00145C1C" w:rsidRPr="009658BB" w:rsidTr="00B6694B">
        <w:tc>
          <w:tcPr>
            <w:tcW w:w="1504" w:type="pct"/>
            <w:tcBorders>
              <w:top w:val="nil"/>
              <w:left w:val="single" w:sz="4" w:space="0" w:color="auto"/>
              <w:bottom w:val="single" w:sz="4" w:space="0" w:color="auto"/>
              <w:right w:val="single" w:sz="4" w:space="0" w:color="auto"/>
            </w:tcBorders>
            <w:shd w:val="clear" w:color="auto" w:fill="auto"/>
            <w:vAlign w:val="bottom"/>
            <w:hideMark/>
          </w:tcPr>
          <w:p w:rsidR="00145C1C" w:rsidRPr="009658BB" w:rsidRDefault="00145C1C" w:rsidP="00145C1C">
            <w:pPr>
              <w:spacing w:before="40" w:after="40"/>
              <w:ind w:right="-85"/>
              <w:rPr>
                <w:rFonts w:cs="Arial"/>
                <w:color w:val="000000"/>
                <w:sz w:val="19"/>
                <w:szCs w:val="19"/>
                <w:lang w:val="lt-LT" w:eastAsia="lt-LT"/>
              </w:rPr>
            </w:pPr>
            <w:r w:rsidRPr="009658BB">
              <w:rPr>
                <w:rFonts w:cs="Arial"/>
                <w:color w:val="000000"/>
                <w:sz w:val="19"/>
                <w:szCs w:val="19"/>
                <w:lang w:val="lt-LT" w:eastAsia="lt-LT"/>
              </w:rPr>
              <w:t>Kita aptarnavimo veikla</w:t>
            </w:r>
          </w:p>
        </w:tc>
        <w:tc>
          <w:tcPr>
            <w:tcW w:w="583" w:type="pct"/>
            <w:tcBorders>
              <w:top w:val="nil"/>
              <w:left w:val="nil"/>
              <w:bottom w:val="single" w:sz="4" w:space="0" w:color="auto"/>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0,1</w:t>
            </w:r>
          </w:p>
        </w:tc>
        <w:tc>
          <w:tcPr>
            <w:tcW w:w="583" w:type="pct"/>
            <w:tcBorders>
              <w:top w:val="nil"/>
              <w:left w:val="single" w:sz="4" w:space="0" w:color="auto"/>
              <w:bottom w:val="single" w:sz="4" w:space="0" w:color="auto"/>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0,7</w:t>
            </w:r>
          </w:p>
        </w:tc>
        <w:tc>
          <w:tcPr>
            <w:tcW w:w="583" w:type="pct"/>
            <w:tcBorders>
              <w:top w:val="nil"/>
              <w:left w:val="nil"/>
              <w:bottom w:val="single" w:sz="4" w:space="0" w:color="auto"/>
              <w:right w:val="single" w:sz="4" w:space="0" w:color="auto"/>
            </w:tcBorders>
            <w:shd w:val="clear" w:color="auto" w:fill="auto"/>
            <w:vAlign w:val="bottom"/>
            <w:hideMark/>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0,1</w:t>
            </w:r>
          </w:p>
        </w:tc>
        <w:tc>
          <w:tcPr>
            <w:tcW w:w="583" w:type="pct"/>
            <w:tcBorders>
              <w:top w:val="nil"/>
              <w:left w:val="single" w:sz="4" w:space="0" w:color="auto"/>
              <w:bottom w:val="single" w:sz="4" w:space="0" w:color="auto"/>
              <w:right w:val="nil"/>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0,5</w:t>
            </w:r>
          </w:p>
        </w:tc>
        <w:tc>
          <w:tcPr>
            <w:tcW w:w="583" w:type="pct"/>
            <w:tcBorders>
              <w:top w:val="nil"/>
              <w:left w:val="single" w:sz="4" w:space="0" w:color="auto"/>
              <w:bottom w:val="single" w:sz="4" w:space="0" w:color="auto"/>
              <w:right w:val="single" w:sz="4" w:space="0" w:color="auto"/>
            </w:tcBorders>
            <w:shd w:val="clear" w:color="auto" w:fill="auto"/>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0,0</w:t>
            </w:r>
          </w:p>
        </w:tc>
        <w:tc>
          <w:tcPr>
            <w:tcW w:w="581" w:type="pct"/>
            <w:tcBorders>
              <w:top w:val="nil"/>
              <w:left w:val="single" w:sz="4" w:space="0" w:color="auto"/>
              <w:bottom w:val="single" w:sz="4" w:space="0" w:color="auto"/>
              <w:right w:val="single" w:sz="4" w:space="0" w:color="auto"/>
            </w:tcBorders>
            <w:vAlign w:val="bottom"/>
          </w:tcPr>
          <w:p w:rsidR="00145C1C" w:rsidRPr="009658BB" w:rsidRDefault="00145C1C" w:rsidP="00145C1C">
            <w:pPr>
              <w:spacing w:before="40" w:after="40"/>
              <w:jc w:val="right"/>
              <w:rPr>
                <w:rFonts w:cs="Arial"/>
                <w:color w:val="000000"/>
                <w:sz w:val="19"/>
                <w:szCs w:val="19"/>
                <w:lang w:val="lt-LT"/>
              </w:rPr>
            </w:pPr>
            <w:r w:rsidRPr="009658BB">
              <w:rPr>
                <w:rFonts w:cs="Arial"/>
                <w:color w:val="000000"/>
                <w:sz w:val="19"/>
                <w:szCs w:val="19"/>
                <w:lang w:val="lt-LT"/>
              </w:rPr>
              <w:t>0,3</w:t>
            </w:r>
          </w:p>
        </w:tc>
      </w:tr>
    </w:tbl>
    <w:p w:rsidR="002700D7" w:rsidRPr="009658BB" w:rsidRDefault="002700D7" w:rsidP="002700D7">
      <w:pPr>
        <w:pStyle w:val="Pasiteirauti"/>
        <w:spacing w:before="120"/>
        <w:rPr>
          <w:sz w:val="18"/>
        </w:rPr>
      </w:pPr>
      <w:r w:rsidRPr="009658BB">
        <w:rPr>
          <w:b/>
          <w:sz w:val="18"/>
        </w:rPr>
        <w:t>Pastaba.</w:t>
      </w:r>
      <w:r w:rsidRPr="009658BB">
        <w:rPr>
          <w:sz w:val="18"/>
        </w:rPr>
        <w:t xml:space="preserve"> Dėl apvalinimo eilučių suma gali nesutapti su duomenimis „Iš viso“.</w:t>
      </w:r>
    </w:p>
    <w:p w:rsidR="002700D7" w:rsidRPr="009658BB" w:rsidRDefault="002700D7" w:rsidP="002700D7">
      <w:pPr>
        <w:pStyle w:val="Pasiteirauti"/>
        <w:spacing w:before="120"/>
        <w:rPr>
          <w:sz w:val="18"/>
          <w:szCs w:val="18"/>
        </w:rPr>
      </w:pPr>
      <w:r w:rsidRPr="009658BB">
        <w:rPr>
          <w:sz w:val="18"/>
          <w:szCs w:val="18"/>
        </w:rPr>
        <w:t>__________________</w:t>
      </w:r>
    </w:p>
    <w:p w:rsidR="002700D7" w:rsidRPr="009658BB" w:rsidRDefault="002700D7" w:rsidP="002700D7">
      <w:pPr>
        <w:pStyle w:val="lentpav"/>
        <w:spacing w:before="60"/>
        <w:jc w:val="both"/>
        <w:rPr>
          <w:b w:val="0"/>
          <w:sz w:val="18"/>
          <w:szCs w:val="18"/>
        </w:rPr>
      </w:pPr>
      <w:r w:rsidRPr="009658BB">
        <w:rPr>
          <w:sz w:val="18"/>
          <w:szCs w:val="18"/>
        </w:rPr>
        <w:t>*</w:t>
      </w:r>
      <w:r w:rsidRPr="009658BB">
        <w:rPr>
          <w:b w:val="0"/>
          <w:sz w:val="18"/>
          <w:szCs w:val="18"/>
        </w:rPr>
        <w:t> </w:t>
      </w:r>
      <w:r w:rsidRPr="009658BB">
        <w:rPr>
          <w:b w:val="0"/>
          <w:spacing w:val="-2"/>
          <w:sz w:val="18"/>
          <w:szCs w:val="18"/>
        </w:rPr>
        <w:t>Pramonė apima kasybą ir karjerų eksploatavimą, apdirbamąją gamybą, elektros, dujų, garo tiekimą ir oro kondicionavimą,</w:t>
      </w:r>
      <w:r w:rsidRPr="009658BB">
        <w:rPr>
          <w:b w:val="0"/>
          <w:sz w:val="18"/>
          <w:szCs w:val="18"/>
        </w:rPr>
        <w:t xml:space="preserve"> vandens tiekimą, nuotekų valymą, atliekų tvarkymą ir regeneravimą.</w:t>
      </w:r>
    </w:p>
    <w:p w:rsidR="00336BFE" w:rsidRPr="009658BB" w:rsidRDefault="00336BFE" w:rsidP="00336BFE">
      <w:pPr>
        <w:pStyle w:val="Lentelespav"/>
        <w:jc w:val="both"/>
        <w:rPr>
          <w:b w:val="0"/>
          <w:sz w:val="18"/>
          <w:szCs w:val="18"/>
          <w:lang w:val="lt-LT"/>
        </w:rPr>
      </w:pPr>
    </w:p>
    <w:p w:rsidR="00336BFE" w:rsidRPr="009658BB" w:rsidRDefault="00336BFE" w:rsidP="00BA0372">
      <w:pPr>
        <w:pStyle w:val="Pagrtekstas"/>
        <w:ind w:firstLine="284"/>
        <w:rPr>
          <w:lang w:val="lt-LT"/>
        </w:rPr>
      </w:pPr>
      <w:r w:rsidRPr="009658BB">
        <w:rPr>
          <w:lang w:val="lt-LT"/>
        </w:rPr>
        <w:t>20</w:t>
      </w:r>
      <w:r w:rsidR="00785498" w:rsidRPr="009658BB">
        <w:rPr>
          <w:lang w:val="lt-LT"/>
        </w:rPr>
        <w:t>2</w:t>
      </w:r>
      <w:r w:rsidR="00B8251B" w:rsidRPr="009658BB">
        <w:rPr>
          <w:lang w:val="lt-LT"/>
        </w:rPr>
        <w:t>1</w:t>
      </w:r>
      <w:r w:rsidR="00F57ACF" w:rsidRPr="009658BB">
        <w:rPr>
          <w:lang w:val="lt-LT"/>
        </w:rPr>
        <w:t> m.</w:t>
      </w:r>
      <w:r w:rsidRPr="009658BB">
        <w:rPr>
          <w:lang w:val="lt-LT"/>
        </w:rPr>
        <w:t xml:space="preserve"> </w:t>
      </w:r>
      <w:r w:rsidR="00B8251B" w:rsidRPr="009658BB">
        <w:rPr>
          <w:lang w:val="lt-LT"/>
        </w:rPr>
        <w:t>pirmojo</w:t>
      </w:r>
      <w:r w:rsidRPr="009658BB">
        <w:rPr>
          <w:lang w:val="lt-LT"/>
        </w:rPr>
        <w:t xml:space="preserve"> ketvirčio laisvų darbo vietų rodiklius skelbsime 202</w:t>
      </w:r>
      <w:r w:rsidR="00C113C3" w:rsidRPr="009658BB">
        <w:rPr>
          <w:lang w:val="lt-LT"/>
        </w:rPr>
        <w:t>1</w:t>
      </w:r>
      <w:r w:rsidR="00F57ACF" w:rsidRPr="009658BB">
        <w:rPr>
          <w:lang w:val="lt-LT"/>
        </w:rPr>
        <w:t> m.</w:t>
      </w:r>
      <w:r w:rsidRPr="009658BB">
        <w:rPr>
          <w:lang w:val="lt-LT"/>
        </w:rPr>
        <w:t xml:space="preserve"> </w:t>
      </w:r>
      <w:r w:rsidR="00B8251B" w:rsidRPr="009658BB">
        <w:rPr>
          <w:lang w:val="lt-LT"/>
        </w:rPr>
        <w:t>gegužės</w:t>
      </w:r>
      <w:r w:rsidRPr="009658BB">
        <w:rPr>
          <w:lang w:val="lt-LT"/>
        </w:rPr>
        <w:t> </w:t>
      </w:r>
      <w:r w:rsidR="006947D2" w:rsidRPr="009658BB">
        <w:rPr>
          <w:lang w:val="lt-LT"/>
        </w:rPr>
        <w:t>2</w:t>
      </w:r>
      <w:r w:rsidR="00B8251B" w:rsidRPr="009658BB">
        <w:rPr>
          <w:lang w:val="lt-LT"/>
        </w:rPr>
        <w:t>5</w:t>
      </w:r>
      <w:r w:rsidR="006947D2" w:rsidRPr="009658BB">
        <w:rPr>
          <w:lang w:val="lt-LT"/>
        </w:rPr>
        <w:t> </w:t>
      </w:r>
      <w:r w:rsidRPr="009658BB">
        <w:rPr>
          <w:lang w:val="lt-LT"/>
        </w:rPr>
        <w:t>d.</w:t>
      </w:r>
    </w:p>
    <w:p w:rsidR="00336BFE" w:rsidRPr="009658BB" w:rsidRDefault="00336BFE" w:rsidP="00336BFE">
      <w:pPr>
        <w:pStyle w:val="Lentelespav"/>
        <w:jc w:val="both"/>
        <w:rPr>
          <w:b w:val="0"/>
          <w:sz w:val="18"/>
          <w:szCs w:val="18"/>
          <w:lang w:val="lt-LT"/>
        </w:rPr>
      </w:pPr>
    </w:p>
    <w:p w:rsidR="00336BFE" w:rsidRPr="009658BB" w:rsidRDefault="00336BFE" w:rsidP="00336BFE">
      <w:pPr>
        <w:pStyle w:val="Lentelespav"/>
        <w:jc w:val="both"/>
        <w:rPr>
          <w:b w:val="0"/>
          <w:sz w:val="18"/>
          <w:szCs w:val="18"/>
          <w:lang w:val="lt-LT"/>
        </w:rPr>
      </w:pPr>
    </w:p>
    <w:p w:rsidR="00336BFE" w:rsidRPr="009658BB" w:rsidRDefault="00336BFE" w:rsidP="00336BFE">
      <w:pPr>
        <w:pStyle w:val="Pasiteirauti"/>
        <w:rPr>
          <w:sz w:val="20"/>
        </w:rPr>
      </w:pPr>
      <w:r w:rsidRPr="009658BB">
        <w:rPr>
          <w:sz w:val="20"/>
        </w:rPr>
        <w:t xml:space="preserve">Daugiau informacijos šia tema rasite </w:t>
      </w:r>
      <w:hyperlink r:id="rId19" w:anchor="/" w:history="1">
        <w:r w:rsidRPr="009658BB">
          <w:rPr>
            <w:rStyle w:val="Hipersaitas"/>
            <w:sz w:val="20"/>
          </w:rPr>
          <w:t>Rodiklių duomenų bazėje</w:t>
        </w:r>
      </w:hyperlink>
      <w:r w:rsidRPr="009658BB">
        <w:rPr>
          <w:sz w:val="20"/>
        </w:rPr>
        <w:t>.</w:t>
      </w:r>
    </w:p>
    <w:p w:rsidR="00336BFE" w:rsidRPr="009658BB" w:rsidRDefault="005700EC" w:rsidP="00336BFE">
      <w:pPr>
        <w:rPr>
          <w:lang w:val="lt-LT"/>
        </w:rPr>
      </w:pPr>
      <w:r w:rsidRPr="009658BB">
        <w:rPr>
          <w:lang w:val="lt-LT"/>
        </w:rPr>
        <w:br/>
      </w:r>
      <w:r w:rsidR="00336BFE" w:rsidRPr="009658BB">
        <w:rPr>
          <w:lang w:val="lt-LT"/>
        </w:rPr>
        <w:t xml:space="preserve">Statistinė informacija rengiama ir skleidžiama vadovaujantis </w:t>
      </w:r>
      <w:hyperlink r:id="rId20" w:history="1">
        <w:r w:rsidR="00336BFE" w:rsidRPr="009658BB">
          <w:rPr>
            <w:rStyle w:val="Hipersaitas"/>
            <w:lang w:val="lt-LT"/>
          </w:rPr>
          <w:t>Europos statistikos praktikos kodeksu</w:t>
        </w:r>
      </w:hyperlink>
      <w:r w:rsidR="00336BFE" w:rsidRPr="009658BB">
        <w:rPr>
          <w:lang w:val="lt-LT"/>
        </w:rPr>
        <w:t>.</w:t>
      </w:r>
    </w:p>
    <w:p w:rsidR="00336BFE" w:rsidRPr="009658BB" w:rsidRDefault="005700EC" w:rsidP="00336BFE">
      <w:pPr>
        <w:rPr>
          <w:sz w:val="19"/>
          <w:lang w:val="lt-LT"/>
        </w:rPr>
      </w:pPr>
      <w:r w:rsidRPr="009658BB">
        <w:rPr>
          <w:lang w:val="lt-LT"/>
        </w:rPr>
        <w:br/>
      </w:r>
      <w:r w:rsidR="00336BFE" w:rsidRPr="009658BB">
        <w:rPr>
          <w:lang w:val="lt-LT"/>
        </w:rPr>
        <w:t>Daugiau susijusių terminų</w:t>
      </w:r>
      <w:r w:rsidR="00EB6C02" w:rsidRPr="009658BB">
        <w:rPr>
          <w:lang w:val="lt-LT"/>
        </w:rPr>
        <w:t xml:space="preserve"> ir paaiškinimų</w:t>
      </w:r>
      <w:r w:rsidR="00336BFE" w:rsidRPr="009658BB">
        <w:rPr>
          <w:lang w:val="lt-LT"/>
        </w:rPr>
        <w:t xml:space="preserve"> ieškokite</w:t>
      </w:r>
      <w:r w:rsidR="00336BFE" w:rsidRPr="009658BB">
        <w:rPr>
          <w:sz w:val="19"/>
          <w:lang w:val="lt-LT"/>
        </w:rPr>
        <w:t xml:space="preserve"> </w:t>
      </w:r>
      <w:hyperlink r:id="rId21" w:history="1">
        <w:r w:rsidR="00336BFE" w:rsidRPr="009658BB">
          <w:rPr>
            <w:rStyle w:val="Hipersaitas"/>
            <w:lang w:val="lt-LT"/>
          </w:rPr>
          <w:t>Statistikos terminų žodyne</w:t>
        </w:r>
      </w:hyperlink>
      <w:r w:rsidR="00336BFE" w:rsidRPr="009658BB">
        <w:rPr>
          <w:lang w:val="lt-LT"/>
        </w:rPr>
        <w:t>.</w:t>
      </w:r>
    </w:p>
    <w:p w:rsidR="00336BFE" w:rsidRPr="009658BB" w:rsidRDefault="00336BFE" w:rsidP="00336BFE">
      <w:pPr>
        <w:pStyle w:val="Lentelespav"/>
        <w:jc w:val="both"/>
        <w:rPr>
          <w:b w:val="0"/>
          <w:sz w:val="18"/>
          <w:szCs w:val="18"/>
          <w:lang w:val="lt-LT"/>
        </w:rPr>
      </w:pPr>
    </w:p>
    <w:p w:rsidR="00336BFE" w:rsidRPr="009658BB" w:rsidRDefault="00336BFE" w:rsidP="00336BFE">
      <w:pPr>
        <w:pStyle w:val="Lentelespav"/>
        <w:jc w:val="both"/>
        <w:rPr>
          <w:b w:val="0"/>
          <w:sz w:val="18"/>
          <w:szCs w:val="18"/>
          <w:lang w:val="lt-LT"/>
        </w:rPr>
      </w:pPr>
    </w:p>
    <w:p w:rsidR="00336BFE" w:rsidRPr="009658BB" w:rsidRDefault="00336BFE" w:rsidP="00336BFE">
      <w:pPr>
        <w:pStyle w:val="Pagrtekstas"/>
        <w:spacing w:after="60"/>
        <w:rPr>
          <w:b/>
          <w:bCs/>
          <w:lang w:val="lt-LT"/>
        </w:rPr>
      </w:pPr>
      <w:r w:rsidRPr="009658BB">
        <w:rPr>
          <w:b/>
          <w:bCs/>
          <w:lang w:val="lt-LT"/>
        </w:rPr>
        <w:t>Paaiškinimai</w:t>
      </w:r>
    </w:p>
    <w:p w:rsidR="00336BFE" w:rsidRPr="009658BB" w:rsidRDefault="00336BFE" w:rsidP="00336BFE">
      <w:pPr>
        <w:pStyle w:val="Pagrtekstas"/>
        <w:spacing w:after="60"/>
        <w:rPr>
          <w:lang w:val="lt-LT"/>
        </w:rPr>
      </w:pPr>
      <w:r w:rsidRPr="009658BB">
        <w:rPr>
          <w:b/>
          <w:lang w:val="lt-LT"/>
        </w:rPr>
        <w:t>Laisva darbo vieta</w:t>
      </w:r>
      <w:r w:rsidR="003C0C7C" w:rsidRPr="009658BB">
        <w:rPr>
          <w:lang w:val="lt-LT"/>
        </w:rPr>
        <w:t xml:space="preserve"> – </w:t>
      </w:r>
      <w:r w:rsidRPr="009658BB">
        <w:rPr>
          <w:lang w:val="lt-LT"/>
        </w:rPr>
        <w:t>naujai sukurta, neužimta arba artimiausiu metu tapsianti laisva mokamo darbo vieta, dėl kurios darbdavys imasi ir yra pasirengęs toliau imtis aktyvių veiksmų, ieškodamas tinkamo kandidato ne iš tos pačios įmonės ir į kurią iš karto ar per tam tikrą laikotarpį ketina priimti kandidatą.</w:t>
      </w:r>
    </w:p>
    <w:p w:rsidR="00336BFE" w:rsidRPr="009658BB" w:rsidRDefault="00336BFE" w:rsidP="00336BFE">
      <w:pPr>
        <w:pStyle w:val="Pagrtekstas"/>
        <w:spacing w:after="60"/>
        <w:rPr>
          <w:lang w:val="lt-LT"/>
        </w:rPr>
      </w:pPr>
      <w:r w:rsidRPr="009658BB">
        <w:rPr>
          <w:b/>
          <w:bCs/>
          <w:lang w:val="lt-LT"/>
        </w:rPr>
        <w:t>Laisvų darbo vietų lygis</w:t>
      </w:r>
      <w:r w:rsidR="003C0C7C" w:rsidRPr="009658BB">
        <w:rPr>
          <w:b/>
          <w:bCs/>
          <w:lang w:val="lt-LT"/>
        </w:rPr>
        <w:t xml:space="preserve"> </w:t>
      </w:r>
      <w:r w:rsidR="003C0C7C" w:rsidRPr="009658BB">
        <w:rPr>
          <w:bCs/>
          <w:lang w:val="lt-LT"/>
        </w:rPr>
        <w:t>–</w:t>
      </w:r>
      <w:r w:rsidR="003C0C7C" w:rsidRPr="009658BB">
        <w:rPr>
          <w:b/>
          <w:bCs/>
          <w:lang w:val="lt-LT"/>
        </w:rPr>
        <w:t xml:space="preserve"> </w:t>
      </w:r>
      <w:r w:rsidRPr="009658BB">
        <w:rPr>
          <w:lang w:val="lt-LT"/>
        </w:rPr>
        <w:t>rodiklis, išreiškiamas laisvų ir visų darbo vietų santykiu.</w:t>
      </w:r>
    </w:p>
    <w:p w:rsidR="00336BFE" w:rsidRPr="009658BB" w:rsidRDefault="00336BFE" w:rsidP="00336BFE">
      <w:pPr>
        <w:pStyle w:val="Lentelespav"/>
        <w:jc w:val="both"/>
        <w:rPr>
          <w:b w:val="0"/>
          <w:sz w:val="18"/>
          <w:szCs w:val="18"/>
          <w:lang w:val="lt-LT"/>
        </w:rPr>
      </w:pPr>
    </w:p>
    <w:p w:rsidR="00336BFE" w:rsidRPr="009658BB" w:rsidRDefault="00336BFE" w:rsidP="00336BFE">
      <w:pPr>
        <w:pStyle w:val="Lentelespav"/>
        <w:jc w:val="both"/>
        <w:rPr>
          <w:b w:val="0"/>
          <w:sz w:val="18"/>
          <w:szCs w:val="18"/>
          <w:lang w:val="lt-LT"/>
        </w:rPr>
      </w:pPr>
    </w:p>
    <w:p w:rsidR="00336BFE" w:rsidRPr="009658BB" w:rsidRDefault="00336BFE" w:rsidP="001817F9">
      <w:pPr>
        <w:pStyle w:val="Pasiteirauti"/>
        <w:keepNext/>
        <w:keepLines/>
      </w:pPr>
      <w:r w:rsidRPr="009658BB">
        <w:t xml:space="preserve">Kontaktinė informacija: </w:t>
      </w:r>
    </w:p>
    <w:p w:rsidR="00336BFE" w:rsidRPr="009658BB" w:rsidRDefault="00336BFE" w:rsidP="001817F9">
      <w:pPr>
        <w:pStyle w:val="Lentelespav"/>
        <w:keepNext/>
        <w:keepLines/>
        <w:jc w:val="both"/>
        <w:rPr>
          <w:b w:val="0"/>
          <w:sz w:val="18"/>
          <w:szCs w:val="18"/>
          <w:lang w:val="lt-LT"/>
        </w:rPr>
      </w:pPr>
    </w:p>
    <w:p w:rsidR="00336BFE" w:rsidRPr="009658BB" w:rsidRDefault="00336BFE" w:rsidP="001817F9">
      <w:pPr>
        <w:pStyle w:val="Pasiteirauti"/>
        <w:keepNext/>
        <w:keepLines/>
      </w:pPr>
      <w:r w:rsidRPr="009658BB">
        <w:t>Dalia Lukšienė</w:t>
      </w:r>
    </w:p>
    <w:p w:rsidR="00336BFE" w:rsidRPr="009658BB" w:rsidRDefault="00336BFE" w:rsidP="001817F9">
      <w:pPr>
        <w:pStyle w:val="Pasiteirauti"/>
        <w:keepNext/>
        <w:keepLines/>
      </w:pPr>
      <w:r w:rsidRPr="009658BB">
        <w:t>Darbo statistikos skyriaus vyresnioji specialistė</w:t>
      </w:r>
    </w:p>
    <w:p w:rsidR="00336BFE" w:rsidRPr="009658BB" w:rsidRDefault="00336BFE" w:rsidP="001817F9">
      <w:pPr>
        <w:pStyle w:val="Pasiteirauti"/>
        <w:keepNext/>
        <w:keepLines/>
      </w:pPr>
      <w:r w:rsidRPr="009658BB">
        <w:t>Tel. (8 5)  236 4865</w:t>
      </w:r>
    </w:p>
    <w:p w:rsidR="00336BFE" w:rsidRPr="009658BB" w:rsidRDefault="00336BFE" w:rsidP="001817F9">
      <w:pPr>
        <w:pStyle w:val="Pasiteirauti"/>
        <w:keepNext/>
        <w:keepLines/>
      </w:pPr>
      <w:r w:rsidRPr="009658BB">
        <w:t>El. p. dalia.luksiene@stat.gov.lt</w:t>
      </w:r>
    </w:p>
    <w:p w:rsidR="00336BFE" w:rsidRPr="009658BB" w:rsidRDefault="00336BFE" w:rsidP="00336BFE">
      <w:pPr>
        <w:pStyle w:val="Lentelespav"/>
        <w:jc w:val="both"/>
        <w:rPr>
          <w:b w:val="0"/>
          <w:sz w:val="18"/>
          <w:szCs w:val="18"/>
          <w:lang w:val="lt-LT"/>
        </w:rPr>
      </w:pPr>
    </w:p>
    <w:p w:rsidR="00336BFE" w:rsidRPr="009658BB" w:rsidRDefault="00336BFE" w:rsidP="00336BFE">
      <w:pPr>
        <w:pStyle w:val="Lentelespav"/>
        <w:jc w:val="both"/>
        <w:rPr>
          <w:b w:val="0"/>
          <w:sz w:val="18"/>
          <w:szCs w:val="18"/>
          <w:lang w:val="lt-LT"/>
        </w:rPr>
      </w:pPr>
    </w:p>
    <w:p w:rsidR="00336BFE" w:rsidRPr="009658BB" w:rsidRDefault="00336BFE" w:rsidP="00336BFE">
      <w:pPr>
        <w:pStyle w:val="Pasiteirauti"/>
      </w:pPr>
      <w:r w:rsidRPr="009658BB">
        <w:rPr>
          <w:color w:val="000000"/>
        </w:rPr>
        <w:t>© Lietuvos s</w:t>
      </w:r>
      <w:r w:rsidRPr="009658BB">
        <w:t>tatistikos departamentas</w:t>
      </w:r>
    </w:p>
    <w:p w:rsidR="00336BFE" w:rsidRPr="009658BB" w:rsidRDefault="00336BFE" w:rsidP="00336BFE">
      <w:pPr>
        <w:pStyle w:val="Pasiteirauti"/>
      </w:pPr>
      <w:r w:rsidRPr="009658BB">
        <w:t>Naudojant Lietuvos statistikos departamento duomenis, būtina nurodyti šaltinį.</w:t>
      </w:r>
    </w:p>
    <w:p w:rsidR="00336BFE" w:rsidRPr="009658BB" w:rsidRDefault="00336BFE" w:rsidP="00336BFE">
      <w:pPr>
        <w:pStyle w:val="Lentelespav"/>
        <w:jc w:val="both"/>
        <w:rPr>
          <w:b w:val="0"/>
          <w:sz w:val="18"/>
          <w:szCs w:val="18"/>
          <w:lang w:val="lt-LT"/>
        </w:rPr>
      </w:pPr>
    </w:p>
    <w:p w:rsidR="00336BFE" w:rsidRPr="009658BB" w:rsidRDefault="00336BFE" w:rsidP="00336BFE">
      <w:pPr>
        <w:pStyle w:val="Pasiteirauti"/>
      </w:pPr>
      <w:r w:rsidRPr="009658BB">
        <w:t xml:space="preserve">Žymos: laisvos darbo vietos. </w:t>
      </w:r>
    </w:p>
    <w:sectPr w:rsidR="00336BFE" w:rsidRPr="009658BB" w:rsidSect="009658BB">
      <w:headerReference w:type="even" r:id="rId22"/>
      <w:headerReference w:type="default" r:id="rId23"/>
      <w:headerReference w:type="first" r:id="rId24"/>
      <w:footerReference w:type="first" r:id="rId25"/>
      <w:pgSz w:w="11906" w:h="16838" w:code="9"/>
      <w:pgMar w:top="1134" w:right="1134" w:bottom="567" w:left="1134" w:header="851"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B6B" w:rsidRDefault="00A00B6B">
      <w:r>
        <w:separator/>
      </w:r>
    </w:p>
  </w:endnote>
  <w:endnote w:type="continuationSeparator" w:id="0">
    <w:p w:rsidR="00A00B6B" w:rsidRDefault="00A0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7D2" w:rsidRDefault="006947D2" w:rsidP="007F74C2">
    <w:pPr>
      <w:ind w:right="-113"/>
      <w:jc w:val="righ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B6B" w:rsidRDefault="00A00B6B">
      <w:r>
        <w:separator/>
      </w:r>
    </w:p>
  </w:footnote>
  <w:footnote w:type="continuationSeparator" w:id="0">
    <w:p w:rsidR="00A00B6B" w:rsidRDefault="00A00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7D2" w:rsidRDefault="006947D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947D2" w:rsidRDefault="006947D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7D2" w:rsidRPr="00317478" w:rsidRDefault="006947D2">
    <w:pPr>
      <w:pStyle w:val="Antrats"/>
      <w:framePr w:wrap="around" w:vAnchor="text" w:hAnchor="margin" w:xAlign="center" w:y="1"/>
      <w:rPr>
        <w:rStyle w:val="Puslapionumeris"/>
        <w:sz w:val="18"/>
        <w:szCs w:val="18"/>
      </w:rPr>
    </w:pPr>
    <w:r w:rsidRPr="00317478">
      <w:rPr>
        <w:rStyle w:val="Puslapionumeris"/>
        <w:sz w:val="18"/>
        <w:szCs w:val="18"/>
      </w:rPr>
      <w:fldChar w:fldCharType="begin"/>
    </w:r>
    <w:r w:rsidRPr="00317478">
      <w:rPr>
        <w:rStyle w:val="Puslapionumeris"/>
        <w:sz w:val="18"/>
        <w:szCs w:val="18"/>
      </w:rPr>
      <w:instrText xml:space="preserve">PAGE  </w:instrText>
    </w:r>
    <w:r w:rsidRPr="00317478">
      <w:rPr>
        <w:rStyle w:val="Puslapionumeris"/>
        <w:sz w:val="18"/>
        <w:szCs w:val="18"/>
      </w:rPr>
      <w:fldChar w:fldCharType="separate"/>
    </w:r>
    <w:r w:rsidR="002A20FB">
      <w:rPr>
        <w:rStyle w:val="Puslapionumeris"/>
        <w:noProof/>
        <w:sz w:val="18"/>
        <w:szCs w:val="18"/>
      </w:rPr>
      <w:t>2</w:t>
    </w:r>
    <w:r w:rsidRPr="00317478">
      <w:rPr>
        <w:rStyle w:val="Puslapionumeris"/>
        <w:sz w:val="18"/>
        <w:szCs w:val="18"/>
      </w:rPr>
      <w:fldChar w:fldCharType="end"/>
    </w:r>
  </w:p>
  <w:p w:rsidR="006947D2" w:rsidRPr="00317478" w:rsidRDefault="006947D2">
    <w:pPr>
      <w:pStyle w:val="Antrats"/>
      <w:ind w:left="-57" w:right="-57"/>
      <w:rPr>
        <w:sz w:val="18"/>
        <w:szCs w:val="18"/>
      </w:rPr>
    </w:pPr>
  </w:p>
  <w:p w:rsidR="006947D2" w:rsidRPr="00317478" w:rsidRDefault="006947D2">
    <w:pPr>
      <w:pStyle w:val="Antrats"/>
      <w:ind w:left="-57" w:right="-57"/>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27"/>
      <w:gridCol w:w="4927"/>
    </w:tblGrid>
    <w:tr w:rsidR="006947D2" w:rsidTr="002B6634">
      <w:tc>
        <w:tcPr>
          <w:tcW w:w="2500" w:type="pct"/>
          <w:vAlign w:val="center"/>
        </w:tcPr>
        <w:p w:rsidR="006947D2" w:rsidRDefault="006947D2" w:rsidP="001825D1">
          <w:pPr>
            <w:pStyle w:val="Antrats"/>
            <w:ind w:right="-113"/>
          </w:pPr>
          <w:r>
            <w:rPr>
              <w:noProof/>
              <w:lang w:val="lt-LT" w:eastAsia="lt-LT"/>
            </w:rPr>
            <w:drawing>
              <wp:inline distT="0" distB="0" distL="0" distR="0" wp14:anchorId="09F72070" wp14:editId="68A40F20">
                <wp:extent cx="1358900" cy="429260"/>
                <wp:effectExtent l="0" t="0" r="0" b="8890"/>
                <wp:docPr id="9"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429260"/>
                        </a:xfrm>
                        <a:prstGeom prst="rect">
                          <a:avLst/>
                        </a:prstGeom>
                        <a:noFill/>
                        <a:ln>
                          <a:noFill/>
                        </a:ln>
                      </pic:spPr>
                    </pic:pic>
                  </a:graphicData>
                </a:graphic>
              </wp:inline>
            </w:drawing>
          </w:r>
        </w:p>
      </w:tc>
      <w:tc>
        <w:tcPr>
          <w:tcW w:w="2500" w:type="pct"/>
          <w:vAlign w:val="center"/>
        </w:tcPr>
        <w:p w:rsidR="006947D2" w:rsidRPr="00991C9F" w:rsidRDefault="006947D2" w:rsidP="002B6634">
          <w:pPr>
            <w:jc w:val="right"/>
            <w:rPr>
              <w:lang w:val="lt-LT"/>
            </w:rPr>
          </w:pPr>
          <w:r>
            <w:rPr>
              <w:noProof/>
              <w:lang w:val="lt-LT" w:eastAsia="lt-LT"/>
            </w:rPr>
            <w:drawing>
              <wp:inline distT="0" distB="0" distL="0" distR="0" wp14:anchorId="78E51F6E" wp14:editId="08F3B2E1">
                <wp:extent cx="1338580" cy="434340"/>
                <wp:effectExtent l="0" t="0" r="0" b="3810"/>
                <wp:docPr id="10"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8580" cy="434340"/>
                        </a:xfrm>
                        <a:prstGeom prst="rect">
                          <a:avLst/>
                        </a:prstGeom>
                        <a:noFill/>
                        <a:ln>
                          <a:noFill/>
                        </a:ln>
                      </pic:spPr>
                    </pic:pic>
                  </a:graphicData>
                </a:graphic>
              </wp:inline>
            </w:drawing>
          </w:r>
        </w:p>
      </w:tc>
    </w:tr>
  </w:tbl>
  <w:p w:rsidR="006947D2" w:rsidRDefault="006947D2">
    <w:pPr>
      <w:pStyle w:val="Antrats"/>
      <w:pBdr>
        <w:bottom w:val="double" w:sz="6" w:space="1" w:color="auto"/>
      </w:pBdr>
      <w:rPr>
        <w:sz w:val="16"/>
      </w:rPr>
    </w:pPr>
  </w:p>
  <w:p w:rsidR="006947D2" w:rsidRDefault="006947D2">
    <w:pPr>
      <w:pStyle w:val="Antrats"/>
      <w:ind w:left="-57" w:right="-57"/>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4465"/>
    <w:multiLevelType w:val="hybridMultilevel"/>
    <w:tmpl w:val="86FE4430"/>
    <w:lvl w:ilvl="0" w:tplc="04270003">
      <w:start w:val="1"/>
      <w:numFmt w:val="bullet"/>
      <w:lvlText w:val="o"/>
      <w:lvlJc w:val="left"/>
      <w:pPr>
        <w:ind w:left="1004" w:hanging="360"/>
      </w:pPr>
      <w:rPr>
        <w:rFonts w:ascii="Courier New" w:hAnsi="Courier New" w:cs="Courier New"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
    <w:nsid w:val="28C55745"/>
    <w:multiLevelType w:val="hybridMultilevel"/>
    <w:tmpl w:val="9D1CA2FC"/>
    <w:lvl w:ilvl="0" w:tplc="04270003">
      <w:start w:val="1"/>
      <w:numFmt w:val="bullet"/>
      <w:lvlText w:val="o"/>
      <w:lvlJc w:val="left"/>
      <w:pPr>
        <w:ind w:left="1004" w:hanging="360"/>
      </w:pPr>
      <w:rPr>
        <w:rFonts w:ascii="Courier New" w:hAnsi="Courier New" w:cs="Courier New"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
    <w:nsid w:val="43D92FA4"/>
    <w:multiLevelType w:val="hybridMultilevel"/>
    <w:tmpl w:val="394698E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5CB73480"/>
    <w:multiLevelType w:val="hybridMultilevel"/>
    <w:tmpl w:val="8F1453A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nsid w:val="75EE6F61"/>
    <w:multiLevelType w:val="hybridMultilevel"/>
    <w:tmpl w:val="78B8CBC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7A293A0E"/>
    <w:multiLevelType w:val="hybridMultilevel"/>
    <w:tmpl w:val="B5087AA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51F"/>
    <w:rsid w:val="00002CB3"/>
    <w:rsid w:val="00016EA8"/>
    <w:rsid w:val="0002201B"/>
    <w:rsid w:val="000334BA"/>
    <w:rsid w:val="000467E0"/>
    <w:rsid w:val="0006201F"/>
    <w:rsid w:val="00072035"/>
    <w:rsid w:val="000726CC"/>
    <w:rsid w:val="0007306A"/>
    <w:rsid w:val="000A685F"/>
    <w:rsid w:val="000A6EAC"/>
    <w:rsid w:val="000A792F"/>
    <w:rsid w:val="000B655A"/>
    <w:rsid w:val="000C2508"/>
    <w:rsid w:val="000D3E46"/>
    <w:rsid w:val="000D60AA"/>
    <w:rsid w:val="000F660B"/>
    <w:rsid w:val="00134EC2"/>
    <w:rsid w:val="00136818"/>
    <w:rsid w:val="00145C1C"/>
    <w:rsid w:val="00145C88"/>
    <w:rsid w:val="00155048"/>
    <w:rsid w:val="00155099"/>
    <w:rsid w:val="0017517E"/>
    <w:rsid w:val="001817F9"/>
    <w:rsid w:val="001825D1"/>
    <w:rsid w:val="00182686"/>
    <w:rsid w:val="00182ADD"/>
    <w:rsid w:val="001850F9"/>
    <w:rsid w:val="0019431C"/>
    <w:rsid w:val="001A3E7B"/>
    <w:rsid w:val="001C5027"/>
    <w:rsid w:val="001C6A9F"/>
    <w:rsid w:val="001D7B6A"/>
    <w:rsid w:val="001E33D1"/>
    <w:rsid w:val="001F49B7"/>
    <w:rsid w:val="001F5A56"/>
    <w:rsid w:val="00201363"/>
    <w:rsid w:val="00203554"/>
    <w:rsid w:val="00215ED2"/>
    <w:rsid w:val="00231ABB"/>
    <w:rsid w:val="00252CE8"/>
    <w:rsid w:val="00267DD8"/>
    <w:rsid w:val="002700D7"/>
    <w:rsid w:val="00273456"/>
    <w:rsid w:val="00274CC3"/>
    <w:rsid w:val="0027529E"/>
    <w:rsid w:val="002878F8"/>
    <w:rsid w:val="00290E87"/>
    <w:rsid w:val="00291D6F"/>
    <w:rsid w:val="00295119"/>
    <w:rsid w:val="002A02D2"/>
    <w:rsid w:val="002A20FB"/>
    <w:rsid w:val="002A25D4"/>
    <w:rsid w:val="002A4595"/>
    <w:rsid w:val="002B2703"/>
    <w:rsid w:val="002B55C1"/>
    <w:rsid w:val="002B6634"/>
    <w:rsid w:val="002E1E65"/>
    <w:rsid w:val="002F3541"/>
    <w:rsid w:val="002F4EF0"/>
    <w:rsid w:val="00301C4F"/>
    <w:rsid w:val="00306FDA"/>
    <w:rsid w:val="00317478"/>
    <w:rsid w:val="003217FE"/>
    <w:rsid w:val="003254FA"/>
    <w:rsid w:val="003302E3"/>
    <w:rsid w:val="00336BFE"/>
    <w:rsid w:val="00343EDF"/>
    <w:rsid w:val="003446E8"/>
    <w:rsid w:val="0034495D"/>
    <w:rsid w:val="00377927"/>
    <w:rsid w:val="00380054"/>
    <w:rsid w:val="003816D8"/>
    <w:rsid w:val="003871E9"/>
    <w:rsid w:val="00397E4D"/>
    <w:rsid w:val="003B034E"/>
    <w:rsid w:val="003C0C7C"/>
    <w:rsid w:val="003C2D1D"/>
    <w:rsid w:val="003C450A"/>
    <w:rsid w:val="003C4539"/>
    <w:rsid w:val="003E3B3B"/>
    <w:rsid w:val="003E3C6A"/>
    <w:rsid w:val="00403B0A"/>
    <w:rsid w:val="00417C6A"/>
    <w:rsid w:val="00424B88"/>
    <w:rsid w:val="00430F3C"/>
    <w:rsid w:val="0043375C"/>
    <w:rsid w:val="00433D4C"/>
    <w:rsid w:val="0044340D"/>
    <w:rsid w:val="00457528"/>
    <w:rsid w:val="004632D1"/>
    <w:rsid w:val="004669BA"/>
    <w:rsid w:val="00484299"/>
    <w:rsid w:val="00486256"/>
    <w:rsid w:val="004B46FF"/>
    <w:rsid w:val="004B66F5"/>
    <w:rsid w:val="004C44FE"/>
    <w:rsid w:val="004D06F9"/>
    <w:rsid w:val="004D1195"/>
    <w:rsid w:val="004D188F"/>
    <w:rsid w:val="004F58DC"/>
    <w:rsid w:val="004F7D79"/>
    <w:rsid w:val="005268B6"/>
    <w:rsid w:val="0053140E"/>
    <w:rsid w:val="00534303"/>
    <w:rsid w:val="00557173"/>
    <w:rsid w:val="0056546B"/>
    <w:rsid w:val="005700EC"/>
    <w:rsid w:val="0058033F"/>
    <w:rsid w:val="00582A45"/>
    <w:rsid w:val="00592293"/>
    <w:rsid w:val="00593305"/>
    <w:rsid w:val="0059454A"/>
    <w:rsid w:val="005B0860"/>
    <w:rsid w:val="005B22FD"/>
    <w:rsid w:val="005C3B82"/>
    <w:rsid w:val="005E2B5F"/>
    <w:rsid w:val="005F34C0"/>
    <w:rsid w:val="005F67E4"/>
    <w:rsid w:val="00621212"/>
    <w:rsid w:val="00621A45"/>
    <w:rsid w:val="00630ACE"/>
    <w:rsid w:val="006321E7"/>
    <w:rsid w:val="00632802"/>
    <w:rsid w:val="00633120"/>
    <w:rsid w:val="00640CFD"/>
    <w:rsid w:val="00647C48"/>
    <w:rsid w:val="006506A0"/>
    <w:rsid w:val="006524D3"/>
    <w:rsid w:val="00652E01"/>
    <w:rsid w:val="00653C0D"/>
    <w:rsid w:val="00653F89"/>
    <w:rsid w:val="0065425F"/>
    <w:rsid w:val="0066741F"/>
    <w:rsid w:val="00671A14"/>
    <w:rsid w:val="00674366"/>
    <w:rsid w:val="0069190B"/>
    <w:rsid w:val="006947D2"/>
    <w:rsid w:val="006A1242"/>
    <w:rsid w:val="006B7132"/>
    <w:rsid w:val="006C2A5E"/>
    <w:rsid w:val="006C44D7"/>
    <w:rsid w:val="006C7DFB"/>
    <w:rsid w:val="006D5C02"/>
    <w:rsid w:val="006E3A15"/>
    <w:rsid w:val="006F5D2E"/>
    <w:rsid w:val="00732416"/>
    <w:rsid w:val="00746E95"/>
    <w:rsid w:val="00766206"/>
    <w:rsid w:val="00774493"/>
    <w:rsid w:val="00785498"/>
    <w:rsid w:val="00785F3F"/>
    <w:rsid w:val="00787422"/>
    <w:rsid w:val="00795D65"/>
    <w:rsid w:val="007A3684"/>
    <w:rsid w:val="007A416A"/>
    <w:rsid w:val="007A4C43"/>
    <w:rsid w:val="007B1E24"/>
    <w:rsid w:val="007C62F3"/>
    <w:rsid w:val="007E05AE"/>
    <w:rsid w:val="007E15E5"/>
    <w:rsid w:val="007F217F"/>
    <w:rsid w:val="007F5621"/>
    <w:rsid w:val="007F74C2"/>
    <w:rsid w:val="007F7625"/>
    <w:rsid w:val="0080178C"/>
    <w:rsid w:val="00805EA4"/>
    <w:rsid w:val="00807090"/>
    <w:rsid w:val="00812013"/>
    <w:rsid w:val="008144A4"/>
    <w:rsid w:val="00814615"/>
    <w:rsid w:val="00820AB8"/>
    <w:rsid w:val="00821C79"/>
    <w:rsid w:val="00827C20"/>
    <w:rsid w:val="0085726D"/>
    <w:rsid w:val="008609BF"/>
    <w:rsid w:val="00870787"/>
    <w:rsid w:val="00876720"/>
    <w:rsid w:val="008773F2"/>
    <w:rsid w:val="00881C20"/>
    <w:rsid w:val="00885B82"/>
    <w:rsid w:val="00886A9E"/>
    <w:rsid w:val="008B0C8B"/>
    <w:rsid w:val="008B108F"/>
    <w:rsid w:val="008B5B28"/>
    <w:rsid w:val="008B625E"/>
    <w:rsid w:val="008D4227"/>
    <w:rsid w:val="008D4D1C"/>
    <w:rsid w:val="008F0B66"/>
    <w:rsid w:val="008F5B43"/>
    <w:rsid w:val="008F6E68"/>
    <w:rsid w:val="0090199D"/>
    <w:rsid w:val="009065B0"/>
    <w:rsid w:val="00912F71"/>
    <w:rsid w:val="00917858"/>
    <w:rsid w:val="009455E1"/>
    <w:rsid w:val="00945DD1"/>
    <w:rsid w:val="009658BB"/>
    <w:rsid w:val="00967B8A"/>
    <w:rsid w:val="009744CE"/>
    <w:rsid w:val="00981796"/>
    <w:rsid w:val="00987E72"/>
    <w:rsid w:val="00991C9F"/>
    <w:rsid w:val="00996D7B"/>
    <w:rsid w:val="00997550"/>
    <w:rsid w:val="009A5382"/>
    <w:rsid w:val="009C2E14"/>
    <w:rsid w:val="009C2EA0"/>
    <w:rsid w:val="009D4600"/>
    <w:rsid w:val="009E278E"/>
    <w:rsid w:val="00A00B6B"/>
    <w:rsid w:val="00A01F20"/>
    <w:rsid w:val="00A032C7"/>
    <w:rsid w:val="00A03EA0"/>
    <w:rsid w:val="00A1323E"/>
    <w:rsid w:val="00A32485"/>
    <w:rsid w:val="00A37BB9"/>
    <w:rsid w:val="00A444DF"/>
    <w:rsid w:val="00A45A2E"/>
    <w:rsid w:val="00A71C1B"/>
    <w:rsid w:val="00A745FC"/>
    <w:rsid w:val="00A77FD9"/>
    <w:rsid w:val="00A85E1F"/>
    <w:rsid w:val="00A92EF1"/>
    <w:rsid w:val="00A938C5"/>
    <w:rsid w:val="00A95B92"/>
    <w:rsid w:val="00A972DD"/>
    <w:rsid w:val="00AA0896"/>
    <w:rsid w:val="00AA1C55"/>
    <w:rsid w:val="00AA2FB2"/>
    <w:rsid w:val="00AA7AD1"/>
    <w:rsid w:val="00AB06CC"/>
    <w:rsid w:val="00AB55A5"/>
    <w:rsid w:val="00AC484F"/>
    <w:rsid w:val="00AD298F"/>
    <w:rsid w:val="00AE76D7"/>
    <w:rsid w:val="00B224DD"/>
    <w:rsid w:val="00B22B65"/>
    <w:rsid w:val="00B2451F"/>
    <w:rsid w:val="00B4242F"/>
    <w:rsid w:val="00B44E6D"/>
    <w:rsid w:val="00B567D2"/>
    <w:rsid w:val="00B61FED"/>
    <w:rsid w:val="00B6568D"/>
    <w:rsid w:val="00B6694B"/>
    <w:rsid w:val="00B8063A"/>
    <w:rsid w:val="00B81BD9"/>
    <w:rsid w:val="00B8251B"/>
    <w:rsid w:val="00B85896"/>
    <w:rsid w:val="00B95F73"/>
    <w:rsid w:val="00BA0372"/>
    <w:rsid w:val="00BB0B36"/>
    <w:rsid w:val="00BB2ED3"/>
    <w:rsid w:val="00BB662B"/>
    <w:rsid w:val="00BB7670"/>
    <w:rsid w:val="00BC51D3"/>
    <w:rsid w:val="00BD5952"/>
    <w:rsid w:val="00BF3C93"/>
    <w:rsid w:val="00C06354"/>
    <w:rsid w:val="00C10500"/>
    <w:rsid w:val="00C113C3"/>
    <w:rsid w:val="00C13C77"/>
    <w:rsid w:val="00C15ACA"/>
    <w:rsid w:val="00C219F6"/>
    <w:rsid w:val="00C262C7"/>
    <w:rsid w:val="00C34623"/>
    <w:rsid w:val="00C565B1"/>
    <w:rsid w:val="00C72D36"/>
    <w:rsid w:val="00C74040"/>
    <w:rsid w:val="00C83210"/>
    <w:rsid w:val="00C85CF0"/>
    <w:rsid w:val="00C91975"/>
    <w:rsid w:val="00C941B7"/>
    <w:rsid w:val="00CA5030"/>
    <w:rsid w:val="00CA59B9"/>
    <w:rsid w:val="00CB371B"/>
    <w:rsid w:val="00CC1774"/>
    <w:rsid w:val="00CE117E"/>
    <w:rsid w:val="00D05EBC"/>
    <w:rsid w:val="00D10089"/>
    <w:rsid w:val="00D106AE"/>
    <w:rsid w:val="00D2175F"/>
    <w:rsid w:val="00D21C23"/>
    <w:rsid w:val="00D240C4"/>
    <w:rsid w:val="00D3015B"/>
    <w:rsid w:val="00D36213"/>
    <w:rsid w:val="00D476C4"/>
    <w:rsid w:val="00D5536F"/>
    <w:rsid w:val="00D7262C"/>
    <w:rsid w:val="00D758B5"/>
    <w:rsid w:val="00D8021D"/>
    <w:rsid w:val="00D83C33"/>
    <w:rsid w:val="00D96265"/>
    <w:rsid w:val="00DA6604"/>
    <w:rsid w:val="00DB171D"/>
    <w:rsid w:val="00DB521C"/>
    <w:rsid w:val="00DB5A55"/>
    <w:rsid w:val="00DC7153"/>
    <w:rsid w:val="00DE05A3"/>
    <w:rsid w:val="00DE6BEA"/>
    <w:rsid w:val="00DF0B0C"/>
    <w:rsid w:val="00E0495B"/>
    <w:rsid w:val="00E1061F"/>
    <w:rsid w:val="00E15AE4"/>
    <w:rsid w:val="00E241B0"/>
    <w:rsid w:val="00E327F9"/>
    <w:rsid w:val="00E42BC5"/>
    <w:rsid w:val="00E45CC8"/>
    <w:rsid w:val="00E460CC"/>
    <w:rsid w:val="00E80986"/>
    <w:rsid w:val="00E82C08"/>
    <w:rsid w:val="00E87031"/>
    <w:rsid w:val="00E92063"/>
    <w:rsid w:val="00E9789D"/>
    <w:rsid w:val="00EA3135"/>
    <w:rsid w:val="00EA57A1"/>
    <w:rsid w:val="00EB32B7"/>
    <w:rsid w:val="00EB6C02"/>
    <w:rsid w:val="00ED2B40"/>
    <w:rsid w:val="00EE09FC"/>
    <w:rsid w:val="00F04CE3"/>
    <w:rsid w:val="00F05E65"/>
    <w:rsid w:val="00F12092"/>
    <w:rsid w:val="00F20685"/>
    <w:rsid w:val="00F57ACF"/>
    <w:rsid w:val="00F67EA7"/>
    <w:rsid w:val="00F70B35"/>
    <w:rsid w:val="00F94A5D"/>
    <w:rsid w:val="00F97F3A"/>
    <w:rsid w:val="00FA77DD"/>
    <w:rsid w:val="00FD0C03"/>
    <w:rsid w:val="00FD21B4"/>
    <w:rsid w:val="00FF64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A02D2"/>
    <w:rPr>
      <w:rFonts w:ascii="Arial" w:hAnsi="Arial"/>
      <w:lang w:val="en-GB"/>
    </w:rPr>
  </w:style>
  <w:style w:type="paragraph" w:styleId="Antrat1">
    <w:name w:val="heading 1"/>
    <w:basedOn w:val="prastasis"/>
    <w:next w:val="prastasis"/>
    <w:qFormat/>
    <w:rsid w:val="002A02D2"/>
    <w:pPr>
      <w:keepNext/>
      <w:ind w:right="-85"/>
      <w:jc w:val="right"/>
      <w:outlineLvl w:val="0"/>
    </w:pPr>
    <w:rPr>
      <w:rFonts w:ascii="AvantGarde Bk BT" w:hAnsi="AvantGarde Bk BT"/>
      <w:sz w:val="35"/>
    </w:rPr>
  </w:style>
  <w:style w:type="paragraph" w:styleId="Antrat2">
    <w:name w:val="heading 2"/>
    <w:basedOn w:val="prastasis"/>
    <w:next w:val="prastasis"/>
    <w:qFormat/>
    <w:rsid w:val="002A02D2"/>
    <w:pPr>
      <w:keepNext/>
      <w:ind w:right="-113"/>
      <w:outlineLvl w:val="1"/>
    </w:pPr>
    <w:rPr>
      <w:i/>
      <w:sz w:val="18"/>
      <w:lang w:val="en-US"/>
    </w:rPr>
  </w:style>
  <w:style w:type="paragraph" w:styleId="Antrat3">
    <w:name w:val="heading 3"/>
    <w:basedOn w:val="prastasis"/>
    <w:next w:val="prastasis"/>
    <w:qFormat/>
    <w:rsid w:val="002A02D2"/>
    <w:pPr>
      <w:keepNext/>
      <w:jc w:val="right"/>
      <w:outlineLvl w:val="2"/>
    </w:pPr>
    <w:rPr>
      <w:i/>
      <w:sz w:val="17"/>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2A02D2"/>
    <w:pPr>
      <w:tabs>
        <w:tab w:val="center" w:pos="4153"/>
        <w:tab w:val="right" w:pos="8306"/>
      </w:tabs>
    </w:pPr>
  </w:style>
  <w:style w:type="paragraph" w:styleId="Porat">
    <w:name w:val="footer"/>
    <w:basedOn w:val="prastasis"/>
    <w:rsid w:val="002A02D2"/>
    <w:pPr>
      <w:tabs>
        <w:tab w:val="center" w:pos="4153"/>
        <w:tab w:val="right" w:pos="8306"/>
      </w:tabs>
    </w:pPr>
  </w:style>
  <w:style w:type="character" w:styleId="Puslapionumeris">
    <w:name w:val="page number"/>
    <w:rsid w:val="002A02D2"/>
    <w:rPr>
      <w:rFonts w:ascii="Arial" w:hAnsi="Arial"/>
      <w:dstrike w:val="0"/>
      <w:color w:val="auto"/>
      <w:vertAlign w:val="baseline"/>
    </w:rPr>
  </w:style>
  <w:style w:type="character" w:styleId="Hipersaitas">
    <w:name w:val="Hyperlink"/>
    <w:rsid w:val="002A02D2"/>
    <w:rPr>
      <w:color w:val="0000FF"/>
      <w:u w:val="single"/>
    </w:rPr>
  </w:style>
  <w:style w:type="paragraph" w:customStyle="1" w:styleId="Pasiteirauti">
    <w:name w:val="Pasiteirauti"/>
    <w:basedOn w:val="prastasis"/>
    <w:rsid w:val="002A02D2"/>
    <w:pPr>
      <w:outlineLvl w:val="1"/>
    </w:pPr>
    <w:rPr>
      <w:sz w:val="19"/>
      <w:lang w:val="lt-LT"/>
    </w:rPr>
  </w:style>
  <w:style w:type="paragraph" w:customStyle="1" w:styleId="Nrdata">
    <w:name w:val="Nr_data"/>
    <w:basedOn w:val="prastasis"/>
    <w:rsid w:val="002A02D2"/>
    <w:pPr>
      <w:jc w:val="right"/>
    </w:pPr>
    <w:rPr>
      <w:sz w:val="22"/>
    </w:rPr>
  </w:style>
  <w:style w:type="paragraph" w:customStyle="1" w:styleId="Antraste">
    <w:name w:val="Antraste"/>
    <w:basedOn w:val="Antrat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prastasis"/>
    <w:rsid w:val="002A02D2"/>
    <w:pPr>
      <w:spacing w:before="40" w:after="40"/>
      <w:ind w:left="-57" w:right="-57"/>
      <w:jc w:val="center"/>
    </w:pPr>
    <w:rPr>
      <w:sz w:val="19"/>
      <w:lang w:val="lt-LT"/>
    </w:rPr>
  </w:style>
  <w:style w:type="paragraph" w:styleId="Pagrindinistekstas2">
    <w:name w:val="Body Text 2"/>
    <w:basedOn w:val="prastasis"/>
    <w:rsid w:val="002A02D2"/>
    <w:pPr>
      <w:widowControl w:val="0"/>
      <w:spacing w:before="40" w:after="20"/>
      <w:jc w:val="center"/>
    </w:pPr>
    <w:rPr>
      <w:sz w:val="22"/>
      <w:lang w:val="en-AU"/>
    </w:rPr>
  </w:style>
  <w:style w:type="paragraph" w:customStyle="1" w:styleId="0atitr">
    <w:name w:val="0_atitr"/>
    <w:basedOn w:val="prastasis"/>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prastasis"/>
    <w:rsid w:val="002A02D2"/>
    <w:pPr>
      <w:spacing w:before="20" w:after="20"/>
      <w:ind w:right="284"/>
      <w:jc w:val="right"/>
    </w:pPr>
    <w:rPr>
      <w:sz w:val="19"/>
      <w:lang w:val="lt-LT"/>
    </w:rPr>
  </w:style>
  <w:style w:type="paragraph" w:customStyle="1" w:styleId="Pagrtekstas">
    <w:name w:val="Pagr_tekstas"/>
    <w:basedOn w:val="prastasis"/>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prastasis"/>
    <w:rsid w:val="002A02D2"/>
    <w:rPr>
      <w:lang w:val="lt-LT"/>
    </w:rPr>
  </w:style>
  <w:style w:type="paragraph" w:customStyle="1" w:styleId="Pranesimas">
    <w:name w:val="Pranesimas"/>
    <w:basedOn w:val="prastasis"/>
    <w:rsid w:val="002A02D2"/>
    <w:rPr>
      <w:sz w:val="12"/>
      <w:lang w:val="lt-LT"/>
    </w:rPr>
  </w:style>
  <w:style w:type="paragraph" w:customStyle="1" w:styleId="Saltinis">
    <w:name w:val="Saltinis"/>
    <w:basedOn w:val="prastasis"/>
    <w:rsid w:val="002A02D2"/>
    <w:rPr>
      <w:sz w:val="18"/>
    </w:rPr>
  </w:style>
  <w:style w:type="paragraph" w:styleId="Debesliotekstas">
    <w:name w:val="Balloon Text"/>
    <w:basedOn w:val="prastasis"/>
    <w:link w:val="DebesliotekstasDiagrama"/>
    <w:rsid w:val="00CB371B"/>
    <w:rPr>
      <w:rFonts w:ascii="Tahoma" w:hAnsi="Tahoma"/>
      <w:sz w:val="16"/>
      <w:szCs w:val="16"/>
    </w:rPr>
  </w:style>
  <w:style w:type="character" w:customStyle="1" w:styleId="DebesliotekstasDiagrama">
    <w:name w:val="Debesėlio tekstas Diagrama"/>
    <w:link w:val="Debesliotekstas"/>
    <w:rsid w:val="00CB371B"/>
    <w:rPr>
      <w:rFonts w:ascii="Tahoma" w:hAnsi="Tahoma" w:cs="Tahoma"/>
      <w:sz w:val="16"/>
      <w:szCs w:val="16"/>
      <w:lang w:val="en-GB" w:eastAsia="en-US"/>
    </w:rPr>
  </w:style>
  <w:style w:type="character" w:styleId="Perirtashipersaitas">
    <w:name w:val="FollowedHyperlink"/>
    <w:rsid w:val="00D8021D"/>
    <w:rPr>
      <w:color w:val="800080"/>
      <w:u w:val="single"/>
    </w:rPr>
  </w:style>
  <w:style w:type="character" w:styleId="Grietas">
    <w:name w:val="Strong"/>
    <w:uiPriority w:val="22"/>
    <w:qFormat/>
    <w:rsid w:val="00EB32B7"/>
    <w:rPr>
      <w:b/>
      <w:bCs/>
    </w:rPr>
  </w:style>
  <w:style w:type="paragraph" w:styleId="Sraopastraipa">
    <w:name w:val="List Paragraph"/>
    <w:basedOn w:val="prastasis"/>
    <w:uiPriority w:val="34"/>
    <w:qFormat/>
    <w:rsid w:val="00EB32B7"/>
    <w:pPr>
      <w:ind w:left="720"/>
      <w:contextualSpacing/>
    </w:pPr>
  </w:style>
  <w:style w:type="paragraph" w:styleId="prastasistinklapis">
    <w:name w:val="Normal (Web)"/>
    <w:basedOn w:val="prastasis"/>
    <w:uiPriority w:val="99"/>
    <w:unhideWhenUsed/>
    <w:rsid w:val="00EB32B7"/>
    <w:pPr>
      <w:spacing w:before="100" w:beforeAutospacing="1" w:after="100" w:afterAutospacing="1"/>
    </w:pPr>
    <w:rPr>
      <w:rFonts w:ascii="Times New Roman" w:hAnsi="Times New Roman"/>
      <w:sz w:val="24"/>
      <w:szCs w:val="24"/>
      <w:lang w:val="lt-LT" w:eastAsia="lt-LT"/>
    </w:rPr>
  </w:style>
  <w:style w:type="character" w:customStyle="1" w:styleId="term-name">
    <w:name w:val="term-name"/>
    <w:basedOn w:val="Numatytasispastraiposriftas"/>
    <w:rsid w:val="00EB32B7"/>
  </w:style>
  <w:style w:type="character" w:customStyle="1" w:styleId="term-description">
    <w:name w:val="term-description"/>
    <w:basedOn w:val="Numatytasispastraiposriftas"/>
    <w:rsid w:val="00EB32B7"/>
  </w:style>
  <w:style w:type="character" w:customStyle="1" w:styleId="AntratsDiagrama">
    <w:name w:val="Antraštės Diagrama"/>
    <w:basedOn w:val="Numatytasispastraiposriftas"/>
    <w:link w:val="Antrats"/>
    <w:rsid w:val="00336BFE"/>
    <w:rPr>
      <w:rFonts w:ascii="Arial" w:hAnsi="Arial"/>
      <w:lang w:val="en-GB"/>
    </w:rPr>
  </w:style>
  <w:style w:type="paragraph" w:customStyle="1" w:styleId="lentpav">
    <w:name w:val="lentpav"/>
    <w:basedOn w:val="prastasis"/>
    <w:rsid w:val="00336BFE"/>
    <w:rPr>
      <w:b/>
      <w:lang w:val="lt-LT"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A02D2"/>
    <w:rPr>
      <w:rFonts w:ascii="Arial" w:hAnsi="Arial"/>
      <w:lang w:val="en-GB"/>
    </w:rPr>
  </w:style>
  <w:style w:type="paragraph" w:styleId="Antrat1">
    <w:name w:val="heading 1"/>
    <w:basedOn w:val="prastasis"/>
    <w:next w:val="prastasis"/>
    <w:qFormat/>
    <w:rsid w:val="002A02D2"/>
    <w:pPr>
      <w:keepNext/>
      <w:ind w:right="-85"/>
      <w:jc w:val="right"/>
      <w:outlineLvl w:val="0"/>
    </w:pPr>
    <w:rPr>
      <w:rFonts w:ascii="AvantGarde Bk BT" w:hAnsi="AvantGarde Bk BT"/>
      <w:sz w:val="35"/>
    </w:rPr>
  </w:style>
  <w:style w:type="paragraph" w:styleId="Antrat2">
    <w:name w:val="heading 2"/>
    <w:basedOn w:val="prastasis"/>
    <w:next w:val="prastasis"/>
    <w:qFormat/>
    <w:rsid w:val="002A02D2"/>
    <w:pPr>
      <w:keepNext/>
      <w:ind w:right="-113"/>
      <w:outlineLvl w:val="1"/>
    </w:pPr>
    <w:rPr>
      <w:i/>
      <w:sz w:val="18"/>
      <w:lang w:val="en-US"/>
    </w:rPr>
  </w:style>
  <w:style w:type="paragraph" w:styleId="Antrat3">
    <w:name w:val="heading 3"/>
    <w:basedOn w:val="prastasis"/>
    <w:next w:val="prastasis"/>
    <w:qFormat/>
    <w:rsid w:val="002A02D2"/>
    <w:pPr>
      <w:keepNext/>
      <w:jc w:val="right"/>
      <w:outlineLvl w:val="2"/>
    </w:pPr>
    <w:rPr>
      <w:i/>
      <w:sz w:val="17"/>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2A02D2"/>
    <w:pPr>
      <w:tabs>
        <w:tab w:val="center" w:pos="4153"/>
        <w:tab w:val="right" w:pos="8306"/>
      </w:tabs>
    </w:pPr>
  </w:style>
  <w:style w:type="paragraph" w:styleId="Porat">
    <w:name w:val="footer"/>
    <w:basedOn w:val="prastasis"/>
    <w:rsid w:val="002A02D2"/>
    <w:pPr>
      <w:tabs>
        <w:tab w:val="center" w:pos="4153"/>
        <w:tab w:val="right" w:pos="8306"/>
      </w:tabs>
    </w:pPr>
  </w:style>
  <w:style w:type="character" w:styleId="Puslapionumeris">
    <w:name w:val="page number"/>
    <w:rsid w:val="002A02D2"/>
    <w:rPr>
      <w:rFonts w:ascii="Arial" w:hAnsi="Arial"/>
      <w:dstrike w:val="0"/>
      <w:color w:val="auto"/>
      <w:vertAlign w:val="baseline"/>
    </w:rPr>
  </w:style>
  <w:style w:type="character" w:styleId="Hipersaitas">
    <w:name w:val="Hyperlink"/>
    <w:rsid w:val="002A02D2"/>
    <w:rPr>
      <w:color w:val="0000FF"/>
      <w:u w:val="single"/>
    </w:rPr>
  </w:style>
  <w:style w:type="paragraph" w:customStyle="1" w:styleId="Pasiteirauti">
    <w:name w:val="Pasiteirauti"/>
    <w:basedOn w:val="prastasis"/>
    <w:rsid w:val="002A02D2"/>
    <w:pPr>
      <w:outlineLvl w:val="1"/>
    </w:pPr>
    <w:rPr>
      <w:sz w:val="19"/>
      <w:lang w:val="lt-LT"/>
    </w:rPr>
  </w:style>
  <w:style w:type="paragraph" w:customStyle="1" w:styleId="Nrdata">
    <w:name w:val="Nr_data"/>
    <w:basedOn w:val="prastasis"/>
    <w:rsid w:val="002A02D2"/>
    <w:pPr>
      <w:jc w:val="right"/>
    </w:pPr>
    <w:rPr>
      <w:sz w:val="22"/>
    </w:rPr>
  </w:style>
  <w:style w:type="paragraph" w:customStyle="1" w:styleId="Antraste">
    <w:name w:val="Antraste"/>
    <w:basedOn w:val="Antrat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prastasis"/>
    <w:rsid w:val="002A02D2"/>
    <w:pPr>
      <w:spacing w:before="40" w:after="40"/>
      <w:ind w:left="-57" w:right="-57"/>
      <w:jc w:val="center"/>
    </w:pPr>
    <w:rPr>
      <w:sz w:val="19"/>
      <w:lang w:val="lt-LT"/>
    </w:rPr>
  </w:style>
  <w:style w:type="paragraph" w:styleId="Pagrindinistekstas2">
    <w:name w:val="Body Text 2"/>
    <w:basedOn w:val="prastasis"/>
    <w:rsid w:val="002A02D2"/>
    <w:pPr>
      <w:widowControl w:val="0"/>
      <w:spacing w:before="40" w:after="20"/>
      <w:jc w:val="center"/>
    </w:pPr>
    <w:rPr>
      <w:sz w:val="22"/>
      <w:lang w:val="en-AU"/>
    </w:rPr>
  </w:style>
  <w:style w:type="paragraph" w:customStyle="1" w:styleId="0atitr">
    <w:name w:val="0_atitr"/>
    <w:basedOn w:val="prastasis"/>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prastasis"/>
    <w:rsid w:val="002A02D2"/>
    <w:pPr>
      <w:spacing w:before="20" w:after="20"/>
      <w:ind w:right="284"/>
      <w:jc w:val="right"/>
    </w:pPr>
    <w:rPr>
      <w:sz w:val="19"/>
      <w:lang w:val="lt-LT"/>
    </w:rPr>
  </w:style>
  <w:style w:type="paragraph" w:customStyle="1" w:styleId="Pagrtekstas">
    <w:name w:val="Pagr_tekstas"/>
    <w:basedOn w:val="prastasis"/>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prastasis"/>
    <w:rsid w:val="002A02D2"/>
    <w:rPr>
      <w:lang w:val="lt-LT"/>
    </w:rPr>
  </w:style>
  <w:style w:type="paragraph" w:customStyle="1" w:styleId="Pranesimas">
    <w:name w:val="Pranesimas"/>
    <w:basedOn w:val="prastasis"/>
    <w:rsid w:val="002A02D2"/>
    <w:rPr>
      <w:sz w:val="12"/>
      <w:lang w:val="lt-LT"/>
    </w:rPr>
  </w:style>
  <w:style w:type="paragraph" w:customStyle="1" w:styleId="Saltinis">
    <w:name w:val="Saltinis"/>
    <w:basedOn w:val="prastasis"/>
    <w:rsid w:val="002A02D2"/>
    <w:rPr>
      <w:sz w:val="18"/>
    </w:rPr>
  </w:style>
  <w:style w:type="paragraph" w:styleId="Debesliotekstas">
    <w:name w:val="Balloon Text"/>
    <w:basedOn w:val="prastasis"/>
    <w:link w:val="DebesliotekstasDiagrama"/>
    <w:rsid w:val="00CB371B"/>
    <w:rPr>
      <w:rFonts w:ascii="Tahoma" w:hAnsi="Tahoma"/>
      <w:sz w:val="16"/>
      <w:szCs w:val="16"/>
    </w:rPr>
  </w:style>
  <w:style w:type="character" w:customStyle="1" w:styleId="DebesliotekstasDiagrama">
    <w:name w:val="Debesėlio tekstas Diagrama"/>
    <w:link w:val="Debesliotekstas"/>
    <w:rsid w:val="00CB371B"/>
    <w:rPr>
      <w:rFonts w:ascii="Tahoma" w:hAnsi="Tahoma" w:cs="Tahoma"/>
      <w:sz w:val="16"/>
      <w:szCs w:val="16"/>
      <w:lang w:val="en-GB" w:eastAsia="en-US"/>
    </w:rPr>
  </w:style>
  <w:style w:type="character" w:styleId="Perirtashipersaitas">
    <w:name w:val="FollowedHyperlink"/>
    <w:rsid w:val="00D8021D"/>
    <w:rPr>
      <w:color w:val="800080"/>
      <w:u w:val="single"/>
    </w:rPr>
  </w:style>
  <w:style w:type="character" w:styleId="Grietas">
    <w:name w:val="Strong"/>
    <w:uiPriority w:val="22"/>
    <w:qFormat/>
    <w:rsid w:val="00EB32B7"/>
    <w:rPr>
      <w:b/>
      <w:bCs/>
    </w:rPr>
  </w:style>
  <w:style w:type="paragraph" w:styleId="Sraopastraipa">
    <w:name w:val="List Paragraph"/>
    <w:basedOn w:val="prastasis"/>
    <w:uiPriority w:val="34"/>
    <w:qFormat/>
    <w:rsid w:val="00EB32B7"/>
    <w:pPr>
      <w:ind w:left="720"/>
      <w:contextualSpacing/>
    </w:pPr>
  </w:style>
  <w:style w:type="paragraph" w:styleId="prastasistinklapis">
    <w:name w:val="Normal (Web)"/>
    <w:basedOn w:val="prastasis"/>
    <w:uiPriority w:val="99"/>
    <w:unhideWhenUsed/>
    <w:rsid w:val="00EB32B7"/>
    <w:pPr>
      <w:spacing w:before="100" w:beforeAutospacing="1" w:after="100" w:afterAutospacing="1"/>
    </w:pPr>
    <w:rPr>
      <w:rFonts w:ascii="Times New Roman" w:hAnsi="Times New Roman"/>
      <w:sz w:val="24"/>
      <w:szCs w:val="24"/>
      <w:lang w:val="lt-LT" w:eastAsia="lt-LT"/>
    </w:rPr>
  </w:style>
  <w:style w:type="character" w:customStyle="1" w:styleId="term-name">
    <w:name w:val="term-name"/>
    <w:basedOn w:val="Numatytasispastraiposriftas"/>
    <w:rsid w:val="00EB32B7"/>
  </w:style>
  <w:style w:type="character" w:customStyle="1" w:styleId="term-description">
    <w:name w:val="term-description"/>
    <w:basedOn w:val="Numatytasispastraiposriftas"/>
    <w:rsid w:val="00EB32B7"/>
  </w:style>
  <w:style w:type="character" w:customStyle="1" w:styleId="AntratsDiagrama">
    <w:name w:val="Antraštės Diagrama"/>
    <w:basedOn w:val="Numatytasispastraiposriftas"/>
    <w:link w:val="Antrats"/>
    <w:rsid w:val="00336BFE"/>
    <w:rPr>
      <w:rFonts w:ascii="Arial" w:hAnsi="Arial"/>
      <w:lang w:val="en-GB"/>
    </w:rPr>
  </w:style>
  <w:style w:type="paragraph" w:customStyle="1" w:styleId="lentpav">
    <w:name w:val="lentpav"/>
    <w:basedOn w:val="prastasis"/>
    <w:rsid w:val="00336BFE"/>
    <w:rPr>
      <w:b/>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9302">
      <w:bodyDiv w:val="1"/>
      <w:marLeft w:val="0"/>
      <w:marRight w:val="0"/>
      <w:marTop w:val="0"/>
      <w:marBottom w:val="0"/>
      <w:divBdr>
        <w:top w:val="none" w:sz="0" w:space="0" w:color="auto"/>
        <w:left w:val="none" w:sz="0" w:space="0" w:color="auto"/>
        <w:bottom w:val="none" w:sz="0" w:space="0" w:color="auto"/>
        <w:right w:val="none" w:sz="0" w:space="0" w:color="auto"/>
      </w:divBdr>
    </w:div>
    <w:div w:id="212422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sp.stat.gov.lt/statistiniu-rodikliu-analize?hash=327491e0-5f2e-4e65-8b88-6b7f899fc743" TargetMode="Externa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sp.stat.gov.lt/statistikos-terminu-zodynas"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osp.stat.gov.lt/statistiniu-rodikliu-analize?hash=f98ecddb-c8b3-420b-bc26-3c03f01051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https://ec.europa.eu/eurostat/documents/4031688/9394165/KS-02-18-142-LT-N.pdf/2c6787ed-aaf1-4f30-bad1-aa65bf1e964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osp.stat.gov.lt/statistiniu-rodikliu-analize?hash=e7cad9af-3ba3-41a3-be20-1791a20dc0ff"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osp.stat.gov.lt/statistiniu-rodikliu-analize?indicator=S3R27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DaliaL\Desktop\Laisvos%20darbo%20vietos\Laisvos%20darbo%20vietos\Ketvirtines\2020\2020%20IV%20ketv\Prane&#353;imai%20spaudai\2020%20m%20IV%20ketv%20inform%20%20prane&#353;%20laisvos%20darbo%20vietos.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1"/>
    <c:plotArea>
      <c:layout>
        <c:manualLayout>
          <c:layoutTarget val="inner"/>
          <c:xMode val="edge"/>
          <c:yMode val="edge"/>
          <c:x val="4.0591009697981392E-2"/>
          <c:y val="0.10942747597015039"/>
          <c:w val="0.90538049782515595"/>
          <c:h val="0.73411186002969364"/>
        </c:manualLayout>
      </c:layout>
      <c:barChart>
        <c:barDir val="col"/>
        <c:grouping val="clustered"/>
        <c:varyColors val="0"/>
        <c:ser>
          <c:idx val="1"/>
          <c:order val="0"/>
          <c:tx>
            <c:strRef>
              <c:f>Sheet1!$A$2</c:f>
              <c:strCache>
                <c:ptCount val="1"/>
                <c:pt idx="0">
                  <c:v>Laisvos darbo vietos, tūkst.</c:v>
                </c:pt>
              </c:strCache>
            </c:strRef>
          </c:tx>
          <c:spPr>
            <a:solidFill>
              <a:srgbClr val="F0D2D2"/>
            </a:solidFill>
            <a:ln>
              <a:noFill/>
            </a:ln>
            <a:effectLst/>
          </c:spPr>
          <c:invertIfNegative val="0"/>
          <c:dLbls>
            <c:numFmt formatCode="#,##00" sourceLinked="0"/>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Sheet1!$B$1:$U$1</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Sheet1!$B$2:$U$2</c:f>
              <c:numCache>
                <c:formatCode>#.#00</c:formatCode>
                <c:ptCount val="20"/>
                <c:pt idx="0">
                  <c:v>16.3</c:v>
                </c:pt>
                <c:pt idx="1">
                  <c:v>16.8</c:v>
                </c:pt>
                <c:pt idx="2">
                  <c:v>16.899999999999999</c:v>
                </c:pt>
                <c:pt idx="3">
                  <c:v>14.9</c:v>
                </c:pt>
                <c:pt idx="4">
                  <c:v>20.7</c:v>
                </c:pt>
                <c:pt idx="5">
                  <c:v>19.8</c:v>
                </c:pt>
                <c:pt idx="6">
                  <c:v>20.399999999999999</c:v>
                </c:pt>
                <c:pt idx="7">
                  <c:v>19.3</c:v>
                </c:pt>
                <c:pt idx="8">
                  <c:v>20.100000000000001</c:v>
                </c:pt>
                <c:pt idx="9">
                  <c:v>19.2</c:v>
                </c:pt>
                <c:pt idx="10">
                  <c:v>18.7</c:v>
                </c:pt>
                <c:pt idx="11">
                  <c:v>16</c:v>
                </c:pt>
                <c:pt idx="12">
                  <c:v>19.100000000000001</c:v>
                </c:pt>
                <c:pt idx="13">
                  <c:v>18.7</c:v>
                </c:pt>
                <c:pt idx="14">
                  <c:v>18.3</c:v>
                </c:pt>
                <c:pt idx="15">
                  <c:v>17.3</c:v>
                </c:pt>
                <c:pt idx="16">
                  <c:v>15</c:v>
                </c:pt>
                <c:pt idx="17">
                  <c:v>17.3</c:v>
                </c:pt>
                <c:pt idx="18">
                  <c:v>18.399999999999999</c:v>
                </c:pt>
                <c:pt idx="19">
                  <c:v>15.6</c:v>
                </c:pt>
              </c:numCache>
            </c:numRef>
          </c:val>
          <c:extLst xmlns:c16r2="http://schemas.microsoft.com/office/drawing/2015/06/chart">
            <c:ext xmlns:c16="http://schemas.microsoft.com/office/drawing/2014/chart" uri="{C3380CC4-5D6E-409C-BE32-E72D297353CC}">
              <c16:uniqueId val="{00000000-A24D-4123-9E13-3D2E0C2AF646}"/>
            </c:ext>
          </c:extLst>
        </c:ser>
        <c:dLbls>
          <c:showLegendKey val="0"/>
          <c:showVal val="1"/>
          <c:showCatName val="0"/>
          <c:showSerName val="0"/>
          <c:showPercent val="0"/>
          <c:showBubbleSize val="0"/>
        </c:dLbls>
        <c:gapWidth val="25"/>
        <c:axId val="123216640"/>
        <c:axId val="123219328"/>
      </c:barChart>
      <c:lineChart>
        <c:grouping val="standard"/>
        <c:varyColors val="0"/>
        <c:ser>
          <c:idx val="0"/>
          <c:order val="1"/>
          <c:tx>
            <c:strRef>
              <c:f>Sheet1!$A$3</c:f>
              <c:strCache>
                <c:ptCount val="1"/>
                <c:pt idx="0">
                  <c:v>Laisvų darbo vietų lygis, proc.</c:v>
                </c:pt>
              </c:strCache>
            </c:strRef>
          </c:tx>
          <c:spPr>
            <a:ln w="31750" cap="sq">
              <a:solidFill>
                <a:srgbClr val="DC506E"/>
              </a:solidFill>
            </a:ln>
            <a:effectLst/>
          </c:spPr>
          <c:marker>
            <c:symbol val="circle"/>
            <c:size val="5"/>
            <c:spPr>
              <a:solidFill>
                <a:schemeClr val="bg1"/>
              </a:solidFill>
              <a:ln w="12700">
                <a:solidFill>
                  <a:srgbClr val="DC506E"/>
                </a:solidFill>
              </a:ln>
              <a:effectLst/>
            </c:spPr>
          </c:marker>
          <c:dLbls>
            <c:dLbl>
              <c:idx val="17"/>
              <c:layout>
                <c:manualLayout>
                  <c:x val="-2.7388874167593284E-2"/>
                  <c:y val="-7.54288490749029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24D-4123-9E13-3D2E0C2AF646}"/>
                </c:ext>
              </c:extLst>
            </c:dLbl>
            <c:numFmt formatCode="#,##00" sourceLinked="0"/>
            <c:spPr>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Sheet1!$B$1:$U$1</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Sheet1!$B$3:$U$3</c:f>
              <c:numCache>
                <c:formatCode>#.#00</c:formatCode>
                <c:ptCount val="20"/>
                <c:pt idx="0">
                  <c:v>1.3</c:v>
                </c:pt>
                <c:pt idx="1">
                  <c:v>1.3</c:v>
                </c:pt>
                <c:pt idx="2">
                  <c:v>1.3</c:v>
                </c:pt>
                <c:pt idx="3">
                  <c:v>1.2</c:v>
                </c:pt>
                <c:pt idx="4">
                  <c:v>1.6</c:v>
                </c:pt>
                <c:pt idx="5">
                  <c:v>1.5</c:v>
                </c:pt>
                <c:pt idx="6">
                  <c:v>1.6</c:v>
                </c:pt>
                <c:pt idx="7">
                  <c:v>1.5</c:v>
                </c:pt>
                <c:pt idx="8">
                  <c:v>1.6</c:v>
                </c:pt>
                <c:pt idx="9">
                  <c:v>1.5</c:v>
                </c:pt>
                <c:pt idx="10">
                  <c:v>1.5</c:v>
                </c:pt>
                <c:pt idx="11">
                  <c:v>1.3</c:v>
                </c:pt>
                <c:pt idx="12">
                  <c:v>1.5</c:v>
                </c:pt>
                <c:pt idx="13">
                  <c:v>1.4</c:v>
                </c:pt>
                <c:pt idx="14">
                  <c:v>1.4</c:v>
                </c:pt>
                <c:pt idx="15">
                  <c:v>1.3</c:v>
                </c:pt>
                <c:pt idx="16">
                  <c:v>1.1000000000000001</c:v>
                </c:pt>
                <c:pt idx="17">
                  <c:v>1.3</c:v>
                </c:pt>
                <c:pt idx="18">
                  <c:v>1.4</c:v>
                </c:pt>
                <c:pt idx="19">
                  <c:v>1.2</c:v>
                </c:pt>
              </c:numCache>
            </c:numRef>
          </c:val>
          <c:smooth val="0"/>
          <c:extLst xmlns:c16r2="http://schemas.microsoft.com/office/drawing/2015/06/chart">
            <c:ext xmlns:c16="http://schemas.microsoft.com/office/drawing/2014/chart" uri="{C3380CC4-5D6E-409C-BE32-E72D297353CC}">
              <c16:uniqueId val="{00000002-A24D-4123-9E13-3D2E0C2AF646}"/>
            </c:ext>
          </c:extLst>
        </c:ser>
        <c:dLbls>
          <c:showLegendKey val="0"/>
          <c:showVal val="1"/>
          <c:showCatName val="0"/>
          <c:showSerName val="0"/>
          <c:showPercent val="0"/>
          <c:showBubbleSize val="0"/>
        </c:dLbls>
        <c:marker val="1"/>
        <c:smooth val="0"/>
        <c:axId val="173316736"/>
        <c:axId val="173315200"/>
      </c:lineChart>
      <c:catAx>
        <c:axId val="123216640"/>
        <c:scaling>
          <c:orientation val="minMax"/>
        </c:scaling>
        <c:delete val="0"/>
        <c:axPos val="b"/>
        <c:numFmt formatCode="#.000" sourceLinked="0"/>
        <c:majorTickMark val="cross"/>
        <c:minorTickMark val="none"/>
        <c:tickLblPos val="nextTo"/>
        <c:txPr>
          <a:bodyPr rot="0" vert="horz"/>
          <a:lstStyle/>
          <a:p>
            <a:pPr>
              <a:defRPr/>
            </a:pPr>
            <a:endParaRPr lang="lt-LT"/>
          </a:p>
        </c:txPr>
        <c:crossAx val="123219328"/>
        <c:crosses val="autoZero"/>
        <c:auto val="0"/>
        <c:lblAlgn val="ctr"/>
        <c:lblOffset val="100"/>
        <c:tickLblSkip val="1"/>
        <c:tickMarkSkip val="4"/>
        <c:noMultiLvlLbl val="0"/>
      </c:catAx>
      <c:valAx>
        <c:axId val="123219328"/>
        <c:scaling>
          <c:orientation val="minMax"/>
          <c:max val="22"/>
          <c:min val="0"/>
        </c:scaling>
        <c:delete val="0"/>
        <c:axPos val="l"/>
        <c:numFmt formatCode="0" sourceLinked="0"/>
        <c:majorTickMark val="out"/>
        <c:minorTickMark val="none"/>
        <c:tickLblPos val="nextTo"/>
        <c:spPr>
          <a:ln>
            <a:solidFill>
              <a:schemeClr val="tx1"/>
            </a:solidFill>
          </a:ln>
        </c:spPr>
        <c:txPr>
          <a:bodyPr rot="0" vert="horz"/>
          <a:lstStyle/>
          <a:p>
            <a:pPr>
              <a:defRPr/>
            </a:pPr>
            <a:endParaRPr lang="lt-LT"/>
          </a:p>
        </c:txPr>
        <c:crossAx val="123216640"/>
        <c:crosses val="autoZero"/>
        <c:crossBetween val="between"/>
        <c:majorUnit val="2"/>
      </c:valAx>
      <c:valAx>
        <c:axId val="173315200"/>
        <c:scaling>
          <c:orientation val="minMax"/>
        </c:scaling>
        <c:delete val="0"/>
        <c:axPos val="r"/>
        <c:numFmt formatCode="General" sourceLinked="0"/>
        <c:majorTickMark val="out"/>
        <c:minorTickMark val="none"/>
        <c:tickLblPos val="nextTo"/>
        <c:crossAx val="173316736"/>
        <c:crosses val="max"/>
        <c:crossBetween val="between"/>
      </c:valAx>
      <c:catAx>
        <c:axId val="173316736"/>
        <c:scaling>
          <c:orientation val="minMax"/>
        </c:scaling>
        <c:delete val="1"/>
        <c:axPos val="b"/>
        <c:numFmt formatCode="General" sourceLinked="1"/>
        <c:majorTickMark val="out"/>
        <c:minorTickMark val="none"/>
        <c:tickLblPos val="nextTo"/>
        <c:crossAx val="173315200"/>
        <c:crosses val="autoZero"/>
        <c:auto val="0"/>
        <c:lblAlgn val="ctr"/>
        <c:lblOffset val="100"/>
        <c:noMultiLvlLbl val="0"/>
      </c:catAx>
    </c:plotArea>
    <c:legend>
      <c:legendPos val="t"/>
      <c:layout>
        <c:manualLayout>
          <c:xMode val="edge"/>
          <c:yMode val="edge"/>
          <c:x val="1.3129760850381417E-2"/>
          <c:y val="2.500095280926283E-2"/>
          <c:w val="0.72188870169172381"/>
          <c:h val="7.0037666642256122E-2"/>
        </c:manualLayout>
      </c:layout>
      <c:overlay val="0"/>
    </c:legend>
    <c:plotVisOnly val="1"/>
    <c:dispBlanksAs val="gap"/>
    <c:showDLblsOverMax val="0"/>
  </c:chart>
  <c:spPr>
    <a:noFill/>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0699355762347886"/>
          <c:y val="3.4920634920634921E-2"/>
          <c:w val="0.42348779129881492"/>
          <c:h val="0.86901062367204096"/>
        </c:manualLayout>
      </c:layout>
      <c:barChart>
        <c:barDir val="bar"/>
        <c:grouping val="clustered"/>
        <c:varyColors val="0"/>
        <c:ser>
          <c:idx val="0"/>
          <c:order val="0"/>
          <c:spPr>
            <a:solidFill>
              <a:srgbClr val="FABEC3"/>
            </a:solidFill>
            <a:effectLst/>
          </c:spPr>
          <c:invertIfNegative val="0"/>
          <c:dPt>
            <c:idx val="5"/>
            <c:invertIfNegative val="0"/>
            <c:bubble3D val="0"/>
            <c:extLst xmlns:c16r2="http://schemas.microsoft.com/office/drawing/2015/06/chart">
              <c:ext xmlns:c16="http://schemas.microsoft.com/office/drawing/2014/chart" uri="{C3380CC4-5D6E-409C-BE32-E72D297353CC}">
                <c16:uniqueId val="{00000000-85BB-4739-B2E4-3F603E89C225}"/>
              </c:ext>
            </c:extLst>
          </c:dPt>
          <c:dPt>
            <c:idx val="6"/>
            <c:invertIfNegative val="0"/>
            <c:bubble3D val="0"/>
            <c:spPr>
              <a:solidFill>
                <a:srgbClr val="FABEC2"/>
              </a:solidFill>
              <a:effectLst/>
            </c:spPr>
            <c:extLst xmlns:c16r2="http://schemas.microsoft.com/office/drawing/2015/06/chart">
              <c:ext xmlns:c16="http://schemas.microsoft.com/office/drawing/2014/chart" uri="{C3380CC4-5D6E-409C-BE32-E72D297353CC}">
                <c16:uniqueId val="{00000002-85BB-4739-B2E4-3F603E89C225}"/>
              </c:ext>
            </c:extLst>
          </c:dPt>
          <c:dPt>
            <c:idx val="7"/>
            <c:invertIfNegative val="0"/>
            <c:bubble3D val="0"/>
            <c:spPr>
              <a:solidFill>
                <a:srgbClr val="E66482"/>
              </a:solidFill>
              <a:effectLst/>
            </c:spPr>
            <c:extLst xmlns:c16r2="http://schemas.microsoft.com/office/drawing/2015/06/chart">
              <c:ext xmlns:c16="http://schemas.microsoft.com/office/drawing/2014/chart" uri="{C3380CC4-5D6E-409C-BE32-E72D297353CC}">
                <c16:uniqueId val="{00000004-85BB-4739-B2E4-3F603E89C225}"/>
              </c:ext>
            </c:extLst>
          </c:dPt>
          <c:dLbls>
            <c:numFmt formatCode="#,##00" sourceLinked="0"/>
            <c:spPr>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'palyg IV su IV 2019'!$B$26:$B$42</c:f>
              <c:strCache>
                <c:ptCount val="17"/>
                <c:pt idx="0">
                  <c:v>Viešasis valdymas ir gynyba; privalomasis socialinis draudimas</c:v>
                </c:pt>
                <c:pt idx="1">
                  <c:v>Informacija ir ryšiai</c:v>
                </c:pt>
                <c:pt idx="2">
                  <c:v>Finansinė ir draudimo veikla</c:v>
                </c:pt>
                <c:pt idx="3">
                  <c:v>Administracinė ir aptarnavimo veikla</c:v>
                </c:pt>
                <c:pt idx="4">
                  <c:v>Transportas ir saugojimas</c:v>
                </c:pt>
                <c:pt idx="5">
                  <c:v>Pramonė*</c:v>
                </c:pt>
                <c:pt idx="6">
                  <c:v>Žmonių sveikatos priežiūra ir socialinis darbas</c:v>
                </c:pt>
                <c:pt idx="7">
                  <c:v>Iš viso</c:v>
                </c:pt>
                <c:pt idx="8">
                  <c:v>Statyba</c:v>
                </c:pt>
                <c:pt idx="9">
                  <c:v>Prekyba</c:v>
                </c:pt>
                <c:pt idx="10">
                  <c:v>Profesinė, mokslinė ir techninė veikla</c:v>
                </c:pt>
                <c:pt idx="11">
                  <c:v>Meninė, pramoginė ir poilsio organizavimo veikla</c:v>
                </c:pt>
                <c:pt idx="12">
                  <c:v> Žemės ūkis, miškininkystė ir žuvininkystė</c:v>
                </c:pt>
                <c:pt idx="13">
                  <c:v>Švietimas</c:v>
                </c:pt>
                <c:pt idx="14">
                  <c:v>Kita aptarnavimo veikla</c:v>
                </c:pt>
                <c:pt idx="15">
                  <c:v>Apgyvendinimo ir maitinimo paslaugų veikla</c:v>
                </c:pt>
                <c:pt idx="16">
                  <c:v>Nekilnojamo turto operacijos</c:v>
                </c:pt>
              </c:strCache>
            </c:strRef>
          </c:cat>
          <c:val>
            <c:numRef>
              <c:f>'palyg IV su IV 2019'!$C$26:$C$42</c:f>
              <c:numCache>
                <c:formatCode>#.#00</c:formatCode>
                <c:ptCount val="17"/>
                <c:pt idx="0">
                  <c:v>3</c:v>
                </c:pt>
                <c:pt idx="1">
                  <c:v>2.2000000000000002</c:v>
                </c:pt>
                <c:pt idx="2">
                  <c:v>2.2000000000000002</c:v>
                </c:pt>
                <c:pt idx="3">
                  <c:v>2.2000000000000002</c:v>
                </c:pt>
                <c:pt idx="4">
                  <c:v>1.5</c:v>
                </c:pt>
                <c:pt idx="5">
                  <c:v>1.4</c:v>
                </c:pt>
                <c:pt idx="6">
                  <c:v>1.3</c:v>
                </c:pt>
                <c:pt idx="7">
                  <c:v>1.2</c:v>
                </c:pt>
                <c:pt idx="8">
                  <c:v>1</c:v>
                </c:pt>
                <c:pt idx="9">
                  <c:v>0.8</c:v>
                </c:pt>
                <c:pt idx="10">
                  <c:v>0.6</c:v>
                </c:pt>
                <c:pt idx="11">
                  <c:v>0.6</c:v>
                </c:pt>
                <c:pt idx="12">
                  <c:v>0.5</c:v>
                </c:pt>
                <c:pt idx="13">
                  <c:v>0.3</c:v>
                </c:pt>
                <c:pt idx="14">
                  <c:v>0.28000000000000003</c:v>
                </c:pt>
                <c:pt idx="15">
                  <c:v>0.2</c:v>
                </c:pt>
                <c:pt idx="16">
                  <c:v>0.2</c:v>
                </c:pt>
              </c:numCache>
            </c:numRef>
          </c:val>
          <c:extLst xmlns:c16r2="http://schemas.microsoft.com/office/drawing/2015/06/chart">
            <c:ext xmlns:c16="http://schemas.microsoft.com/office/drawing/2014/chart" uri="{C3380CC4-5D6E-409C-BE32-E72D297353CC}">
              <c16:uniqueId val="{00000005-85BB-4739-B2E4-3F603E89C225}"/>
            </c:ext>
          </c:extLst>
        </c:ser>
        <c:dLbls>
          <c:dLblPos val="outEnd"/>
          <c:showLegendKey val="0"/>
          <c:showVal val="1"/>
          <c:showCatName val="0"/>
          <c:showSerName val="0"/>
          <c:showPercent val="0"/>
          <c:showBubbleSize val="0"/>
        </c:dLbls>
        <c:gapWidth val="68"/>
        <c:axId val="51954816"/>
        <c:axId val="51958528"/>
      </c:barChart>
      <c:catAx>
        <c:axId val="51954816"/>
        <c:scaling>
          <c:orientation val="minMax"/>
        </c:scaling>
        <c:delete val="0"/>
        <c:axPos val="l"/>
        <c:numFmt formatCode="General" sourceLinked="0"/>
        <c:majorTickMark val="out"/>
        <c:minorTickMark val="none"/>
        <c:tickLblPos val="nextTo"/>
        <c:crossAx val="51958528"/>
        <c:crosses val="autoZero"/>
        <c:auto val="1"/>
        <c:lblAlgn val="ctr"/>
        <c:lblOffset val="100"/>
        <c:noMultiLvlLbl val="0"/>
      </c:catAx>
      <c:valAx>
        <c:axId val="51958528"/>
        <c:scaling>
          <c:orientation val="minMax"/>
        </c:scaling>
        <c:delete val="0"/>
        <c:axPos val="b"/>
        <c:title>
          <c:tx>
            <c:rich>
              <a:bodyPr/>
              <a:lstStyle/>
              <a:p>
                <a:pPr>
                  <a:defRPr b="0"/>
                </a:pPr>
                <a:r>
                  <a:rPr lang="lt-LT" b="0"/>
                  <a:t>Procentai</a:t>
                </a:r>
              </a:p>
            </c:rich>
          </c:tx>
          <c:layout>
            <c:manualLayout>
              <c:xMode val="edge"/>
              <c:yMode val="edge"/>
              <c:x val="0.8862771160819054"/>
              <c:y val="0.94702380952380949"/>
            </c:manualLayout>
          </c:layout>
          <c:overlay val="0"/>
        </c:title>
        <c:numFmt formatCode="#.#00" sourceLinked="1"/>
        <c:majorTickMark val="out"/>
        <c:minorTickMark val="none"/>
        <c:tickLblPos val="nextTo"/>
        <c:crossAx val="51954816"/>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1"/>
    <c:plotArea>
      <c:layout>
        <c:manualLayout>
          <c:layoutTarget val="inner"/>
          <c:xMode val="edge"/>
          <c:yMode val="edge"/>
          <c:x val="4.0591009697981392E-2"/>
          <c:y val="0.16264454116517141"/>
          <c:w val="0.90538049782515595"/>
          <c:h val="0.70664219610671841"/>
        </c:manualLayout>
      </c:layout>
      <c:barChart>
        <c:barDir val="col"/>
        <c:grouping val="clustered"/>
        <c:varyColors val="0"/>
        <c:ser>
          <c:idx val="1"/>
          <c:order val="0"/>
          <c:tx>
            <c:strRef>
              <c:f>Sheet1!$A$2</c:f>
              <c:strCache>
                <c:ptCount val="1"/>
                <c:pt idx="0">
                  <c:v>Laisvos darbo vietos, tūkst.</c:v>
                </c:pt>
              </c:strCache>
            </c:strRef>
          </c:tx>
          <c:spPr>
            <a:solidFill>
              <a:srgbClr val="F0D2D2"/>
            </a:solidFill>
            <a:ln>
              <a:noFill/>
            </a:ln>
            <a:effectLst/>
          </c:spPr>
          <c:invertIfNegative val="0"/>
          <c:dLbls>
            <c:numFmt formatCode="#,##00" sourceLinked="0"/>
            <c:spPr>
              <a:noFill/>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Sheet1!$B$1:$L$1</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Sheet1!$B$2:$L$2</c:f>
              <c:numCache>
                <c:formatCode>General</c:formatCode>
                <c:ptCount val="11"/>
                <c:pt idx="0">
                  <c:v>6.7</c:v>
                </c:pt>
                <c:pt idx="1">
                  <c:v>9.8000000000000007</c:v>
                </c:pt>
                <c:pt idx="2">
                  <c:v>10.5</c:v>
                </c:pt>
                <c:pt idx="3">
                  <c:v>10.7</c:v>
                </c:pt>
                <c:pt idx="4">
                  <c:v>11.6</c:v>
                </c:pt>
                <c:pt idx="5">
                  <c:v>13.2</c:v>
                </c:pt>
                <c:pt idx="6">
                  <c:v>16.2</c:v>
                </c:pt>
                <c:pt idx="7">
                  <c:v>20.100000000000001</c:v>
                </c:pt>
                <c:pt idx="8">
                  <c:v>18.5</c:v>
                </c:pt>
                <c:pt idx="9">
                  <c:v>18.3</c:v>
                </c:pt>
                <c:pt idx="10">
                  <c:v>16.600000000000001</c:v>
                </c:pt>
              </c:numCache>
            </c:numRef>
          </c:val>
          <c:extLst xmlns:c16r2="http://schemas.microsoft.com/office/drawing/2015/06/chart">
            <c:ext xmlns:c16="http://schemas.microsoft.com/office/drawing/2014/chart" uri="{C3380CC4-5D6E-409C-BE32-E72D297353CC}">
              <c16:uniqueId val="{00000000-0A6C-4528-A212-8BEB625D10E8}"/>
            </c:ext>
          </c:extLst>
        </c:ser>
        <c:dLbls>
          <c:showLegendKey val="0"/>
          <c:showVal val="1"/>
          <c:showCatName val="0"/>
          <c:showSerName val="0"/>
          <c:showPercent val="0"/>
          <c:showBubbleSize val="0"/>
        </c:dLbls>
        <c:gapWidth val="32"/>
        <c:axId val="111244032"/>
        <c:axId val="111246720"/>
      </c:barChart>
      <c:lineChart>
        <c:grouping val="standard"/>
        <c:varyColors val="0"/>
        <c:ser>
          <c:idx val="0"/>
          <c:order val="1"/>
          <c:tx>
            <c:strRef>
              <c:f>Sheet1!$A$3</c:f>
              <c:strCache>
                <c:ptCount val="1"/>
                <c:pt idx="0">
                  <c:v>Laisvų darbo vietų lygis, proc.</c:v>
                </c:pt>
              </c:strCache>
            </c:strRef>
          </c:tx>
          <c:spPr>
            <a:ln w="31750" cap="sq">
              <a:solidFill>
                <a:srgbClr val="DC506E"/>
              </a:solidFill>
            </a:ln>
            <a:effectLst/>
          </c:spPr>
          <c:marker>
            <c:symbol val="circle"/>
            <c:size val="5"/>
            <c:spPr>
              <a:solidFill>
                <a:schemeClr val="bg1"/>
              </a:solidFill>
              <a:ln w="12700">
                <a:solidFill>
                  <a:srgbClr val="DC506E"/>
                </a:solidFill>
              </a:ln>
              <a:effectLst/>
            </c:spPr>
          </c:marker>
          <c:dLbls>
            <c:dLbl>
              <c:idx val="0"/>
              <c:layout>
                <c:manualLayout>
                  <c:x val="-3.0958087786196537E-2"/>
                  <c:y val="-5.592991554021849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A6C-4528-A212-8BEB625D10E8}"/>
                </c:ext>
              </c:extLst>
            </c:dLbl>
            <c:dLbl>
              <c:idx val="1"/>
              <c:layout>
                <c:manualLayout>
                  <c:x val="-3.3057166966730139E-2"/>
                  <c:y val="-7.08540329485159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A6C-4528-A212-8BEB625D10E8}"/>
                </c:ext>
              </c:extLst>
            </c:dLbl>
            <c:dLbl>
              <c:idx val="2"/>
              <c:layout>
                <c:manualLayout>
                  <c:x val="-2.8859308187055833E-2"/>
                  <c:y val="-7.461302398883175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A6C-4528-A212-8BEB625D10E8}"/>
                </c:ext>
              </c:extLst>
            </c:dLbl>
            <c:dLbl>
              <c:idx val="3"/>
              <c:layout>
                <c:manualLayout>
                  <c:x val="-3.3057330097888707E-2"/>
                  <c:y val="-6.26001410840594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A6C-4528-A212-8BEB625D10E8}"/>
                </c:ext>
              </c:extLst>
            </c:dLbl>
            <c:dLbl>
              <c:idx val="4"/>
              <c:layout>
                <c:manualLayout>
                  <c:x val="-2.8854058337047492E-2"/>
                  <c:y val="-6.630416960591790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A6C-4528-A212-8BEB625D10E8}"/>
                </c:ext>
              </c:extLst>
            </c:dLbl>
            <c:dLbl>
              <c:idx val="5"/>
              <c:layout>
                <c:manualLayout>
                  <c:x val="-2.8859340695620593E-2"/>
                  <c:y val="-6.897180225353181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A6C-4528-A212-8BEB625D10E8}"/>
                </c:ext>
              </c:extLst>
            </c:dLbl>
            <c:dLbl>
              <c:idx val="6"/>
              <c:layout>
                <c:manualLayout>
                  <c:x val="-2.8407329786591416E-2"/>
                  <c:y val="-8.17125145440181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A6C-4528-A212-8BEB625D10E8}"/>
                </c:ext>
              </c:extLst>
            </c:dLbl>
            <c:dLbl>
              <c:idx val="7"/>
              <c:layout>
                <c:manualLayout>
                  <c:x val="-2.9430646256792911E-2"/>
                  <c:y val="-5.94453307427891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A6C-4528-A212-8BEB625D10E8}"/>
                </c:ext>
              </c:extLst>
            </c:dLbl>
            <c:dLbl>
              <c:idx val="9"/>
              <c:layout>
                <c:manualLayout>
                  <c:x val="-2.8407368890209478E-2"/>
                  <c:y val="-7.199938990677012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A6C-4528-A212-8BEB625D10E8}"/>
                </c:ext>
              </c:extLst>
            </c:dLbl>
            <c:dLbl>
              <c:idx val="10"/>
              <c:layout>
                <c:manualLayout>
                  <c:x val="-3.157760940259826E-2"/>
                  <c:y val="-7.068997731215800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A6C-4528-A212-8BEB625D10E8}"/>
                </c:ext>
              </c:extLst>
            </c:dLbl>
            <c:dLbl>
              <c:idx val="11"/>
              <c:layout>
                <c:manualLayout>
                  <c:x val="-2.9481173343898052E-2"/>
                  <c:y val="-6.58473623000514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A6C-4528-A212-8BEB625D10E8}"/>
                </c:ext>
              </c:extLst>
            </c:dLbl>
            <c:dLbl>
              <c:idx val="12"/>
              <c:layout>
                <c:manualLayout>
                  <c:x val="-2.8407329786591416E-2"/>
                  <c:y val="-6.71923156515929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A6C-4528-A212-8BEB625D10E8}"/>
                </c:ext>
              </c:extLst>
            </c:dLbl>
            <c:dLbl>
              <c:idx val="13"/>
              <c:layout>
                <c:manualLayout>
                  <c:x val="-2.8407329786591416E-2"/>
                  <c:y val="-8.17125145440181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A6C-4528-A212-8BEB625D10E8}"/>
                </c:ext>
              </c:extLst>
            </c:dLbl>
            <c:dLbl>
              <c:idx val="14"/>
              <c:layout>
                <c:manualLayout>
                  <c:x val="-2.8404854087231101E-2"/>
                  <c:y val="-7.69353309976519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A6C-4528-A212-8BEB625D10E8}"/>
                </c:ext>
              </c:extLst>
            </c:dLbl>
            <c:numFmt formatCode="#,##00" sourceLinked="0"/>
            <c:spPr>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Sheet1!$B$1:$L$1</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Sheet1!$B$3:$L$3</c:f>
              <c:numCache>
                <c:formatCode>General</c:formatCode>
                <c:ptCount val="11"/>
                <c:pt idx="0">
                  <c:v>0.6</c:v>
                </c:pt>
                <c:pt idx="1">
                  <c:v>0.9</c:v>
                </c:pt>
                <c:pt idx="2">
                  <c:v>0.9</c:v>
                </c:pt>
                <c:pt idx="3">
                  <c:v>0.9</c:v>
                </c:pt>
                <c:pt idx="4">
                  <c:v>0.9</c:v>
                </c:pt>
                <c:pt idx="5">
                  <c:v>1.1000000000000001</c:v>
                </c:pt>
                <c:pt idx="6">
                  <c:v>1.3</c:v>
                </c:pt>
                <c:pt idx="7">
                  <c:v>1.6</c:v>
                </c:pt>
                <c:pt idx="8">
                  <c:v>1.4</c:v>
                </c:pt>
                <c:pt idx="9">
                  <c:v>1.4</c:v>
                </c:pt>
                <c:pt idx="10">
                  <c:v>1.3</c:v>
                </c:pt>
              </c:numCache>
            </c:numRef>
          </c:val>
          <c:smooth val="0"/>
          <c:extLst xmlns:c16r2="http://schemas.microsoft.com/office/drawing/2015/06/chart">
            <c:ext xmlns:c16="http://schemas.microsoft.com/office/drawing/2014/chart" uri="{C3380CC4-5D6E-409C-BE32-E72D297353CC}">
              <c16:uniqueId val="{0000000F-0A6C-4528-A212-8BEB625D10E8}"/>
            </c:ext>
          </c:extLst>
        </c:ser>
        <c:dLbls>
          <c:showLegendKey val="0"/>
          <c:showVal val="1"/>
          <c:showCatName val="0"/>
          <c:showSerName val="0"/>
          <c:showPercent val="0"/>
          <c:showBubbleSize val="0"/>
        </c:dLbls>
        <c:marker val="1"/>
        <c:smooth val="0"/>
        <c:axId val="111258240"/>
        <c:axId val="111256704"/>
      </c:lineChart>
      <c:catAx>
        <c:axId val="111244032"/>
        <c:scaling>
          <c:orientation val="minMax"/>
        </c:scaling>
        <c:delete val="0"/>
        <c:axPos val="b"/>
        <c:numFmt formatCode="#.000" sourceLinked="0"/>
        <c:majorTickMark val="cross"/>
        <c:minorTickMark val="none"/>
        <c:tickLblPos val="nextTo"/>
        <c:txPr>
          <a:bodyPr rot="0" vert="horz"/>
          <a:lstStyle/>
          <a:p>
            <a:pPr>
              <a:defRPr/>
            </a:pPr>
            <a:endParaRPr lang="lt-LT"/>
          </a:p>
        </c:txPr>
        <c:crossAx val="111246720"/>
        <c:crosses val="autoZero"/>
        <c:auto val="1"/>
        <c:lblAlgn val="ctr"/>
        <c:lblOffset val="100"/>
        <c:tickMarkSkip val="1"/>
        <c:noMultiLvlLbl val="0"/>
      </c:catAx>
      <c:valAx>
        <c:axId val="111246720"/>
        <c:scaling>
          <c:orientation val="minMax"/>
          <c:max val="20"/>
          <c:min val="0"/>
        </c:scaling>
        <c:delete val="0"/>
        <c:axPos val="l"/>
        <c:numFmt formatCode="0" sourceLinked="0"/>
        <c:majorTickMark val="out"/>
        <c:minorTickMark val="none"/>
        <c:tickLblPos val="nextTo"/>
        <c:spPr>
          <a:ln>
            <a:solidFill>
              <a:schemeClr val="tx1"/>
            </a:solidFill>
          </a:ln>
        </c:spPr>
        <c:txPr>
          <a:bodyPr rot="0" vert="horz"/>
          <a:lstStyle/>
          <a:p>
            <a:pPr>
              <a:defRPr/>
            </a:pPr>
            <a:endParaRPr lang="lt-LT"/>
          </a:p>
        </c:txPr>
        <c:crossAx val="111244032"/>
        <c:crosses val="autoZero"/>
        <c:crossBetween val="between"/>
        <c:majorUnit val="2"/>
      </c:valAx>
      <c:valAx>
        <c:axId val="111256704"/>
        <c:scaling>
          <c:orientation val="minMax"/>
          <c:max val="1.6"/>
        </c:scaling>
        <c:delete val="0"/>
        <c:axPos val="r"/>
        <c:numFmt formatCode="#,##00" sourceLinked="0"/>
        <c:majorTickMark val="out"/>
        <c:minorTickMark val="none"/>
        <c:tickLblPos val="nextTo"/>
        <c:crossAx val="111258240"/>
        <c:crosses val="max"/>
        <c:crossBetween val="between"/>
      </c:valAx>
      <c:catAx>
        <c:axId val="111258240"/>
        <c:scaling>
          <c:orientation val="minMax"/>
        </c:scaling>
        <c:delete val="1"/>
        <c:axPos val="b"/>
        <c:numFmt formatCode="General" sourceLinked="1"/>
        <c:majorTickMark val="out"/>
        <c:minorTickMark val="none"/>
        <c:tickLblPos val="nextTo"/>
        <c:crossAx val="111256704"/>
        <c:crosses val="autoZero"/>
        <c:auto val="0"/>
        <c:lblAlgn val="ctr"/>
        <c:lblOffset val="100"/>
        <c:noMultiLvlLbl val="0"/>
      </c:catAx>
    </c:plotArea>
    <c:legend>
      <c:legendPos val="t"/>
      <c:layout>
        <c:manualLayout>
          <c:xMode val="edge"/>
          <c:yMode val="edge"/>
          <c:x val="5.246273088897787E-2"/>
          <c:y val="2.5004848531864552E-2"/>
          <c:w val="0.63448339637692353"/>
          <c:h val="7.0037666642256122E-2"/>
        </c:manualLayout>
      </c:layout>
      <c:overlay val="0"/>
    </c:legend>
    <c:plotVisOnly val="1"/>
    <c:dispBlanksAs val="gap"/>
    <c:showDLblsOverMax val="0"/>
  </c:chart>
  <c:spPr>
    <a:noFill/>
    <a:ln>
      <a:noFill/>
    </a:ln>
  </c:spPr>
  <c:txPr>
    <a:bodyPr/>
    <a:lstStyle/>
    <a:p>
      <a:pPr>
        <a:defRPr sz="800">
          <a:latin typeface="Arial" panose="020B0604020202020204" pitchFamily="34" charset="0"/>
          <a:cs typeface="Arial" panose="020B0604020202020204" pitchFamily="34" charset="0"/>
        </a:defRPr>
      </a:pPr>
      <a:endParaRPr lang="lt-LT"/>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0.90851</cdr:x>
      <cdr:y>0</cdr:y>
    </cdr:from>
    <cdr:to>
      <cdr:x>0.9925</cdr:x>
      <cdr:y>0.08183</cdr:y>
    </cdr:to>
    <cdr:sp macro="" textlink="">
      <cdr:nvSpPr>
        <cdr:cNvPr id="1028" name="Text Box 4"/>
        <cdr:cNvSpPr txBox="1">
          <a:spLocks xmlns:a="http://schemas.openxmlformats.org/drawingml/2006/main" noChangeArrowheads="1"/>
        </cdr:cNvSpPr>
      </cdr:nvSpPr>
      <cdr:spPr bwMode="auto">
        <a:xfrm xmlns:a="http://schemas.openxmlformats.org/drawingml/2006/main">
          <a:off x="5504238" y="0"/>
          <a:ext cx="508856" cy="21470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lt-LT" sz="800" b="0" i="0" u="none" strike="noStrike" baseline="0">
              <a:solidFill>
                <a:srgbClr val="000000"/>
              </a:solidFill>
              <a:latin typeface="Arial"/>
              <a:cs typeface="Arial"/>
            </a:rPr>
            <a:t>Procentai</a:t>
          </a:r>
        </a:p>
        <a:p xmlns:a="http://schemas.openxmlformats.org/drawingml/2006/main">
          <a:pPr algn="l" rtl="0">
            <a:defRPr sz="1000"/>
          </a:pPr>
          <a:endParaRPr lang="lt-LT" sz="800" b="1" i="0" u="none" strike="noStrike" baseline="0">
            <a:solidFill>
              <a:srgbClr val="000000"/>
            </a:solidFill>
            <a:latin typeface="Arial"/>
            <a:cs typeface="Arial"/>
          </a:endParaRPr>
        </a:p>
        <a:p xmlns:a="http://schemas.openxmlformats.org/drawingml/2006/main">
          <a:pPr algn="l" rtl="0">
            <a:defRPr sz="1000"/>
          </a:pPr>
          <a:r>
            <a:rPr lang="lt-LT" sz="800" b="1" i="0" u="none" strike="noStrike" baseline="0">
              <a:solidFill>
                <a:srgbClr val="000000"/>
              </a:solidFill>
              <a:latin typeface="Arial"/>
              <a:cs typeface="Arial"/>
            </a:rPr>
            <a:t>LTL</a:t>
          </a:r>
        </a:p>
        <a:p xmlns:a="http://schemas.openxmlformats.org/drawingml/2006/main">
          <a:pPr algn="l" rtl="0">
            <a:defRPr sz="1000"/>
          </a:pPr>
          <a:r>
            <a:rPr lang="lt-LT" sz="800" b="1" i="0" u="none" strike="noStrike" baseline="0">
              <a:solidFill>
                <a:srgbClr val="000000"/>
              </a:solidFill>
              <a:latin typeface="Arial"/>
              <a:cs typeface="Arial"/>
            </a:rPr>
            <a:t> </a:t>
          </a:r>
        </a:p>
      </cdr:txBody>
    </cdr:sp>
  </cdr:relSizeAnchor>
  <cdr:relSizeAnchor xmlns:cdr="http://schemas.openxmlformats.org/drawingml/2006/chartDrawing">
    <cdr:from>
      <cdr:x>0.01298</cdr:x>
      <cdr:y>0.92731</cdr:y>
    </cdr:from>
    <cdr:to>
      <cdr:x>0.97773</cdr:x>
      <cdr:y>1</cdr:y>
    </cdr:to>
    <cdr:sp macro="" textlink="">
      <cdr:nvSpPr>
        <cdr:cNvPr id="1035" name="Text Box 11"/>
        <cdr:cNvSpPr txBox="1">
          <a:spLocks xmlns:a="http://schemas.openxmlformats.org/drawingml/2006/main" noChangeArrowheads="1"/>
        </cdr:cNvSpPr>
      </cdr:nvSpPr>
      <cdr:spPr bwMode="auto">
        <a:xfrm xmlns:a="http://schemas.openxmlformats.org/drawingml/2006/main">
          <a:off x="80467" y="2433095"/>
          <a:ext cx="5982854" cy="1907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lt-LT" sz="800" b="0" i="0" u="none" strike="noStrike" baseline="0">
              <a:solidFill>
                <a:srgbClr val="000000"/>
              </a:solidFill>
              <a:latin typeface="Arial"/>
              <a:cs typeface="Arial"/>
            </a:rPr>
            <a:t>       2016                                    2017                                 2018                                 2019                                 2020</a:t>
          </a:r>
        </a:p>
      </cdr:txBody>
    </cdr:sp>
  </cdr:relSizeAnchor>
  <cdr:relSizeAnchor xmlns:cdr="http://schemas.openxmlformats.org/drawingml/2006/chartDrawing">
    <cdr:from>
      <cdr:x>0</cdr:x>
      <cdr:y>0</cdr:y>
    </cdr:from>
    <cdr:to>
      <cdr:x>0.15119</cdr:x>
      <cdr:y>0.07879</cdr:y>
    </cdr:to>
    <cdr:sp macro="" textlink="">
      <cdr:nvSpPr>
        <cdr:cNvPr id="1036" name="Text Box 12"/>
        <cdr:cNvSpPr txBox="1">
          <a:spLocks xmlns:a="http://schemas.openxmlformats.org/drawingml/2006/main" noChangeArrowheads="1"/>
        </cdr:cNvSpPr>
      </cdr:nvSpPr>
      <cdr:spPr bwMode="auto">
        <a:xfrm xmlns:a="http://schemas.openxmlformats.org/drawingml/2006/main">
          <a:off x="-716890" y="0"/>
          <a:ext cx="915990" cy="20673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lt-LT" sz="800" b="0" i="0" u="none" strike="noStrike" baseline="0">
              <a:solidFill>
                <a:srgbClr val="000000"/>
              </a:solidFill>
              <a:latin typeface="Arial"/>
              <a:cs typeface="Arial"/>
            </a:rPr>
            <a:t>Tūkst.</a:t>
          </a:r>
          <a:r>
            <a:rPr lang="lt-LT" sz="800" b="1" i="0" u="none" strike="noStrike" baseline="0">
              <a:solidFill>
                <a:srgbClr val="000000"/>
              </a:solidFill>
              <a:latin typeface="Arial"/>
              <a:cs typeface="Arial"/>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0.90557</cdr:x>
      <cdr:y>0.0303</cdr:y>
    </cdr:from>
    <cdr:to>
      <cdr:x>0.98956</cdr:x>
      <cdr:y>0.11213</cdr:y>
    </cdr:to>
    <cdr:sp macro="" textlink="">
      <cdr:nvSpPr>
        <cdr:cNvPr id="1028" name="Text Box 4"/>
        <cdr:cNvSpPr txBox="1">
          <a:spLocks xmlns:a="http://schemas.openxmlformats.org/drawingml/2006/main" noChangeArrowheads="1"/>
        </cdr:cNvSpPr>
      </cdr:nvSpPr>
      <cdr:spPr bwMode="auto">
        <a:xfrm xmlns:a="http://schemas.openxmlformats.org/drawingml/2006/main">
          <a:off x="5486400" y="79514"/>
          <a:ext cx="508882" cy="21468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lt-LT" sz="800" b="0" i="0" u="none" strike="noStrike" baseline="0">
              <a:solidFill>
                <a:srgbClr val="000000"/>
              </a:solidFill>
              <a:latin typeface="Arial"/>
              <a:cs typeface="Arial"/>
            </a:rPr>
            <a:t>Procentai</a:t>
          </a:r>
        </a:p>
        <a:p xmlns:a="http://schemas.openxmlformats.org/drawingml/2006/main">
          <a:pPr algn="l" rtl="0">
            <a:defRPr sz="1000"/>
          </a:pPr>
          <a:endParaRPr lang="lt-LT" sz="800" b="1" i="0" u="none" strike="noStrike" baseline="0">
            <a:solidFill>
              <a:srgbClr val="000000"/>
            </a:solidFill>
            <a:latin typeface="Arial"/>
            <a:cs typeface="Arial"/>
          </a:endParaRPr>
        </a:p>
        <a:p xmlns:a="http://schemas.openxmlformats.org/drawingml/2006/main">
          <a:pPr algn="l" rtl="0">
            <a:defRPr sz="1000"/>
          </a:pPr>
          <a:r>
            <a:rPr lang="lt-LT" sz="800" b="1" i="0" u="none" strike="noStrike" baseline="0">
              <a:solidFill>
                <a:srgbClr val="000000"/>
              </a:solidFill>
              <a:latin typeface="Arial"/>
              <a:cs typeface="Arial"/>
            </a:rPr>
            <a:t>LTL</a:t>
          </a:r>
        </a:p>
        <a:p xmlns:a="http://schemas.openxmlformats.org/drawingml/2006/main">
          <a:pPr algn="l" rtl="0">
            <a:defRPr sz="1000"/>
          </a:pPr>
          <a:r>
            <a:rPr lang="lt-LT" sz="800" b="1" i="0" u="none" strike="noStrike" baseline="0">
              <a:solidFill>
                <a:srgbClr val="000000"/>
              </a:solidFill>
              <a:latin typeface="Arial"/>
              <a:cs typeface="Arial"/>
            </a:rPr>
            <a:t> </a:t>
          </a:r>
        </a:p>
      </cdr:txBody>
    </cdr:sp>
  </cdr:relSizeAnchor>
  <cdr:relSizeAnchor xmlns:cdr="http://schemas.openxmlformats.org/drawingml/2006/chartDrawing">
    <cdr:from>
      <cdr:x>0</cdr:x>
      <cdr:y>0.03585</cdr:y>
    </cdr:from>
    <cdr:to>
      <cdr:x>0.15119</cdr:x>
      <cdr:y>0.11464</cdr:y>
    </cdr:to>
    <cdr:sp macro="" textlink="">
      <cdr:nvSpPr>
        <cdr:cNvPr id="1036" name="Text Box 12"/>
        <cdr:cNvSpPr txBox="1">
          <a:spLocks xmlns:a="http://schemas.openxmlformats.org/drawingml/2006/main" noChangeArrowheads="1"/>
        </cdr:cNvSpPr>
      </cdr:nvSpPr>
      <cdr:spPr bwMode="auto">
        <a:xfrm xmlns:a="http://schemas.openxmlformats.org/drawingml/2006/main">
          <a:off x="0" y="80241"/>
          <a:ext cx="949976" cy="17636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lt-LT" sz="800" b="0" i="0" u="none" strike="noStrike" baseline="0">
              <a:solidFill>
                <a:srgbClr val="000000"/>
              </a:solidFill>
              <a:latin typeface="Arial"/>
              <a:cs typeface="Arial"/>
            </a:rPr>
            <a:t>Tūkst.</a:t>
          </a:r>
          <a:r>
            <a:rPr lang="lt-LT" sz="800" b="1" i="0" u="none" strike="noStrike" baseline="0">
              <a:solidFill>
                <a:srgbClr val="000000"/>
              </a:solidFill>
              <a:latin typeface="Arial"/>
              <a:cs typeface="Arial"/>
            </a:rPr>
            <a: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0AB7D2F86D9524992F7F662FE4E933A" ma:contentTypeVersion="2" ma:contentTypeDescription="Kurkite naują dokumentą." ma:contentTypeScope="" ma:versionID="43e88be6171ac7401bd42ef43466c362">
  <xsd:schema xmlns:xsd="http://www.w3.org/2001/XMLSchema" xmlns:p="http://schemas.microsoft.com/office/2006/metadata/properties" xmlns:ns2="a341d734-d208-4b9c-bc9c-37362a563ed6" targetNamespace="http://schemas.microsoft.com/office/2006/metadata/properties" ma:root="true" ma:fieldsID="7a5b57ee6bfd0abd9d234b156c77817b" ns2:_="">
    <xsd:import namespace="a341d734-d208-4b9c-bc9c-37362a563ed6"/>
    <xsd:element name="properties">
      <xsd:complexType>
        <xsd:sequence>
          <xsd:element name="documentManagement">
            <xsd:complexType>
              <xsd:all>
                <xsd:element ref="ns2:Data" minOccurs="0"/>
                <xsd:element ref="ns2:Grup_x0117_" minOccurs="0"/>
              </xsd:all>
            </xsd:complexType>
          </xsd:element>
        </xsd:sequence>
      </xsd:complexType>
    </xsd:element>
  </xsd:schema>
  <xsd:schema xmlns:xsd="http://www.w3.org/2001/XMLSchema" xmlns:dms="http://schemas.microsoft.com/office/2006/documentManagement/types" targetNamespace="a341d734-d208-4b9c-bc9c-37362a563ed6" elementFormDefault="qualified">
    <xsd:import namespace="http://schemas.microsoft.com/office/2006/documentManagement/types"/>
    <xsd:element name="Data" ma:index="2" nillable="true" ma:displayName="Data" ma:internalName="Data">
      <xsd:simpleType>
        <xsd:restriction base="dms:Text">
          <xsd:maxLength value="255"/>
        </xsd:restriction>
      </xsd:simpleType>
    </xsd:element>
    <xsd:element name="Grup_x0117_" ma:index="3" nillable="true" ma:displayName="Grupė" ma:default="-" ma:format="Dropdown" ma:internalName="Grup_x0117_">
      <xsd:simpleType>
        <xsd:restriction base="dms:Choice">
          <xsd:enumeration value="-"/>
          <xsd:enumeration value="Įveskite pasirinkimą #2"/>
          <xsd:enumeration value="Įveskite pasirinkimą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urinio tipas" ma:readOnly="true"/>
        <xsd:element ref="dc:title" minOccurs="0" maxOccurs="1" ma:index="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Grup_x0117_ xmlns="a341d734-d208-4b9c-bc9c-37362a563ed6">-</Grup_x0117_>
    <Data xmlns="a341d734-d208-4b9c-bc9c-37362a563ed6">2019-09-10</Dat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7BCEA-10A1-466A-B082-67BADAB9580E}">
  <ds:schemaRefs>
    <ds:schemaRef ds:uri="http://schemas.microsoft.com/sharepoint/v3/contenttype/forms"/>
  </ds:schemaRefs>
</ds:datastoreItem>
</file>

<file path=customXml/itemProps2.xml><?xml version="1.0" encoding="utf-8"?>
<ds:datastoreItem xmlns:ds="http://schemas.openxmlformats.org/officeDocument/2006/customXml" ds:itemID="{E9A5C736-504B-44FB-8C06-D757E8951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1d734-d208-4b9c-bc9c-37362a563ed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E91B09E-A455-416F-925B-74863D595E86}">
  <ds:schemaRefs>
    <ds:schemaRef ds:uri="http://schemas.microsoft.com/office/2006/metadata/properties"/>
    <ds:schemaRef ds:uri="a341d734-d208-4b9c-bc9c-37362a563ed6"/>
  </ds:schemaRefs>
</ds:datastoreItem>
</file>

<file path=customXml/itemProps4.xml><?xml version="1.0" encoding="utf-8"?>
<ds:datastoreItem xmlns:ds="http://schemas.openxmlformats.org/officeDocument/2006/customXml" ds:itemID="{E1BB63E2-7AF7-4E64-BFF1-BC95EE98C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5137</Words>
  <Characters>2929</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Informaciniai pranešimai (naujas ženklas - LOGO)</vt:lpstr>
      <vt:lpstr>Informaciniai pranešimai (naujas ženklas - LOGO)</vt:lpstr>
    </vt:vector>
  </TitlesOfParts>
  <Company>Hewlett-Packard Company</Company>
  <LinksUpToDate>false</LinksUpToDate>
  <CharactersWithSpaces>8050</CharactersWithSpaces>
  <SharedDoc>false</SharedDoc>
  <HLinks>
    <vt:vector size="12" baseType="variant">
      <vt:variant>
        <vt:i4>3997808</vt:i4>
      </vt:variant>
      <vt:variant>
        <vt:i4>3</vt:i4>
      </vt:variant>
      <vt:variant>
        <vt:i4>0</vt:i4>
      </vt:variant>
      <vt:variant>
        <vt:i4>5</vt:i4>
      </vt:variant>
      <vt:variant>
        <vt:lpwstr>http://www.osp.stat.gov.lt/</vt:lpwstr>
      </vt:variant>
      <vt:variant>
        <vt:lpwstr/>
      </vt:variant>
      <vt:variant>
        <vt:i4>7340112</vt:i4>
      </vt:variant>
      <vt:variant>
        <vt:i4>0</vt:i4>
      </vt:variant>
      <vt:variant>
        <vt:i4>0</vt:i4>
      </vt:variant>
      <vt:variant>
        <vt:i4>5</vt:i4>
      </vt:variant>
      <vt:variant>
        <vt:lpwstr>mailto:vardas.pavarde@stat.gov.lt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 (naujas ženklas - LOGO)</dc:title>
  <dc:creator>std</dc:creator>
  <cp:lastModifiedBy>Lietuvos statistika</cp:lastModifiedBy>
  <cp:revision>3</cp:revision>
  <cp:lastPrinted>2020-02-18T09:19:00Z</cp:lastPrinted>
  <dcterms:created xsi:type="dcterms:W3CDTF">2021-02-22T06:18:00Z</dcterms:created>
  <dcterms:modified xsi:type="dcterms:W3CDTF">2021-02-22T06:19:00Z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0x010100D0AB7D2F86D9524992F7F662FE4E933A</vt:lpwstr>
  </property>
  <property fmtid="{D5CDD505-2E9C-101B-9397-08002B2CF9AE}" pid="12" name="Data">
    <vt:lpwstr>2019-09-10</vt:lpwstr>
  </property>
</Properties>
</file>