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143A30" w:rsidRDefault="00987076">
      <w:pPr>
        <w:pStyle w:val="Nrdata"/>
        <w:spacing w:before="120"/>
        <w:rPr>
          <w:lang w:val="lt-LT"/>
        </w:rPr>
      </w:pPr>
      <w:r w:rsidRPr="00143A30">
        <w:rPr>
          <w:lang w:val="lt-LT"/>
        </w:rPr>
        <w:t>2021</w:t>
      </w:r>
      <w:r w:rsidR="00143A30" w:rsidRPr="00143A30">
        <w:rPr>
          <w:lang w:val="lt-LT"/>
        </w:rPr>
        <w:t> m.</w:t>
      </w:r>
      <w:r w:rsidR="00560434" w:rsidRPr="00143A30">
        <w:rPr>
          <w:lang w:val="lt-LT"/>
        </w:rPr>
        <w:t xml:space="preserve"> </w:t>
      </w:r>
      <w:r w:rsidR="00691B5B" w:rsidRPr="00143A30">
        <w:rPr>
          <w:lang w:val="lt-LT"/>
        </w:rPr>
        <w:t>gruodžio 9</w:t>
      </w:r>
      <w:r w:rsidR="00091865" w:rsidRPr="00143A30">
        <w:rPr>
          <w:lang w:val="lt-LT"/>
        </w:rPr>
        <w:t xml:space="preserve"> d.,</w:t>
      </w:r>
      <w:r w:rsidR="00BC51D3" w:rsidRPr="00143A30">
        <w:rPr>
          <w:lang w:val="lt-LT"/>
        </w:rPr>
        <w:t xml:space="preserve"> Vilnius</w:t>
      </w:r>
    </w:p>
    <w:p w:rsidR="00BC51D3" w:rsidRPr="00143A30" w:rsidRDefault="002349C3">
      <w:pPr>
        <w:rPr>
          <w:lang w:val="lt-LT"/>
        </w:rPr>
      </w:pPr>
      <w:r w:rsidRPr="00143A30">
        <w:rPr>
          <w:noProof/>
          <w:lang w:val="lt-LT" w:eastAsia="lt-LT"/>
        </w:rPr>
        <w:drawing>
          <wp:inline distT="0" distB="0" distL="0" distR="0" wp14:anchorId="083DEDCC" wp14:editId="4AD851FF">
            <wp:extent cx="648335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D3" w:rsidRPr="00143A30" w:rsidRDefault="00BC51D3">
      <w:pPr>
        <w:rPr>
          <w:lang w:val="lt-LT"/>
        </w:rPr>
      </w:pPr>
    </w:p>
    <w:p w:rsidR="00BC51D3" w:rsidRPr="00143A30" w:rsidRDefault="0065589E" w:rsidP="00317478">
      <w:pPr>
        <w:rPr>
          <w:rFonts w:cs="Arial"/>
          <w:b/>
          <w:sz w:val="24"/>
          <w:szCs w:val="24"/>
          <w:lang w:val="lt-LT"/>
        </w:rPr>
      </w:pPr>
      <w:r w:rsidRPr="00143A30">
        <w:rPr>
          <w:rFonts w:cs="Arial"/>
          <w:b/>
          <w:sz w:val="24"/>
          <w:szCs w:val="24"/>
          <w:lang w:val="lt-LT"/>
        </w:rPr>
        <w:t>Gamintojų parduotos pramonės produkcijos kainų pokyčiai</w:t>
      </w:r>
    </w:p>
    <w:p w:rsidR="0026738C" w:rsidRPr="00143A30" w:rsidRDefault="0026738C" w:rsidP="00317478">
      <w:pPr>
        <w:rPr>
          <w:lang w:val="lt-LT"/>
        </w:rPr>
      </w:pPr>
    </w:p>
    <w:p w:rsidR="00091865" w:rsidRPr="00143A30" w:rsidRDefault="0009186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rFonts w:cs="Arial"/>
          <w:bCs/>
          <w:lang w:val="lt-LT"/>
        </w:rPr>
      </w:pPr>
      <w:r w:rsidRPr="00143A30">
        <w:rPr>
          <w:rFonts w:cs="Arial"/>
          <w:b/>
          <w:bCs/>
          <w:lang w:val="lt-LT"/>
        </w:rPr>
        <w:t xml:space="preserve">Gamintojų </w:t>
      </w:r>
      <w:r w:rsidRPr="00143A30">
        <w:rPr>
          <w:rFonts w:cs="Arial"/>
          <w:b/>
          <w:lang w:val="lt-LT"/>
        </w:rPr>
        <w:t xml:space="preserve">parduotos </w:t>
      </w:r>
      <w:r w:rsidR="005F5935" w:rsidRPr="00143A30">
        <w:rPr>
          <w:rFonts w:cs="Arial"/>
          <w:b/>
          <w:lang w:val="lt-LT"/>
        </w:rPr>
        <w:t xml:space="preserve">pramonės </w:t>
      </w:r>
      <w:r w:rsidR="0000595E" w:rsidRPr="00143A30">
        <w:rPr>
          <w:rFonts w:cs="Arial"/>
          <w:b/>
          <w:lang w:val="lt-LT"/>
        </w:rPr>
        <w:t>produkcijos kainos 2021</w:t>
      </w:r>
      <w:r w:rsidR="00143A30" w:rsidRPr="00143A30">
        <w:rPr>
          <w:rFonts w:cs="Arial"/>
          <w:b/>
          <w:lang w:val="lt-LT"/>
        </w:rPr>
        <w:t> m.</w:t>
      </w:r>
      <w:r w:rsidR="00C17BA9" w:rsidRPr="00143A30">
        <w:rPr>
          <w:rFonts w:cs="Arial"/>
          <w:b/>
          <w:lang w:val="lt-LT"/>
        </w:rPr>
        <w:t xml:space="preserve"> </w:t>
      </w:r>
      <w:r w:rsidR="00691B5B" w:rsidRPr="00143A30">
        <w:rPr>
          <w:rFonts w:cs="Arial"/>
          <w:b/>
          <w:lang w:val="lt-LT"/>
        </w:rPr>
        <w:t>lapkritį, palyginti su spaliu</w:t>
      </w:r>
      <w:r w:rsidRPr="00143A30">
        <w:rPr>
          <w:rFonts w:cs="Arial"/>
          <w:b/>
          <w:lang w:val="lt-LT"/>
        </w:rPr>
        <w:t xml:space="preserve">, </w:t>
      </w:r>
      <w:r w:rsidR="007E36CC" w:rsidRPr="00143A30">
        <w:rPr>
          <w:rFonts w:cs="Arial"/>
          <w:b/>
          <w:lang w:val="lt-LT"/>
        </w:rPr>
        <w:t>padidėjo</w:t>
      </w:r>
      <w:r w:rsidR="0000111F" w:rsidRPr="00143A30">
        <w:rPr>
          <w:rFonts w:cs="Arial"/>
          <w:b/>
          <w:lang w:val="lt-LT"/>
        </w:rPr>
        <w:t xml:space="preserve"> </w:t>
      </w:r>
      <w:r w:rsidR="00B97942" w:rsidRPr="00143A30">
        <w:rPr>
          <w:rFonts w:cs="Arial"/>
          <w:b/>
          <w:lang w:val="lt-LT"/>
        </w:rPr>
        <w:t>1</w:t>
      </w:r>
      <w:r w:rsidR="000526E3" w:rsidRPr="00143A30">
        <w:rPr>
          <w:rFonts w:cs="Arial"/>
          <w:b/>
          <w:lang w:val="lt-LT"/>
        </w:rPr>
        <w:t>,</w:t>
      </w:r>
      <w:r w:rsidR="00BD3B91" w:rsidRPr="00143A30">
        <w:rPr>
          <w:rFonts w:cs="Arial"/>
          <w:b/>
          <w:lang w:val="lt-LT"/>
        </w:rPr>
        <w:t>7</w:t>
      </w:r>
      <w:r w:rsidR="00143A30" w:rsidRPr="00143A30">
        <w:rPr>
          <w:rFonts w:cs="Arial"/>
          <w:b/>
          <w:lang w:val="lt-LT"/>
        </w:rPr>
        <w:t> proc.</w:t>
      </w:r>
      <w:r w:rsidR="007B1F3B" w:rsidRPr="00143A30">
        <w:rPr>
          <w:rFonts w:cs="Arial"/>
          <w:b/>
          <w:lang w:val="lt-LT"/>
        </w:rPr>
        <w:t>,</w:t>
      </w:r>
      <w:r w:rsidR="00963DA8" w:rsidRPr="00143A30">
        <w:rPr>
          <w:rFonts w:cs="Arial"/>
          <w:b/>
          <w:lang w:val="lt-LT"/>
        </w:rPr>
        <w:t xml:space="preserve"> neįskaitant rafinuot</w:t>
      </w:r>
      <w:r w:rsidR="00996636" w:rsidRPr="00143A30">
        <w:rPr>
          <w:rFonts w:cs="Arial"/>
          <w:b/>
          <w:lang w:val="lt-LT"/>
        </w:rPr>
        <w:t>ų naftos produktų</w:t>
      </w:r>
      <w:r w:rsidR="00CE2B35" w:rsidRPr="00143A30">
        <w:rPr>
          <w:rFonts w:cs="Arial"/>
          <w:b/>
          <w:lang w:val="lt-LT"/>
        </w:rPr>
        <w:t xml:space="preserve"> – </w:t>
      </w:r>
      <w:r w:rsidR="00BD3B91" w:rsidRPr="00143A30">
        <w:rPr>
          <w:rFonts w:cs="Arial"/>
          <w:b/>
          <w:lang w:val="lt-LT"/>
        </w:rPr>
        <w:t>2</w:t>
      </w:r>
      <w:r w:rsidR="000526E3" w:rsidRPr="00143A30">
        <w:rPr>
          <w:rFonts w:cs="Arial"/>
          <w:b/>
          <w:lang w:val="lt-LT"/>
        </w:rPr>
        <w:t>,</w:t>
      </w:r>
      <w:r w:rsidR="00C17BA9" w:rsidRPr="00143A30">
        <w:rPr>
          <w:rFonts w:cs="Arial"/>
          <w:b/>
          <w:lang w:val="lt-LT"/>
        </w:rPr>
        <w:t>4</w:t>
      </w:r>
      <w:r w:rsidR="00143A30" w:rsidRPr="00143A30">
        <w:rPr>
          <w:rFonts w:cs="Arial"/>
          <w:b/>
          <w:lang w:val="lt-LT"/>
        </w:rPr>
        <w:t> proc.</w:t>
      </w:r>
      <w:r w:rsidRPr="00143A30">
        <w:rPr>
          <w:rFonts w:cs="Arial"/>
          <w:b/>
          <w:lang w:val="lt-LT"/>
        </w:rPr>
        <w:t xml:space="preserve"> </w:t>
      </w:r>
      <w:r w:rsidRPr="00143A30">
        <w:rPr>
          <w:rFonts w:cs="Arial"/>
          <w:lang w:val="lt-LT"/>
        </w:rPr>
        <w:t>Bendram kainų pokyčiui d</w:t>
      </w:r>
      <w:r w:rsidR="00976691" w:rsidRPr="00143A30">
        <w:rPr>
          <w:rFonts w:cs="Arial"/>
          <w:lang w:val="lt-LT"/>
        </w:rPr>
        <w:t>idžiausios</w:t>
      </w:r>
      <w:r w:rsidR="00325E94" w:rsidRPr="00143A30">
        <w:rPr>
          <w:rFonts w:cs="Arial"/>
          <w:lang w:val="lt-LT"/>
        </w:rPr>
        <w:t xml:space="preserve"> įtakos turėjo</w:t>
      </w:r>
      <w:r w:rsidR="00340599" w:rsidRPr="00143A30">
        <w:rPr>
          <w:rFonts w:cs="Arial"/>
          <w:lang w:val="lt-LT"/>
        </w:rPr>
        <w:t xml:space="preserve"> </w:t>
      </w:r>
      <w:r w:rsidR="00BD3B91" w:rsidRPr="00143A30">
        <w:rPr>
          <w:szCs w:val="18"/>
          <w:lang w:val="lt-LT"/>
        </w:rPr>
        <w:t>elektros, dujų, garo tiekimo ir oro kondicionavimo</w:t>
      </w:r>
      <w:r w:rsidR="004961B7" w:rsidRPr="00143A30">
        <w:rPr>
          <w:rFonts w:cs="Arial"/>
          <w:lang w:val="lt-LT"/>
        </w:rPr>
        <w:t xml:space="preserve"> </w:t>
      </w:r>
      <w:r w:rsidR="00963DA8" w:rsidRPr="00143A30">
        <w:rPr>
          <w:rFonts w:cs="Arial"/>
          <w:lang w:val="lt-LT"/>
        </w:rPr>
        <w:t>kainų</w:t>
      </w:r>
      <w:r w:rsidR="00125940" w:rsidRPr="00143A30">
        <w:rPr>
          <w:rFonts w:cs="Arial"/>
          <w:lang w:val="lt-LT"/>
        </w:rPr>
        <w:t xml:space="preserve"> padidėjimas</w:t>
      </w:r>
      <w:r w:rsidR="00857DA5" w:rsidRPr="00143A30">
        <w:rPr>
          <w:rFonts w:cs="Arial"/>
          <w:lang w:val="lt-LT"/>
        </w:rPr>
        <w:t xml:space="preserve"> bei</w:t>
      </w:r>
      <w:r w:rsidRPr="00143A30">
        <w:rPr>
          <w:rFonts w:cs="Arial"/>
          <w:lang w:val="lt-LT"/>
        </w:rPr>
        <w:t xml:space="preserve"> </w:t>
      </w:r>
      <w:r w:rsidR="004D0AA9" w:rsidRPr="00143A30">
        <w:rPr>
          <w:rFonts w:cs="Arial"/>
          <w:lang w:val="lt-LT"/>
        </w:rPr>
        <w:t>ra</w:t>
      </w:r>
      <w:r w:rsidR="00BD3B91" w:rsidRPr="00143A30">
        <w:rPr>
          <w:rFonts w:cs="Arial"/>
          <w:lang w:val="lt-LT"/>
        </w:rPr>
        <w:t>finuotų naftos</w:t>
      </w:r>
      <w:r w:rsidR="00C17BA9" w:rsidRPr="00143A30">
        <w:rPr>
          <w:rFonts w:cs="Arial"/>
          <w:lang w:val="lt-LT"/>
        </w:rPr>
        <w:t xml:space="preserve"> produktų</w:t>
      </w:r>
      <w:r w:rsidR="007D640B" w:rsidRPr="00143A30">
        <w:rPr>
          <w:rFonts w:cs="Arial"/>
          <w:lang w:val="lt-LT"/>
        </w:rPr>
        <w:t xml:space="preserve"> </w:t>
      </w:r>
      <w:r w:rsidR="00857DA5" w:rsidRPr="00143A30">
        <w:rPr>
          <w:rFonts w:cs="Arial"/>
          <w:lang w:val="lt-LT"/>
        </w:rPr>
        <w:t>kainų sumažėjimas</w:t>
      </w:r>
      <w:r w:rsidR="00BB26B5" w:rsidRPr="00143A30">
        <w:rPr>
          <w:rFonts w:cs="Arial"/>
          <w:lang w:val="lt-LT"/>
        </w:rPr>
        <w:t>.</w:t>
      </w:r>
    </w:p>
    <w:p w:rsidR="009B7D79" w:rsidRPr="00143A30" w:rsidRDefault="00C4333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lang w:val="lt-LT"/>
        </w:rPr>
      </w:pPr>
      <w:r w:rsidRPr="00143A30">
        <w:rPr>
          <w:rFonts w:cs="Arial"/>
          <w:lang w:val="lt-LT"/>
        </w:rPr>
        <w:t xml:space="preserve">Lietuvos rinkoje parduotos pramonės produkcijos kainos per mėnesį </w:t>
      </w:r>
      <w:r w:rsidR="00037837" w:rsidRPr="00143A30">
        <w:rPr>
          <w:rFonts w:cs="Arial"/>
          <w:lang w:val="lt-LT"/>
        </w:rPr>
        <w:t xml:space="preserve">padidėjo </w:t>
      </w:r>
      <w:r w:rsidR="00691B5B" w:rsidRPr="00143A30">
        <w:rPr>
          <w:rFonts w:cs="Arial"/>
          <w:lang w:val="lt-LT"/>
        </w:rPr>
        <w:t>3,8</w:t>
      </w:r>
      <w:r w:rsidR="00143A30" w:rsidRPr="00143A30">
        <w:rPr>
          <w:rFonts w:cs="Arial"/>
          <w:lang w:val="lt-LT"/>
        </w:rPr>
        <w:t> proc.</w:t>
      </w:r>
      <w:r w:rsidR="00DC75CA" w:rsidRPr="00143A30">
        <w:rPr>
          <w:rFonts w:cs="Arial"/>
          <w:lang w:val="lt-LT"/>
        </w:rPr>
        <w:t>,</w:t>
      </w:r>
      <w:r w:rsidR="006837BB" w:rsidRPr="00143A30">
        <w:rPr>
          <w:lang w:val="lt-LT"/>
        </w:rPr>
        <w:t xml:space="preserve"> </w:t>
      </w:r>
      <w:r w:rsidR="006837BB" w:rsidRPr="00143A30">
        <w:rPr>
          <w:rFonts w:cs="Arial"/>
          <w:lang w:val="lt-LT"/>
        </w:rPr>
        <w:t>neįskaitant rafinuotų naftos produktų</w:t>
      </w:r>
      <w:r w:rsidR="00CE2B35" w:rsidRPr="00143A30">
        <w:rPr>
          <w:rFonts w:cs="Arial"/>
          <w:lang w:val="lt-LT"/>
        </w:rPr>
        <w:t xml:space="preserve"> – </w:t>
      </w:r>
      <w:r w:rsidR="00691B5B" w:rsidRPr="00143A30">
        <w:rPr>
          <w:rFonts w:cs="Arial"/>
          <w:lang w:val="lt-LT"/>
        </w:rPr>
        <w:t>4,3</w:t>
      </w:r>
      <w:r w:rsidR="00143A30" w:rsidRPr="00143A30">
        <w:rPr>
          <w:rFonts w:cs="Arial"/>
          <w:lang w:val="lt-LT"/>
        </w:rPr>
        <w:t> proc.</w:t>
      </w:r>
      <w:r w:rsidR="006837BB" w:rsidRPr="00143A30">
        <w:rPr>
          <w:rFonts w:cs="Arial"/>
          <w:lang w:val="lt-LT"/>
        </w:rPr>
        <w:t xml:space="preserve"> </w:t>
      </w:r>
      <w:r w:rsidR="00091865" w:rsidRPr="00143A30">
        <w:rPr>
          <w:rFonts w:cs="Arial"/>
          <w:lang w:val="lt-LT"/>
        </w:rPr>
        <w:t>Labiausiai</w:t>
      </w:r>
      <w:r w:rsidR="00CE2B35" w:rsidRPr="00143A30">
        <w:rPr>
          <w:rFonts w:cs="Arial"/>
          <w:lang w:val="lt-LT"/>
        </w:rPr>
        <w:t xml:space="preserve"> – </w:t>
      </w:r>
      <w:r w:rsidR="00B562A7" w:rsidRPr="00143A30">
        <w:rPr>
          <w:rFonts w:cs="Arial"/>
          <w:lang w:val="lt-LT"/>
        </w:rPr>
        <w:t>10,6</w:t>
      </w:r>
      <w:r w:rsidR="00143A30" w:rsidRPr="00143A30">
        <w:rPr>
          <w:rFonts w:cs="Arial"/>
          <w:lang w:val="lt-LT"/>
        </w:rPr>
        <w:t> proc.</w:t>
      </w:r>
      <w:r w:rsidR="00CE2B35" w:rsidRPr="00143A30">
        <w:rPr>
          <w:rFonts w:cs="Arial"/>
          <w:lang w:val="lt-LT"/>
        </w:rPr>
        <w:t xml:space="preserve"> – </w:t>
      </w:r>
      <w:r w:rsidR="00275896" w:rsidRPr="00143A30">
        <w:rPr>
          <w:rFonts w:cs="Arial"/>
          <w:lang w:val="lt-LT"/>
        </w:rPr>
        <w:t>pabrango</w:t>
      </w:r>
      <w:r w:rsidR="00B562A7" w:rsidRPr="00143A30">
        <w:rPr>
          <w:rFonts w:cs="Arial"/>
          <w:lang w:val="lt-LT"/>
        </w:rPr>
        <w:t xml:space="preserve"> </w:t>
      </w:r>
      <w:r w:rsidR="00B562A7" w:rsidRPr="00143A30">
        <w:rPr>
          <w:szCs w:val="18"/>
          <w:lang w:val="lt-LT"/>
        </w:rPr>
        <w:t>elektros, dujų, garo</w:t>
      </w:r>
      <w:r w:rsidR="0073472C" w:rsidRPr="00143A30">
        <w:rPr>
          <w:szCs w:val="18"/>
          <w:lang w:val="lt-LT"/>
        </w:rPr>
        <w:t xml:space="preserve"> tiekimo</w:t>
      </w:r>
      <w:r w:rsidR="00B562A7" w:rsidRPr="00143A30">
        <w:rPr>
          <w:szCs w:val="18"/>
          <w:lang w:val="lt-LT"/>
        </w:rPr>
        <w:t xml:space="preserve"> ir oro kondicionavimo produkcija</w:t>
      </w:r>
      <w:r w:rsidR="008C79E3" w:rsidRPr="00143A30">
        <w:rPr>
          <w:lang w:val="lt-LT"/>
        </w:rPr>
        <w:t xml:space="preserve">. </w:t>
      </w:r>
      <w:r w:rsidR="00D74D17" w:rsidRPr="00143A30">
        <w:rPr>
          <w:lang w:val="lt-LT"/>
        </w:rPr>
        <w:t>Daugiausia</w:t>
      </w:r>
      <w:r w:rsidR="00CE2B35" w:rsidRPr="00143A30">
        <w:rPr>
          <w:lang w:val="lt-LT"/>
        </w:rPr>
        <w:t xml:space="preserve"> – </w:t>
      </w:r>
      <w:r w:rsidR="00B562A7" w:rsidRPr="00143A30">
        <w:rPr>
          <w:lang w:val="lt-LT"/>
        </w:rPr>
        <w:t>1,8</w:t>
      </w:r>
      <w:r w:rsidR="00143A30" w:rsidRPr="00143A30">
        <w:rPr>
          <w:lang w:val="lt-LT"/>
        </w:rPr>
        <w:t> proc.</w:t>
      </w:r>
      <w:r w:rsidR="00CE2B35" w:rsidRPr="00143A30">
        <w:rPr>
          <w:lang w:val="lt-LT"/>
        </w:rPr>
        <w:t xml:space="preserve"> – </w:t>
      </w:r>
      <w:r w:rsidR="003A0D1B" w:rsidRPr="00143A30">
        <w:rPr>
          <w:lang w:val="lt-LT"/>
        </w:rPr>
        <w:t xml:space="preserve">atpigo </w:t>
      </w:r>
      <w:r w:rsidR="00B562A7" w:rsidRPr="00143A30">
        <w:rPr>
          <w:szCs w:val="18"/>
          <w:lang w:val="lt-LT"/>
        </w:rPr>
        <w:t>spausdinimo ir įrašytų laikmenų tiražavimo produkcija</w:t>
      </w:r>
      <w:r w:rsidR="002D35D9" w:rsidRPr="00143A30">
        <w:rPr>
          <w:szCs w:val="18"/>
          <w:lang w:val="lt-LT"/>
        </w:rPr>
        <w:t>.</w:t>
      </w:r>
      <w:r w:rsidR="00091865" w:rsidRPr="00143A30">
        <w:rPr>
          <w:rFonts w:cs="Arial"/>
          <w:lang w:val="lt-LT"/>
        </w:rPr>
        <w:t xml:space="preserve"> Maisto produktai</w:t>
      </w:r>
      <w:r w:rsidR="00CD6388" w:rsidRPr="00143A30">
        <w:rPr>
          <w:rFonts w:cs="Arial"/>
          <w:lang w:val="lt-LT"/>
        </w:rPr>
        <w:t xml:space="preserve"> </w:t>
      </w:r>
      <w:r w:rsidR="002E0735" w:rsidRPr="00143A30">
        <w:rPr>
          <w:rFonts w:cs="Arial"/>
          <w:lang w:val="lt-LT"/>
        </w:rPr>
        <w:t>pabrango 1</w:t>
      </w:r>
      <w:r w:rsidR="00DE27F4" w:rsidRPr="00143A30">
        <w:rPr>
          <w:rFonts w:cs="Arial"/>
          <w:lang w:val="lt-LT"/>
        </w:rPr>
        <w:t>,</w:t>
      </w:r>
      <w:r w:rsidR="00F85198" w:rsidRPr="00143A30">
        <w:rPr>
          <w:rFonts w:cs="Arial"/>
          <w:lang w:val="lt-LT"/>
        </w:rPr>
        <w:t>4</w:t>
      </w:r>
      <w:r w:rsidR="00143A30" w:rsidRPr="00143A30">
        <w:rPr>
          <w:rFonts w:cs="Arial"/>
          <w:lang w:val="lt-LT"/>
        </w:rPr>
        <w:t> proc.</w:t>
      </w:r>
      <w:r w:rsidR="00091865" w:rsidRPr="00143A30">
        <w:rPr>
          <w:rFonts w:cs="Arial"/>
          <w:lang w:val="lt-LT"/>
        </w:rPr>
        <w:t xml:space="preserve"> </w:t>
      </w:r>
      <w:r w:rsidR="00513C29" w:rsidRPr="00143A30">
        <w:rPr>
          <w:lang w:val="lt-LT"/>
        </w:rPr>
        <w:t>Y</w:t>
      </w:r>
      <w:r w:rsidR="00091865" w:rsidRPr="00143A30">
        <w:rPr>
          <w:lang w:val="lt-LT"/>
        </w:rPr>
        <w:t>pač</w:t>
      </w:r>
      <w:r w:rsidR="00091865" w:rsidRPr="00143A30">
        <w:rPr>
          <w:rFonts w:cs="Arial"/>
          <w:lang w:val="lt-LT"/>
        </w:rPr>
        <w:t xml:space="preserve"> </w:t>
      </w:r>
      <w:r w:rsidR="002E0735" w:rsidRPr="00143A30">
        <w:rPr>
          <w:rFonts w:cs="Arial"/>
          <w:lang w:val="lt-LT"/>
        </w:rPr>
        <w:t>pabrango</w:t>
      </w:r>
      <w:r w:rsidR="0054334E" w:rsidRPr="00143A30">
        <w:rPr>
          <w:rFonts w:cs="Arial"/>
          <w:lang w:val="lt-LT"/>
        </w:rPr>
        <w:t xml:space="preserve"> </w:t>
      </w:r>
      <w:r w:rsidR="00F85198" w:rsidRPr="00143A30">
        <w:rPr>
          <w:rFonts w:cs="Arial"/>
          <w:lang w:val="lt-LT"/>
        </w:rPr>
        <w:t>valgomieji ledai – 16,6</w:t>
      </w:r>
      <w:r w:rsidR="00143A30" w:rsidRPr="00143A30">
        <w:rPr>
          <w:rFonts w:cs="Arial"/>
          <w:lang w:val="lt-LT"/>
        </w:rPr>
        <w:t> proc.</w:t>
      </w:r>
      <w:r w:rsidR="00717C2A" w:rsidRPr="00143A30">
        <w:rPr>
          <w:rFonts w:cs="Arial"/>
          <w:lang w:val="lt-LT"/>
        </w:rPr>
        <w:t>,</w:t>
      </w:r>
      <w:r w:rsidR="00957115" w:rsidRPr="00143A30">
        <w:rPr>
          <w:rFonts w:cs="Arial"/>
          <w:lang w:val="lt-LT"/>
        </w:rPr>
        <w:t xml:space="preserve"> </w:t>
      </w:r>
      <w:r w:rsidR="00F85198" w:rsidRPr="00143A30">
        <w:rPr>
          <w:rFonts w:cs="Arial"/>
          <w:lang w:val="lt-LT"/>
        </w:rPr>
        <w:t>vaisių, uog</w:t>
      </w:r>
      <w:r w:rsidR="001944DF" w:rsidRPr="00143A30">
        <w:rPr>
          <w:rFonts w:cs="Arial"/>
          <w:lang w:val="lt-LT"/>
        </w:rPr>
        <w:t>ų ir daržovių sultys</w:t>
      </w:r>
      <w:r w:rsidR="00CE2B35" w:rsidRPr="00143A30">
        <w:rPr>
          <w:lang w:val="lt-LT"/>
        </w:rPr>
        <w:t xml:space="preserve"> –</w:t>
      </w:r>
      <w:r w:rsidR="001944DF" w:rsidRPr="00143A30">
        <w:rPr>
          <w:lang w:val="lt-LT"/>
        </w:rPr>
        <w:t xml:space="preserve"> 8,9</w:t>
      </w:r>
      <w:r w:rsidR="00F0335C">
        <w:rPr>
          <w:lang w:val="lt-LT"/>
        </w:rPr>
        <w:t>,</w:t>
      </w:r>
      <w:r w:rsidR="001944DF" w:rsidRPr="00143A30">
        <w:rPr>
          <w:lang w:val="lt-LT"/>
        </w:rPr>
        <w:t> perdirbti bei konservuoti vaisiai ir daržovės – 6,7</w:t>
      </w:r>
      <w:r w:rsidR="00F0335C">
        <w:rPr>
          <w:lang w:val="lt-LT"/>
        </w:rPr>
        <w:t> </w:t>
      </w:r>
      <w:r w:rsidR="001944DF" w:rsidRPr="00143A30">
        <w:rPr>
          <w:lang w:val="lt-LT"/>
        </w:rPr>
        <w:t>proc.,</w:t>
      </w:r>
      <w:r w:rsidR="002219AD" w:rsidRPr="00143A30">
        <w:rPr>
          <w:lang w:val="lt-LT"/>
        </w:rPr>
        <w:t xml:space="preserve"> </w:t>
      </w:r>
      <w:r w:rsidR="00DD38A1" w:rsidRPr="00143A30">
        <w:rPr>
          <w:lang w:val="lt-LT"/>
        </w:rPr>
        <w:t xml:space="preserve">bet </w:t>
      </w:r>
      <w:r w:rsidR="00717C2A" w:rsidRPr="00143A30">
        <w:rPr>
          <w:lang w:val="lt-LT"/>
        </w:rPr>
        <w:t>atpigo</w:t>
      </w:r>
      <w:r w:rsidR="006C72A4" w:rsidRPr="00143A30">
        <w:rPr>
          <w:rFonts w:cs="Arial"/>
          <w:lang w:val="lt-LT"/>
        </w:rPr>
        <w:t xml:space="preserve"> </w:t>
      </w:r>
      <w:r w:rsidR="001944DF" w:rsidRPr="00143A30">
        <w:rPr>
          <w:lang w:val="lt-LT"/>
        </w:rPr>
        <w:t>perdirbta ir konservuota paukštiena</w:t>
      </w:r>
      <w:r w:rsidR="000526E3" w:rsidRPr="00143A30">
        <w:rPr>
          <w:lang w:val="lt-LT"/>
        </w:rPr>
        <w:t xml:space="preserve"> </w:t>
      </w:r>
      <w:r w:rsidR="00CE2B35" w:rsidRPr="00143A30">
        <w:rPr>
          <w:rFonts w:cs="Arial"/>
          <w:lang w:val="lt-LT"/>
        </w:rPr>
        <w:t xml:space="preserve">– </w:t>
      </w:r>
      <w:r w:rsidR="0073472C" w:rsidRPr="00143A30">
        <w:rPr>
          <w:rFonts w:cs="Arial"/>
          <w:lang w:val="lt-LT"/>
        </w:rPr>
        <w:t>21,5</w:t>
      </w:r>
      <w:r w:rsidR="00143A30" w:rsidRPr="00143A30">
        <w:rPr>
          <w:rFonts w:cs="Arial"/>
          <w:lang w:val="lt-LT"/>
        </w:rPr>
        <w:t> proc.</w:t>
      </w:r>
      <w:r w:rsidR="0073472C" w:rsidRPr="00143A30">
        <w:rPr>
          <w:rFonts w:cs="Arial"/>
          <w:lang w:val="lt-LT"/>
        </w:rPr>
        <w:t>, paruoštas ėdalas</w:t>
      </w:r>
      <w:r w:rsidR="00CE2B35" w:rsidRPr="00143A30">
        <w:rPr>
          <w:rFonts w:cs="Arial"/>
          <w:lang w:val="lt-LT"/>
        </w:rPr>
        <w:t xml:space="preserve"> </w:t>
      </w:r>
      <w:r w:rsidR="008C4B1A" w:rsidRPr="00143A30">
        <w:rPr>
          <w:rFonts w:cs="Arial"/>
          <w:lang w:val="lt-LT"/>
        </w:rPr>
        <w:t>naminiams gyvūnėliams</w:t>
      </w:r>
      <w:r w:rsidR="00F0335C">
        <w:rPr>
          <w:rFonts w:cs="Arial"/>
          <w:lang w:val="lt-LT"/>
        </w:rPr>
        <w:t> </w:t>
      </w:r>
      <w:r w:rsidR="00CE2B35" w:rsidRPr="00143A30">
        <w:rPr>
          <w:rFonts w:cs="Arial"/>
          <w:lang w:val="lt-LT"/>
        </w:rPr>
        <w:t xml:space="preserve">– </w:t>
      </w:r>
      <w:r w:rsidR="0073472C" w:rsidRPr="00143A30">
        <w:rPr>
          <w:rFonts w:cs="Arial"/>
          <w:lang w:val="lt-LT"/>
        </w:rPr>
        <w:t xml:space="preserve">7,4, apdorota </w:t>
      </w:r>
      <w:r w:rsidR="008C4B1A" w:rsidRPr="00143A30">
        <w:rPr>
          <w:rFonts w:cs="Arial"/>
          <w:lang w:val="lt-LT"/>
        </w:rPr>
        <w:t>ir perdirbta arbata ir kava – 6,6</w:t>
      </w:r>
      <w:r w:rsidR="00143A30" w:rsidRPr="00143A30">
        <w:rPr>
          <w:rFonts w:cs="Arial"/>
          <w:lang w:val="lt-LT"/>
        </w:rPr>
        <w:t> proc.</w:t>
      </w:r>
    </w:p>
    <w:p w:rsidR="00FF3573" w:rsidRPr="00143A30" w:rsidRDefault="0009186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lang w:val="lt-LT"/>
        </w:rPr>
      </w:pPr>
      <w:r w:rsidRPr="00143A30">
        <w:rPr>
          <w:rFonts w:cs="Arial"/>
          <w:lang w:val="lt-LT"/>
        </w:rPr>
        <w:t>Ne Lietuvos rinkoje parduotos pramonės produkcijos kainos per mėnesį</w:t>
      </w:r>
      <w:r w:rsidR="00F85AC8" w:rsidRPr="00143A30">
        <w:rPr>
          <w:rFonts w:cs="Arial"/>
          <w:lang w:val="lt-LT"/>
        </w:rPr>
        <w:t xml:space="preserve"> </w:t>
      </w:r>
      <w:r w:rsidR="004D0AA9" w:rsidRPr="00143A30">
        <w:rPr>
          <w:rFonts w:cs="Arial"/>
          <w:lang w:val="lt-LT"/>
        </w:rPr>
        <w:t>padidėjo 0,1</w:t>
      </w:r>
      <w:r w:rsidR="00143A30" w:rsidRPr="00143A30">
        <w:rPr>
          <w:rFonts w:cs="Arial"/>
          <w:lang w:val="lt-LT"/>
        </w:rPr>
        <w:t> proc.</w:t>
      </w:r>
      <w:r w:rsidRPr="00143A30">
        <w:rPr>
          <w:rFonts w:cs="Arial"/>
          <w:lang w:val="lt-LT"/>
        </w:rPr>
        <w:t>, neįskaitant</w:t>
      </w:r>
      <w:r w:rsidR="00EA14AB" w:rsidRPr="00143A30">
        <w:rPr>
          <w:rFonts w:cs="Arial"/>
          <w:lang w:val="lt-LT"/>
        </w:rPr>
        <w:t xml:space="preserve"> rafinuotų naftos produktų</w:t>
      </w:r>
      <w:r w:rsidR="00796E8B" w:rsidRPr="00143A30">
        <w:rPr>
          <w:rFonts w:cs="Arial"/>
          <w:lang w:val="lt-LT"/>
        </w:rPr>
        <w:t xml:space="preserve"> –</w:t>
      </w:r>
      <w:r w:rsidR="00B957BC" w:rsidRPr="00143A30">
        <w:rPr>
          <w:rFonts w:cs="Arial"/>
          <w:lang w:val="lt-LT"/>
        </w:rPr>
        <w:t xml:space="preserve"> </w:t>
      </w:r>
      <w:r w:rsidR="00C40647" w:rsidRPr="00143A30">
        <w:rPr>
          <w:rFonts w:cs="Arial"/>
          <w:lang w:val="lt-LT"/>
        </w:rPr>
        <w:t>0,7</w:t>
      </w:r>
      <w:r w:rsidR="00143A30" w:rsidRPr="00143A30">
        <w:rPr>
          <w:rFonts w:cs="Arial"/>
          <w:lang w:val="lt-LT"/>
        </w:rPr>
        <w:t> proc.</w:t>
      </w:r>
    </w:p>
    <w:p w:rsidR="00EE48A0" w:rsidRPr="00143A30" w:rsidRDefault="00EE48A0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lang w:val="lt-LT"/>
        </w:rPr>
      </w:pPr>
      <w:r w:rsidRPr="00143A30">
        <w:rPr>
          <w:lang w:val="lt-LT"/>
        </w:rPr>
        <w:t>Euro zonos rinkoje parduotos pramo</w:t>
      </w:r>
      <w:r w:rsidR="002E061C" w:rsidRPr="00143A30">
        <w:rPr>
          <w:lang w:val="lt-LT"/>
        </w:rPr>
        <w:t>nės produkcijos kainos per mėnesį</w:t>
      </w:r>
      <w:r w:rsidRPr="00143A30">
        <w:rPr>
          <w:lang w:val="lt-LT"/>
        </w:rPr>
        <w:t xml:space="preserve"> </w:t>
      </w:r>
      <w:r w:rsidR="00C40647" w:rsidRPr="00143A30">
        <w:rPr>
          <w:lang w:val="lt-LT"/>
        </w:rPr>
        <w:t>padidėjo</w:t>
      </w:r>
      <w:r w:rsidRPr="00143A30">
        <w:rPr>
          <w:lang w:val="lt-LT"/>
        </w:rPr>
        <w:t xml:space="preserve"> </w:t>
      </w:r>
      <w:r w:rsidR="00C40647" w:rsidRPr="00143A30">
        <w:rPr>
          <w:lang w:val="lt-LT"/>
        </w:rPr>
        <w:t>0,6</w:t>
      </w:r>
      <w:r w:rsidR="00143A30" w:rsidRPr="00143A30">
        <w:rPr>
          <w:lang w:val="lt-LT"/>
        </w:rPr>
        <w:t> proc.</w:t>
      </w:r>
      <w:r w:rsidRPr="00143A30">
        <w:rPr>
          <w:lang w:val="lt-LT"/>
        </w:rPr>
        <w:t>, ne</w:t>
      </w:r>
      <w:r w:rsidRPr="00143A30">
        <w:rPr>
          <w:rFonts w:cs="Arial"/>
          <w:lang w:val="lt-LT"/>
        </w:rPr>
        <w:t> </w:t>
      </w:r>
      <w:r w:rsidRPr="00143A30">
        <w:rPr>
          <w:lang w:val="lt-LT"/>
        </w:rPr>
        <w:t>euro zonos rinkoje</w:t>
      </w:r>
      <w:r w:rsidR="00796E8B" w:rsidRPr="00143A30">
        <w:rPr>
          <w:lang w:val="lt-LT"/>
        </w:rPr>
        <w:t xml:space="preserve"> –</w:t>
      </w:r>
      <w:r w:rsidR="00D602DA" w:rsidRPr="00143A30">
        <w:rPr>
          <w:lang w:val="lt-LT"/>
        </w:rPr>
        <w:t xml:space="preserve"> sumažėjo</w:t>
      </w:r>
      <w:r w:rsidRPr="00143A30">
        <w:rPr>
          <w:lang w:val="lt-LT"/>
        </w:rPr>
        <w:t xml:space="preserve"> </w:t>
      </w:r>
      <w:r w:rsidR="00D602DA" w:rsidRPr="00143A30">
        <w:rPr>
          <w:lang w:val="lt-LT"/>
        </w:rPr>
        <w:t>0,3</w:t>
      </w:r>
      <w:r w:rsidR="00143A30" w:rsidRPr="00143A30">
        <w:rPr>
          <w:lang w:val="lt-LT"/>
        </w:rPr>
        <w:t> proc.</w:t>
      </w:r>
    </w:p>
    <w:p w:rsidR="00091865" w:rsidRPr="00143A30" w:rsidRDefault="00091865" w:rsidP="00F9149E">
      <w:pPr>
        <w:rPr>
          <w:lang w:val="lt-LT"/>
        </w:rPr>
      </w:pPr>
    </w:p>
    <w:p w:rsidR="00091865" w:rsidRPr="00143A30" w:rsidRDefault="00091865" w:rsidP="00091865">
      <w:pPr>
        <w:pStyle w:val="lentpav"/>
        <w:rPr>
          <w:rFonts w:cs="Arial"/>
          <w:sz w:val="20"/>
          <w:lang w:val="lt-LT"/>
        </w:rPr>
      </w:pPr>
      <w:r w:rsidRPr="00143A30">
        <w:rPr>
          <w:rFonts w:cs="Arial"/>
          <w:sz w:val="20"/>
          <w:lang w:val="lt-LT"/>
        </w:rPr>
        <w:t xml:space="preserve">1 pav. </w:t>
      </w:r>
      <w:hyperlink r:id="rId12" w:anchor="/" w:history="1">
        <w:r w:rsidRPr="00143A30">
          <w:rPr>
            <w:lang w:val="lt-LT"/>
          </w:rPr>
          <w:t>Gamintojų parduotos pramonės produkcijos kainų pokyčiai per mėnesį</w:t>
        </w:r>
      </w:hyperlink>
    </w:p>
    <w:p w:rsidR="00091865" w:rsidRPr="00143A30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143A30">
        <w:rPr>
          <w:rFonts w:cs="Arial"/>
          <w:sz w:val="18"/>
          <w:szCs w:val="18"/>
          <w:lang w:val="lt-LT"/>
        </w:rPr>
        <w:t>Palyginti su ankstesniu mėnesiu</w:t>
      </w:r>
    </w:p>
    <w:p w:rsidR="00091865" w:rsidRPr="00143A30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143A30">
        <w:rPr>
          <w:rFonts w:cs="Arial"/>
          <w:sz w:val="18"/>
          <w:szCs w:val="18"/>
          <w:lang w:val="lt-LT"/>
        </w:rPr>
        <w:t>Procentai</w:t>
      </w:r>
    </w:p>
    <w:p w:rsidR="00091865" w:rsidRPr="00143A30" w:rsidRDefault="00091865" w:rsidP="009F05A1">
      <w:pPr>
        <w:ind w:left="-1134" w:right="-1134" w:firstLine="1134"/>
        <w:rPr>
          <w:lang w:val="lt-LT"/>
        </w:rPr>
      </w:pPr>
      <w:r w:rsidRPr="00143A30">
        <w:rPr>
          <w:noProof/>
          <w:lang w:val="lt-LT" w:eastAsia="lt-LT"/>
        </w:rPr>
        <w:drawing>
          <wp:inline distT="0" distB="0" distL="0" distR="0" wp14:anchorId="18049353" wp14:editId="02949A38">
            <wp:extent cx="6120000" cy="3598127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1865" w:rsidRPr="00143A30" w:rsidRDefault="00091865" w:rsidP="00C372B2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separator/>
      </w:r>
    </w:p>
    <w:p w:rsidR="006A26E9" w:rsidRPr="00143A30" w:rsidRDefault="006A26E9" w:rsidP="006A26E9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t>2021</w:t>
      </w:r>
      <w:r w:rsidR="00143A30" w:rsidRPr="00143A30">
        <w:rPr>
          <w:sz w:val="18"/>
          <w:szCs w:val="18"/>
          <w:lang w:val="lt-LT"/>
        </w:rPr>
        <w:t> m.</w:t>
      </w:r>
      <w:r w:rsidR="003157A8" w:rsidRPr="00143A30">
        <w:rPr>
          <w:sz w:val="18"/>
          <w:szCs w:val="18"/>
          <w:lang w:val="lt-LT"/>
        </w:rPr>
        <w:t xml:space="preserve"> spalio</w:t>
      </w:r>
      <w:r w:rsidRPr="00143A30">
        <w:rPr>
          <w:sz w:val="18"/>
          <w:szCs w:val="18"/>
          <w:lang w:val="lt-LT"/>
        </w:rPr>
        <w:t xml:space="preserve"> mėn. – patikslinti duomenys.</w:t>
      </w:r>
    </w:p>
    <w:p w:rsidR="00002CED" w:rsidRPr="00143A30" w:rsidRDefault="00520D42" w:rsidP="00002CED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t>2021</w:t>
      </w:r>
      <w:r w:rsidR="00143A30" w:rsidRPr="00143A30">
        <w:rPr>
          <w:sz w:val="18"/>
          <w:szCs w:val="18"/>
          <w:lang w:val="lt-LT"/>
        </w:rPr>
        <w:t> m.</w:t>
      </w:r>
      <w:r w:rsidR="003157A8" w:rsidRPr="00143A30">
        <w:rPr>
          <w:sz w:val="18"/>
          <w:szCs w:val="18"/>
          <w:lang w:val="lt-LT"/>
        </w:rPr>
        <w:t xml:space="preserve"> lapkričio</w:t>
      </w:r>
      <w:r w:rsidR="00E2222A" w:rsidRPr="00143A30">
        <w:rPr>
          <w:sz w:val="18"/>
          <w:szCs w:val="18"/>
          <w:lang w:val="lt-LT"/>
        </w:rPr>
        <w:t xml:space="preserve"> </w:t>
      </w:r>
      <w:r w:rsidR="00002CED" w:rsidRPr="00143A30">
        <w:rPr>
          <w:sz w:val="18"/>
          <w:szCs w:val="18"/>
          <w:lang w:val="lt-LT"/>
        </w:rPr>
        <w:t>mėn.</w:t>
      </w:r>
      <w:r w:rsidR="00CE2B35" w:rsidRPr="00143A30">
        <w:rPr>
          <w:sz w:val="18"/>
          <w:szCs w:val="18"/>
          <w:lang w:val="lt-LT"/>
        </w:rPr>
        <w:t xml:space="preserve"> – </w:t>
      </w:r>
      <w:r w:rsidR="00002CED" w:rsidRPr="00143A30">
        <w:rPr>
          <w:sz w:val="18"/>
          <w:szCs w:val="18"/>
          <w:lang w:val="lt-LT"/>
        </w:rPr>
        <w:t>išankstiniai duomenys.</w:t>
      </w:r>
    </w:p>
    <w:p w:rsidR="00A5771B" w:rsidRPr="00143A30" w:rsidRDefault="00A5771B" w:rsidP="00C372B2">
      <w:pPr>
        <w:rPr>
          <w:sz w:val="18"/>
          <w:szCs w:val="18"/>
          <w:lang w:val="lt-LT"/>
        </w:rPr>
      </w:pPr>
    </w:p>
    <w:p w:rsidR="00091865" w:rsidRPr="00143A30" w:rsidRDefault="0000595E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b/>
          <w:sz w:val="20"/>
          <w:lang w:val="lt-LT"/>
        </w:rPr>
      </w:pPr>
      <w:r w:rsidRPr="00143A30">
        <w:rPr>
          <w:b/>
          <w:sz w:val="20"/>
          <w:lang w:val="lt-LT"/>
        </w:rPr>
        <w:t>Per metus (2021</w:t>
      </w:r>
      <w:r w:rsidR="00143A30" w:rsidRPr="00143A30">
        <w:rPr>
          <w:b/>
          <w:sz w:val="20"/>
          <w:lang w:val="lt-LT"/>
        </w:rPr>
        <w:t> m.</w:t>
      </w:r>
      <w:r w:rsidR="00AB3C61" w:rsidRPr="00143A30">
        <w:rPr>
          <w:b/>
          <w:sz w:val="20"/>
          <w:lang w:val="lt-LT"/>
        </w:rPr>
        <w:t xml:space="preserve"> </w:t>
      </w:r>
      <w:r w:rsidR="00E3699C" w:rsidRPr="00143A30">
        <w:rPr>
          <w:b/>
          <w:sz w:val="20"/>
          <w:lang w:val="lt-LT"/>
        </w:rPr>
        <w:t>lapkritį</w:t>
      </w:r>
      <w:r w:rsidRPr="00143A30">
        <w:rPr>
          <w:b/>
          <w:sz w:val="20"/>
          <w:lang w:val="lt-LT"/>
        </w:rPr>
        <w:t>, palyginti su 2020</w:t>
      </w:r>
      <w:r w:rsidR="00143A30" w:rsidRPr="00143A30">
        <w:rPr>
          <w:b/>
          <w:sz w:val="20"/>
          <w:lang w:val="lt-LT"/>
        </w:rPr>
        <w:t> m.</w:t>
      </w:r>
      <w:r w:rsidR="00E3699C" w:rsidRPr="00143A30">
        <w:rPr>
          <w:b/>
          <w:sz w:val="20"/>
          <w:lang w:val="lt-LT"/>
        </w:rPr>
        <w:t xml:space="preserve"> lapkričiu</w:t>
      </w:r>
      <w:r w:rsidR="00091865" w:rsidRPr="00143A30">
        <w:rPr>
          <w:b/>
          <w:sz w:val="20"/>
          <w:lang w:val="lt-LT"/>
        </w:rPr>
        <w:t>) visos gamintojų parduotos</w:t>
      </w:r>
      <w:r w:rsidR="00493D88" w:rsidRPr="00143A30">
        <w:rPr>
          <w:b/>
          <w:sz w:val="20"/>
          <w:lang w:val="lt-LT"/>
        </w:rPr>
        <w:t xml:space="preserve"> </w:t>
      </w:r>
      <w:r w:rsidR="003C2842" w:rsidRPr="00143A30">
        <w:rPr>
          <w:b/>
          <w:sz w:val="20"/>
          <w:lang w:val="lt-LT"/>
        </w:rPr>
        <w:t xml:space="preserve">pramonės produkcijos kainos </w:t>
      </w:r>
      <w:r w:rsidR="00247B76" w:rsidRPr="00143A30">
        <w:rPr>
          <w:b/>
          <w:sz w:val="20"/>
          <w:lang w:val="lt-LT"/>
        </w:rPr>
        <w:t>padidėjo</w:t>
      </w:r>
      <w:r w:rsidR="00091865" w:rsidRPr="00143A30">
        <w:rPr>
          <w:b/>
          <w:sz w:val="20"/>
          <w:lang w:val="lt-LT"/>
        </w:rPr>
        <w:t xml:space="preserve"> </w:t>
      </w:r>
      <w:r w:rsidR="004D0AA9" w:rsidRPr="00143A30">
        <w:rPr>
          <w:b/>
          <w:sz w:val="20"/>
          <w:lang w:val="lt-LT"/>
        </w:rPr>
        <w:t>17,6</w:t>
      </w:r>
      <w:r w:rsidR="00143A30" w:rsidRPr="00143A30">
        <w:rPr>
          <w:b/>
          <w:sz w:val="20"/>
          <w:lang w:val="lt-LT"/>
        </w:rPr>
        <w:t> proc.</w:t>
      </w:r>
      <w:r w:rsidR="007179EA" w:rsidRPr="00143A30">
        <w:rPr>
          <w:b/>
          <w:sz w:val="20"/>
          <w:lang w:val="lt-LT"/>
        </w:rPr>
        <w:t>, neįskaitant rafinuotų naftos produktų</w:t>
      </w:r>
      <w:r w:rsidR="00CE2B35" w:rsidRPr="00143A30">
        <w:rPr>
          <w:b/>
          <w:sz w:val="20"/>
          <w:lang w:val="lt-LT"/>
        </w:rPr>
        <w:t xml:space="preserve"> – </w:t>
      </w:r>
      <w:r w:rsidR="004D0AA9" w:rsidRPr="00143A30">
        <w:rPr>
          <w:b/>
          <w:sz w:val="20"/>
          <w:lang w:val="lt-LT"/>
        </w:rPr>
        <w:t>11,7</w:t>
      </w:r>
      <w:r w:rsidR="00143A30" w:rsidRPr="00143A30">
        <w:rPr>
          <w:b/>
          <w:sz w:val="20"/>
          <w:lang w:val="lt-LT"/>
        </w:rPr>
        <w:t> proc.</w:t>
      </w:r>
    </w:p>
    <w:p w:rsidR="00091865" w:rsidRPr="00143A30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sz w:val="20"/>
          <w:lang w:val="lt-LT"/>
        </w:rPr>
      </w:pPr>
      <w:r w:rsidRPr="00143A30">
        <w:rPr>
          <w:sz w:val="20"/>
          <w:lang w:val="lt-LT"/>
        </w:rPr>
        <w:t xml:space="preserve">Lietuvos rinkoje parduotos pramonės produkcijos kainos per metus </w:t>
      </w:r>
      <w:r w:rsidR="00890971" w:rsidRPr="00143A30">
        <w:rPr>
          <w:sz w:val="20"/>
          <w:lang w:val="lt-LT"/>
        </w:rPr>
        <w:t>padidėjo</w:t>
      </w:r>
      <w:r w:rsidRPr="00143A30">
        <w:rPr>
          <w:sz w:val="20"/>
          <w:lang w:val="lt-LT"/>
        </w:rPr>
        <w:t xml:space="preserve"> </w:t>
      </w:r>
      <w:r w:rsidR="008C4B1A" w:rsidRPr="00143A30">
        <w:rPr>
          <w:sz w:val="20"/>
          <w:lang w:val="lt-LT"/>
        </w:rPr>
        <w:t>27,1</w:t>
      </w:r>
      <w:r w:rsidR="00143A30" w:rsidRPr="00143A30">
        <w:rPr>
          <w:sz w:val="20"/>
          <w:lang w:val="lt-LT"/>
        </w:rPr>
        <w:t> proc.</w:t>
      </w:r>
      <w:r w:rsidRPr="00143A30">
        <w:rPr>
          <w:sz w:val="20"/>
          <w:lang w:val="lt-LT"/>
        </w:rPr>
        <w:t>, neįskaitant rafinuotų naftos produktų</w:t>
      </w:r>
      <w:r w:rsidR="00CE2B35" w:rsidRPr="00143A30">
        <w:rPr>
          <w:sz w:val="20"/>
          <w:lang w:val="lt-LT"/>
        </w:rPr>
        <w:t xml:space="preserve"> – </w:t>
      </w:r>
      <w:r w:rsidR="008C4B1A" w:rsidRPr="00143A30">
        <w:rPr>
          <w:sz w:val="20"/>
          <w:lang w:val="lt-LT"/>
        </w:rPr>
        <w:t>18,4</w:t>
      </w:r>
      <w:r w:rsidR="00143A30" w:rsidRPr="00143A30">
        <w:rPr>
          <w:sz w:val="20"/>
          <w:lang w:val="lt-LT"/>
        </w:rPr>
        <w:t> proc.</w:t>
      </w:r>
      <w:r w:rsidRPr="00143A30">
        <w:rPr>
          <w:sz w:val="20"/>
          <w:lang w:val="lt-LT"/>
        </w:rPr>
        <w:t xml:space="preserve"> </w:t>
      </w:r>
    </w:p>
    <w:p w:rsidR="00091865" w:rsidRPr="00143A30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sz w:val="20"/>
          <w:lang w:val="lt-LT"/>
        </w:rPr>
      </w:pPr>
      <w:r w:rsidRPr="00143A30">
        <w:rPr>
          <w:sz w:val="20"/>
          <w:lang w:val="lt-LT"/>
        </w:rPr>
        <w:t>Ne</w:t>
      </w:r>
      <w:r w:rsidR="00367086" w:rsidRPr="00143A30">
        <w:rPr>
          <w:sz w:val="20"/>
          <w:lang w:val="lt-LT"/>
        </w:rPr>
        <w:t xml:space="preserve"> </w:t>
      </w:r>
      <w:r w:rsidRPr="00143A30">
        <w:rPr>
          <w:sz w:val="20"/>
          <w:lang w:val="lt-LT"/>
        </w:rPr>
        <w:t xml:space="preserve">Lietuvos rinkoje parduotos pramonės produkcijos kainos per metus </w:t>
      </w:r>
      <w:r w:rsidR="00890971" w:rsidRPr="00143A30">
        <w:rPr>
          <w:sz w:val="20"/>
          <w:lang w:val="lt-LT"/>
        </w:rPr>
        <w:t>padidėjo</w:t>
      </w:r>
      <w:r w:rsidRPr="00143A30">
        <w:rPr>
          <w:sz w:val="20"/>
          <w:lang w:val="lt-LT"/>
        </w:rPr>
        <w:t xml:space="preserve"> </w:t>
      </w:r>
      <w:r w:rsidR="00D602DA" w:rsidRPr="00143A30">
        <w:rPr>
          <w:sz w:val="20"/>
          <w:lang w:val="lt-LT"/>
        </w:rPr>
        <w:t>10,8</w:t>
      </w:r>
      <w:r w:rsidR="00143A30" w:rsidRPr="00143A30">
        <w:rPr>
          <w:sz w:val="20"/>
          <w:lang w:val="lt-LT"/>
        </w:rPr>
        <w:t> proc.</w:t>
      </w:r>
      <w:r w:rsidRPr="00143A30">
        <w:rPr>
          <w:sz w:val="20"/>
          <w:lang w:val="lt-LT"/>
        </w:rPr>
        <w:t>, neįskaitant rafi</w:t>
      </w:r>
      <w:r w:rsidR="001428CE" w:rsidRPr="00143A30">
        <w:rPr>
          <w:sz w:val="20"/>
          <w:lang w:val="lt-LT"/>
        </w:rPr>
        <w:t>nuotų naftos produktų</w:t>
      </w:r>
      <w:r w:rsidR="00CE2B35" w:rsidRPr="00143A30">
        <w:rPr>
          <w:sz w:val="20"/>
          <w:lang w:val="lt-LT"/>
        </w:rPr>
        <w:t xml:space="preserve"> – </w:t>
      </w:r>
      <w:r w:rsidR="00C40647" w:rsidRPr="00143A30">
        <w:rPr>
          <w:sz w:val="20"/>
          <w:lang w:val="lt-LT"/>
        </w:rPr>
        <w:t>6,5</w:t>
      </w:r>
      <w:r w:rsidR="00143A30" w:rsidRPr="00143A30">
        <w:rPr>
          <w:sz w:val="20"/>
          <w:lang w:val="lt-LT"/>
        </w:rPr>
        <w:t> proc.</w:t>
      </w:r>
      <w:r w:rsidRPr="00143A30">
        <w:rPr>
          <w:sz w:val="20"/>
          <w:lang w:val="lt-LT"/>
        </w:rPr>
        <w:t xml:space="preserve"> </w:t>
      </w:r>
    </w:p>
    <w:p w:rsidR="00091865" w:rsidRPr="00143A30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sz w:val="20"/>
          <w:lang w:val="lt-LT"/>
        </w:rPr>
      </w:pPr>
      <w:r w:rsidRPr="00143A30">
        <w:rPr>
          <w:sz w:val="20"/>
          <w:lang w:val="lt-LT"/>
        </w:rPr>
        <w:t xml:space="preserve">Euro zonos rinkoje parduotos pramonės produkcijos kainos per metus </w:t>
      </w:r>
      <w:r w:rsidR="00E2222A" w:rsidRPr="00143A30">
        <w:rPr>
          <w:sz w:val="20"/>
          <w:lang w:val="lt-LT"/>
        </w:rPr>
        <w:t>padidėjo</w:t>
      </w:r>
      <w:r w:rsidR="007D640B" w:rsidRPr="00143A30">
        <w:rPr>
          <w:sz w:val="20"/>
          <w:lang w:val="lt-LT"/>
        </w:rPr>
        <w:t xml:space="preserve"> </w:t>
      </w:r>
      <w:r w:rsidR="00C40647" w:rsidRPr="00143A30">
        <w:rPr>
          <w:sz w:val="20"/>
          <w:lang w:val="lt-LT"/>
        </w:rPr>
        <w:t>8,1</w:t>
      </w:r>
      <w:r w:rsidR="00143A30" w:rsidRPr="00143A30">
        <w:rPr>
          <w:sz w:val="20"/>
          <w:lang w:val="lt-LT"/>
        </w:rPr>
        <w:t> proc.</w:t>
      </w:r>
      <w:r w:rsidRPr="00143A30">
        <w:rPr>
          <w:sz w:val="20"/>
          <w:lang w:val="lt-LT"/>
        </w:rPr>
        <w:t>, ne</w:t>
      </w:r>
      <w:r w:rsidRPr="00143A30">
        <w:rPr>
          <w:rFonts w:cs="Arial"/>
          <w:sz w:val="20"/>
          <w:lang w:val="lt-LT"/>
        </w:rPr>
        <w:t> </w:t>
      </w:r>
      <w:r w:rsidRPr="00143A30">
        <w:rPr>
          <w:sz w:val="20"/>
          <w:lang w:val="lt-LT"/>
        </w:rPr>
        <w:t>euro zonos rinkoje</w:t>
      </w:r>
      <w:r w:rsidR="00CE2B35" w:rsidRPr="00143A30">
        <w:rPr>
          <w:sz w:val="20"/>
          <w:lang w:val="lt-LT"/>
        </w:rPr>
        <w:t xml:space="preserve"> – </w:t>
      </w:r>
      <w:r w:rsidR="00D602DA" w:rsidRPr="00143A30">
        <w:rPr>
          <w:sz w:val="20"/>
          <w:lang w:val="lt-LT"/>
        </w:rPr>
        <w:t>12,6</w:t>
      </w:r>
      <w:r w:rsidR="00143A30" w:rsidRPr="00143A30">
        <w:rPr>
          <w:sz w:val="20"/>
          <w:lang w:val="lt-LT"/>
        </w:rPr>
        <w:t> proc.</w:t>
      </w:r>
    </w:p>
    <w:p w:rsidR="009F05A1" w:rsidRPr="00143A30" w:rsidRDefault="009F05A1" w:rsidP="00091865">
      <w:pPr>
        <w:rPr>
          <w:rFonts w:cs="Arial"/>
          <w:lang w:val="lt-LT"/>
        </w:rPr>
      </w:pPr>
    </w:p>
    <w:p w:rsidR="00091865" w:rsidRPr="00143A30" w:rsidRDefault="00AA66B8" w:rsidP="00143A30">
      <w:pPr>
        <w:pStyle w:val="Lentelespav"/>
        <w:keepNext/>
        <w:keepLines/>
        <w:ind w:right="-285"/>
        <w:jc w:val="left"/>
        <w:rPr>
          <w:spacing w:val="-2"/>
          <w:lang w:val="lt-LT"/>
        </w:rPr>
      </w:pPr>
      <w:r w:rsidRPr="00143A30">
        <w:rPr>
          <w:spacing w:val="-2"/>
          <w:lang w:val="lt-LT"/>
        </w:rPr>
        <w:t>2</w:t>
      </w:r>
      <w:r w:rsidR="00091865" w:rsidRPr="00143A30">
        <w:rPr>
          <w:spacing w:val="-2"/>
          <w:lang w:val="lt-LT"/>
        </w:rPr>
        <w:t xml:space="preserve"> pav. </w:t>
      </w:r>
      <w:hyperlink r:id="rId14" w:anchor="/" w:history="1">
        <w:r w:rsidR="00091865" w:rsidRPr="00143A30">
          <w:rPr>
            <w:spacing w:val="-2"/>
            <w:lang w:val="lt-LT"/>
          </w:rPr>
          <w:t>Gamintojų parduotos pramonės produkcijos metiniai kainų pokyčiai 201</w:t>
        </w:r>
        <w:r w:rsidR="00DF11B9" w:rsidRPr="00143A30">
          <w:rPr>
            <w:spacing w:val="-2"/>
            <w:lang w:val="lt-LT"/>
          </w:rPr>
          <w:t>6</w:t>
        </w:r>
        <w:r w:rsidR="00091865" w:rsidRPr="00143A30">
          <w:rPr>
            <w:spacing w:val="-2"/>
            <w:lang w:val="lt-LT"/>
          </w:rPr>
          <w:t>–20</w:t>
        </w:r>
        <w:r w:rsidR="00DF11B9" w:rsidRPr="00143A30">
          <w:rPr>
            <w:spacing w:val="-2"/>
            <w:lang w:val="lt-LT"/>
          </w:rPr>
          <w:t>21</w:t>
        </w:r>
        <w:r w:rsidR="00143A30" w:rsidRPr="00143A30">
          <w:rPr>
            <w:spacing w:val="-2"/>
            <w:lang w:val="lt-LT"/>
          </w:rPr>
          <w:t> m.</w:t>
        </w:r>
        <w:r w:rsidR="00091865" w:rsidRPr="00143A30">
          <w:rPr>
            <w:spacing w:val="-2"/>
            <w:lang w:val="lt-LT"/>
          </w:rPr>
          <w:t xml:space="preserve"> </w:t>
        </w:r>
      </w:hyperlink>
      <w:r w:rsidR="00E3699C" w:rsidRPr="00143A30">
        <w:rPr>
          <w:spacing w:val="-2"/>
          <w:lang w:val="lt-LT"/>
        </w:rPr>
        <w:t>lapkričio</w:t>
      </w:r>
      <w:r w:rsidR="0054334E" w:rsidRPr="00143A30">
        <w:rPr>
          <w:spacing w:val="-2"/>
          <w:lang w:val="lt-LT"/>
        </w:rPr>
        <w:t xml:space="preserve"> </w:t>
      </w:r>
      <w:r w:rsidR="006C712F" w:rsidRPr="00143A30">
        <w:rPr>
          <w:spacing w:val="-2"/>
          <w:lang w:val="lt-LT"/>
        </w:rPr>
        <w:t>mėn.</w:t>
      </w:r>
    </w:p>
    <w:p w:rsidR="006C712F" w:rsidRPr="00143A30" w:rsidRDefault="006C712F" w:rsidP="006C712F">
      <w:pPr>
        <w:keepNext/>
        <w:keepLines/>
        <w:spacing w:before="60" w:after="60"/>
        <w:rPr>
          <w:rFonts w:cs="Arial"/>
          <w:sz w:val="18"/>
          <w:szCs w:val="18"/>
          <w:lang w:val="lt-LT"/>
        </w:rPr>
      </w:pPr>
      <w:r w:rsidRPr="00143A30">
        <w:rPr>
          <w:rFonts w:cs="Arial"/>
          <w:sz w:val="18"/>
          <w:szCs w:val="18"/>
          <w:lang w:val="lt-LT"/>
        </w:rPr>
        <w:t>Palyginti su ankstesnių metų atitinkamu mėnesiu</w:t>
      </w:r>
    </w:p>
    <w:p w:rsidR="00091865" w:rsidRPr="00143A30" w:rsidRDefault="00091865" w:rsidP="0016451E">
      <w:pPr>
        <w:spacing w:before="60" w:after="60"/>
        <w:rPr>
          <w:rFonts w:cs="Arial"/>
          <w:sz w:val="18"/>
          <w:szCs w:val="18"/>
          <w:lang w:val="lt-LT"/>
        </w:rPr>
      </w:pPr>
      <w:r w:rsidRPr="00143A30">
        <w:rPr>
          <w:rFonts w:cs="Arial"/>
          <w:sz w:val="18"/>
          <w:szCs w:val="18"/>
          <w:lang w:val="lt-LT"/>
        </w:rPr>
        <w:t>Procentai</w:t>
      </w:r>
    </w:p>
    <w:p w:rsidR="00AB60B4" w:rsidRPr="00143A30" w:rsidRDefault="007E5299" w:rsidP="0016451E">
      <w:pPr>
        <w:spacing w:before="60" w:after="60"/>
        <w:rPr>
          <w:rFonts w:cs="Arial"/>
          <w:sz w:val="18"/>
          <w:szCs w:val="18"/>
          <w:lang w:val="lt-LT"/>
        </w:rPr>
      </w:pPr>
      <w:r w:rsidRPr="00143A30">
        <w:rPr>
          <w:noProof/>
          <w:lang w:val="lt-LT" w:eastAsia="lt-LT"/>
        </w:rPr>
        <w:drawing>
          <wp:inline distT="0" distB="0" distL="0" distR="0" wp14:anchorId="404018FC" wp14:editId="760B5EF9">
            <wp:extent cx="6121400" cy="3594100"/>
            <wp:effectExtent l="0" t="0" r="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41015" w:rsidRPr="00143A30" w:rsidRDefault="00241015" w:rsidP="00C372B2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separator/>
      </w:r>
    </w:p>
    <w:p w:rsidR="006A26E9" w:rsidRPr="00143A30" w:rsidRDefault="006A26E9" w:rsidP="006A26E9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t>2021</w:t>
      </w:r>
      <w:r w:rsidR="00143A30" w:rsidRPr="00143A30">
        <w:rPr>
          <w:sz w:val="18"/>
          <w:szCs w:val="18"/>
          <w:lang w:val="lt-LT"/>
        </w:rPr>
        <w:t> m.</w:t>
      </w:r>
      <w:r w:rsidR="00371B21" w:rsidRPr="00143A30">
        <w:rPr>
          <w:sz w:val="18"/>
          <w:szCs w:val="18"/>
          <w:lang w:val="lt-LT"/>
        </w:rPr>
        <w:t xml:space="preserve"> spalio</w:t>
      </w:r>
      <w:r w:rsidRPr="00143A30">
        <w:rPr>
          <w:sz w:val="18"/>
          <w:szCs w:val="18"/>
          <w:lang w:val="lt-LT"/>
        </w:rPr>
        <w:t xml:space="preserve"> mėn. – patikslinti duomenys.</w:t>
      </w:r>
    </w:p>
    <w:p w:rsidR="006A26E9" w:rsidRPr="00143A30" w:rsidRDefault="006A26E9" w:rsidP="006A26E9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t>2021</w:t>
      </w:r>
      <w:r w:rsidR="00143A30" w:rsidRPr="00143A30">
        <w:rPr>
          <w:sz w:val="18"/>
          <w:szCs w:val="18"/>
          <w:lang w:val="lt-LT"/>
        </w:rPr>
        <w:t> m.</w:t>
      </w:r>
      <w:r w:rsidR="00371B21" w:rsidRPr="00143A30">
        <w:rPr>
          <w:sz w:val="18"/>
          <w:szCs w:val="18"/>
          <w:lang w:val="lt-LT"/>
        </w:rPr>
        <w:t xml:space="preserve"> lapkričio</w:t>
      </w:r>
      <w:r w:rsidRPr="00143A30">
        <w:rPr>
          <w:sz w:val="18"/>
          <w:szCs w:val="18"/>
          <w:lang w:val="lt-LT"/>
        </w:rPr>
        <w:t xml:space="preserve"> mėn. – išankstiniai duomenys.</w:t>
      </w:r>
    </w:p>
    <w:p w:rsidR="00E2222A" w:rsidRPr="00143A30" w:rsidRDefault="00E2222A" w:rsidP="00C372B2">
      <w:pPr>
        <w:rPr>
          <w:sz w:val="18"/>
          <w:szCs w:val="18"/>
          <w:lang w:val="lt-LT"/>
        </w:rPr>
      </w:pPr>
    </w:p>
    <w:p w:rsidR="00091865" w:rsidRPr="00143A30" w:rsidRDefault="00091865" w:rsidP="00091865">
      <w:pPr>
        <w:pStyle w:val="lentpav"/>
        <w:rPr>
          <w:sz w:val="20"/>
          <w:lang w:val="lt-LT"/>
        </w:rPr>
      </w:pPr>
      <w:r w:rsidRPr="00143A30">
        <w:rPr>
          <w:sz w:val="20"/>
          <w:lang w:val="lt-LT"/>
        </w:rPr>
        <w:t>Gamintojų parduotos pramonės</w:t>
      </w:r>
      <w:r w:rsidR="00086C1E" w:rsidRPr="00143A30">
        <w:rPr>
          <w:sz w:val="20"/>
          <w:lang w:val="lt-LT"/>
        </w:rPr>
        <w:t xml:space="preserve"> produkcijos kainų pokyčiai 2021</w:t>
      </w:r>
      <w:r w:rsidR="00143A30" w:rsidRPr="00143A30">
        <w:rPr>
          <w:sz w:val="20"/>
          <w:lang w:val="lt-LT"/>
        </w:rPr>
        <w:t> m.</w:t>
      </w:r>
      <w:r w:rsidR="00E3699C" w:rsidRPr="00143A30">
        <w:rPr>
          <w:sz w:val="20"/>
          <w:lang w:val="lt-LT"/>
        </w:rPr>
        <w:t xml:space="preserve"> lapkričio</w:t>
      </w:r>
      <w:r w:rsidR="00654A22" w:rsidRPr="00143A30">
        <w:rPr>
          <w:sz w:val="20"/>
          <w:lang w:val="lt-LT"/>
        </w:rPr>
        <w:t> </w:t>
      </w:r>
      <w:r w:rsidRPr="00143A30">
        <w:rPr>
          <w:sz w:val="20"/>
          <w:lang w:val="lt-LT"/>
        </w:rPr>
        <w:t>mėn.</w:t>
      </w:r>
    </w:p>
    <w:p w:rsidR="00091865" w:rsidRPr="00143A30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143A30">
        <w:rPr>
          <w:rFonts w:cs="Arial"/>
          <w:sz w:val="18"/>
          <w:szCs w:val="18"/>
          <w:lang w:val="lt-LT"/>
        </w:rPr>
        <w:t>Procentais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8"/>
        <w:gridCol w:w="1194"/>
        <w:gridCol w:w="1194"/>
        <w:gridCol w:w="1115"/>
        <w:gridCol w:w="1117"/>
      </w:tblGrid>
      <w:tr w:rsidR="00143A30" w:rsidRPr="00143A30" w:rsidTr="007D640B">
        <w:trPr>
          <w:tblHeader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143A30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143A30">
              <w:rPr>
                <w:sz w:val="19"/>
                <w:szCs w:val="19"/>
                <w:lang w:val="lt-LT"/>
              </w:rPr>
              <w:t>Ekonominės veiklos rūšys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143A30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143A30">
              <w:rPr>
                <w:sz w:val="19"/>
                <w:szCs w:val="19"/>
                <w:lang w:val="lt-LT"/>
              </w:rPr>
              <w:t>Pramonės produkcijos lyginamieji svoriai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143A30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143A30">
              <w:rPr>
                <w:sz w:val="19"/>
                <w:szCs w:val="19"/>
                <w:lang w:val="lt-LT"/>
              </w:rPr>
              <w:t xml:space="preserve">Kainų padidėjimas, sumažėjimas (–) </w:t>
            </w:r>
            <w:r w:rsidR="00920304" w:rsidRPr="00143A30">
              <w:rPr>
                <w:sz w:val="19"/>
                <w:szCs w:val="19"/>
                <w:lang w:val="lt-LT"/>
              </w:rPr>
              <w:br/>
            </w:r>
            <w:r w:rsidR="0007224B" w:rsidRPr="00143A30">
              <w:rPr>
                <w:sz w:val="19"/>
                <w:szCs w:val="19"/>
                <w:lang w:val="lt-LT"/>
              </w:rPr>
              <w:t>2021</w:t>
            </w:r>
            <w:r w:rsidR="00143A30" w:rsidRPr="00143A30">
              <w:rPr>
                <w:sz w:val="19"/>
                <w:szCs w:val="19"/>
                <w:lang w:val="lt-LT"/>
              </w:rPr>
              <w:t> m.</w:t>
            </w:r>
            <w:r w:rsidR="00E3699C" w:rsidRPr="00143A30">
              <w:rPr>
                <w:sz w:val="19"/>
                <w:szCs w:val="19"/>
                <w:lang w:val="lt-LT"/>
              </w:rPr>
              <w:t xml:space="preserve"> lapkričio</w:t>
            </w:r>
            <w:r w:rsidR="009F0D41" w:rsidRPr="00143A30">
              <w:rPr>
                <w:sz w:val="19"/>
                <w:szCs w:val="19"/>
                <w:lang w:val="lt-LT"/>
              </w:rPr>
              <w:t xml:space="preserve"> </w:t>
            </w:r>
            <w:r w:rsidRPr="00143A30">
              <w:rPr>
                <w:sz w:val="19"/>
                <w:szCs w:val="19"/>
                <w:lang w:val="lt-LT"/>
              </w:rPr>
              <w:t>mėn., palyginti su</w:t>
            </w:r>
          </w:p>
        </w:tc>
      </w:tr>
      <w:tr w:rsidR="00143A30" w:rsidRPr="00143A30" w:rsidTr="007D640B">
        <w:trPr>
          <w:tblHeader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143A30" w:rsidRDefault="00111AED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143A30" w:rsidRDefault="00111AED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357B36" w:rsidRPr="00143A30" w:rsidRDefault="00357B3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143A30">
              <w:rPr>
                <w:sz w:val="19"/>
                <w:szCs w:val="19"/>
                <w:lang w:val="lt-LT"/>
              </w:rPr>
              <w:t>2021</w:t>
            </w:r>
            <w:r w:rsidR="00143A30" w:rsidRPr="00143A30">
              <w:rPr>
                <w:sz w:val="19"/>
                <w:szCs w:val="19"/>
                <w:lang w:val="lt-LT"/>
              </w:rPr>
              <w:t> m.</w:t>
            </w:r>
            <w:r w:rsidR="00CD5767" w:rsidRPr="00143A30">
              <w:rPr>
                <w:sz w:val="19"/>
                <w:szCs w:val="19"/>
                <w:lang w:val="lt-LT"/>
              </w:rPr>
              <w:t xml:space="preserve"> </w:t>
            </w:r>
            <w:r w:rsidR="00E3699C" w:rsidRPr="00143A30">
              <w:rPr>
                <w:sz w:val="19"/>
                <w:szCs w:val="19"/>
                <w:lang w:val="lt-LT"/>
              </w:rPr>
              <w:t>spalio</w:t>
            </w:r>
            <w:r w:rsidR="006A5394" w:rsidRPr="00143A30">
              <w:rPr>
                <w:sz w:val="19"/>
                <w:szCs w:val="19"/>
                <w:lang w:val="lt-LT"/>
              </w:rPr>
              <w:t xml:space="preserve"> </w:t>
            </w:r>
            <w:r w:rsidRPr="00143A30">
              <w:rPr>
                <w:sz w:val="19"/>
                <w:szCs w:val="19"/>
                <w:lang w:val="lt-LT"/>
              </w:rPr>
              <w:t>mėn.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143A30" w:rsidRDefault="00357B3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143A30">
              <w:rPr>
                <w:sz w:val="19"/>
                <w:szCs w:val="19"/>
                <w:lang w:val="lt-LT"/>
              </w:rPr>
              <w:t>2020</w:t>
            </w:r>
            <w:r w:rsidR="00143A30" w:rsidRPr="00143A30">
              <w:rPr>
                <w:sz w:val="19"/>
                <w:szCs w:val="19"/>
                <w:lang w:val="lt-LT"/>
              </w:rPr>
              <w:t> m.</w:t>
            </w:r>
          </w:p>
        </w:tc>
      </w:tr>
      <w:tr w:rsidR="00143A30" w:rsidRPr="00143A30" w:rsidTr="007D640B">
        <w:trPr>
          <w:tblHeader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143A30" w:rsidRDefault="00DC0120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143A30" w:rsidRDefault="00DC0120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143A30" w:rsidRDefault="00DC0120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143A30" w:rsidRDefault="00357B3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143A30">
              <w:rPr>
                <w:sz w:val="19"/>
                <w:szCs w:val="19"/>
                <w:lang w:val="lt-LT"/>
              </w:rPr>
              <w:t>gruodžio mėn.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143A30" w:rsidRDefault="00E3699C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143A30">
              <w:rPr>
                <w:sz w:val="19"/>
                <w:szCs w:val="19"/>
                <w:lang w:val="lt-LT"/>
              </w:rPr>
              <w:t>lapkričio</w:t>
            </w:r>
            <w:r w:rsidR="007D640B" w:rsidRPr="00143A30">
              <w:rPr>
                <w:sz w:val="19"/>
                <w:szCs w:val="19"/>
                <w:lang w:val="lt-LT"/>
              </w:rPr>
              <w:t xml:space="preserve"> </w:t>
            </w:r>
            <w:r w:rsidR="00357B36" w:rsidRPr="00143A30">
              <w:rPr>
                <w:sz w:val="19"/>
                <w:szCs w:val="19"/>
                <w:lang w:val="lt-LT"/>
              </w:rPr>
              <w:t>mėn.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>Visa parduota pramonės produkcija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C0120" w:rsidRPr="00143A30" w:rsidRDefault="00C7207E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100</w:t>
            </w:r>
            <w:r w:rsidR="00E945E3" w:rsidRPr="00143A30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143A30" w:rsidRDefault="006A26E9" w:rsidP="004D0AA9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1,</w:t>
            </w:r>
            <w:r w:rsidR="004D0AA9" w:rsidRPr="00143A30">
              <w:rPr>
                <w:rFonts w:cs="Arial"/>
                <w:b/>
                <w:sz w:val="19"/>
                <w:szCs w:val="19"/>
                <w:lang w:val="lt-LT"/>
              </w:rPr>
              <w:t>7</w:t>
            </w:r>
          </w:p>
        </w:tc>
        <w:tc>
          <w:tcPr>
            <w:tcW w:w="579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143A30" w:rsidRDefault="004D0AA9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15,8</w:t>
            </w: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143A30" w:rsidRDefault="004D0AA9" w:rsidP="00F60DFA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17,6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4D0AA9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–</w:t>
            </w:r>
            <w:r w:rsidR="00764594" w:rsidRPr="00143A30">
              <w:rPr>
                <w:rFonts w:cs="Arial"/>
                <w:sz w:val="19"/>
                <w:szCs w:val="19"/>
                <w:lang w:val="lt-LT"/>
              </w:rPr>
              <w:t>0,</w:t>
            </w:r>
            <w:r w:rsidRPr="00143A30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764594" w:rsidP="004D0AA9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5,</w:t>
            </w:r>
            <w:r w:rsidR="004D0AA9" w:rsidRPr="00143A30">
              <w:rPr>
                <w:rFonts w:cs="Arial"/>
                <w:sz w:val="19"/>
                <w:szCs w:val="19"/>
                <w:lang w:val="lt-LT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E76AB3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5,6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90,6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14,4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051BD2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16,1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14,5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4D0AA9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–1,2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42,4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051BD2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54,2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7,5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10,6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070F60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35,9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38,8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64594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2,4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64594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3,7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051BD2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>Visa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85,5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4D0AA9" w:rsidP="00051BD2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2</w:t>
            </w:r>
            <w:r w:rsidR="00764594" w:rsidRPr="00143A30">
              <w:rPr>
                <w:rFonts w:cs="Arial"/>
                <w:b/>
                <w:sz w:val="19"/>
                <w:szCs w:val="19"/>
                <w:lang w:val="lt-LT"/>
              </w:rPr>
              <w:t>,4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4D0AA9" w:rsidP="00070F60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11,3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4D0AA9" w:rsidP="0094629C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11,7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76,1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070F60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64594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9,1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D0AA9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9,3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>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856F67" w:rsidP="008C4B1A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3</w:t>
            </w:r>
            <w:r w:rsidR="008C4B1A" w:rsidRPr="00143A30">
              <w:rPr>
                <w:rFonts w:cs="Arial"/>
                <w:b/>
                <w:sz w:val="19"/>
                <w:szCs w:val="19"/>
                <w:lang w:val="lt-LT"/>
              </w:rPr>
              <w:t>,8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8C4B1A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24,9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8C4B1A" w:rsidP="00F92BD6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b/>
                <w:sz w:val="19"/>
                <w:szCs w:val="19"/>
                <w:lang w:val="lt-LT"/>
              </w:rPr>
              <w:t>27,1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C0120" w:rsidRPr="00143A30" w:rsidRDefault="00DC0120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1,6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8C4B1A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–0,2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56F67" w:rsidP="008C4B1A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3,</w:t>
            </w:r>
            <w:r w:rsidR="008C4B1A" w:rsidRPr="00143A30"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56F67" w:rsidP="008C4B1A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4,</w:t>
            </w:r>
            <w:r w:rsidR="008C4B1A" w:rsidRPr="00143A30">
              <w:rPr>
                <w:rFonts w:cs="Arial"/>
                <w:sz w:val="19"/>
                <w:szCs w:val="19"/>
                <w:lang w:val="lt-LT"/>
              </w:rPr>
              <w:t>1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78,9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2,4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AC197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23,2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AC197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25,4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2atitr"/>
              <w:tabs>
                <w:tab w:val="left" w:pos="709"/>
              </w:tabs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10,4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AD4615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1,0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82,8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111,1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17,9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10,6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873F0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35,9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38,8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6566D9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2,4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4,1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126C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4,1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 xml:space="preserve">Lietuvos rinkoje parduota pramonės produkcija, neįskaitant rafinuotų naftos produktų 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89,6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8C4B1A" w:rsidP="00AD4615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4,3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18,1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18,4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Apdirbamosios gamybos produkcija, neįskaitant rafinuotų naftos produktų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68,5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41C40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2,7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14,1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8C4B1A" w:rsidP="00AD4615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13,9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>Ne 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580B96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0,1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464148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9,</w:t>
            </w:r>
            <w:r w:rsidR="00D602DA" w:rsidRPr="00143A30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051BD2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10,8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0,6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580B96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–</w:t>
            </w:r>
            <w:r w:rsidR="00464148" w:rsidRPr="00143A30">
              <w:rPr>
                <w:sz w:val="19"/>
                <w:szCs w:val="19"/>
              </w:rPr>
              <w:t>0,</w:t>
            </w:r>
            <w:r w:rsidR="00D602DA" w:rsidRPr="00143A30">
              <w:rPr>
                <w:sz w:val="19"/>
                <w:szCs w:val="19"/>
              </w:rPr>
              <w:t>1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64148" w:rsidP="004B153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7,</w:t>
            </w:r>
            <w:r w:rsidR="00580B96" w:rsidRPr="00143A30">
              <w:rPr>
                <w:sz w:val="19"/>
                <w:szCs w:val="19"/>
              </w:rPr>
              <w:t>5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A25408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8,7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99,1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0,1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464148" w:rsidP="00D602DA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9,</w:t>
            </w:r>
            <w:r w:rsidR="00D602DA" w:rsidRPr="00143A30">
              <w:rPr>
                <w:sz w:val="19"/>
                <w:szCs w:val="19"/>
              </w:rPr>
              <w:t>4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051BD2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10,8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17,4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D602DA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–2,5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25,1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31,9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915D6D" w:rsidRPr="00143A30" w:rsidRDefault="00915D6D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915D6D" w:rsidRPr="00143A30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-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143A30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-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143A30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-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143A30" w:rsidRDefault="00915D6D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-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DC0120" w:rsidRPr="00143A30" w:rsidRDefault="00DC0120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0,3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2,5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2,3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143A30" w:rsidRDefault="00D602DA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5,9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>Ne Lietuvos rinkoje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82,6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1825A7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0,7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2F41B5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6,1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2F41B5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6,5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C47417" w:rsidRPr="00143A30" w:rsidRDefault="00C47417" w:rsidP="00C47417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143A30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C47417" w:rsidRPr="00143A30" w:rsidRDefault="00C47417" w:rsidP="00C47417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43A30">
              <w:rPr>
                <w:sz w:val="19"/>
                <w:szCs w:val="19"/>
              </w:rPr>
              <w:t>81,7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7417" w:rsidRPr="00143A30" w:rsidRDefault="009D0B62" w:rsidP="001825A7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7417" w:rsidRPr="00143A30" w:rsidRDefault="009D0B62" w:rsidP="002F41B5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6,1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7417" w:rsidRPr="00143A30" w:rsidRDefault="009D0B62" w:rsidP="002F41B5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en-US"/>
              </w:rPr>
            </w:pPr>
            <w:r w:rsidRPr="00143A30">
              <w:rPr>
                <w:rFonts w:cs="Arial"/>
                <w:sz w:val="19"/>
                <w:szCs w:val="19"/>
                <w:lang w:val="lt-LT"/>
              </w:rPr>
              <w:t>6,5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>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9D0B62" w:rsidP="00464148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0,6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9D0B62" w:rsidP="00051BD2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8,3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9D0B62" w:rsidP="007D640B">
            <w:pPr>
              <w:spacing w:before="40" w:after="40"/>
              <w:jc w:val="right"/>
              <w:rPr>
                <w:b/>
                <w:sz w:val="19"/>
                <w:szCs w:val="19"/>
                <w:lang w:val="lt-LT"/>
              </w:rPr>
            </w:pPr>
            <w:r w:rsidRPr="00143A30">
              <w:rPr>
                <w:b/>
                <w:sz w:val="19"/>
                <w:szCs w:val="19"/>
                <w:lang w:val="lt-LT"/>
              </w:rPr>
              <w:t>8,1</w:t>
            </w:r>
          </w:p>
        </w:tc>
      </w:tr>
      <w:tr w:rsidR="00143A30" w:rsidRPr="00143A30" w:rsidTr="007D640B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143A30">
              <w:rPr>
                <w:rFonts w:cs="Arial"/>
                <w:b/>
                <w:szCs w:val="19"/>
              </w:rPr>
              <w:t>Ne 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DC0120" w:rsidRPr="00143A30" w:rsidRDefault="00DC012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2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464148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–0,3</w:t>
            </w:r>
          </w:p>
        </w:tc>
        <w:tc>
          <w:tcPr>
            <w:tcW w:w="57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10,1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143A30" w:rsidRDefault="00D602DA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43A30">
              <w:rPr>
                <w:b/>
                <w:sz w:val="19"/>
                <w:szCs w:val="19"/>
              </w:rPr>
              <w:t>12,6</w:t>
            </w:r>
          </w:p>
        </w:tc>
      </w:tr>
    </w:tbl>
    <w:p w:rsidR="007E5299" w:rsidRPr="00143A30" w:rsidRDefault="007E5299" w:rsidP="007E5299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separator/>
      </w:r>
    </w:p>
    <w:p w:rsidR="00091865" w:rsidRPr="00143A30" w:rsidRDefault="00091865" w:rsidP="00C372B2">
      <w:pPr>
        <w:rPr>
          <w:sz w:val="18"/>
          <w:szCs w:val="18"/>
          <w:lang w:val="lt-LT"/>
        </w:rPr>
      </w:pPr>
      <w:r w:rsidRPr="00143A30">
        <w:rPr>
          <w:sz w:val="18"/>
          <w:szCs w:val="18"/>
          <w:lang w:val="lt-LT"/>
        </w:rPr>
        <w:t>- tokio reiškinio (rodiklio) atitinkamu laikotarpiu nebuvo.</w:t>
      </w:r>
    </w:p>
    <w:p w:rsidR="005F5935" w:rsidRPr="00143A30" w:rsidRDefault="005F5935" w:rsidP="00CD5767"/>
    <w:p w:rsidR="00091865" w:rsidRPr="00143A30" w:rsidRDefault="00091865" w:rsidP="00F61DF6">
      <w:pPr>
        <w:ind w:firstLine="709"/>
        <w:jc w:val="both"/>
        <w:rPr>
          <w:rFonts w:cs="Arial"/>
          <w:lang w:val="lt-LT"/>
        </w:rPr>
      </w:pPr>
      <w:r w:rsidRPr="00143A30">
        <w:rPr>
          <w:rFonts w:cs="Arial"/>
          <w:lang w:val="lt-LT"/>
        </w:rPr>
        <w:t xml:space="preserve">Detalesnė informacija apie didžiausią įtaką bendram </w:t>
      </w:r>
      <w:r w:rsidRPr="00143A30">
        <w:rPr>
          <w:rFonts w:cs="Arial"/>
          <w:bCs/>
          <w:lang w:val="lt-LT"/>
        </w:rPr>
        <w:t xml:space="preserve">gamintojų </w:t>
      </w:r>
      <w:r w:rsidRPr="00143A30">
        <w:rPr>
          <w:rFonts w:cs="Arial"/>
          <w:lang w:val="lt-LT"/>
        </w:rPr>
        <w:t>parduotos pramonės produkcijos kainų pokyčiui turėjusias ekonominės veiklos rūšis pateikiama</w:t>
      </w:r>
      <w:r w:rsidRPr="00143A30">
        <w:rPr>
          <w:lang w:val="lt-LT"/>
        </w:rPr>
        <w:t xml:space="preserve"> lentelėje </w:t>
      </w:r>
      <w:hyperlink r:id="rId16" w:history="1">
        <w:r w:rsidRPr="00143A30">
          <w:rPr>
            <w:rStyle w:val="Hyperlink"/>
            <w:rFonts w:cs="Arial"/>
            <w:b/>
            <w:color w:val="auto"/>
            <w:lang w:val="lt-LT"/>
          </w:rPr>
          <w:t>Įtaka gamintojų parduotos pramonės produkcijos kainų pokyčiams per mėnesį</w:t>
        </w:r>
      </w:hyperlink>
      <w:r w:rsidRPr="00143A30">
        <w:rPr>
          <w:rFonts w:cs="Arial"/>
          <w:lang w:val="lt-LT"/>
        </w:rPr>
        <w:t xml:space="preserve"> (XLSX).</w:t>
      </w:r>
    </w:p>
    <w:p w:rsidR="00091865" w:rsidRPr="00143A30" w:rsidRDefault="00091865" w:rsidP="00B06379">
      <w:pPr>
        <w:ind w:firstLine="709"/>
        <w:rPr>
          <w:lang w:val="lt-LT"/>
        </w:rPr>
      </w:pPr>
    </w:p>
    <w:p w:rsidR="00091865" w:rsidRPr="00143A30" w:rsidRDefault="00091865" w:rsidP="00CE2B35">
      <w:pPr>
        <w:pStyle w:val="Pagrtekstas"/>
        <w:ind w:firstLine="709"/>
        <w:rPr>
          <w:lang w:val="lt-LT"/>
        </w:rPr>
      </w:pPr>
      <w:r w:rsidRPr="00143A30">
        <w:rPr>
          <w:lang w:val="lt-LT"/>
        </w:rPr>
        <w:t>Gamintojų parduotos pramonės</w:t>
      </w:r>
      <w:r w:rsidR="00987076" w:rsidRPr="00143A30">
        <w:rPr>
          <w:lang w:val="lt-LT"/>
        </w:rPr>
        <w:t xml:space="preserve"> produkcijos kainų pokyčius 2021</w:t>
      </w:r>
      <w:r w:rsidR="00143A30" w:rsidRPr="00143A30">
        <w:rPr>
          <w:lang w:val="lt-LT"/>
        </w:rPr>
        <w:t> m.</w:t>
      </w:r>
      <w:r w:rsidR="004717BA" w:rsidRPr="00143A30">
        <w:rPr>
          <w:lang w:val="lt-LT"/>
        </w:rPr>
        <w:t xml:space="preserve"> </w:t>
      </w:r>
      <w:r w:rsidR="00E3699C" w:rsidRPr="00143A30">
        <w:rPr>
          <w:lang w:val="lt-LT"/>
        </w:rPr>
        <w:t>gruodžio</w:t>
      </w:r>
      <w:r w:rsidR="008A0F2E" w:rsidRPr="00143A30">
        <w:rPr>
          <w:lang w:val="lt-LT"/>
        </w:rPr>
        <w:t xml:space="preserve"> mėn. skelbsime</w:t>
      </w:r>
      <w:r w:rsidR="00E3699C" w:rsidRPr="00143A30">
        <w:rPr>
          <w:lang w:val="lt-LT"/>
        </w:rPr>
        <w:t xml:space="preserve"> 2022</w:t>
      </w:r>
      <w:r w:rsidR="00143A30" w:rsidRPr="00143A30">
        <w:rPr>
          <w:lang w:val="lt-LT"/>
        </w:rPr>
        <w:t> m.</w:t>
      </w:r>
      <w:r w:rsidR="00E3699C" w:rsidRPr="00143A30">
        <w:rPr>
          <w:lang w:val="lt-LT"/>
        </w:rPr>
        <w:t xml:space="preserve"> sausio</w:t>
      </w:r>
      <w:r w:rsidR="00E71B52" w:rsidRPr="00143A30">
        <w:rPr>
          <w:lang w:val="lt-LT"/>
        </w:rPr>
        <w:t> </w:t>
      </w:r>
      <w:r w:rsidR="00E3699C" w:rsidRPr="00143A30">
        <w:rPr>
          <w:lang w:val="lt-LT"/>
        </w:rPr>
        <w:t>11</w:t>
      </w:r>
      <w:r w:rsidR="00CE2B35" w:rsidRPr="00143A30">
        <w:rPr>
          <w:lang w:val="lt-LT"/>
        </w:rPr>
        <w:t> d.</w:t>
      </w:r>
    </w:p>
    <w:p w:rsidR="00091865" w:rsidRPr="00143A30" w:rsidRDefault="00091865" w:rsidP="00CE2B35">
      <w:pPr>
        <w:spacing w:before="120"/>
        <w:rPr>
          <w:lang w:val="lt-LT"/>
        </w:rPr>
      </w:pPr>
      <w:r w:rsidRPr="00143A30">
        <w:rPr>
          <w:rFonts w:cs="Arial"/>
          <w:lang w:val="lt-LT"/>
        </w:rPr>
        <w:t xml:space="preserve">Daugiau informacijos šia tema rasite </w:t>
      </w:r>
      <w:hyperlink r:id="rId17" w:history="1">
        <w:r w:rsidRPr="00143A30">
          <w:rPr>
            <w:rStyle w:val="Hyperlink"/>
            <w:color w:val="auto"/>
            <w:lang w:val="lt-LT"/>
          </w:rPr>
          <w:t>Rodiklių duomenų bazėje</w:t>
        </w:r>
        <w:r w:rsidRPr="00143A30">
          <w:rPr>
            <w:rStyle w:val="Hyperlink"/>
            <w:rFonts w:cs="Arial"/>
            <w:color w:val="auto"/>
            <w:u w:val="none"/>
            <w:lang w:val="lt-LT"/>
          </w:rPr>
          <w:t>.</w:t>
        </w:r>
      </w:hyperlink>
    </w:p>
    <w:p w:rsidR="00091865" w:rsidRPr="00143A30" w:rsidRDefault="00091865" w:rsidP="00CE2B35">
      <w:pPr>
        <w:spacing w:before="120"/>
        <w:rPr>
          <w:rFonts w:cs="Arial"/>
          <w:lang w:val="lt-LT"/>
        </w:rPr>
      </w:pPr>
      <w:r w:rsidRPr="00143A30">
        <w:rPr>
          <w:lang w:val="lt-LT"/>
        </w:rPr>
        <w:t xml:space="preserve">Statistinė informacija rengiama ir skleidžiama vadovaujantis </w:t>
      </w:r>
      <w:hyperlink r:id="rId18" w:history="1">
        <w:r w:rsidRPr="00143A30">
          <w:rPr>
            <w:rStyle w:val="Hyperlink"/>
            <w:color w:val="auto"/>
            <w:lang w:val="lt-LT"/>
          </w:rPr>
          <w:t>Europos statistikos praktikos kodeksu</w:t>
        </w:r>
      </w:hyperlink>
      <w:r w:rsidRPr="00143A30">
        <w:rPr>
          <w:lang w:val="lt-LT"/>
        </w:rPr>
        <w:t>.</w:t>
      </w:r>
    </w:p>
    <w:p w:rsidR="00091865" w:rsidRPr="00143A30" w:rsidRDefault="00091865" w:rsidP="00091865">
      <w:pPr>
        <w:pStyle w:val="Pasiteirauti"/>
        <w:rPr>
          <w:rFonts w:cs="Arial"/>
        </w:rPr>
      </w:pPr>
    </w:p>
    <w:p w:rsidR="007817FC" w:rsidRPr="00143A30" w:rsidRDefault="007817FC" w:rsidP="00091865">
      <w:pPr>
        <w:pStyle w:val="Pasiteirauti"/>
        <w:rPr>
          <w:rFonts w:cs="Arial"/>
        </w:rPr>
      </w:pPr>
    </w:p>
    <w:p w:rsidR="007817FC" w:rsidRPr="00143A30" w:rsidRDefault="00091865" w:rsidP="00B06379">
      <w:pPr>
        <w:pStyle w:val="Pasiteirauti"/>
        <w:spacing w:after="120"/>
        <w:rPr>
          <w:rFonts w:cs="Arial"/>
          <w:szCs w:val="19"/>
        </w:rPr>
      </w:pPr>
      <w:r w:rsidRPr="00143A30">
        <w:rPr>
          <w:rFonts w:cs="Arial"/>
          <w:szCs w:val="19"/>
        </w:rPr>
        <w:t>Kontaktinė informacija</w:t>
      </w:r>
    </w:p>
    <w:p w:rsidR="00091865" w:rsidRPr="00143A30" w:rsidRDefault="00091865" w:rsidP="00091865">
      <w:pPr>
        <w:pStyle w:val="Pasiteirauti"/>
        <w:rPr>
          <w:rFonts w:cs="Arial"/>
          <w:szCs w:val="19"/>
        </w:rPr>
      </w:pPr>
      <w:r w:rsidRPr="00143A30">
        <w:rPr>
          <w:rFonts w:cs="Arial"/>
          <w:szCs w:val="19"/>
        </w:rPr>
        <w:t>Regina Burneikienė</w:t>
      </w:r>
    </w:p>
    <w:p w:rsidR="00091865" w:rsidRPr="00143A30" w:rsidRDefault="00091865" w:rsidP="00091865">
      <w:pPr>
        <w:pStyle w:val="Pasiteirauti"/>
        <w:rPr>
          <w:rFonts w:cs="Arial"/>
          <w:szCs w:val="19"/>
        </w:rPr>
      </w:pPr>
      <w:r w:rsidRPr="00143A30">
        <w:rPr>
          <w:rFonts w:cs="Arial"/>
          <w:szCs w:val="19"/>
        </w:rPr>
        <w:t>Kainų statistikos skyriaus specialistė</w:t>
      </w:r>
    </w:p>
    <w:p w:rsidR="00091865" w:rsidRPr="00143A30" w:rsidRDefault="00091865" w:rsidP="00091865">
      <w:pPr>
        <w:pStyle w:val="Pasiteirauti"/>
        <w:rPr>
          <w:rFonts w:cs="Arial"/>
          <w:szCs w:val="19"/>
        </w:rPr>
      </w:pPr>
      <w:r w:rsidRPr="00143A30">
        <w:rPr>
          <w:rFonts w:cs="Arial"/>
          <w:szCs w:val="19"/>
        </w:rPr>
        <w:t xml:space="preserve">Tel. (8 5) </w:t>
      </w:r>
      <w:r w:rsidR="000D607C" w:rsidRPr="00143A30">
        <w:rPr>
          <w:rFonts w:cs="Arial"/>
          <w:szCs w:val="19"/>
        </w:rPr>
        <w:t xml:space="preserve"> </w:t>
      </w:r>
      <w:r w:rsidRPr="00143A30">
        <w:rPr>
          <w:rFonts w:cs="Arial"/>
          <w:szCs w:val="19"/>
        </w:rPr>
        <w:t>236 4732</w:t>
      </w:r>
    </w:p>
    <w:p w:rsidR="00091865" w:rsidRPr="00143A30" w:rsidRDefault="00091865" w:rsidP="00F9149E">
      <w:pPr>
        <w:rPr>
          <w:sz w:val="19"/>
          <w:szCs w:val="19"/>
        </w:rPr>
      </w:pPr>
      <w:r w:rsidRPr="00143A30">
        <w:rPr>
          <w:sz w:val="19"/>
          <w:szCs w:val="19"/>
        </w:rPr>
        <w:t xml:space="preserve">El. p. </w:t>
      </w:r>
      <w:hyperlink r:id="rId19" w:history="1">
        <w:r w:rsidRPr="00143A30">
          <w:rPr>
            <w:rStyle w:val="Hyperlink"/>
            <w:rFonts w:cs="Arial"/>
            <w:color w:val="auto"/>
            <w:sz w:val="19"/>
            <w:szCs w:val="19"/>
            <w:lang w:val="lt-LT"/>
          </w:rPr>
          <w:t>regina.burneikiene@stat.gov.lt</w:t>
        </w:r>
      </w:hyperlink>
      <w:r w:rsidR="000526E3" w:rsidRPr="00143A30">
        <w:rPr>
          <w:rStyle w:val="Hyperlink"/>
          <w:rFonts w:cs="Arial"/>
          <w:color w:val="auto"/>
          <w:lang w:val="lt-LT"/>
        </w:rPr>
        <w:t xml:space="preserve"> </w:t>
      </w:r>
    </w:p>
    <w:p w:rsidR="007817FC" w:rsidRPr="00143A30" w:rsidRDefault="007817FC" w:rsidP="00091865">
      <w:pPr>
        <w:pStyle w:val="Pasiteirauti"/>
        <w:rPr>
          <w:rFonts w:cs="Arial"/>
          <w:szCs w:val="19"/>
        </w:rPr>
      </w:pPr>
    </w:p>
    <w:p w:rsidR="00091865" w:rsidRPr="00143A30" w:rsidRDefault="00091865" w:rsidP="00091865">
      <w:pPr>
        <w:pStyle w:val="Pasiteirauti"/>
        <w:rPr>
          <w:rFonts w:cs="Arial"/>
          <w:szCs w:val="19"/>
        </w:rPr>
      </w:pPr>
      <w:r w:rsidRPr="00143A30">
        <w:rPr>
          <w:rFonts w:cs="Arial"/>
          <w:szCs w:val="19"/>
        </w:rPr>
        <w:t>© Lietuvos statistikos departamentas</w:t>
      </w:r>
    </w:p>
    <w:p w:rsidR="00091865" w:rsidRPr="00143A30" w:rsidRDefault="00091865" w:rsidP="00091865">
      <w:pPr>
        <w:pStyle w:val="Pasiteirauti"/>
        <w:rPr>
          <w:rFonts w:cs="Arial"/>
          <w:szCs w:val="19"/>
        </w:rPr>
      </w:pPr>
      <w:r w:rsidRPr="00143A30">
        <w:rPr>
          <w:rFonts w:cs="Arial"/>
          <w:szCs w:val="19"/>
        </w:rPr>
        <w:t>Naudojant Lietuvos statistikos departamento duomenis, būtina nurodyti šaltinį.</w:t>
      </w:r>
    </w:p>
    <w:p w:rsidR="00084768" w:rsidRPr="00143A30" w:rsidRDefault="00084768" w:rsidP="00091865">
      <w:pPr>
        <w:pStyle w:val="Pasiteirauti"/>
        <w:rPr>
          <w:rFonts w:cs="Arial"/>
          <w:szCs w:val="19"/>
        </w:rPr>
      </w:pPr>
    </w:p>
    <w:p w:rsidR="00091865" w:rsidRPr="00143A30" w:rsidRDefault="00091865" w:rsidP="00091865">
      <w:pPr>
        <w:pStyle w:val="Pasiteirauti"/>
        <w:rPr>
          <w:rFonts w:cs="Arial"/>
          <w:szCs w:val="19"/>
        </w:rPr>
      </w:pPr>
      <w:r w:rsidRPr="00143A30">
        <w:rPr>
          <w:rFonts w:cs="Arial"/>
          <w:szCs w:val="19"/>
        </w:rPr>
        <w:t>Žymos: GKI, kainų pokytis, pramonės produkcija.</w:t>
      </w:r>
    </w:p>
    <w:sectPr w:rsidR="00091865" w:rsidRPr="00143A30" w:rsidSect="00143A30">
      <w:headerReference w:type="even" r:id="rId20"/>
      <w:headerReference w:type="default" r:id="rId21"/>
      <w:headerReference w:type="first" r:id="rId22"/>
      <w:footerReference w:type="first" r:id="rId23"/>
      <w:pgSz w:w="11906" w:h="16838" w:code="9"/>
      <w:pgMar w:top="1134" w:right="1134" w:bottom="567" w:left="1134" w:header="85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63" w:rsidRDefault="00142463">
      <w:r>
        <w:separator/>
      </w:r>
    </w:p>
  </w:endnote>
  <w:endnote w:type="continuationSeparator" w:id="0">
    <w:p w:rsidR="00142463" w:rsidRDefault="0014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63" w:rsidRDefault="00142463">
      <w:r>
        <w:separator/>
      </w:r>
    </w:p>
  </w:footnote>
  <w:footnote w:type="continuationSeparator" w:id="0">
    <w:p w:rsidR="00142463" w:rsidRDefault="0014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2A0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Pr="00317478" w:rsidRDefault="00D758B5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4819"/>
      <w:gridCol w:w="4819"/>
    </w:tblGrid>
    <w:tr w:rsidR="00D758B5" w:rsidTr="002B6634">
      <w:tc>
        <w:tcPr>
          <w:tcW w:w="2500" w:type="pct"/>
          <w:vAlign w:val="center"/>
        </w:tcPr>
        <w:p w:rsidR="00D758B5" w:rsidRDefault="00B2451F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19DBE4A7" wp14:editId="23DF8B4C">
                <wp:extent cx="1358900" cy="429260"/>
                <wp:effectExtent l="0" t="0" r="0" b="8890"/>
                <wp:docPr id="6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B2451F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51EFB807" wp14:editId="7473C114">
                <wp:extent cx="1338580" cy="434340"/>
                <wp:effectExtent l="0" t="0" r="0" b="3810"/>
                <wp:docPr id="7" name="Picture 7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660"/>
    <w:multiLevelType w:val="hybridMultilevel"/>
    <w:tmpl w:val="89AAB884"/>
    <w:lvl w:ilvl="0" w:tplc="2B78FC9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8166EC"/>
    <w:multiLevelType w:val="hybridMultilevel"/>
    <w:tmpl w:val="5296C4F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56E6"/>
    <w:multiLevelType w:val="hybridMultilevel"/>
    <w:tmpl w:val="E384DB4E"/>
    <w:lvl w:ilvl="0" w:tplc="2B78FC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AB"/>
    <w:rsid w:val="0000069A"/>
    <w:rsid w:val="0000111F"/>
    <w:rsid w:val="00002CED"/>
    <w:rsid w:val="00004105"/>
    <w:rsid w:val="0000595E"/>
    <w:rsid w:val="00006209"/>
    <w:rsid w:val="00006E42"/>
    <w:rsid w:val="00010ADE"/>
    <w:rsid w:val="00012C69"/>
    <w:rsid w:val="000142DD"/>
    <w:rsid w:val="000148F6"/>
    <w:rsid w:val="00016EA8"/>
    <w:rsid w:val="0002050A"/>
    <w:rsid w:val="000311A5"/>
    <w:rsid w:val="00031316"/>
    <w:rsid w:val="0003174F"/>
    <w:rsid w:val="00032DF6"/>
    <w:rsid w:val="00034D86"/>
    <w:rsid w:val="00036658"/>
    <w:rsid w:val="00037837"/>
    <w:rsid w:val="00037A2F"/>
    <w:rsid w:val="00040063"/>
    <w:rsid w:val="00040781"/>
    <w:rsid w:val="00044E2A"/>
    <w:rsid w:val="000453DE"/>
    <w:rsid w:val="00045746"/>
    <w:rsid w:val="00046489"/>
    <w:rsid w:val="0004661D"/>
    <w:rsid w:val="00050C9C"/>
    <w:rsid w:val="00051BD2"/>
    <w:rsid w:val="000526E3"/>
    <w:rsid w:val="00052C41"/>
    <w:rsid w:val="00053F3A"/>
    <w:rsid w:val="00054719"/>
    <w:rsid w:val="00055105"/>
    <w:rsid w:val="00057197"/>
    <w:rsid w:val="0006201F"/>
    <w:rsid w:val="00064546"/>
    <w:rsid w:val="0006472C"/>
    <w:rsid w:val="00067A92"/>
    <w:rsid w:val="00070F60"/>
    <w:rsid w:val="0007224B"/>
    <w:rsid w:val="00073D46"/>
    <w:rsid w:val="0007449A"/>
    <w:rsid w:val="00084768"/>
    <w:rsid w:val="000853D1"/>
    <w:rsid w:val="00086C1E"/>
    <w:rsid w:val="00087B8E"/>
    <w:rsid w:val="000903D5"/>
    <w:rsid w:val="00091865"/>
    <w:rsid w:val="00095602"/>
    <w:rsid w:val="00095672"/>
    <w:rsid w:val="00097CAC"/>
    <w:rsid w:val="000A5072"/>
    <w:rsid w:val="000A6B2B"/>
    <w:rsid w:val="000A792F"/>
    <w:rsid w:val="000B245A"/>
    <w:rsid w:val="000B4514"/>
    <w:rsid w:val="000B5644"/>
    <w:rsid w:val="000C06CB"/>
    <w:rsid w:val="000C4727"/>
    <w:rsid w:val="000D23CC"/>
    <w:rsid w:val="000D3E46"/>
    <w:rsid w:val="000D5BDD"/>
    <w:rsid w:val="000D607C"/>
    <w:rsid w:val="000E2FB7"/>
    <w:rsid w:val="000E4492"/>
    <w:rsid w:val="000E5A0F"/>
    <w:rsid w:val="000F4CFB"/>
    <w:rsid w:val="000F56BC"/>
    <w:rsid w:val="000F660B"/>
    <w:rsid w:val="000F71A6"/>
    <w:rsid w:val="000F72CA"/>
    <w:rsid w:val="000F78F5"/>
    <w:rsid w:val="001010C9"/>
    <w:rsid w:val="0010143A"/>
    <w:rsid w:val="00106482"/>
    <w:rsid w:val="00111735"/>
    <w:rsid w:val="00111AED"/>
    <w:rsid w:val="00117399"/>
    <w:rsid w:val="00121469"/>
    <w:rsid w:val="00122B87"/>
    <w:rsid w:val="00125940"/>
    <w:rsid w:val="001267C8"/>
    <w:rsid w:val="00133638"/>
    <w:rsid w:val="00134EC2"/>
    <w:rsid w:val="00135AA6"/>
    <w:rsid w:val="00136549"/>
    <w:rsid w:val="00137696"/>
    <w:rsid w:val="00142463"/>
    <w:rsid w:val="001428CE"/>
    <w:rsid w:val="00143A30"/>
    <w:rsid w:val="00151BB1"/>
    <w:rsid w:val="00151CE1"/>
    <w:rsid w:val="001603B1"/>
    <w:rsid w:val="00160A66"/>
    <w:rsid w:val="00161519"/>
    <w:rsid w:val="0016185B"/>
    <w:rsid w:val="001630F6"/>
    <w:rsid w:val="0016451E"/>
    <w:rsid w:val="00167371"/>
    <w:rsid w:val="00167BE9"/>
    <w:rsid w:val="00170DFC"/>
    <w:rsid w:val="001729CB"/>
    <w:rsid w:val="0017517E"/>
    <w:rsid w:val="00180052"/>
    <w:rsid w:val="001825A7"/>
    <w:rsid w:val="001825D1"/>
    <w:rsid w:val="00182ADD"/>
    <w:rsid w:val="0018486B"/>
    <w:rsid w:val="00185799"/>
    <w:rsid w:val="0018625B"/>
    <w:rsid w:val="001944DF"/>
    <w:rsid w:val="00195CAB"/>
    <w:rsid w:val="001964A6"/>
    <w:rsid w:val="00197CC2"/>
    <w:rsid w:val="001A1B0B"/>
    <w:rsid w:val="001A3CAE"/>
    <w:rsid w:val="001A3E7B"/>
    <w:rsid w:val="001A4A22"/>
    <w:rsid w:val="001A5EF4"/>
    <w:rsid w:val="001B04F5"/>
    <w:rsid w:val="001B2296"/>
    <w:rsid w:val="001B2C07"/>
    <w:rsid w:val="001B44B8"/>
    <w:rsid w:val="001B76F9"/>
    <w:rsid w:val="001C6A9F"/>
    <w:rsid w:val="001C714A"/>
    <w:rsid w:val="001D3C03"/>
    <w:rsid w:val="001D477D"/>
    <w:rsid w:val="001D59FF"/>
    <w:rsid w:val="001E08BC"/>
    <w:rsid w:val="001E4BF6"/>
    <w:rsid w:val="001E73F0"/>
    <w:rsid w:val="001E76EF"/>
    <w:rsid w:val="001F2B1C"/>
    <w:rsid w:val="001F3B41"/>
    <w:rsid w:val="001F6C53"/>
    <w:rsid w:val="0020193D"/>
    <w:rsid w:val="00204371"/>
    <w:rsid w:val="00207CBD"/>
    <w:rsid w:val="00212E1D"/>
    <w:rsid w:val="0021403E"/>
    <w:rsid w:val="00215ED2"/>
    <w:rsid w:val="0021781B"/>
    <w:rsid w:val="0022137F"/>
    <w:rsid w:val="002219AD"/>
    <w:rsid w:val="00222F9F"/>
    <w:rsid w:val="002257F4"/>
    <w:rsid w:val="00226F2A"/>
    <w:rsid w:val="00231ABB"/>
    <w:rsid w:val="002349C3"/>
    <w:rsid w:val="0023537E"/>
    <w:rsid w:val="00241015"/>
    <w:rsid w:val="00245197"/>
    <w:rsid w:val="0024686D"/>
    <w:rsid w:val="002477AC"/>
    <w:rsid w:val="00247B76"/>
    <w:rsid w:val="00250CFF"/>
    <w:rsid w:val="00251F86"/>
    <w:rsid w:val="00255B6C"/>
    <w:rsid w:val="00257279"/>
    <w:rsid w:val="00260E36"/>
    <w:rsid w:val="002612F9"/>
    <w:rsid w:val="00263272"/>
    <w:rsid w:val="00264DFF"/>
    <w:rsid w:val="00266AEB"/>
    <w:rsid w:val="00266E96"/>
    <w:rsid w:val="0026738C"/>
    <w:rsid w:val="00267DD8"/>
    <w:rsid w:val="00267E0F"/>
    <w:rsid w:val="002720D7"/>
    <w:rsid w:val="00273456"/>
    <w:rsid w:val="00273C03"/>
    <w:rsid w:val="00274A5C"/>
    <w:rsid w:val="00275896"/>
    <w:rsid w:val="0028030F"/>
    <w:rsid w:val="0028092C"/>
    <w:rsid w:val="002878F8"/>
    <w:rsid w:val="00290E87"/>
    <w:rsid w:val="002929DE"/>
    <w:rsid w:val="0029443C"/>
    <w:rsid w:val="00294C99"/>
    <w:rsid w:val="00296EF1"/>
    <w:rsid w:val="002A02D2"/>
    <w:rsid w:val="002A4595"/>
    <w:rsid w:val="002A55C3"/>
    <w:rsid w:val="002A6457"/>
    <w:rsid w:val="002A6946"/>
    <w:rsid w:val="002B0C0F"/>
    <w:rsid w:val="002B2292"/>
    <w:rsid w:val="002B4F33"/>
    <w:rsid w:val="002B55C1"/>
    <w:rsid w:val="002B5FDC"/>
    <w:rsid w:val="002B607C"/>
    <w:rsid w:val="002B6634"/>
    <w:rsid w:val="002C00DB"/>
    <w:rsid w:val="002C0117"/>
    <w:rsid w:val="002C25B2"/>
    <w:rsid w:val="002C36D9"/>
    <w:rsid w:val="002C3F81"/>
    <w:rsid w:val="002C441F"/>
    <w:rsid w:val="002D35D9"/>
    <w:rsid w:val="002D39F0"/>
    <w:rsid w:val="002D3F4F"/>
    <w:rsid w:val="002E00D6"/>
    <w:rsid w:val="002E061C"/>
    <w:rsid w:val="002E0735"/>
    <w:rsid w:val="002E078E"/>
    <w:rsid w:val="002E4935"/>
    <w:rsid w:val="002E6A42"/>
    <w:rsid w:val="002F39F8"/>
    <w:rsid w:val="002F41B5"/>
    <w:rsid w:val="002F4EF0"/>
    <w:rsid w:val="002F52EE"/>
    <w:rsid w:val="003006FF"/>
    <w:rsid w:val="0030442A"/>
    <w:rsid w:val="00305DE9"/>
    <w:rsid w:val="00306FDA"/>
    <w:rsid w:val="003072EF"/>
    <w:rsid w:val="003104DA"/>
    <w:rsid w:val="00310C48"/>
    <w:rsid w:val="003157A8"/>
    <w:rsid w:val="00316464"/>
    <w:rsid w:val="00316AA9"/>
    <w:rsid w:val="00317478"/>
    <w:rsid w:val="0031751D"/>
    <w:rsid w:val="00320A2D"/>
    <w:rsid w:val="00320B01"/>
    <w:rsid w:val="003216F6"/>
    <w:rsid w:val="003217FE"/>
    <w:rsid w:val="00322809"/>
    <w:rsid w:val="00323EA4"/>
    <w:rsid w:val="003254FA"/>
    <w:rsid w:val="00325E94"/>
    <w:rsid w:val="00326C4B"/>
    <w:rsid w:val="00330321"/>
    <w:rsid w:val="00333079"/>
    <w:rsid w:val="00333C18"/>
    <w:rsid w:val="00336475"/>
    <w:rsid w:val="00340599"/>
    <w:rsid w:val="00340DA2"/>
    <w:rsid w:val="00343EDF"/>
    <w:rsid w:val="0034495D"/>
    <w:rsid w:val="00347190"/>
    <w:rsid w:val="00347D55"/>
    <w:rsid w:val="00351998"/>
    <w:rsid w:val="00351A94"/>
    <w:rsid w:val="00353F82"/>
    <w:rsid w:val="0035488C"/>
    <w:rsid w:val="00354B55"/>
    <w:rsid w:val="003555F2"/>
    <w:rsid w:val="003562CF"/>
    <w:rsid w:val="00356DAA"/>
    <w:rsid w:val="00356E9D"/>
    <w:rsid w:val="00357B36"/>
    <w:rsid w:val="00364E5C"/>
    <w:rsid w:val="00367086"/>
    <w:rsid w:val="00371B21"/>
    <w:rsid w:val="00383A3A"/>
    <w:rsid w:val="0038688C"/>
    <w:rsid w:val="00392057"/>
    <w:rsid w:val="00394202"/>
    <w:rsid w:val="003948C3"/>
    <w:rsid w:val="003A0D1B"/>
    <w:rsid w:val="003A1C79"/>
    <w:rsid w:val="003A2FFA"/>
    <w:rsid w:val="003A47E7"/>
    <w:rsid w:val="003A4F9E"/>
    <w:rsid w:val="003B598E"/>
    <w:rsid w:val="003B69DE"/>
    <w:rsid w:val="003C2842"/>
    <w:rsid w:val="003C30A7"/>
    <w:rsid w:val="003C3482"/>
    <w:rsid w:val="003C5154"/>
    <w:rsid w:val="003C6FF4"/>
    <w:rsid w:val="003D2DFC"/>
    <w:rsid w:val="003D50D2"/>
    <w:rsid w:val="003E121C"/>
    <w:rsid w:val="003E1AAA"/>
    <w:rsid w:val="003E29A7"/>
    <w:rsid w:val="003E415D"/>
    <w:rsid w:val="003E46EC"/>
    <w:rsid w:val="003F6A20"/>
    <w:rsid w:val="00412A93"/>
    <w:rsid w:val="00415259"/>
    <w:rsid w:val="00415698"/>
    <w:rsid w:val="00415DB3"/>
    <w:rsid w:val="00417AC1"/>
    <w:rsid w:val="0042445A"/>
    <w:rsid w:val="00430134"/>
    <w:rsid w:val="0043375C"/>
    <w:rsid w:val="00433D4C"/>
    <w:rsid w:val="00435B40"/>
    <w:rsid w:val="00441BA7"/>
    <w:rsid w:val="00441DF6"/>
    <w:rsid w:val="00444831"/>
    <w:rsid w:val="00445A71"/>
    <w:rsid w:val="00446951"/>
    <w:rsid w:val="00450087"/>
    <w:rsid w:val="004513E3"/>
    <w:rsid w:val="00453DC5"/>
    <w:rsid w:val="00453EE3"/>
    <w:rsid w:val="0045659C"/>
    <w:rsid w:val="00457CE1"/>
    <w:rsid w:val="00460B58"/>
    <w:rsid w:val="00464148"/>
    <w:rsid w:val="0046531E"/>
    <w:rsid w:val="0046708C"/>
    <w:rsid w:val="004717BA"/>
    <w:rsid w:val="0047748B"/>
    <w:rsid w:val="00477885"/>
    <w:rsid w:val="00480E64"/>
    <w:rsid w:val="00482CE3"/>
    <w:rsid w:val="00483689"/>
    <w:rsid w:val="00485859"/>
    <w:rsid w:val="00493A15"/>
    <w:rsid w:val="00493D88"/>
    <w:rsid w:val="00495B01"/>
    <w:rsid w:val="004961B7"/>
    <w:rsid w:val="00497545"/>
    <w:rsid w:val="00497C24"/>
    <w:rsid w:val="004A68AC"/>
    <w:rsid w:val="004B09B3"/>
    <w:rsid w:val="004B153B"/>
    <w:rsid w:val="004B36DC"/>
    <w:rsid w:val="004B3FFB"/>
    <w:rsid w:val="004B46FF"/>
    <w:rsid w:val="004B4DB9"/>
    <w:rsid w:val="004B648E"/>
    <w:rsid w:val="004C35F7"/>
    <w:rsid w:val="004C44FE"/>
    <w:rsid w:val="004C4F01"/>
    <w:rsid w:val="004C58CB"/>
    <w:rsid w:val="004C685F"/>
    <w:rsid w:val="004D0AA9"/>
    <w:rsid w:val="004D744C"/>
    <w:rsid w:val="004E064D"/>
    <w:rsid w:val="004E114C"/>
    <w:rsid w:val="004E122A"/>
    <w:rsid w:val="004E15B7"/>
    <w:rsid w:val="004E1766"/>
    <w:rsid w:val="004E3EE8"/>
    <w:rsid w:val="004E5B34"/>
    <w:rsid w:val="004E6E73"/>
    <w:rsid w:val="004F4281"/>
    <w:rsid w:val="005028D1"/>
    <w:rsid w:val="00505DEB"/>
    <w:rsid w:val="0050605D"/>
    <w:rsid w:val="005078C7"/>
    <w:rsid w:val="005122A1"/>
    <w:rsid w:val="00513C29"/>
    <w:rsid w:val="0051600D"/>
    <w:rsid w:val="00520D42"/>
    <w:rsid w:val="00525E3E"/>
    <w:rsid w:val="00525FEF"/>
    <w:rsid w:val="005271EF"/>
    <w:rsid w:val="005349EB"/>
    <w:rsid w:val="005352AE"/>
    <w:rsid w:val="005367D4"/>
    <w:rsid w:val="00537F80"/>
    <w:rsid w:val="0054334E"/>
    <w:rsid w:val="0055437B"/>
    <w:rsid w:val="00560434"/>
    <w:rsid w:val="005670B3"/>
    <w:rsid w:val="005741CF"/>
    <w:rsid w:val="00575742"/>
    <w:rsid w:val="005767AE"/>
    <w:rsid w:val="00576B5B"/>
    <w:rsid w:val="00580B96"/>
    <w:rsid w:val="00581CE8"/>
    <w:rsid w:val="005822A7"/>
    <w:rsid w:val="00582A45"/>
    <w:rsid w:val="00584D61"/>
    <w:rsid w:val="005868A5"/>
    <w:rsid w:val="00592293"/>
    <w:rsid w:val="0059478C"/>
    <w:rsid w:val="005966C2"/>
    <w:rsid w:val="005A0F75"/>
    <w:rsid w:val="005B3A5F"/>
    <w:rsid w:val="005B5EB4"/>
    <w:rsid w:val="005B6FB3"/>
    <w:rsid w:val="005B7937"/>
    <w:rsid w:val="005C3B82"/>
    <w:rsid w:val="005C4382"/>
    <w:rsid w:val="005C65C4"/>
    <w:rsid w:val="005C6653"/>
    <w:rsid w:val="005D1591"/>
    <w:rsid w:val="005D2A6D"/>
    <w:rsid w:val="005E0FF1"/>
    <w:rsid w:val="005E1125"/>
    <w:rsid w:val="005E2B5F"/>
    <w:rsid w:val="005E5EC1"/>
    <w:rsid w:val="005F03DA"/>
    <w:rsid w:val="005F1529"/>
    <w:rsid w:val="005F21FA"/>
    <w:rsid w:val="005F50F4"/>
    <w:rsid w:val="005F5935"/>
    <w:rsid w:val="005F627D"/>
    <w:rsid w:val="005F6A6E"/>
    <w:rsid w:val="0060085A"/>
    <w:rsid w:val="00606869"/>
    <w:rsid w:val="006124AA"/>
    <w:rsid w:val="00613B15"/>
    <w:rsid w:val="006142FB"/>
    <w:rsid w:val="00617DEE"/>
    <w:rsid w:val="006237F9"/>
    <w:rsid w:val="0063032A"/>
    <w:rsid w:val="00630ACE"/>
    <w:rsid w:val="006310F0"/>
    <w:rsid w:val="006330CA"/>
    <w:rsid w:val="00633120"/>
    <w:rsid w:val="00633574"/>
    <w:rsid w:val="00636B2A"/>
    <w:rsid w:val="00640CFD"/>
    <w:rsid w:val="0064321B"/>
    <w:rsid w:val="00646B5D"/>
    <w:rsid w:val="00653C0D"/>
    <w:rsid w:val="00654A22"/>
    <w:rsid w:val="0065589E"/>
    <w:rsid w:val="00656563"/>
    <w:rsid w:val="006566D9"/>
    <w:rsid w:val="0066142B"/>
    <w:rsid w:val="00664604"/>
    <w:rsid w:val="0066741F"/>
    <w:rsid w:val="0066750A"/>
    <w:rsid w:val="00667856"/>
    <w:rsid w:val="00672DC5"/>
    <w:rsid w:val="006748DF"/>
    <w:rsid w:val="006748FA"/>
    <w:rsid w:val="0068287B"/>
    <w:rsid w:val="00683201"/>
    <w:rsid w:val="006837BB"/>
    <w:rsid w:val="00687534"/>
    <w:rsid w:val="006908DE"/>
    <w:rsid w:val="006913BD"/>
    <w:rsid w:val="0069190B"/>
    <w:rsid w:val="00691B5B"/>
    <w:rsid w:val="00695504"/>
    <w:rsid w:val="00696E0C"/>
    <w:rsid w:val="006A1EE4"/>
    <w:rsid w:val="006A26E9"/>
    <w:rsid w:val="006A3EA1"/>
    <w:rsid w:val="006A44B8"/>
    <w:rsid w:val="006A4F6A"/>
    <w:rsid w:val="006A5394"/>
    <w:rsid w:val="006A6B69"/>
    <w:rsid w:val="006B073E"/>
    <w:rsid w:val="006B54AF"/>
    <w:rsid w:val="006C0160"/>
    <w:rsid w:val="006C16D5"/>
    <w:rsid w:val="006C299E"/>
    <w:rsid w:val="006C44D7"/>
    <w:rsid w:val="006C520C"/>
    <w:rsid w:val="006C63A5"/>
    <w:rsid w:val="006C712F"/>
    <w:rsid w:val="006C72A4"/>
    <w:rsid w:val="006C7717"/>
    <w:rsid w:val="006D6F7C"/>
    <w:rsid w:val="006E4EF7"/>
    <w:rsid w:val="006E5B2F"/>
    <w:rsid w:val="006F008D"/>
    <w:rsid w:val="006F3F98"/>
    <w:rsid w:val="006F5D2E"/>
    <w:rsid w:val="007006B1"/>
    <w:rsid w:val="007050D7"/>
    <w:rsid w:val="00710227"/>
    <w:rsid w:val="00710E1F"/>
    <w:rsid w:val="00711F74"/>
    <w:rsid w:val="00716FEB"/>
    <w:rsid w:val="00717151"/>
    <w:rsid w:val="007179EA"/>
    <w:rsid w:val="00717C2A"/>
    <w:rsid w:val="00725B82"/>
    <w:rsid w:val="00727188"/>
    <w:rsid w:val="00730544"/>
    <w:rsid w:val="00732FE0"/>
    <w:rsid w:val="0073472C"/>
    <w:rsid w:val="00737C8E"/>
    <w:rsid w:val="00740931"/>
    <w:rsid w:val="007412C7"/>
    <w:rsid w:val="00741C40"/>
    <w:rsid w:val="00743B0D"/>
    <w:rsid w:val="00747490"/>
    <w:rsid w:val="0074768E"/>
    <w:rsid w:val="00752AB9"/>
    <w:rsid w:val="00754111"/>
    <w:rsid w:val="00754521"/>
    <w:rsid w:val="00761D33"/>
    <w:rsid w:val="00764594"/>
    <w:rsid w:val="0076479B"/>
    <w:rsid w:val="00765004"/>
    <w:rsid w:val="00766A7B"/>
    <w:rsid w:val="007709AB"/>
    <w:rsid w:val="00772E4D"/>
    <w:rsid w:val="00774493"/>
    <w:rsid w:val="007770F0"/>
    <w:rsid w:val="007804B2"/>
    <w:rsid w:val="007817FC"/>
    <w:rsid w:val="00785DA3"/>
    <w:rsid w:val="00790F24"/>
    <w:rsid w:val="00792D5D"/>
    <w:rsid w:val="00793277"/>
    <w:rsid w:val="00795907"/>
    <w:rsid w:val="00795D65"/>
    <w:rsid w:val="00796DE7"/>
    <w:rsid w:val="00796E8B"/>
    <w:rsid w:val="007A3684"/>
    <w:rsid w:val="007A4601"/>
    <w:rsid w:val="007B0692"/>
    <w:rsid w:val="007B0CBC"/>
    <w:rsid w:val="007B1E24"/>
    <w:rsid w:val="007B1F3B"/>
    <w:rsid w:val="007C2236"/>
    <w:rsid w:val="007C6B4A"/>
    <w:rsid w:val="007D0D0A"/>
    <w:rsid w:val="007D126C"/>
    <w:rsid w:val="007D291E"/>
    <w:rsid w:val="007D2F52"/>
    <w:rsid w:val="007D45BA"/>
    <w:rsid w:val="007D640B"/>
    <w:rsid w:val="007D790F"/>
    <w:rsid w:val="007E05AE"/>
    <w:rsid w:val="007E2E31"/>
    <w:rsid w:val="007E36CC"/>
    <w:rsid w:val="007E38C6"/>
    <w:rsid w:val="007E5299"/>
    <w:rsid w:val="007F052F"/>
    <w:rsid w:val="007F06AB"/>
    <w:rsid w:val="007F0734"/>
    <w:rsid w:val="007F0AC3"/>
    <w:rsid w:val="007F217F"/>
    <w:rsid w:val="007F34A7"/>
    <w:rsid w:val="007F5A9D"/>
    <w:rsid w:val="007F5EDE"/>
    <w:rsid w:val="007F74C2"/>
    <w:rsid w:val="007F7625"/>
    <w:rsid w:val="0080192B"/>
    <w:rsid w:val="00801EF6"/>
    <w:rsid w:val="00805EA4"/>
    <w:rsid w:val="00807090"/>
    <w:rsid w:val="00810ABE"/>
    <w:rsid w:val="00810F6C"/>
    <w:rsid w:val="00811928"/>
    <w:rsid w:val="00812013"/>
    <w:rsid w:val="00814779"/>
    <w:rsid w:val="008147B3"/>
    <w:rsid w:val="008179CD"/>
    <w:rsid w:val="00820D18"/>
    <w:rsid w:val="00820F80"/>
    <w:rsid w:val="00821C79"/>
    <w:rsid w:val="0082249F"/>
    <w:rsid w:val="008249FC"/>
    <w:rsid w:val="00824B2B"/>
    <w:rsid w:val="00824CCA"/>
    <w:rsid w:val="00826D12"/>
    <w:rsid w:val="00830228"/>
    <w:rsid w:val="00836974"/>
    <w:rsid w:val="0084788B"/>
    <w:rsid w:val="0085020A"/>
    <w:rsid w:val="008532D2"/>
    <w:rsid w:val="008565ED"/>
    <w:rsid w:val="00856F67"/>
    <w:rsid w:val="00857B28"/>
    <w:rsid w:val="00857DA5"/>
    <w:rsid w:val="00870660"/>
    <w:rsid w:val="00870787"/>
    <w:rsid w:val="00870C59"/>
    <w:rsid w:val="00871249"/>
    <w:rsid w:val="00872CB2"/>
    <w:rsid w:val="00873810"/>
    <w:rsid w:val="0087395A"/>
    <w:rsid w:val="00873F0E"/>
    <w:rsid w:val="008754FA"/>
    <w:rsid w:val="00876ADF"/>
    <w:rsid w:val="008773F2"/>
    <w:rsid w:val="0088461D"/>
    <w:rsid w:val="00884EEC"/>
    <w:rsid w:val="00886A9E"/>
    <w:rsid w:val="00886E92"/>
    <w:rsid w:val="00890971"/>
    <w:rsid w:val="00890DF1"/>
    <w:rsid w:val="00891A8F"/>
    <w:rsid w:val="008926FE"/>
    <w:rsid w:val="00892935"/>
    <w:rsid w:val="008939B2"/>
    <w:rsid w:val="008945AA"/>
    <w:rsid w:val="00897D23"/>
    <w:rsid w:val="008A07B7"/>
    <w:rsid w:val="008A0F2E"/>
    <w:rsid w:val="008B3AF0"/>
    <w:rsid w:val="008B403A"/>
    <w:rsid w:val="008B5B28"/>
    <w:rsid w:val="008B5C5E"/>
    <w:rsid w:val="008B625E"/>
    <w:rsid w:val="008C01A1"/>
    <w:rsid w:val="008C183F"/>
    <w:rsid w:val="008C4B1A"/>
    <w:rsid w:val="008C5B55"/>
    <w:rsid w:val="008C60C5"/>
    <w:rsid w:val="008C79E3"/>
    <w:rsid w:val="008D1A95"/>
    <w:rsid w:val="008D4227"/>
    <w:rsid w:val="008D44B5"/>
    <w:rsid w:val="008D6575"/>
    <w:rsid w:val="008D6E2D"/>
    <w:rsid w:val="008E13DF"/>
    <w:rsid w:val="008E18DC"/>
    <w:rsid w:val="008E4FC1"/>
    <w:rsid w:val="008E7C96"/>
    <w:rsid w:val="008F1AC8"/>
    <w:rsid w:val="008F5B36"/>
    <w:rsid w:val="008F74EA"/>
    <w:rsid w:val="00901BBE"/>
    <w:rsid w:val="00902E14"/>
    <w:rsid w:val="009065B0"/>
    <w:rsid w:val="00907240"/>
    <w:rsid w:val="00907926"/>
    <w:rsid w:val="00907936"/>
    <w:rsid w:val="0091183F"/>
    <w:rsid w:val="00915D6D"/>
    <w:rsid w:val="00916247"/>
    <w:rsid w:val="00917858"/>
    <w:rsid w:val="00920304"/>
    <w:rsid w:val="0092728B"/>
    <w:rsid w:val="00931584"/>
    <w:rsid w:val="00935EAE"/>
    <w:rsid w:val="0093654B"/>
    <w:rsid w:val="00945DD1"/>
    <w:rsid w:val="0094629C"/>
    <w:rsid w:val="00946BA5"/>
    <w:rsid w:val="009472AA"/>
    <w:rsid w:val="0095119A"/>
    <w:rsid w:val="00953015"/>
    <w:rsid w:val="00953942"/>
    <w:rsid w:val="009557CD"/>
    <w:rsid w:val="00957115"/>
    <w:rsid w:val="00961576"/>
    <w:rsid w:val="00961B74"/>
    <w:rsid w:val="00963DA8"/>
    <w:rsid w:val="00976691"/>
    <w:rsid w:val="009803E9"/>
    <w:rsid w:val="00981796"/>
    <w:rsid w:val="009836A4"/>
    <w:rsid w:val="00983D6D"/>
    <w:rsid w:val="00986E6C"/>
    <w:rsid w:val="00987076"/>
    <w:rsid w:val="00987887"/>
    <w:rsid w:val="00987E72"/>
    <w:rsid w:val="00991C9F"/>
    <w:rsid w:val="00995BCA"/>
    <w:rsid w:val="00996636"/>
    <w:rsid w:val="00997CAA"/>
    <w:rsid w:val="009A30E2"/>
    <w:rsid w:val="009A5253"/>
    <w:rsid w:val="009A5378"/>
    <w:rsid w:val="009A549D"/>
    <w:rsid w:val="009B249E"/>
    <w:rsid w:val="009B7D79"/>
    <w:rsid w:val="009C0FD7"/>
    <w:rsid w:val="009C141C"/>
    <w:rsid w:val="009C2EA0"/>
    <w:rsid w:val="009C462F"/>
    <w:rsid w:val="009C4CE5"/>
    <w:rsid w:val="009D0B62"/>
    <w:rsid w:val="009D12A7"/>
    <w:rsid w:val="009D514C"/>
    <w:rsid w:val="009D51DF"/>
    <w:rsid w:val="009D5B12"/>
    <w:rsid w:val="009D70BD"/>
    <w:rsid w:val="009E10CB"/>
    <w:rsid w:val="009E380B"/>
    <w:rsid w:val="009E722A"/>
    <w:rsid w:val="009E77A7"/>
    <w:rsid w:val="009E7D0A"/>
    <w:rsid w:val="009F01A1"/>
    <w:rsid w:val="009F05A1"/>
    <w:rsid w:val="009F0D41"/>
    <w:rsid w:val="009F57DA"/>
    <w:rsid w:val="009F621C"/>
    <w:rsid w:val="00A0328F"/>
    <w:rsid w:val="00A032C7"/>
    <w:rsid w:val="00A03EA0"/>
    <w:rsid w:val="00A12810"/>
    <w:rsid w:val="00A130C5"/>
    <w:rsid w:val="00A1348F"/>
    <w:rsid w:val="00A16693"/>
    <w:rsid w:val="00A17FF2"/>
    <w:rsid w:val="00A22697"/>
    <w:rsid w:val="00A232BD"/>
    <w:rsid w:val="00A25408"/>
    <w:rsid w:val="00A25CE7"/>
    <w:rsid w:val="00A26CAC"/>
    <w:rsid w:val="00A278D9"/>
    <w:rsid w:val="00A301B6"/>
    <w:rsid w:val="00A319CC"/>
    <w:rsid w:val="00A32F1D"/>
    <w:rsid w:val="00A348F9"/>
    <w:rsid w:val="00A34ACA"/>
    <w:rsid w:val="00A362A5"/>
    <w:rsid w:val="00A36495"/>
    <w:rsid w:val="00A4090D"/>
    <w:rsid w:val="00A42067"/>
    <w:rsid w:val="00A434CF"/>
    <w:rsid w:val="00A47F0A"/>
    <w:rsid w:val="00A554B8"/>
    <w:rsid w:val="00A55F1F"/>
    <w:rsid w:val="00A5771B"/>
    <w:rsid w:val="00A67086"/>
    <w:rsid w:val="00A73FB2"/>
    <w:rsid w:val="00A7732B"/>
    <w:rsid w:val="00A8263B"/>
    <w:rsid w:val="00A9099E"/>
    <w:rsid w:val="00A92AF8"/>
    <w:rsid w:val="00A93026"/>
    <w:rsid w:val="00A94305"/>
    <w:rsid w:val="00A9546E"/>
    <w:rsid w:val="00AA03AF"/>
    <w:rsid w:val="00AA1CB1"/>
    <w:rsid w:val="00AA26CD"/>
    <w:rsid w:val="00AA631D"/>
    <w:rsid w:val="00AA66B8"/>
    <w:rsid w:val="00AA7388"/>
    <w:rsid w:val="00AB3C61"/>
    <w:rsid w:val="00AB4C8A"/>
    <w:rsid w:val="00AB53CC"/>
    <w:rsid w:val="00AB55A5"/>
    <w:rsid w:val="00AB60B4"/>
    <w:rsid w:val="00AC10EB"/>
    <w:rsid w:val="00AC197B"/>
    <w:rsid w:val="00AC20DB"/>
    <w:rsid w:val="00AC2D8F"/>
    <w:rsid w:val="00AC7F57"/>
    <w:rsid w:val="00AC7FFB"/>
    <w:rsid w:val="00AD09D3"/>
    <w:rsid w:val="00AD298F"/>
    <w:rsid w:val="00AD4615"/>
    <w:rsid w:val="00AD5ED8"/>
    <w:rsid w:val="00AE2BAE"/>
    <w:rsid w:val="00AE2EF9"/>
    <w:rsid w:val="00AE64BC"/>
    <w:rsid w:val="00AF08AF"/>
    <w:rsid w:val="00AF2954"/>
    <w:rsid w:val="00AF34B5"/>
    <w:rsid w:val="00AF43D3"/>
    <w:rsid w:val="00AF535D"/>
    <w:rsid w:val="00B035B5"/>
    <w:rsid w:val="00B043F7"/>
    <w:rsid w:val="00B0443B"/>
    <w:rsid w:val="00B06379"/>
    <w:rsid w:val="00B136A1"/>
    <w:rsid w:val="00B21AC0"/>
    <w:rsid w:val="00B231F8"/>
    <w:rsid w:val="00B23B6E"/>
    <w:rsid w:val="00B2451F"/>
    <w:rsid w:val="00B252E1"/>
    <w:rsid w:val="00B260B8"/>
    <w:rsid w:val="00B31B46"/>
    <w:rsid w:val="00B40532"/>
    <w:rsid w:val="00B4110B"/>
    <w:rsid w:val="00B4242F"/>
    <w:rsid w:val="00B429BF"/>
    <w:rsid w:val="00B44BCC"/>
    <w:rsid w:val="00B44E6D"/>
    <w:rsid w:val="00B45DF5"/>
    <w:rsid w:val="00B5042E"/>
    <w:rsid w:val="00B50E24"/>
    <w:rsid w:val="00B526B5"/>
    <w:rsid w:val="00B54663"/>
    <w:rsid w:val="00B54B3B"/>
    <w:rsid w:val="00B562A7"/>
    <w:rsid w:val="00B56563"/>
    <w:rsid w:val="00B567D2"/>
    <w:rsid w:val="00B5775A"/>
    <w:rsid w:val="00B621BC"/>
    <w:rsid w:val="00B64A9F"/>
    <w:rsid w:val="00B6568D"/>
    <w:rsid w:val="00B71587"/>
    <w:rsid w:val="00B76960"/>
    <w:rsid w:val="00B809D4"/>
    <w:rsid w:val="00B80C1D"/>
    <w:rsid w:val="00B80DD6"/>
    <w:rsid w:val="00B8122E"/>
    <w:rsid w:val="00B85896"/>
    <w:rsid w:val="00B90E07"/>
    <w:rsid w:val="00B91C4E"/>
    <w:rsid w:val="00B938C9"/>
    <w:rsid w:val="00B95532"/>
    <w:rsid w:val="00B957BC"/>
    <w:rsid w:val="00B95F73"/>
    <w:rsid w:val="00B97942"/>
    <w:rsid w:val="00BB0B36"/>
    <w:rsid w:val="00BB26B5"/>
    <w:rsid w:val="00BB3595"/>
    <w:rsid w:val="00BB3C4A"/>
    <w:rsid w:val="00BB419A"/>
    <w:rsid w:val="00BB6BCE"/>
    <w:rsid w:val="00BC12B3"/>
    <w:rsid w:val="00BC51D3"/>
    <w:rsid w:val="00BC65C1"/>
    <w:rsid w:val="00BC6AE4"/>
    <w:rsid w:val="00BC7A84"/>
    <w:rsid w:val="00BD0BD1"/>
    <w:rsid w:val="00BD1095"/>
    <w:rsid w:val="00BD3B91"/>
    <w:rsid w:val="00BD4477"/>
    <w:rsid w:val="00BD533B"/>
    <w:rsid w:val="00BD76E6"/>
    <w:rsid w:val="00BE09B0"/>
    <w:rsid w:val="00BE2C1C"/>
    <w:rsid w:val="00BE72F4"/>
    <w:rsid w:val="00BE7A13"/>
    <w:rsid w:val="00BF0AFF"/>
    <w:rsid w:val="00BF15C8"/>
    <w:rsid w:val="00BF3293"/>
    <w:rsid w:val="00BF67DA"/>
    <w:rsid w:val="00BF6E36"/>
    <w:rsid w:val="00BF70F3"/>
    <w:rsid w:val="00C01036"/>
    <w:rsid w:val="00C060C0"/>
    <w:rsid w:val="00C10BB8"/>
    <w:rsid w:val="00C10FAB"/>
    <w:rsid w:val="00C10FF5"/>
    <w:rsid w:val="00C11616"/>
    <w:rsid w:val="00C13C77"/>
    <w:rsid w:val="00C17BA9"/>
    <w:rsid w:val="00C17FF4"/>
    <w:rsid w:val="00C2311A"/>
    <w:rsid w:val="00C26BFF"/>
    <w:rsid w:val="00C32D80"/>
    <w:rsid w:val="00C35837"/>
    <w:rsid w:val="00C368AD"/>
    <w:rsid w:val="00C36D91"/>
    <w:rsid w:val="00C372B2"/>
    <w:rsid w:val="00C40647"/>
    <w:rsid w:val="00C412D5"/>
    <w:rsid w:val="00C43335"/>
    <w:rsid w:val="00C44FFD"/>
    <w:rsid w:val="00C45A1D"/>
    <w:rsid w:val="00C45E90"/>
    <w:rsid w:val="00C4607C"/>
    <w:rsid w:val="00C47417"/>
    <w:rsid w:val="00C500E7"/>
    <w:rsid w:val="00C565B1"/>
    <w:rsid w:val="00C60308"/>
    <w:rsid w:val="00C61479"/>
    <w:rsid w:val="00C67FF4"/>
    <w:rsid w:val="00C7207E"/>
    <w:rsid w:val="00C72541"/>
    <w:rsid w:val="00C72CC0"/>
    <w:rsid w:val="00C72D36"/>
    <w:rsid w:val="00C816F6"/>
    <w:rsid w:val="00C82E5E"/>
    <w:rsid w:val="00C83834"/>
    <w:rsid w:val="00C86CC2"/>
    <w:rsid w:val="00C90A9C"/>
    <w:rsid w:val="00C91975"/>
    <w:rsid w:val="00C941B7"/>
    <w:rsid w:val="00C944EA"/>
    <w:rsid w:val="00CA1DCE"/>
    <w:rsid w:val="00CA444E"/>
    <w:rsid w:val="00CA4525"/>
    <w:rsid w:val="00CA49C0"/>
    <w:rsid w:val="00CA5857"/>
    <w:rsid w:val="00CA7175"/>
    <w:rsid w:val="00CB22DE"/>
    <w:rsid w:val="00CB371B"/>
    <w:rsid w:val="00CB3822"/>
    <w:rsid w:val="00CC22AD"/>
    <w:rsid w:val="00CC4C59"/>
    <w:rsid w:val="00CC4F58"/>
    <w:rsid w:val="00CC5968"/>
    <w:rsid w:val="00CD10C5"/>
    <w:rsid w:val="00CD408D"/>
    <w:rsid w:val="00CD5767"/>
    <w:rsid w:val="00CD6149"/>
    <w:rsid w:val="00CD6388"/>
    <w:rsid w:val="00CE0C88"/>
    <w:rsid w:val="00CE2B35"/>
    <w:rsid w:val="00CE5F27"/>
    <w:rsid w:val="00CF0079"/>
    <w:rsid w:val="00CF02E6"/>
    <w:rsid w:val="00CF663F"/>
    <w:rsid w:val="00D112EB"/>
    <w:rsid w:val="00D11C4B"/>
    <w:rsid w:val="00D12F34"/>
    <w:rsid w:val="00D13C42"/>
    <w:rsid w:val="00D251B4"/>
    <w:rsid w:val="00D3649D"/>
    <w:rsid w:val="00D40C7C"/>
    <w:rsid w:val="00D43677"/>
    <w:rsid w:val="00D448EC"/>
    <w:rsid w:val="00D51104"/>
    <w:rsid w:val="00D52A32"/>
    <w:rsid w:val="00D53881"/>
    <w:rsid w:val="00D54463"/>
    <w:rsid w:val="00D54AE3"/>
    <w:rsid w:val="00D54EF8"/>
    <w:rsid w:val="00D55560"/>
    <w:rsid w:val="00D55F09"/>
    <w:rsid w:val="00D602DA"/>
    <w:rsid w:val="00D612CF"/>
    <w:rsid w:val="00D74D17"/>
    <w:rsid w:val="00D758B5"/>
    <w:rsid w:val="00D8021D"/>
    <w:rsid w:val="00D80759"/>
    <w:rsid w:val="00D8329C"/>
    <w:rsid w:val="00D869AF"/>
    <w:rsid w:val="00D87457"/>
    <w:rsid w:val="00D87A54"/>
    <w:rsid w:val="00D947B9"/>
    <w:rsid w:val="00D96265"/>
    <w:rsid w:val="00D9728A"/>
    <w:rsid w:val="00DA1BFD"/>
    <w:rsid w:val="00DA2A2A"/>
    <w:rsid w:val="00DA2E8B"/>
    <w:rsid w:val="00DA61F8"/>
    <w:rsid w:val="00DB171D"/>
    <w:rsid w:val="00DB51C2"/>
    <w:rsid w:val="00DC0120"/>
    <w:rsid w:val="00DC2AB3"/>
    <w:rsid w:val="00DC4662"/>
    <w:rsid w:val="00DC75CA"/>
    <w:rsid w:val="00DD38A1"/>
    <w:rsid w:val="00DD69EC"/>
    <w:rsid w:val="00DD7116"/>
    <w:rsid w:val="00DD7EF3"/>
    <w:rsid w:val="00DE27F4"/>
    <w:rsid w:val="00DE2B1B"/>
    <w:rsid w:val="00DE4518"/>
    <w:rsid w:val="00DE68A0"/>
    <w:rsid w:val="00DE69B1"/>
    <w:rsid w:val="00DF0FEF"/>
    <w:rsid w:val="00DF11B9"/>
    <w:rsid w:val="00DF3B16"/>
    <w:rsid w:val="00DF3D87"/>
    <w:rsid w:val="00E009BE"/>
    <w:rsid w:val="00E03D35"/>
    <w:rsid w:val="00E06664"/>
    <w:rsid w:val="00E1061F"/>
    <w:rsid w:val="00E1297C"/>
    <w:rsid w:val="00E12B2C"/>
    <w:rsid w:val="00E14208"/>
    <w:rsid w:val="00E15783"/>
    <w:rsid w:val="00E21C0C"/>
    <w:rsid w:val="00E2222A"/>
    <w:rsid w:val="00E27D00"/>
    <w:rsid w:val="00E310DE"/>
    <w:rsid w:val="00E3624F"/>
    <w:rsid w:val="00E364E8"/>
    <w:rsid w:val="00E3699C"/>
    <w:rsid w:val="00E4300C"/>
    <w:rsid w:val="00E44065"/>
    <w:rsid w:val="00E460CC"/>
    <w:rsid w:val="00E468EB"/>
    <w:rsid w:val="00E468F0"/>
    <w:rsid w:val="00E5655B"/>
    <w:rsid w:val="00E57500"/>
    <w:rsid w:val="00E62E51"/>
    <w:rsid w:val="00E6400B"/>
    <w:rsid w:val="00E66DA1"/>
    <w:rsid w:val="00E71B52"/>
    <w:rsid w:val="00E72D79"/>
    <w:rsid w:val="00E740F8"/>
    <w:rsid w:val="00E7558B"/>
    <w:rsid w:val="00E75816"/>
    <w:rsid w:val="00E76AB3"/>
    <w:rsid w:val="00E76DB6"/>
    <w:rsid w:val="00E82C08"/>
    <w:rsid w:val="00E87031"/>
    <w:rsid w:val="00E90990"/>
    <w:rsid w:val="00E92063"/>
    <w:rsid w:val="00E93197"/>
    <w:rsid w:val="00E945E3"/>
    <w:rsid w:val="00E9467D"/>
    <w:rsid w:val="00EA14AB"/>
    <w:rsid w:val="00EA3135"/>
    <w:rsid w:val="00EA6DA1"/>
    <w:rsid w:val="00EB1FAA"/>
    <w:rsid w:val="00EB2A41"/>
    <w:rsid w:val="00EB30A0"/>
    <w:rsid w:val="00EB3F95"/>
    <w:rsid w:val="00EB59A0"/>
    <w:rsid w:val="00EB690B"/>
    <w:rsid w:val="00EC0074"/>
    <w:rsid w:val="00EC13C8"/>
    <w:rsid w:val="00EC2FDC"/>
    <w:rsid w:val="00ED7C23"/>
    <w:rsid w:val="00EE48A0"/>
    <w:rsid w:val="00EE4C25"/>
    <w:rsid w:val="00EE5EC4"/>
    <w:rsid w:val="00EE6EAD"/>
    <w:rsid w:val="00EF0A63"/>
    <w:rsid w:val="00EF3D7D"/>
    <w:rsid w:val="00EF5DA8"/>
    <w:rsid w:val="00EF732C"/>
    <w:rsid w:val="00F02EE4"/>
    <w:rsid w:val="00F0335C"/>
    <w:rsid w:val="00F03C06"/>
    <w:rsid w:val="00F03CE9"/>
    <w:rsid w:val="00F070B2"/>
    <w:rsid w:val="00F079F2"/>
    <w:rsid w:val="00F10A1F"/>
    <w:rsid w:val="00F12092"/>
    <w:rsid w:val="00F1595D"/>
    <w:rsid w:val="00F171DE"/>
    <w:rsid w:val="00F17898"/>
    <w:rsid w:val="00F20652"/>
    <w:rsid w:val="00F2352C"/>
    <w:rsid w:val="00F25DE1"/>
    <w:rsid w:val="00F27275"/>
    <w:rsid w:val="00F27692"/>
    <w:rsid w:val="00F313F0"/>
    <w:rsid w:val="00F339E3"/>
    <w:rsid w:val="00F4056C"/>
    <w:rsid w:val="00F41628"/>
    <w:rsid w:val="00F41B4C"/>
    <w:rsid w:val="00F41C1D"/>
    <w:rsid w:val="00F43D5C"/>
    <w:rsid w:val="00F47078"/>
    <w:rsid w:val="00F50F19"/>
    <w:rsid w:val="00F57922"/>
    <w:rsid w:val="00F60DFA"/>
    <w:rsid w:val="00F61DF6"/>
    <w:rsid w:val="00F666BE"/>
    <w:rsid w:val="00F67EA7"/>
    <w:rsid w:val="00F70DEE"/>
    <w:rsid w:val="00F73FDB"/>
    <w:rsid w:val="00F741EE"/>
    <w:rsid w:val="00F75057"/>
    <w:rsid w:val="00F8162B"/>
    <w:rsid w:val="00F82FAE"/>
    <w:rsid w:val="00F85198"/>
    <w:rsid w:val="00F85AC8"/>
    <w:rsid w:val="00F90548"/>
    <w:rsid w:val="00F9149E"/>
    <w:rsid w:val="00F92BD6"/>
    <w:rsid w:val="00F954F7"/>
    <w:rsid w:val="00F95F10"/>
    <w:rsid w:val="00F97F3A"/>
    <w:rsid w:val="00FA5FD1"/>
    <w:rsid w:val="00FC41F9"/>
    <w:rsid w:val="00FC42D5"/>
    <w:rsid w:val="00FC65A2"/>
    <w:rsid w:val="00FC66B3"/>
    <w:rsid w:val="00FD0C03"/>
    <w:rsid w:val="00FD4E77"/>
    <w:rsid w:val="00FD7710"/>
    <w:rsid w:val="00FF27A2"/>
    <w:rsid w:val="00FF3573"/>
    <w:rsid w:val="00FF3CAC"/>
    <w:rsid w:val="00FF4852"/>
    <w:rsid w:val="00FF520F"/>
    <w:rsid w:val="00FF6463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9284DE-1CCC-4BD5-9EB0-1EFAAC44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E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BodyText">
    <w:name w:val="Body Text"/>
    <w:basedOn w:val="Normal"/>
    <w:link w:val="BodyTextChar"/>
    <w:rsid w:val="00091865"/>
    <w:pPr>
      <w:spacing w:after="120"/>
      <w:jc w:val="both"/>
    </w:pPr>
    <w:rPr>
      <w:sz w:val="19"/>
    </w:rPr>
  </w:style>
  <w:style w:type="character" w:customStyle="1" w:styleId="BodyTextChar">
    <w:name w:val="Body Text Char"/>
    <w:basedOn w:val="DefaultParagraphFont"/>
    <w:link w:val="BodyText"/>
    <w:rsid w:val="00091865"/>
    <w:rPr>
      <w:rFonts w:ascii="Arial" w:hAnsi="Arial"/>
      <w:sz w:val="19"/>
      <w:lang w:val="en-GB"/>
    </w:rPr>
  </w:style>
  <w:style w:type="paragraph" w:customStyle="1" w:styleId="lentpav">
    <w:name w:val="lentpav"/>
    <w:basedOn w:val="Normal"/>
    <w:rsid w:val="00091865"/>
    <w:pPr>
      <w:jc w:val="both"/>
    </w:pPr>
    <w:rPr>
      <w:b/>
      <w:sz w:val="19"/>
      <w:lang w:val="en-US"/>
    </w:rPr>
  </w:style>
  <w:style w:type="paragraph" w:styleId="ListParagraph">
    <w:name w:val="List Paragraph"/>
    <w:basedOn w:val="Normal"/>
    <w:uiPriority w:val="34"/>
    <w:qFormat/>
    <w:rsid w:val="00091865"/>
    <w:pPr>
      <w:ind w:left="720"/>
      <w:contextualSpacing/>
      <w:jc w:val="both"/>
    </w:pPr>
    <w:rPr>
      <w:sz w:val="19"/>
    </w:rPr>
  </w:style>
  <w:style w:type="character" w:styleId="CommentReference">
    <w:name w:val="annotation reference"/>
    <w:basedOn w:val="DefaultParagraphFont"/>
    <w:semiHidden/>
    <w:unhideWhenUsed/>
    <w:rsid w:val="00BF67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67DA"/>
  </w:style>
  <w:style w:type="character" w:customStyle="1" w:styleId="CommentTextChar">
    <w:name w:val="Comment Text Char"/>
    <w:basedOn w:val="DefaultParagraphFont"/>
    <w:link w:val="CommentText"/>
    <w:semiHidden/>
    <w:rsid w:val="00BF67DA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67DA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yperlink" Target="https://ec.europa.eu/eurostat/documents/4031688/9394165/KS-02-18-142-LT-N.pdf/2c6787ed-aaf1-4f30-bad1-aa65bf1e964b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sp.stat.gov.lt/statistiniu-rodikliu-analize?hash=85eb885b-54d7-4b18-a2a6-f88c723a89bf" TargetMode="External"/><Relationship Id="rId17" Type="http://schemas.openxmlformats.org/officeDocument/2006/relationships/hyperlink" Target="https://osp.stat.gov.lt/kainu-indeksai-pokyciai-ir-kaino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sp.stat.gov.lt/documents/10180/8437518/Itaku+lentel%C4%97+su+svoriais+%28spalis%29.xlsx/62304ba5-3ce9-40bd-abd3-d6640f3cfaf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regina.burneikiene@stat.gov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sp.stat.gov.lt/statistiniu-rodikliu-analize?hash=6df20012-d6c9-49b3-ac77-71292f71e26e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B\AppData\Local\Temp\Temp1_Dokumentu_blankai.zip\Su_Tikime_laisve_30_logotipu\Informacinis_pranesima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5013191548230125"/>
          <c:h val="0.6104430353285484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28286E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         2020</c:v>
                </c:pt>
                <c:pt idx="1">
                  <c:v>XII</c:v>
                </c:pt>
                <c:pt idx="2">
                  <c:v>I 
2021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      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 formatCode="0.0">
                  <c:v>0.6</c:v>
                </c:pt>
                <c:pt idx="1">
                  <c:v>1.5</c:v>
                </c:pt>
                <c:pt idx="2">
                  <c:v>1.4</c:v>
                </c:pt>
                <c:pt idx="3">
                  <c:v>1.2</c:v>
                </c:pt>
                <c:pt idx="4">
                  <c:v>1.2</c:v>
                </c:pt>
                <c:pt idx="5">
                  <c:v>0.4</c:v>
                </c:pt>
                <c:pt idx="6">
                  <c:v>1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0.8</c:v>
                </c:pt>
                <c:pt idx="10">
                  <c:v>1.5</c:v>
                </c:pt>
                <c:pt idx="11">
                  <c:v>1.3</c:v>
                </c:pt>
                <c:pt idx="12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E8-4748-8ABB-B0450FB1EDF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788CC8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         2020</c:v>
                </c:pt>
                <c:pt idx="1">
                  <c:v>XII</c:v>
                </c:pt>
                <c:pt idx="2">
                  <c:v>I 
2021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      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Sheet1!$C$2:$C$14</c:f>
              <c:numCache>
                <c:formatCode>0.0</c:formatCode>
                <c:ptCount val="13"/>
                <c:pt idx="0">
                  <c:v>-0.1</c:v>
                </c:pt>
                <c:pt idx="1">
                  <c:v>0.3</c:v>
                </c:pt>
                <c:pt idx="2">
                  <c:v>0.1</c:v>
                </c:pt>
                <c:pt idx="3">
                  <c:v>0.7</c:v>
                </c:pt>
                <c:pt idx="4">
                  <c:v>0.9</c:v>
                </c:pt>
                <c:pt idx="5">
                  <c:v>0.4</c:v>
                </c:pt>
                <c:pt idx="6">
                  <c:v>0.5</c:v>
                </c:pt>
                <c:pt idx="7">
                  <c:v>1.6</c:v>
                </c:pt>
                <c:pt idx="8">
                  <c:v>1.6</c:v>
                </c:pt>
                <c:pt idx="9">
                  <c:v>1.3</c:v>
                </c:pt>
                <c:pt idx="10">
                  <c:v>0.9</c:v>
                </c:pt>
                <c:pt idx="11">
                  <c:v>0.3</c:v>
                </c:pt>
                <c:pt idx="12">
                  <c:v>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E8-4748-8ABB-B0450FB1EDF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E66482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         2020</c:v>
                </c:pt>
                <c:pt idx="1">
                  <c:v>XII</c:v>
                </c:pt>
                <c:pt idx="2">
                  <c:v>I 
2021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      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Sheet1!$D$2:$D$14</c:f>
              <c:numCache>
                <c:formatCode>0.0</c:formatCode>
                <c:ptCount val="13"/>
                <c:pt idx="0">
                  <c:v>-0.1</c:v>
                </c:pt>
                <c:pt idx="1">
                  <c:v>1.8</c:v>
                </c:pt>
                <c:pt idx="2">
                  <c:v>1.1000000000000001</c:v>
                </c:pt>
                <c:pt idx="3">
                  <c:v>2</c:v>
                </c:pt>
                <c:pt idx="4">
                  <c:v>1.8</c:v>
                </c:pt>
                <c:pt idx="5">
                  <c:v>0.1</c:v>
                </c:pt>
                <c:pt idx="6">
                  <c:v>1.1000000000000001</c:v>
                </c:pt>
                <c:pt idx="7">
                  <c:v>2.2999999999999998</c:v>
                </c:pt>
                <c:pt idx="8">
                  <c:v>3</c:v>
                </c:pt>
                <c:pt idx="9">
                  <c:v>2.1</c:v>
                </c:pt>
                <c:pt idx="10">
                  <c:v>1.8</c:v>
                </c:pt>
                <c:pt idx="11">
                  <c:v>3.5</c:v>
                </c:pt>
                <c:pt idx="12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4E8-4748-8ABB-B0450FB1EDF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ABEC3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         2020</c:v>
                </c:pt>
                <c:pt idx="1">
                  <c:v>XII</c:v>
                </c:pt>
                <c:pt idx="2">
                  <c:v>I 
2021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      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Sheet1!$E$2:$E$14</c:f>
              <c:numCache>
                <c:formatCode>0.0</c:formatCode>
                <c:ptCount val="13"/>
                <c:pt idx="0">
                  <c:v>1.1000000000000001</c:v>
                </c:pt>
                <c:pt idx="1">
                  <c:v>1.3</c:v>
                </c:pt>
                <c:pt idx="2">
                  <c:v>1.6</c:v>
                </c:pt>
                <c:pt idx="3">
                  <c:v>0.6</c:v>
                </c:pt>
                <c:pt idx="4">
                  <c:v>0.8</c:v>
                </c:pt>
                <c:pt idx="5">
                  <c:v>0.5</c:v>
                </c:pt>
                <c:pt idx="6">
                  <c:v>0.9</c:v>
                </c:pt>
                <c:pt idx="7">
                  <c:v>2.2000000000000002</c:v>
                </c:pt>
                <c:pt idx="8">
                  <c:v>1.6</c:v>
                </c:pt>
                <c:pt idx="9">
                  <c:v>-0.1</c:v>
                </c:pt>
                <c:pt idx="10">
                  <c:v>1.3</c:v>
                </c:pt>
                <c:pt idx="11">
                  <c:v>-0.4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4E8-4748-8ABB-B0450FB1ED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3518720"/>
        <c:axId val="223520640"/>
      </c:lineChart>
      <c:catAx>
        <c:axId val="223518720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23520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3520640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235187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7629076719392377"/>
          <c:w val="0.90393012527960537"/>
          <c:h val="0.2361856316632987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2499643474768667"/>
          <c:h val="0.6180845023146529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28286E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2016</c:v>
                </c:pt>
                <c:pt idx="1">
                  <c:v>XII 
2016</c:v>
                </c:pt>
                <c:pt idx="2">
                  <c:v>I 
2017</c:v>
                </c:pt>
                <c:pt idx="3">
                  <c:v>II 
2017</c:v>
                </c:pt>
                <c:pt idx="4">
                  <c:v>III 
2017</c:v>
                </c:pt>
                <c:pt idx="5">
                  <c:v>IV 
2017</c:v>
                </c:pt>
                <c:pt idx="6">
                  <c:v>V 
2017</c:v>
                </c:pt>
                <c:pt idx="7">
                  <c:v>VI 
2017</c:v>
                </c:pt>
                <c:pt idx="8">
                  <c:v>VII 
2017</c:v>
                </c:pt>
                <c:pt idx="9">
                  <c:v>VIII 
2017</c:v>
                </c:pt>
                <c:pt idx="10">
                  <c:v>IX 
2017</c:v>
                </c:pt>
                <c:pt idx="11">
                  <c:v>X 
2017</c:v>
                </c:pt>
                <c:pt idx="12">
                  <c:v>XI 
2017</c:v>
                </c:pt>
                <c:pt idx="13">
                  <c:v>XII 
2017</c:v>
                </c:pt>
                <c:pt idx="14">
                  <c:v>I 
2018</c:v>
                </c:pt>
                <c:pt idx="15">
                  <c:v>II 
2018</c:v>
                </c:pt>
                <c:pt idx="16">
                  <c:v>III 
2018</c:v>
                </c:pt>
                <c:pt idx="17">
                  <c:v>IV 
2018</c:v>
                </c:pt>
                <c:pt idx="18">
                  <c:v>V 
2018</c:v>
                </c:pt>
                <c:pt idx="19">
                  <c:v>VI 
2018</c:v>
                </c:pt>
                <c:pt idx="20">
                  <c:v>VII 
2018</c:v>
                </c:pt>
                <c:pt idx="21">
                  <c:v>VIII 
2018</c:v>
                </c:pt>
                <c:pt idx="22">
                  <c:v>IX 
2018</c:v>
                </c:pt>
                <c:pt idx="23">
                  <c:v>X 
2018</c:v>
                </c:pt>
                <c:pt idx="24">
                  <c:v>XI 
2018</c:v>
                </c:pt>
                <c:pt idx="25">
                  <c:v>XII 
2018</c:v>
                </c:pt>
                <c:pt idx="26">
                  <c:v>I 
2019</c:v>
                </c:pt>
                <c:pt idx="27">
                  <c:v>II 
2019</c:v>
                </c:pt>
                <c:pt idx="28">
                  <c:v>III 
2019</c:v>
                </c:pt>
                <c:pt idx="29">
                  <c:v>IV 
2019</c:v>
                </c:pt>
                <c:pt idx="30">
                  <c:v>V 
2019</c:v>
                </c:pt>
                <c:pt idx="31">
                  <c:v>VI 
2019</c:v>
                </c:pt>
                <c:pt idx="32">
                  <c:v>VII 
2019</c:v>
                </c:pt>
                <c:pt idx="33">
                  <c:v>VIII 
2019</c:v>
                </c:pt>
                <c:pt idx="34">
                  <c:v>IX 
2019</c:v>
                </c:pt>
                <c:pt idx="35">
                  <c:v>X 
2019</c:v>
                </c:pt>
                <c:pt idx="36">
                  <c:v>XI 
2019</c:v>
                </c:pt>
                <c:pt idx="37">
                  <c:v>XII 
2019</c:v>
                </c:pt>
                <c:pt idx="38">
                  <c:v>I 
2020</c:v>
                </c:pt>
                <c:pt idx="39">
                  <c:v>II 
2020</c:v>
                </c:pt>
                <c:pt idx="40">
                  <c:v>III 
2020</c:v>
                </c:pt>
                <c:pt idx="41">
                  <c:v>IV 
2020</c:v>
                </c:pt>
                <c:pt idx="42">
                  <c:v>V 
2020</c:v>
                </c:pt>
                <c:pt idx="43">
                  <c:v>VI 
2020</c:v>
                </c:pt>
                <c:pt idx="44">
                  <c:v>VII 
2020</c:v>
                </c:pt>
                <c:pt idx="45">
                  <c:v>VIII 
2020</c:v>
                </c:pt>
                <c:pt idx="46">
                  <c:v>IX 
2020</c:v>
                </c:pt>
                <c:pt idx="47">
                  <c:v>X 
2020</c:v>
                </c:pt>
                <c:pt idx="48">
                  <c:v>XI 
2020</c:v>
                </c:pt>
                <c:pt idx="49">
                  <c:v>XII 
2020</c:v>
                </c:pt>
                <c:pt idx="50">
                  <c:v>I 
2021</c:v>
                </c:pt>
                <c:pt idx="51">
                  <c:v>II 
2021</c:v>
                </c:pt>
                <c:pt idx="52">
                  <c:v>III 
2021</c:v>
                </c:pt>
                <c:pt idx="53">
                  <c:v>IV 
2021</c:v>
                </c:pt>
                <c:pt idx="54">
                  <c:v>V 
2021</c:v>
                </c:pt>
                <c:pt idx="55">
                  <c:v>VI
2021</c:v>
                </c:pt>
                <c:pt idx="56">
                  <c:v>VII 
2021</c:v>
                </c:pt>
                <c:pt idx="57">
                  <c:v>VIII 
2021</c:v>
                </c:pt>
                <c:pt idx="58">
                  <c:v>IX 
2021</c:v>
                </c:pt>
                <c:pt idx="59">
                  <c:v>X 
2021</c:v>
                </c:pt>
                <c:pt idx="60">
                  <c:v>XI 
2021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1.4</c:v>
                </c:pt>
                <c:pt idx="1">
                  <c:v>5.6</c:v>
                </c:pt>
                <c:pt idx="2">
                  <c:v>8.1999999999999993</c:v>
                </c:pt>
                <c:pt idx="3">
                  <c:v>10.1</c:v>
                </c:pt>
                <c:pt idx="4">
                  <c:v>8.3000000000000007</c:v>
                </c:pt>
                <c:pt idx="5">
                  <c:v>7.5</c:v>
                </c:pt>
                <c:pt idx="6">
                  <c:v>3.6</c:v>
                </c:pt>
                <c:pt idx="7">
                  <c:v>1.6</c:v>
                </c:pt>
                <c:pt idx="8">
                  <c:v>3.3</c:v>
                </c:pt>
                <c:pt idx="9">
                  <c:v>4.3</c:v>
                </c:pt>
                <c:pt idx="10">
                  <c:v>4.2</c:v>
                </c:pt>
                <c:pt idx="11">
                  <c:v>2.6</c:v>
                </c:pt>
                <c:pt idx="12">
                  <c:v>5.0999999999999996</c:v>
                </c:pt>
                <c:pt idx="13">
                  <c:v>3.5</c:v>
                </c:pt>
                <c:pt idx="14">
                  <c:v>3.4</c:v>
                </c:pt>
                <c:pt idx="15">
                  <c:v>1.3</c:v>
                </c:pt>
                <c:pt idx="16">
                  <c:v>1.4</c:v>
                </c:pt>
                <c:pt idx="17">
                  <c:v>2.5</c:v>
                </c:pt>
                <c:pt idx="18">
                  <c:v>7.2</c:v>
                </c:pt>
                <c:pt idx="19">
                  <c:v>8.9</c:v>
                </c:pt>
                <c:pt idx="20">
                  <c:v>9.5</c:v>
                </c:pt>
                <c:pt idx="21">
                  <c:v>9.5</c:v>
                </c:pt>
                <c:pt idx="22">
                  <c:v>9.1</c:v>
                </c:pt>
                <c:pt idx="23">
                  <c:v>9.3000000000000007</c:v>
                </c:pt>
                <c:pt idx="24">
                  <c:v>4.0999999999999996</c:v>
                </c:pt>
                <c:pt idx="25">
                  <c:v>1.2</c:v>
                </c:pt>
                <c:pt idx="26">
                  <c:v>0.2</c:v>
                </c:pt>
                <c:pt idx="27">
                  <c:v>3</c:v>
                </c:pt>
                <c:pt idx="28">
                  <c:v>3.8</c:v>
                </c:pt>
                <c:pt idx="29">
                  <c:v>4</c:v>
                </c:pt>
                <c:pt idx="30">
                  <c:v>2.6</c:v>
                </c:pt>
                <c:pt idx="31">
                  <c:v>-0.8</c:v>
                </c:pt>
                <c:pt idx="32">
                  <c:v>-1.5</c:v>
                </c:pt>
                <c:pt idx="33">
                  <c:v>-3.4</c:v>
                </c:pt>
                <c:pt idx="34">
                  <c:v>-3.3</c:v>
                </c:pt>
                <c:pt idx="35">
                  <c:v>-4.5</c:v>
                </c:pt>
                <c:pt idx="36">
                  <c:v>-2</c:v>
                </c:pt>
                <c:pt idx="37">
                  <c:v>1.6</c:v>
                </c:pt>
                <c:pt idx="38">
                  <c:v>1.1000000000000001</c:v>
                </c:pt>
                <c:pt idx="39">
                  <c:v>-1</c:v>
                </c:pt>
                <c:pt idx="40">
                  <c:v>-8.9</c:v>
                </c:pt>
                <c:pt idx="41">
                  <c:v>-15.4</c:v>
                </c:pt>
                <c:pt idx="42">
                  <c:v>-16.100000000000001</c:v>
                </c:pt>
                <c:pt idx="43">
                  <c:v>-11.4</c:v>
                </c:pt>
                <c:pt idx="44">
                  <c:v>-9.8000000000000007</c:v>
                </c:pt>
                <c:pt idx="45">
                  <c:v>-8.6999999999999993</c:v>
                </c:pt>
                <c:pt idx="46">
                  <c:v>-10.199999999999999</c:v>
                </c:pt>
                <c:pt idx="47">
                  <c:v>-9.3000000000000007</c:v>
                </c:pt>
                <c:pt idx="48">
                  <c:v>-8.3000000000000007</c:v>
                </c:pt>
                <c:pt idx="49">
                  <c:v>-7.9</c:v>
                </c:pt>
                <c:pt idx="50">
                  <c:v>-6.3</c:v>
                </c:pt>
                <c:pt idx="51">
                  <c:v>-4.2</c:v>
                </c:pt>
                <c:pt idx="52">
                  <c:v>4.5999999999999996</c:v>
                </c:pt>
                <c:pt idx="53">
                  <c:v>10.7</c:v>
                </c:pt>
                <c:pt idx="54">
                  <c:v>11.8</c:v>
                </c:pt>
                <c:pt idx="55">
                  <c:v>11.3</c:v>
                </c:pt>
                <c:pt idx="56">
                  <c:v>11.3</c:v>
                </c:pt>
                <c:pt idx="57">
                  <c:v>12.3</c:v>
                </c:pt>
                <c:pt idx="58">
                  <c:v>15.2</c:v>
                </c:pt>
                <c:pt idx="59">
                  <c:v>16.3</c:v>
                </c:pt>
                <c:pt idx="60">
                  <c:v>17.600000000000001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12-413C-8F98-56C7F1D901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788CC8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2016</c:v>
                </c:pt>
                <c:pt idx="1">
                  <c:v>XII 
2016</c:v>
                </c:pt>
                <c:pt idx="2">
                  <c:v>I 
2017</c:v>
                </c:pt>
                <c:pt idx="3">
                  <c:v>II 
2017</c:v>
                </c:pt>
                <c:pt idx="4">
                  <c:v>III 
2017</c:v>
                </c:pt>
                <c:pt idx="5">
                  <c:v>IV 
2017</c:v>
                </c:pt>
                <c:pt idx="6">
                  <c:v>V 
2017</c:v>
                </c:pt>
                <c:pt idx="7">
                  <c:v>VI 
2017</c:v>
                </c:pt>
                <c:pt idx="8">
                  <c:v>VII 
2017</c:v>
                </c:pt>
                <c:pt idx="9">
                  <c:v>VIII 
2017</c:v>
                </c:pt>
                <c:pt idx="10">
                  <c:v>IX 
2017</c:v>
                </c:pt>
                <c:pt idx="11">
                  <c:v>X 
2017</c:v>
                </c:pt>
                <c:pt idx="12">
                  <c:v>XI 
2017</c:v>
                </c:pt>
                <c:pt idx="13">
                  <c:v>XII 
2017</c:v>
                </c:pt>
                <c:pt idx="14">
                  <c:v>I 
2018</c:v>
                </c:pt>
                <c:pt idx="15">
                  <c:v>II 
2018</c:v>
                </c:pt>
                <c:pt idx="16">
                  <c:v>III 
2018</c:v>
                </c:pt>
                <c:pt idx="17">
                  <c:v>IV 
2018</c:v>
                </c:pt>
                <c:pt idx="18">
                  <c:v>V 
2018</c:v>
                </c:pt>
                <c:pt idx="19">
                  <c:v>VI 
2018</c:v>
                </c:pt>
                <c:pt idx="20">
                  <c:v>VII 
2018</c:v>
                </c:pt>
                <c:pt idx="21">
                  <c:v>VIII 
2018</c:v>
                </c:pt>
                <c:pt idx="22">
                  <c:v>IX 
2018</c:v>
                </c:pt>
                <c:pt idx="23">
                  <c:v>X 
2018</c:v>
                </c:pt>
                <c:pt idx="24">
                  <c:v>XI 
2018</c:v>
                </c:pt>
                <c:pt idx="25">
                  <c:v>XII 
2018</c:v>
                </c:pt>
                <c:pt idx="26">
                  <c:v>I 
2019</c:v>
                </c:pt>
                <c:pt idx="27">
                  <c:v>II 
2019</c:v>
                </c:pt>
                <c:pt idx="28">
                  <c:v>III 
2019</c:v>
                </c:pt>
                <c:pt idx="29">
                  <c:v>IV 
2019</c:v>
                </c:pt>
                <c:pt idx="30">
                  <c:v>V 
2019</c:v>
                </c:pt>
                <c:pt idx="31">
                  <c:v>VI 
2019</c:v>
                </c:pt>
                <c:pt idx="32">
                  <c:v>VII 
2019</c:v>
                </c:pt>
                <c:pt idx="33">
                  <c:v>VIII 
2019</c:v>
                </c:pt>
                <c:pt idx="34">
                  <c:v>IX 
2019</c:v>
                </c:pt>
                <c:pt idx="35">
                  <c:v>X 
2019</c:v>
                </c:pt>
                <c:pt idx="36">
                  <c:v>XI 
2019</c:v>
                </c:pt>
                <c:pt idx="37">
                  <c:v>XII 
2019</c:v>
                </c:pt>
                <c:pt idx="38">
                  <c:v>I 
2020</c:v>
                </c:pt>
                <c:pt idx="39">
                  <c:v>II 
2020</c:v>
                </c:pt>
                <c:pt idx="40">
                  <c:v>III 
2020</c:v>
                </c:pt>
                <c:pt idx="41">
                  <c:v>IV 
2020</c:v>
                </c:pt>
                <c:pt idx="42">
                  <c:v>V 
2020</c:v>
                </c:pt>
                <c:pt idx="43">
                  <c:v>VI 
2020</c:v>
                </c:pt>
                <c:pt idx="44">
                  <c:v>VII 
2020</c:v>
                </c:pt>
                <c:pt idx="45">
                  <c:v>VIII 
2020</c:v>
                </c:pt>
                <c:pt idx="46">
                  <c:v>IX 
2020</c:v>
                </c:pt>
                <c:pt idx="47">
                  <c:v>X 
2020</c:v>
                </c:pt>
                <c:pt idx="48">
                  <c:v>XI 
2020</c:v>
                </c:pt>
                <c:pt idx="49">
                  <c:v>XII 
2020</c:v>
                </c:pt>
                <c:pt idx="50">
                  <c:v>I 
2021</c:v>
                </c:pt>
                <c:pt idx="51">
                  <c:v>II 
2021</c:v>
                </c:pt>
                <c:pt idx="52">
                  <c:v>III 
2021</c:v>
                </c:pt>
                <c:pt idx="53">
                  <c:v>IV 
2021</c:v>
                </c:pt>
                <c:pt idx="54">
                  <c:v>V 
2021</c:v>
                </c:pt>
                <c:pt idx="55">
                  <c:v>VI
2021</c:v>
                </c:pt>
                <c:pt idx="56">
                  <c:v>VII 
2021</c:v>
                </c:pt>
                <c:pt idx="57">
                  <c:v>VIII 
2021</c:v>
                </c:pt>
                <c:pt idx="58">
                  <c:v>IX 
2021</c:v>
                </c:pt>
                <c:pt idx="59">
                  <c:v>X 
2021</c:v>
                </c:pt>
                <c:pt idx="60">
                  <c:v>XI 
2021</c:v>
                </c:pt>
              </c:strCache>
            </c:strRef>
          </c:cat>
          <c:val>
            <c:numRef>
              <c:f>Sheet1!$C$2:$C$62</c:f>
              <c:numCache>
                <c:formatCode>0.0</c:formatCode>
                <c:ptCount val="61"/>
                <c:pt idx="0">
                  <c:v>-0.4</c:v>
                </c:pt>
                <c:pt idx="1">
                  <c:v>-0.4</c:v>
                </c:pt>
                <c:pt idx="2">
                  <c:v>-0.7</c:v>
                </c:pt>
                <c:pt idx="3">
                  <c:v>1.1000000000000001</c:v>
                </c:pt>
                <c:pt idx="4">
                  <c:v>2.4</c:v>
                </c:pt>
                <c:pt idx="5">
                  <c:v>3</c:v>
                </c:pt>
                <c:pt idx="6">
                  <c:v>2.8</c:v>
                </c:pt>
                <c:pt idx="7">
                  <c:v>2.9</c:v>
                </c:pt>
                <c:pt idx="8">
                  <c:v>3.1</c:v>
                </c:pt>
                <c:pt idx="9">
                  <c:v>3.4</c:v>
                </c:pt>
                <c:pt idx="10">
                  <c:v>3</c:v>
                </c:pt>
                <c:pt idx="11">
                  <c:v>2.5</c:v>
                </c:pt>
                <c:pt idx="12">
                  <c:v>2.2999999999999998</c:v>
                </c:pt>
                <c:pt idx="13">
                  <c:v>2.2999999999999998</c:v>
                </c:pt>
                <c:pt idx="14">
                  <c:v>2.1</c:v>
                </c:pt>
                <c:pt idx="15">
                  <c:v>1.5</c:v>
                </c:pt>
                <c:pt idx="16">
                  <c:v>0.8</c:v>
                </c:pt>
                <c:pt idx="17">
                  <c:v>0.5</c:v>
                </c:pt>
                <c:pt idx="18">
                  <c:v>1.6</c:v>
                </c:pt>
                <c:pt idx="19">
                  <c:v>1.9</c:v>
                </c:pt>
                <c:pt idx="20">
                  <c:v>2.6</c:v>
                </c:pt>
                <c:pt idx="21">
                  <c:v>3</c:v>
                </c:pt>
                <c:pt idx="22">
                  <c:v>3.5</c:v>
                </c:pt>
                <c:pt idx="23">
                  <c:v>3.6</c:v>
                </c:pt>
                <c:pt idx="24">
                  <c:v>3.5</c:v>
                </c:pt>
                <c:pt idx="25">
                  <c:v>3</c:v>
                </c:pt>
                <c:pt idx="26">
                  <c:v>2.4</c:v>
                </c:pt>
                <c:pt idx="27">
                  <c:v>2.6</c:v>
                </c:pt>
                <c:pt idx="28">
                  <c:v>1.5</c:v>
                </c:pt>
                <c:pt idx="29">
                  <c:v>1.5</c:v>
                </c:pt>
                <c:pt idx="30">
                  <c:v>1.6</c:v>
                </c:pt>
                <c:pt idx="31">
                  <c:v>0.6</c:v>
                </c:pt>
                <c:pt idx="32">
                  <c:v>-0.3</c:v>
                </c:pt>
                <c:pt idx="33">
                  <c:v>-1</c:v>
                </c:pt>
                <c:pt idx="34">
                  <c:v>-1.4</c:v>
                </c:pt>
                <c:pt idx="35">
                  <c:v>-1.8</c:v>
                </c:pt>
                <c:pt idx="36">
                  <c:v>-2.4</c:v>
                </c:pt>
                <c:pt idx="37">
                  <c:v>-1.8</c:v>
                </c:pt>
                <c:pt idx="38">
                  <c:v>-1.6</c:v>
                </c:pt>
                <c:pt idx="39">
                  <c:v>-1.6</c:v>
                </c:pt>
                <c:pt idx="40">
                  <c:v>-1.1000000000000001</c:v>
                </c:pt>
                <c:pt idx="41">
                  <c:v>-2.2000000000000002</c:v>
                </c:pt>
                <c:pt idx="42">
                  <c:v>-3.7</c:v>
                </c:pt>
                <c:pt idx="43">
                  <c:v>-3.4</c:v>
                </c:pt>
                <c:pt idx="44">
                  <c:v>-3.2</c:v>
                </c:pt>
                <c:pt idx="45">
                  <c:v>-2.7</c:v>
                </c:pt>
                <c:pt idx="46">
                  <c:v>-2.2000000000000002</c:v>
                </c:pt>
                <c:pt idx="47">
                  <c:v>-1.8</c:v>
                </c:pt>
                <c:pt idx="48">
                  <c:v>-1.5</c:v>
                </c:pt>
                <c:pt idx="49">
                  <c:v>-1.4</c:v>
                </c:pt>
                <c:pt idx="50">
                  <c:v>-1.5</c:v>
                </c:pt>
                <c:pt idx="51">
                  <c:v>-0.7</c:v>
                </c:pt>
                <c:pt idx="52">
                  <c:v>0.4</c:v>
                </c:pt>
                <c:pt idx="53">
                  <c:v>2.2000000000000002</c:v>
                </c:pt>
                <c:pt idx="54">
                  <c:v>3.9</c:v>
                </c:pt>
                <c:pt idx="55">
                  <c:v>5.7</c:v>
                </c:pt>
                <c:pt idx="56">
                  <c:v>7.2</c:v>
                </c:pt>
                <c:pt idx="57">
                  <c:v>8.4</c:v>
                </c:pt>
                <c:pt idx="58">
                  <c:v>8.9</c:v>
                </c:pt>
                <c:pt idx="59">
                  <c:v>9</c:v>
                </c:pt>
                <c:pt idx="60">
                  <c:v>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12-413C-8F98-56C7F1D901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E66482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2016</c:v>
                </c:pt>
                <c:pt idx="1">
                  <c:v>XII 
2016</c:v>
                </c:pt>
                <c:pt idx="2">
                  <c:v>I 
2017</c:v>
                </c:pt>
                <c:pt idx="3">
                  <c:v>II 
2017</c:v>
                </c:pt>
                <c:pt idx="4">
                  <c:v>III 
2017</c:v>
                </c:pt>
                <c:pt idx="5">
                  <c:v>IV 
2017</c:v>
                </c:pt>
                <c:pt idx="6">
                  <c:v>V 
2017</c:v>
                </c:pt>
                <c:pt idx="7">
                  <c:v>VI 
2017</c:v>
                </c:pt>
                <c:pt idx="8">
                  <c:v>VII 
2017</c:v>
                </c:pt>
                <c:pt idx="9">
                  <c:v>VIII 
2017</c:v>
                </c:pt>
                <c:pt idx="10">
                  <c:v>IX 
2017</c:v>
                </c:pt>
                <c:pt idx="11">
                  <c:v>X 
2017</c:v>
                </c:pt>
                <c:pt idx="12">
                  <c:v>XI 
2017</c:v>
                </c:pt>
                <c:pt idx="13">
                  <c:v>XII 
2017</c:v>
                </c:pt>
                <c:pt idx="14">
                  <c:v>I 
2018</c:v>
                </c:pt>
                <c:pt idx="15">
                  <c:v>II 
2018</c:v>
                </c:pt>
                <c:pt idx="16">
                  <c:v>III 
2018</c:v>
                </c:pt>
                <c:pt idx="17">
                  <c:v>IV 
2018</c:v>
                </c:pt>
                <c:pt idx="18">
                  <c:v>V 
2018</c:v>
                </c:pt>
                <c:pt idx="19">
                  <c:v>VI 
2018</c:v>
                </c:pt>
                <c:pt idx="20">
                  <c:v>VII 
2018</c:v>
                </c:pt>
                <c:pt idx="21">
                  <c:v>VIII 
2018</c:v>
                </c:pt>
                <c:pt idx="22">
                  <c:v>IX 
2018</c:v>
                </c:pt>
                <c:pt idx="23">
                  <c:v>X 
2018</c:v>
                </c:pt>
                <c:pt idx="24">
                  <c:v>XI 
2018</c:v>
                </c:pt>
                <c:pt idx="25">
                  <c:v>XII 
2018</c:v>
                </c:pt>
                <c:pt idx="26">
                  <c:v>I 
2019</c:v>
                </c:pt>
                <c:pt idx="27">
                  <c:v>II 
2019</c:v>
                </c:pt>
                <c:pt idx="28">
                  <c:v>III 
2019</c:v>
                </c:pt>
                <c:pt idx="29">
                  <c:v>IV 
2019</c:v>
                </c:pt>
                <c:pt idx="30">
                  <c:v>V 
2019</c:v>
                </c:pt>
                <c:pt idx="31">
                  <c:v>VI 
2019</c:v>
                </c:pt>
                <c:pt idx="32">
                  <c:v>VII 
2019</c:v>
                </c:pt>
                <c:pt idx="33">
                  <c:v>VIII 
2019</c:v>
                </c:pt>
                <c:pt idx="34">
                  <c:v>IX 
2019</c:v>
                </c:pt>
                <c:pt idx="35">
                  <c:v>X 
2019</c:v>
                </c:pt>
                <c:pt idx="36">
                  <c:v>XI 
2019</c:v>
                </c:pt>
                <c:pt idx="37">
                  <c:v>XII 
2019</c:v>
                </c:pt>
                <c:pt idx="38">
                  <c:v>I 
2020</c:v>
                </c:pt>
                <c:pt idx="39">
                  <c:v>II 
2020</c:v>
                </c:pt>
                <c:pt idx="40">
                  <c:v>III 
2020</c:v>
                </c:pt>
                <c:pt idx="41">
                  <c:v>IV 
2020</c:v>
                </c:pt>
                <c:pt idx="42">
                  <c:v>V 
2020</c:v>
                </c:pt>
                <c:pt idx="43">
                  <c:v>VI 
2020</c:v>
                </c:pt>
                <c:pt idx="44">
                  <c:v>VII 
2020</c:v>
                </c:pt>
                <c:pt idx="45">
                  <c:v>VIII 
2020</c:v>
                </c:pt>
                <c:pt idx="46">
                  <c:v>IX 
2020</c:v>
                </c:pt>
                <c:pt idx="47">
                  <c:v>X 
2020</c:v>
                </c:pt>
                <c:pt idx="48">
                  <c:v>XI 
2020</c:v>
                </c:pt>
                <c:pt idx="49">
                  <c:v>XII 
2020</c:v>
                </c:pt>
                <c:pt idx="50">
                  <c:v>I 
2021</c:v>
                </c:pt>
                <c:pt idx="51">
                  <c:v>II 
2021</c:v>
                </c:pt>
                <c:pt idx="52">
                  <c:v>III 
2021</c:v>
                </c:pt>
                <c:pt idx="53">
                  <c:v>IV 
2021</c:v>
                </c:pt>
                <c:pt idx="54">
                  <c:v>V 
2021</c:v>
                </c:pt>
                <c:pt idx="55">
                  <c:v>VI
2021</c:v>
                </c:pt>
                <c:pt idx="56">
                  <c:v>VII 
2021</c:v>
                </c:pt>
                <c:pt idx="57">
                  <c:v>VIII 
2021</c:v>
                </c:pt>
                <c:pt idx="58">
                  <c:v>IX 
2021</c:v>
                </c:pt>
                <c:pt idx="59">
                  <c:v>X 
2021</c:v>
                </c:pt>
                <c:pt idx="60">
                  <c:v>XI 
2021</c:v>
                </c:pt>
              </c:strCache>
            </c:strRef>
          </c:cat>
          <c:val>
            <c:numRef>
              <c:f>Sheet1!$D$2:$D$62</c:f>
              <c:numCache>
                <c:formatCode>0.0</c:formatCode>
                <c:ptCount val="61"/>
                <c:pt idx="0">
                  <c:v>0.4</c:v>
                </c:pt>
                <c:pt idx="1">
                  <c:v>1.7</c:v>
                </c:pt>
                <c:pt idx="2">
                  <c:v>1.3</c:v>
                </c:pt>
                <c:pt idx="3">
                  <c:v>3.8</c:v>
                </c:pt>
                <c:pt idx="4">
                  <c:v>5.3</c:v>
                </c:pt>
                <c:pt idx="5">
                  <c:v>5.9</c:v>
                </c:pt>
                <c:pt idx="6">
                  <c:v>4.0999999999999996</c:v>
                </c:pt>
                <c:pt idx="7">
                  <c:v>2.4</c:v>
                </c:pt>
                <c:pt idx="8">
                  <c:v>3.8</c:v>
                </c:pt>
                <c:pt idx="9">
                  <c:v>4.8</c:v>
                </c:pt>
                <c:pt idx="10">
                  <c:v>5.5</c:v>
                </c:pt>
                <c:pt idx="11">
                  <c:v>4.5</c:v>
                </c:pt>
                <c:pt idx="12">
                  <c:v>4.9000000000000004</c:v>
                </c:pt>
                <c:pt idx="13">
                  <c:v>3.8</c:v>
                </c:pt>
                <c:pt idx="14">
                  <c:v>3.7</c:v>
                </c:pt>
                <c:pt idx="15">
                  <c:v>2.7</c:v>
                </c:pt>
                <c:pt idx="16">
                  <c:v>1.4</c:v>
                </c:pt>
                <c:pt idx="17">
                  <c:v>1.6</c:v>
                </c:pt>
                <c:pt idx="18">
                  <c:v>4.3</c:v>
                </c:pt>
                <c:pt idx="19">
                  <c:v>5.3</c:v>
                </c:pt>
                <c:pt idx="20">
                  <c:v>5.5</c:v>
                </c:pt>
                <c:pt idx="21">
                  <c:v>5.7</c:v>
                </c:pt>
                <c:pt idx="22">
                  <c:v>5.9</c:v>
                </c:pt>
                <c:pt idx="23">
                  <c:v>6.4</c:v>
                </c:pt>
                <c:pt idx="24">
                  <c:v>3.8</c:v>
                </c:pt>
                <c:pt idx="25">
                  <c:v>3.2</c:v>
                </c:pt>
                <c:pt idx="26">
                  <c:v>2.6</c:v>
                </c:pt>
                <c:pt idx="27">
                  <c:v>3.5</c:v>
                </c:pt>
                <c:pt idx="28">
                  <c:v>3.3</c:v>
                </c:pt>
                <c:pt idx="29">
                  <c:v>3.2</c:v>
                </c:pt>
                <c:pt idx="30">
                  <c:v>2.2999999999999998</c:v>
                </c:pt>
                <c:pt idx="31">
                  <c:v>-0.1</c:v>
                </c:pt>
                <c:pt idx="32">
                  <c:v>0.2</c:v>
                </c:pt>
                <c:pt idx="33">
                  <c:v>-1</c:v>
                </c:pt>
                <c:pt idx="34">
                  <c:v>-1.7</c:v>
                </c:pt>
                <c:pt idx="35">
                  <c:v>-2.8</c:v>
                </c:pt>
                <c:pt idx="36">
                  <c:v>-1.3</c:v>
                </c:pt>
                <c:pt idx="37">
                  <c:v>-0.1</c:v>
                </c:pt>
                <c:pt idx="38">
                  <c:v>-0.2</c:v>
                </c:pt>
                <c:pt idx="39">
                  <c:v>-1.7</c:v>
                </c:pt>
                <c:pt idx="40">
                  <c:v>-6.2</c:v>
                </c:pt>
                <c:pt idx="41">
                  <c:v>-9.9</c:v>
                </c:pt>
                <c:pt idx="42">
                  <c:v>-11</c:v>
                </c:pt>
                <c:pt idx="43">
                  <c:v>-7.9</c:v>
                </c:pt>
                <c:pt idx="44">
                  <c:v>-7.8</c:v>
                </c:pt>
                <c:pt idx="45">
                  <c:v>-6.7</c:v>
                </c:pt>
                <c:pt idx="46">
                  <c:v>-7.1</c:v>
                </c:pt>
                <c:pt idx="47">
                  <c:v>-6.9</c:v>
                </c:pt>
                <c:pt idx="48">
                  <c:v>-7.2</c:v>
                </c:pt>
                <c:pt idx="49">
                  <c:v>-5.6</c:v>
                </c:pt>
                <c:pt idx="50">
                  <c:v>-4.9000000000000004</c:v>
                </c:pt>
                <c:pt idx="51">
                  <c:v>-2.1</c:v>
                </c:pt>
                <c:pt idx="52">
                  <c:v>5</c:v>
                </c:pt>
                <c:pt idx="53">
                  <c:v>8.6999999999999993</c:v>
                </c:pt>
                <c:pt idx="54">
                  <c:v>10.9</c:v>
                </c:pt>
                <c:pt idx="55">
                  <c:v>11.9</c:v>
                </c:pt>
                <c:pt idx="56">
                  <c:v>14.1</c:v>
                </c:pt>
                <c:pt idx="57">
                  <c:v>15.8</c:v>
                </c:pt>
                <c:pt idx="58">
                  <c:v>18.100000000000001</c:v>
                </c:pt>
                <c:pt idx="59">
                  <c:v>22.4</c:v>
                </c:pt>
                <c:pt idx="60">
                  <c:v>27.1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12-413C-8F98-56C7F1D9010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ABEC3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2016</c:v>
                </c:pt>
                <c:pt idx="1">
                  <c:v>XII 
2016</c:v>
                </c:pt>
                <c:pt idx="2">
                  <c:v>I 
2017</c:v>
                </c:pt>
                <c:pt idx="3">
                  <c:v>II 
2017</c:v>
                </c:pt>
                <c:pt idx="4">
                  <c:v>III 
2017</c:v>
                </c:pt>
                <c:pt idx="5">
                  <c:v>IV 
2017</c:v>
                </c:pt>
                <c:pt idx="6">
                  <c:v>V 
2017</c:v>
                </c:pt>
                <c:pt idx="7">
                  <c:v>VI 
2017</c:v>
                </c:pt>
                <c:pt idx="8">
                  <c:v>VII 
2017</c:v>
                </c:pt>
                <c:pt idx="9">
                  <c:v>VIII 
2017</c:v>
                </c:pt>
                <c:pt idx="10">
                  <c:v>IX 
2017</c:v>
                </c:pt>
                <c:pt idx="11">
                  <c:v>X 
2017</c:v>
                </c:pt>
                <c:pt idx="12">
                  <c:v>XI 
2017</c:v>
                </c:pt>
                <c:pt idx="13">
                  <c:v>XII 
2017</c:v>
                </c:pt>
                <c:pt idx="14">
                  <c:v>I 
2018</c:v>
                </c:pt>
                <c:pt idx="15">
                  <c:v>II 
2018</c:v>
                </c:pt>
                <c:pt idx="16">
                  <c:v>III 
2018</c:v>
                </c:pt>
                <c:pt idx="17">
                  <c:v>IV 
2018</c:v>
                </c:pt>
                <c:pt idx="18">
                  <c:v>V 
2018</c:v>
                </c:pt>
                <c:pt idx="19">
                  <c:v>VI 
2018</c:v>
                </c:pt>
                <c:pt idx="20">
                  <c:v>VII 
2018</c:v>
                </c:pt>
                <c:pt idx="21">
                  <c:v>VIII 
2018</c:v>
                </c:pt>
                <c:pt idx="22">
                  <c:v>IX 
2018</c:v>
                </c:pt>
                <c:pt idx="23">
                  <c:v>X 
2018</c:v>
                </c:pt>
                <c:pt idx="24">
                  <c:v>XI 
2018</c:v>
                </c:pt>
                <c:pt idx="25">
                  <c:v>XII 
2018</c:v>
                </c:pt>
                <c:pt idx="26">
                  <c:v>I 
2019</c:v>
                </c:pt>
                <c:pt idx="27">
                  <c:v>II 
2019</c:v>
                </c:pt>
                <c:pt idx="28">
                  <c:v>III 
2019</c:v>
                </c:pt>
                <c:pt idx="29">
                  <c:v>IV 
2019</c:v>
                </c:pt>
                <c:pt idx="30">
                  <c:v>V 
2019</c:v>
                </c:pt>
                <c:pt idx="31">
                  <c:v>VI 
2019</c:v>
                </c:pt>
                <c:pt idx="32">
                  <c:v>VII 
2019</c:v>
                </c:pt>
                <c:pt idx="33">
                  <c:v>VIII 
2019</c:v>
                </c:pt>
                <c:pt idx="34">
                  <c:v>IX 
2019</c:v>
                </c:pt>
                <c:pt idx="35">
                  <c:v>X 
2019</c:v>
                </c:pt>
                <c:pt idx="36">
                  <c:v>XI 
2019</c:v>
                </c:pt>
                <c:pt idx="37">
                  <c:v>XII 
2019</c:v>
                </c:pt>
                <c:pt idx="38">
                  <c:v>I 
2020</c:v>
                </c:pt>
                <c:pt idx="39">
                  <c:v>II 
2020</c:v>
                </c:pt>
                <c:pt idx="40">
                  <c:v>III 
2020</c:v>
                </c:pt>
                <c:pt idx="41">
                  <c:v>IV 
2020</c:v>
                </c:pt>
                <c:pt idx="42">
                  <c:v>V 
2020</c:v>
                </c:pt>
                <c:pt idx="43">
                  <c:v>VI 
2020</c:v>
                </c:pt>
                <c:pt idx="44">
                  <c:v>VII 
2020</c:v>
                </c:pt>
                <c:pt idx="45">
                  <c:v>VIII 
2020</c:v>
                </c:pt>
                <c:pt idx="46">
                  <c:v>IX 
2020</c:v>
                </c:pt>
                <c:pt idx="47">
                  <c:v>X 
2020</c:v>
                </c:pt>
                <c:pt idx="48">
                  <c:v>XI 
2020</c:v>
                </c:pt>
                <c:pt idx="49">
                  <c:v>XII 
2020</c:v>
                </c:pt>
                <c:pt idx="50">
                  <c:v>I 
2021</c:v>
                </c:pt>
                <c:pt idx="51">
                  <c:v>II 
2021</c:v>
                </c:pt>
                <c:pt idx="52">
                  <c:v>III 
2021</c:v>
                </c:pt>
                <c:pt idx="53">
                  <c:v>IV 
2021</c:v>
                </c:pt>
                <c:pt idx="54">
                  <c:v>V 
2021</c:v>
                </c:pt>
                <c:pt idx="55">
                  <c:v>VI
2021</c:v>
                </c:pt>
                <c:pt idx="56">
                  <c:v>VII 
2021</c:v>
                </c:pt>
                <c:pt idx="57">
                  <c:v>VIII 
2021</c:v>
                </c:pt>
                <c:pt idx="58">
                  <c:v>IX 
2021</c:v>
                </c:pt>
                <c:pt idx="59">
                  <c:v>X 
2021</c:v>
                </c:pt>
                <c:pt idx="60">
                  <c:v>XI 
2021</c:v>
                </c:pt>
              </c:strCache>
            </c:strRef>
          </c:cat>
          <c:val>
            <c:numRef>
              <c:f>Sheet1!$E$2:$E$62</c:f>
              <c:numCache>
                <c:formatCode>0.0</c:formatCode>
                <c:ptCount val="61"/>
                <c:pt idx="0">
                  <c:v>2.2000000000000002</c:v>
                </c:pt>
                <c:pt idx="1">
                  <c:v>8.5</c:v>
                </c:pt>
                <c:pt idx="2">
                  <c:v>13.7</c:v>
                </c:pt>
                <c:pt idx="3">
                  <c:v>15.1</c:v>
                </c:pt>
                <c:pt idx="4">
                  <c:v>10.6</c:v>
                </c:pt>
                <c:pt idx="5">
                  <c:v>8.6999999999999993</c:v>
                </c:pt>
                <c:pt idx="6">
                  <c:v>3.2</c:v>
                </c:pt>
                <c:pt idx="7">
                  <c:v>1</c:v>
                </c:pt>
                <c:pt idx="8">
                  <c:v>2.9</c:v>
                </c:pt>
                <c:pt idx="9">
                  <c:v>3.9</c:v>
                </c:pt>
                <c:pt idx="10">
                  <c:v>3.2</c:v>
                </c:pt>
                <c:pt idx="11">
                  <c:v>1.4</c:v>
                </c:pt>
                <c:pt idx="12">
                  <c:v>5.0999999999999996</c:v>
                </c:pt>
                <c:pt idx="13">
                  <c:v>3.3</c:v>
                </c:pt>
                <c:pt idx="14">
                  <c:v>3.2</c:v>
                </c:pt>
                <c:pt idx="15">
                  <c:v>0.3</c:v>
                </c:pt>
                <c:pt idx="16">
                  <c:v>1.4</c:v>
                </c:pt>
                <c:pt idx="17">
                  <c:v>3.2</c:v>
                </c:pt>
                <c:pt idx="18">
                  <c:v>9.3000000000000007</c:v>
                </c:pt>
                <c:pt idx="19">
                  <c:v>11.6</c:v>
                </c:pt>
                <c:pt idx="20">
                  <c:v>12.4</c:v>
                </c:pt>
                <c:pt idx="21">
                  <c:v>12.2</c:v>
                </c:pt>
                <c:pt idx="22">
                  <c:v>11.4</c:v>
                </c:pt>
                <c:pt idx="23">
                  <c:v>11.5</c:v>
                </c:pt>
                <c:pt idx="24">
                  <c:v>4.3</c:v>
                </c:pt>
                <c:pt idx="25">
                  <c:v>-0.3</c:v>
                </c:pt>
                <c:pt idx="26">
                  <c:v>-1.5</c:v>
                </c:pt>
                <c:pt idx="27">
                  <c:v>2.6</c:v>
                </c:pt>
                <c:pt idx="28">
                  <c:v>4.0999999999999996</c:v>
                </c:pt>
                <c:pt idx="29">
                  <c:v>4.5999999999999996</c:v>
                </c:pt>
                <c:pt idx="30">
                  <c:v>2.8</c:v>
                </c:pt>
                <c:pt idx="31">
                  <c:v>-1.4</c:v>
                </c:pt>
                <c:pt idx="32">
                  <c:v>-2.7</c:v>
                </c:pt>
                <c:pt idx="33">
                  <c:v>-5</c:v>
                </c:pt>
                <c:pt idx="34">
                  <c:v>-4.4000000000000004</c:v>
                </c:pt>
                <c:pt idx="35">
                  <c:v>-5.7</c:v>
                </c:pt>
                <c:pt idx="36">
                  <c:v>-2.5</c:v>
                </c:pt>
                <c:pt idx="37">
                  <c:v>2.7</c:v>
                </c:pt>
                <c:pt idx="38">
                  <c:v>2.1</c:v>
                </c:pt>
                <c:pt idx="39">
                  <c:v>-0.5</c:v>
                </c:pt>
                <c:pt idx="40">
                  <c:v>-10.7</c:v>
                </c:pt>
                <c:pt idx="41">
                  <c:v>-19.100000000000001</c:v>
                </c:pt>
                <c:pt idx="42">
                  <c:v>-19.600000000000001</c:v>
                </c:pt>
                <c:pt idx="43">
                  <c:v>-13.8</c:v>
                </c:pt>
                <c:pt idx="44">
                  <c:v>-11.1</c:v>
                </c:pt>
                <c:pt idx="45">
                  <c:v>-10</c:v>
                </c:pt>
                <c:pt idx="46">
                  <c:v>-12.3</c:v>
                </c:pt>
                <c:pt idx="47">
                  <c:v>-10.9</c:v>
                </c:pt>
                <c:pt idx="48">
                  <c:v>-9.1</c:v>
                </c:pt>
                <c:pt idx="49">
                  <c:v>-9.4</c:v>
                </c:pt>
                <c:pt idx="50">
                  <c:v>-7.4</c:v>
                </c:pt>
                <c:pt idx="51">
                  <c:v>-5.6</c:v>
                </c:pt>
                <c:pt idx="52">
                  <c:v>4.3</c:v>
                </c:pt>
                <c:pt idx="53">
                  <c:v>12.2</c:v>
                </c:pt>
                <c:pt idx="54">
                  <c:v>12.4</c:v>
                </c:pt>
                <c:pt idx="55">
                  <c:v>10.9</c:v>
                </c:pt>
                <c:pt idx="56">
                  <c:v>9.4</c:v>
                </c:pt>
                <c:pt idx="57">
                  <c:v>9.6999999999999993</c:v>
                </c:pt>
                <c:pt idx="58">
                  <c:v>13</c:v>
                </c:pt>
                <c:pt idx="59">
                  <c:v>12</c:v>
                </c:pt>
                <c:pt idx="60">
                  <c:v>10.8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812-413C-8F98-56C7F1D901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7769472"/>
        <c:axId val="197771648"/>
      </c:lineChart>
      <c:catAx>
        <c:axId val="19776947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97771648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197771648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9776947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76632186962420101"/>
          <c:w val="0.90393012527960537"/>
          <c:h val="0.2327715696283968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0AB7D2F86D9524992F7F662FE4E933A" ma:contentTypeVersion="2" ma:contentTypeDescription="Kurkite naują dokumentą." ma:contentTypeScope="" ma:versionID="43e88be6171ac7401bd42ef43466c362">
  <xsd:schema xmlns:xsd="http://www.w3.org/2001/XMLSchema" xmlns:p="http://schemas.microsoft.com/office/2006/metadata/properties" xmlns:ns2="a341d734-d208-4b9c-bc9c-37362a563ed6" targetNamespace="http://schemas.microsoft.com/office/2006/metadata/properties" ma:root="true" ma:fieldsID="7a5b57ee6bfd0abd9d234b156c77817b" ns2:_="">
    <xsd:import namespace="a341d734-d208-4b9c-bc9c-37362a563ed6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Grup_x011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341d734-d208-4b9c-bc9c-37362a563ed6" elementFormDefault="qualified">
    <xsd:import namespace="http://schemas.microsoft.com/office/2006/documentManagement/types"/>
    <xsd:element name="Data" ma:index="2" nillable="true" ma:displayName="Data" ma:internalName="Data">
      <xsd:simpleType>
        <xsd:restriction base="dms:Text">
          <xsd:maxLength value="255"/>
        </xsd:restriction>
      </xsd:simpleType>
    </xsd:element>
    <xsd:element name="Grup_x0117_" ma:index="3" nillable="true" ma:displayName="Grupė" ma:default="-" ma:format="Dropdown" ma:internalName="Grup_x0117_">
      <xsd:simpleType>
        <xsd:restriction base="dms:Choice">
          <xsd:enumeration value="-"/>
          <xsd:enumeration value="Įveskite pasirinkimą #2"/>
          <xsd:enumeration value="Įveskite pasirinkimą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urinio tipas" ma:readOnly="true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rup_x0117_ xmlns="a341d734-d208-4b9c-bc9c-37362a563ed6">-</Grup_x0117_>
    <Data xmlns="a341d734-d208-4b9c-bc9c-37362a563ed6">2019-09-10</Da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C736-504B-44FB-8C06-D757E895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1d734-d208-4b9c-bc9c-37362a563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E91B09E-A455-416F-925B-74863D595E86}">
  <ds:schemaRefs>
    <ds:schemaRef ds:uri="http://schemas.microsoft.com/office/2006/metadata/properties"/>
    <ds:schemaRef ds:uri="a341d734-d208-4b9c-bc9c-37362a563ed6"/>
  </ds:schemaRefs>
</ds:datastoreItem>
</file>

<file path=customXml/itemProps3.xml><?xml version="1.0" encoding="utf-8"?>
<ds:datastoreItem xmlns:ds="http://schemas.openxmlformats.org/officeDocument/2006/customXml" ds:itemID="{C367BCEA-10A1-466A-B082-67BADAB95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2F4A53-0AF6-4706-BF15-F3195920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Informacinis_pranesimas.dotx</Template>
  <TotalTime>2</TotalTime>
  <Pages>1</Pages>
  <Words>3846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 (naujas ženklas - LOGO)</vt:lpstr>
      <vt:lpstr>Informaciniai pranešimai (naujas ženklas - LOGO)</vt:lpstr>
    </vt:vector>
  </TitlesOfParts>
  <Company>Hewlett-Packard Company</Company>
  <LinksUpToDate>false</LinksUpToDate>
  <CharactersWithSpaces>6027</CharactersWithSpaces>
  <SharedDoc>false</SharedDoc>
  <HLinks>
    <vt:vector size="12" baseType="variant"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 (naujas ženklas - LOGO)</dc:title>
  <dc:creator>Regina Burneikienė</dc:creator>
  <cp:lastModifiedBy>Regina Burneikienė</cp:lastModifiedBy>
  <cp:revision>4</cp:revision>
  <cp:lastPrinted>2020-03-06T06:40:00Z</cp:lastPrinted>
  <dcterms:created xsi:type="dcterms:W3CDTF">2021-12-08T07:52:00Z</dcterms:created>
  <dcterms:modified xsi:type="dcterms:W3CDTF">2021-12-08T07:54:00Z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0x010100D0AB7D2F86D9524992F7F662FE4E933A</vt:lpwstr>
  </property>
  <property fmtid="{D5CDD505-2E9C-101B-9397-08002B2CF9AE}" pid="12" name="Data">
    <vt:lpwstr>2019-09-10</vt:lpwstr>
  </property>
</Properties>
</file>