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7B" w:rsidRPr="0069211E" w:rsidRDefault="006E24B4" w:rsidP="0069211E">
      <w:pPr>
        <w:jc w:val="center"/>
        <w:rPr>
          <w:b/>
          <w:sz w:val="28"/>
          <w:szCs w:val="28"/>
        </w:rPr>
      </w:pPr>
      <w:proofErr w:type="spellStart"/>
      <w:r w:rsidRPr="0069211E">
        <w:rPr>
          <w:b/>
          <w:sz w:val="28"/>
          <w:szCs w:val="28"/>
        </w:rPr>
        <w:t>Europos</w:t>
      </w:r>
      <w:proofErr w:type="spellEnd"/>
      <w:r w:rsidRPr="0069211E">
        <w:rPr>
          <w:b/>
          <w:sz w:val="28"/>
          <w:szCs w:val="28"/>
        </w:rPr>
        <w:t xml:space="preserve"> </w:t>
      </w:r>
      <w:proofErr w:type="spellStart"/>
      <w:r w:rsidRPr="0069211E">
        <w:rPr>
          <w:b/>
          <w:sz w:val="28"/>
          <w:szCs w:val="28"/>
        </w:rPr>
        <w:t>Komisijos</w:t>
      </w:r>
      <w:proofErr w:type="spellEnd"/>
      <w:r w:rsidRPr="0069211E">
        <w:rPr>
          <w:b/>
          <w:sz w:val="28"/>
          <w:szCs w:val="28"/>
        </w:rPr>
        <w:t xml:space="preserve"> </w:t>
      </w:r>
      <w:proofErr w:type="spellStart"/>
      <w:r w:rsidRPr="0069211E">
        <w:rPr>
          <w:b/>
          <w:sz w:val="28"/>
          <w:szCs w:val="28"/>
        </w:rPr>
        <w:t>parengtas</w:t>
      </w:r>
      <w:proofErr w:type="spellEnd"/>
      <w:r w:rsidRPr="0069211E">
        <w:rPr>
          <w:b/>
          <w:sz w:val="28"/>
          <w:szCs w:val="28"/>
        </w:rPr>
        <w:t xml:space="preserve"> </w:t>
      </w:r>
      <w:proofErr w:type="spellStart"/>
      <w:r w:rsidRPr="0069211E">
        <w:rPr>
          <w:b/>
          <w:sz w:val="28"/>
          <w:szCs w:val="28"/>
        </w:rPr>
        <w:t>Direktyvų</w:t>
      </w:r>
      <w:proofErr w:type="spellEnd"/>
      <w:r w:rsidRPr="0069211E">
        <w:rPr>
          <w:b/>
          <w:sz w:val="28"/>
          <w:szCs w:val="28"/>
        </w:rPr>
        <w:t xml:space="preserve"> </w:t>
      </w:r>
      <w:proofErr w:type="spellStart"/>
      <w:r w:rsidRPr="0069211E">
        <w:rPr>
          <w:b/>
          <w:sz w:val="28"/>
          <w:szCs w:val="28"/>
        </w:rPr>
        <w:t>keitimo</w:t>
      </w:r>
      <w:proofErr w:type="spellEnd"/>
      <w:r w:rsidRPr="0069211E">
        <w:rPr>
          <w:b/>
          <w:sz w:val="28"/>
          <w:szCs w:val="28"/>
        </w:rPr>
        <w:t xml:space="preserve"> </w:t>
      </w:r>
      <w:proofErr w:type="spellStart"/>
      <w:r w:rsidRPr="0069211E">
        <w:rPr>
          <w:b/>
          <w:sz w:val="28"/>
          <w:szCs w:val="28"/>
        </w:rPr>
        <w:t>paketas</w:t>
      </w:r>
      <w:proofErr w:type="spellEnd"/>
      <w:r w:rsidRPr="0069211E">
        <w:rPr>
          <w:b/>
          <w:sz w:val="28"/>
          <w:szCs w:val="28"/>
        </w:rPr>
        <w:t xml:space="preserve"> “FIT for 55” (TINKAMAS 55-iems)</w:t>
      </w:r>
    </w:p>
    <w:p w:rsidR="00E64466" w:rsidRPr="0069211E" w:rsidRDefault="006E24B4" w:rsidP="0069211E">
      <w:pPr>
        <w:jc w:val="center"/>
        <w:rPr>
          <w:i/>
          <w:sz w:val="24"/>
          <w:szCs w:val="24"/>
          <w:lang w:val="lt-LT"/>
        </w:rPr>
      </w:pPr>
      <w:proofErr w:type="spellStart"/>
      <w:proofErr w:type="gramStart"/>
      <w:r w:rsidRPr="0069211E">
        <w:rPr>
          <w:i/>
          <w:sz w:val="24"/>
          <w:szCs w:val="24"/>
        </w:rPr>
        <w:t>Europos</w:t>
      </w:r>
      <w:proofErr w:type="spellEnd"/>
      <w:r w:rsidRPr="0069211E">
        <w:rPr>
          <w:i/>
          <w:sz w:val="24"/>
          <w:szCs w:val="24"/>
        </w:rPr>
        <w:t xml:space="preserve"> </w:t>
      </w:r>
      <w:proofErr w:type="spellStart"/>
      <w:r w:rsidRPr="0069211E">
        <w:rPr>
          <w:i/>
          <w:sz w:val="24"/>
          <w:szCs w:val="24"/>
        </w:rPr>
        <w:t>Komisija</w:t>
      </w:r>
      <w:proofErr w:type="spellEnd"/>
      <w:r w:rsidRPr="0069211E">
        <w:rPr>
          <w:i/>
          <w:sz w:val="24"/>
          <w:szCs w:val="24"/>
        </w:rPr>
        <w:t xml:space="preserve"> </w:t>
      </w:r>
      <w:proofErr w:type="spellStart"/>
      <w:r w:rsidRPr="0069211E">
        <w:rPr>
          <w:i/>
          <w:sz w:val="24"/>
          <w:szCs w:val="24"/>
        </w:rPr>
        <w:t>pradeda</w:t>
      </w:r>
      <w:proofErr w:type="spellEnd"/>
      <w:r w:rsidRPr="0069211E">
        <w:rPr>
          <w:i/>
          <w:sz w:val="24"/>
          <w:szCs w:val="24"/>
        </w:rPr>
        <w:t xml:space="preserve"> </w:t>
      </w:r>
      <w:proofErr w:type="spellStart"/>
      <w:r w:rsidRPr="0069211E">
        <w:rPr>
          <w:i/>
          <w:sz w:val="24"/>
          <w:szCs w:val="24"/>
        </w:rPr>
        <w:t>įgyvendinti</w:t>
      </w:r>
      <w:proofErr w:type="spellEnd"/>
      <w:r w:rsidRPr="0069211E">
        <w:rPr>
          <w:i/>
          <w:sz w:val="24"/>
          <w:szCs w:val="24"/>
        </w:rPr>
        <w:t xml:space="preserve"> </w:t>
      </w:r>
      <w:proofErr w:type="spellStart"/>
      <w:r w:rsidRPr="0069211E">
        <w:rPr>
          <w:i/>
          <w:sz w:val="24"/>
          <w:szCs w:val="24"/>
        </w:rPr>
        <w:t>naują</w:t>
      </w:r>
      <w:proofErr w:type="spellEnd"/>
      <w:r w:rsidRPr="0069211E">
        <w:rPr>
          <w:i/>
          <w:sz w:val="24"/>
          <w:szCs w:val="24"/>
        </w:rPr>
        <w:t xml:space="preserve"> </w:t>
      </w:r>
      <w:proofErr w:type="spellStart"/>
      <w:r w:rsidRPr="0069211E">
        <w:rPr>
          <w:i/>
          <w:sz w:val="24"/>
          <w:szCs w:val="24"/>
        </w:rPr>
        <w:t>klimato</w:t>
      </w:r>
      <w:proofErr w:type="spellEnd"/>
      <w:r w:rsidRPr="0069211E">
        <w:rPr>
          <w:i/>
          <w:sz w:val="24"/>
          <w:szCs w:val="24"/>
        </w:rPr>
        <w:t xml:space="preserve"> </w:t>
      </w:r>
      <w:proofErr w:type="spellStart"/>
      <w:r w:rsidRPr="0069211E">
        <w:rPr>
          <w:i/>
          <w:sz w:val="24"/>
          <w:szCs w:val="24"/>
        </w:rPr>
        <w:t>tikslą</w:t>
      </w:r>
      <w:proofErr w:type="spellEnd"/>
      <w:r w:rsidRPr="0069211E">
        <w:rPr>
          <w:i/>
          <w:sz w:val="24"/>
          <w:szCs w:val="24"/>
        </w:rPr>
        <w:t xml:space="preserve"> – 2030 </w:t>
      </w:r>
      <w:proofErr w:type="spellStart"/>
      <w:r w:rsidRPr="0069211E">
        <w:rPr>
          <w:i/>
          <w:sz w:val="24"/>
          <w:szCs w:val="24"/>
        </w:rPr>
        <w:t>metais</w:t>
      </w:r>
      <w:proofErr w:type="spellEnd"/>
      <w:r w:rsidR="00AC3143">
        <w:rPr>
          <w:i/>
          <w:sz w:val="24"/>
          <w:szCs w:val="24"/>
        </w:rPr>
        <w:t xml:space="preserve"> 55% </w:t>
      </w:r>
      <w:proofErr w:type="spellStart"/>
      <w:r w:rsidR="00AC3143">
        <w:rPr>
          <w:i/>
          <w:sz w:val="24"/>
          <w:szCs w:val="24"/>
        </w:rPr>
        <w:t>sumažinti</w:t>
      </w:r>
      <w:proofErr w:type="spellEnd"/>
      <w:r w:rsidR="00AC3143">
        <w:rPr>
          <w:i/>
          <w:sz w:val="24"/>
          <w:szCs w:val="24"/>
        </w:rPr>
        <w:t xml:space="preserve"> “</w:t>
      </w:r>
      <w:proofErr w:type="spellStart"/>
      <w:r w:rsidR="00AC3143">
        <w:rPr>
          <w:i/>
          <w:sz w:val="24"/>
          <w:szCs w:val="24"/>
        </w:rPr>
        <w:t>šiltnamio</w:t>
      </w:r>
      <w:proofErr w:type="spellEnd"/>
      <w:r w:rsidR="00AC3143">
        <w:rPr>
          <w:i/>
          <w:sz w:val="24"/>
          <w:szCs w:val="24"/>
        </w:rPr>
        <w:t xml:space="preserve"> </w:t>
      </w:r>
      <w:proofErr w:type="spellStart"/>
      <w:r w:rsidR="00AC3143">
        <w:rPr>
          <w:i/>
          <w:sz w:val="24"/>
          <w:szCs w:val="24"/>
        </w:rPr>
        <w:t>efektą</w:t>
      </w:r>
      <w:proofErr w:type="spellEnd"/>
      <w:r w:rsidRPr="0069211E">
        <w:rPr>
          <w:i/>
          <w:sz w:val="24"/>
          <w:szCs w:val="24"/>
        </w:rPr>
        <w:t xml:space="preserve"> </w:t>
      </w:r>
      <w:proofErr w:type="spellStart"/>
      <w:r w:rsidRPr="0069211E">
        <w:rPr>
          <w:i/>
          <w:sz w:val="24"/>
          <w:szCs w:val="24"/>
        </w:rPr>
        <w:t>sukeliančių</w:t>
      </w:r>
      <w:proofErr w:type="spellEnd"/>
      <w:r w:rsidRPr="0069211E">
        <w:rPr>
          <w:i/>
          <w:sz w:val="24"/>
          <w:szCs w:val="24"/>
        </w:rPr>
        <w:t xml:space="preserve"> </w:t>
      </w:r>
      <w:proofErr w:type="spellStart"/>
      <w:r w:rsidRPr="0069211E">
        <w:rPr>
          <w:i/>
          <w:sz w:val="24"/>
          <w:szCs w:val="24"/>
        </w:rPr>
        <w:t>dujų</w:t>
      </w:r>
      <w:proofErr w:type="spellEnd"/>
      <w:r w:rsidRPr="0069211E">
        <w:rPr>
          <w:i/>
          <w:sz w:val="24"/>
          <w:szCs w:val="24"/>
        </w:rPr>
        <w:t xml:space="preserve">” (ŠESD) </w:t>
      </w:r>
      <w:proofErr w:type="spellStart"/>
      <w:r w:rsidRPr="0069211E">
        <w:rPr>
          <w:i/>
          <w:sz w:val="24"/>
          <w:szCs w:val="24"/>
        </w:rPr>
        <w:t>emisiją</w:t>
      </w:r>
      <w:proofErr w:type="spellEnd"/>
      <w:r w:rsidRPr="0069211E">
        <w:rPr>
          <w:i/>
          <w:sz w:val="24"/>
          <w:szCs w:val="24"/>
        </w:rPr>
        <w:t xml:space="preserve"> (</w:t>
      </w:r>
      <w:proofErr w:type="spellStart"/>
      <w:r w:rsidRPr="0069211E">
        <w:rPr>
          <w:i/>
          <w:sz w:val="24"/>
          <w:szCs w:val="24"/>
        </w:rPr>
        <w:t>lyginant</w:t>
      </w:r>
      <w:proofErr w:type="spellEnd"/>
      <w:r w:rsidRPr="0069211E">
        <w:rPr>
          <w:i/>
          <w:sz w:val="24"/>
          <w:szCs w:val="24"/>
        </w:rPr>
        <w:t xml:space="preserve"> </w:t>
      </w:r>
      <w:proofErr w:type="spellStart"/>
      <w:r w:rsidRPr="0069211E">
        <w:rPr>
          <w:i/>
          <w:sz w:val="24"/>
          <w:szCs w:val="24"/>
        </w:rPr>
        <w:t>su</w:t>
      </w:r>
      <w:proofErr w:type="spellEnd"/>
      <w:r w:rsidRPr="0069211E">
        <w:rPr>
          <w:i/>
          <w:sz w:val="24"/>
          <w:szCs w:val="24"/>
        </w:rPr>
        <w:t xml:space="preserve"> 1990 </w:t>
      </w:r>
      <w:proofErr w:type="spellStart"/>
      <w:r w:rsidRPr="0069211E">
        <w:rPr>
          <w:i/>
          <w:sz w:val="24"/>
          <w:szCs w:val="24"/>
        </w:rPr>
        <w:t>metais</w:t>
      </w:r>
      <w:proofErr w:type="spellEnd"/>
      <w:r w:rsidRPr="0069211E">
        <w:rPr>
          <w:i/>
          <w:sz w:val="24"/>
          <w:szCs w:val="24"/>
        </w:rPr>
        <w:t>)</w:t>
      </w:r>
      <w:r w:rsidR="00287F8F" w:rsidRPr="0069211E">
        <w:rPr>
          <w:i/>
          <w:sz w:val="24"/>
          <w:szCs w:val="24"/>
        </w:rPr>
        <w:t>.</w:t>
      </w:r>
      <w:proofErr w:type="gramEnd"/>
      <w:r w:rsidR="00287F8F" w:rsidRPr="0069211E">
        <w:rPr>
          <w:i/>
          <w:sz w:val="24"/>
          <w:szCs w:val="24"/>
        </w:rPr>
        <w:t xml:space="preserve"> </w:t>
      </w:r>
      <w:proofErr w:type="gramStart"/>
      <w:r w:rsidR="00287F8F" w:rsidRPr="0069211E">
        <w:rPr>
          <w:i/>
          <w:sz w:val="24"/>
          <w:szCs w:val="24"/>
        </w:rPr>
        <w:t xml:space="preserve">Tam </w:t>
      </w:r>
      <w:proofErr w:type="spellStart"/>
      <w:r w:rsidR="00287F8F" w:rsidRPr="0069211E">
        <w:rPr>
          <w:i/>
          <w:sz w:val="24"/>
          <w:szCs w:val="24"/>
        </w:rPr>
        <w:t>Komisija</w:t>
      </w:r>
      <w:proofErr w:type="spellEnd"/>
      <w:r w:rsidR="00287F8F" w:rsidRPr="0069211E">
        <w:rPr>
          <w:i/>
          <w:sz w:val="24"/>
          <w:szCs w:val="24"/>
        </w:rPr>
        <w:t xml:space="preserve"> </w:t>
      </w:r>
      <w:proofErr w:type="spellStart"/>
      <w:r w:rsidR="00287F8F" w:rsidRPr="0069211E">
        <w:rPr>
          <w:i/>
          <w:sz w:val="24"/>
          <w:szCs w:val="24"/>
        </w:rPr>
        <w:t>parengs</w:t>
      </w:r>
      <w:proofErr w:type="spellEnd"/>
      <w:r w:rsidR="00287F8F" w:rsidRPr="0069211E">
        <w:rPr>
          <w:i/>
          <w:sz w:val="24"/>
          <w:szCs w:val="24"/>
        </w:rPr>
        <w:t xml:space="preserve"> 12 </w:t>
      </w:r>
      <w:proofErr w:type="spellStart"/>
      <w:r w:rsidR="00287F8F" w:rsidRPr="0069211E">
        <w:rPr>
          <w:i/>
          <w:sz w:val="24"/>
          <w:szCs w:val="24"/>
        </w:rPr>
        <w:t>teisės</w:t>
      </w:r>
      <w:proofErr w:type="spellEnd"/>
      <w:r w:rsidR="00287F8F" w:rsidRPr="0069211E">
        <w:rPr>
          <w:i/>
          <w:sz w:val="24"/>
          <w:szCs w:val="24"/>
        </w:rPr>
        <w:t xml:space="preserve"> </w:t>
      </w:r>
      <w:proofErr w:type="spellStart"/>
      <w:r w:rsidR="00287F8F" w:rsidRPr="0069211E">
        <w:rPr>
          <w:i/>
          <w:sz w:val="24"/>
          <w:szCs w:val="24"/>
        </w:rPr>
        <w:t>aktų</w:t>
      </w:r>
      <w:proofErr w:type="spellEnd"/>
      <w:r w:rsidR="00287F8F" w:rsidRPr="0069211E">
        <w:rPr>
          <w:i/>
          <w:sz w:val="24"/>
          <w:szCs w:val="24"/>
        </w:rPr>
        <w:t xml:space="preserve"> (</w:t>
      </w:r>
      <w:proofErr w:type="spellStart"/>
      <w:r w:rsidR="00287F8F" w:rsidRPr="0069211E">
        <w:rPr>
          <w:i/>
          <w:sz w:val="24"/>
          <w:szCs w:val="24"/>
        </w:rPr>
        <w:t>Direktyvų</w:t>
      </w:r>
      <w:proofErr w:type="spellEnd"/>
      <w:r w:rsidR="00287F8F" w:rsidRPr="0069211E">
        <w:rPr>
          <w:i/>
          <w:sz w:val="24"/>
          <w:szCs w:val="24"/>
        </w:rPr>
        <w:t xml:space="preserve">) </w:t>
      </w:r>
      <w:proofErr w:type="spellStart"/>
      <w:r w:rsidR="00287F8F" w:rsidRPr="0069211E">
        <w:rPr>
          <w:i/>
          <w:sz w:val="24"/>
          <w:szCs w:val="24"/>
        </w:rPr>
        <w:t>keitimus</w:t>
      </w:r>
      <w:proofErr w:type="spellEnd"/>
      <w:r w:rsidR="00287F8F" w:rsidRPr="0069211E">
        <w:rPr>
          <w:i/>
          <w:sz w:val="24"/>
          <w:szCs w:val="24"/>
        </w:rPr>
        <w:t>.</w:t>
      </w:r>
      <w:proofErr w:type="gramEnd"/>
      <w:r w:rsidR="00287F8F" w:rsidRPr="0069211E">
        <w:rPr>
          <w:i/>
          <w:sz w:val="24"/>
          <w:szCs w:val="24"/>
        </w:rPr>
        <w:t xml:space="preserve"> </w:t>
      </w:r>
      <w:proofErr w:type="spellStart"/>
      <w:proofErr w:type="gramStart"/>
      <w:r w:rsidR="00287F8F" w:rsidRPr="0069211E">
        <w:rPr>
          <w:i/>
          <w:sz w:val="24"/>
          <w:szCs w:val="24"/>
        </w:rPr>
        <w:t>Jų</w:t>
      </w:r>
      <w:proofErr w:type="spellEnd"/>
      <w:r w:rsidR="00287F8F" w:rsidRPr="0069211E">
        <w:rPr>
          <w:i/>
          <w:sz w:val="24"/>
          <w:szCs w:val="24"/>
        </w:rPr>
        <w:t xml:space="preserve"> </w:t>
      </w:r>
      <w:proofErr w:type="spellStart"/>
      <w:r w:rsidR="00287F8F" w:rsidRPr="0069211E">
        <w:rPr>
          <w:i/>
          <w:sz w:val="24"/>
          <w:szCs w:val="24"/>
        </w:rPr>
        <w:t>sąrašas</w:t>
      </w:r>
      <w:proofErr w:type="spellEnd"/>
      <w:r w:rsidR="00287F8F" w:rsidRPr="0069211E">
        <w:rPr>
          <w:i/>
          <w:sz w:val="24"/>
          <w:szCs w:val="24"/>
        </w:rPr>
        <w:t xml:space="preserve"> </w:t>
      </w:r>
      <w:proofErr w:type="spellStart"/>
      <w:r w:rsidR="00287F8F" w:rsidRPr="0069211E">
        <w:rPr>
          <w:i/>
          <w:sz w:val="24"/>
          <w:szCs w:val="24"/>
        </w:rPr>
        <w:t>žemiau</w:t>
      </w:r>
      <w:proofErr w:type="spellEnd"/>
      <w:r w:rsidR="00287F8F" w:rsidRPr="0069211E">
        <w:rPr>
          <w:i/>
          <w:sz w:val="24"/>
          <w:szCs w:val="24"/>
        </w:rPr>
        <w:t>.</w:t>
      </w:r>
      <w:proofErr w:type="gramEnd"/>
      <w:r w:rsidR="00287F8F" w:rsidRPr="0069211E">
        <w:rPr>
          <w:i/>
          <w:sz w:val="24"/>
          <w:szCs w:val="24"/>
        </w:rPr>
        <w:t xml:space="preserve"> </w:t>
      </w:r>
      <w:proofErr w:type="spellStart"/>
      <w:proofErr w:type="gramStart"/>
      <w:r w:rsidR="00287F8F" w:rsidRPr="0069211E">
        <w:rPr>
          <w:i/>
          <w:sz w:val="24"/>
          <w:szCs w:val="24"/>
        </w:rPr>
        <w:t>Paryškinta</w:t>
      </w:r>
      <w:proofErr w:type="spellEnd"/>
      <w:r w:rsidR="00287F8F" w:rsidRPr="0069211E">
        <w:rPr>
          <w:i/>
          <w:sz w:val="24"/>
          <w:szCs w:val="24"/>
        </w:rPr>
        <w:t xml:space="preserve"> </w:t>
      </w:r>
      <w:proofErr w:type="spellStart"/>
      <w:r w:rsidR="00287F8F" w:rsidRPr="0069211E">
        <w:rPr>
          <w:i/>
          <w:sz w:val="24"/>
          <w:szCs w:val="24"/>
        </w:rPr>
        <w:t>juodai</w:t>
      </w:r>
      <w:proofErr w:type="spellEnd"/>
      <w:r w:rsidR="00287F8F" w:rsidRPr="0069211E">
        <w:rPr>
          <w:i/>
          <w:sz w:val="24"/>
          <w:szCs w:val="24"/>
        </w:rPr>
        <w:t xml:space="preserve"> </w:t>
      </w:r>
      <w:proofErr w:type="spellStart"/>
      <w:r w:rsidR="00287F8F" w:rsidRPr="0069211E">
        <w:rPr>
          <w:i/>
          <w:sz w:val="24"/>
          <w:szCs w:val="24"/>
        </w:rPr>
        <w:t>yra</w:t>
      </w:r>
      <w:proofErr w:type="spellEnd"/>
      <w:r w:rsidR="00287F8F" w:rsidRPr="0069211E">
        <w:rPr>
          <w:i/>
          <w:sz w:val="24"/>
          <w:szCs w:val="24"/>
        </w:rPr>
        <w:t xml:space="preserve"> </w:t>
      </w:r>
      <w:proofErr w:type="spellStart"/>
      <w:r w:rsidR="00287F8F" w:rsidRPr="0069211E">
        <w:rPr>
          <w:i/>
          <w:sz w:val="24"/>
          <w:szCs w:val="24"/>
        </w:rPr>
        <w:t>ypač</w:t>
      </w:r>
      <w:proofErr w:type="spellEnd"/>
      <w:r w:rsidR="00287F8F" w:rsidRPr="0069211E">
        <w:rPr>
          <w:i/>
          <w:sz w:val="24"/>
          <w:szCs w:val="24"/>
        </w:rPr>
        <w:t xml:space="preserve"> </w:t>
      </w:r>
      <w:proofErr w:type="spellStart"/>
      <w:r w:rsidR="00287F8F" w:rsidRPr="0069211E">
        <w:rPr>
          <w:i/>
          <w:sz w:val="24"/>
          <w:szCs w:val="24"/>
        </w:rPr>
        <w:t>verslui</w:t>
      </w:r>
      <w:proofErr w:type="spellEnd"/>
      <w:r w:rsidR="00287F8F" w:rsidRPr="0069211E">
        <w:rPr>
          <w:i/>
          <w:sz w:val="24"/>
          <w:szCs w:val="24"/>
        </w:rPr>
        <w:t xml:space="preserve"> </w:t>
      </w:r>
      <w:proofErr w:type="spellStart"/>
      <w:r w:rsidR="00287F8F" w:rsidRPr="0069211E">
        <w:rPr>
          <w:i/>
          <w:sz w:val="24"/>
          <w:szCs w:val="24"/>
        </w:rPr>
        <w:t>aktualios</w:t>
      </w:r>
      <w:proofErr w:type="spellEnd"/>
      <w:r w:rsidR="00287F8F" w:rsidRPr="0069211E">
        <w:rPr>
          <w:i/>
          <w:sz w:val="24"/>
          <w:szCs w:val="24"/>
        </w:rPr>
        <w:t xml:space="preserve"> </w:t>
      </w:r>
      <w:proofErr w:type="spellStart"/>
      <w:r w:rsidR="00287F8F" w:rsidRPr="0069211E">
        <w:rPr>
          <w:i/>
          <w:sz w:val="24"/>
          <w:szCs w:val="24"/>
        </w:rPr>
        <w:t>Direktyvos</w:t>
      </w:r>
      <w:proofErr w:type="spellEnd"/>
      <w:r w:rsidR="00287F8F" w:rsidRPr="0069211E">
        <w:rPr>
          <w:i/>
          <w:sz w:val="24"/>
          <w:szCs w:val="24"/>
        </w:rPr>
        <w:t xml:space="preserve">, </w:t>
      </w:r>
      <w:proofErr w:type="spellStart"/>
      <w:r w:rsidR="00287F8F" w:rsidRPr="0069211E">
        <w:rPr>
          <w:i/>
          <w:sz w:val="24"/>
          <w:szCs w:val="24"/>
        </w:rPr>
        <w:t>kurioms</w:t>
      </w:r>
      <w:proofErr w:type="spellEnd"/>
      <w:r w:rsidR="00287F8F" w:rsidRPr="0069211E">
        <w:rPr>
          <w:i/>
          <w:sz w:val="24"/>
          <w:szCs w:val="24"/>
        </w:rPr>
        <w:t xml:space="preserve"> </w:t>
      </w:r>
      <w:proofErr w:type="spellStart"/>
      <w:r w:rsidR="00287F8F" w:rsidRPr="0069211E">
        <w:rPr>
          <w:i/>
          <w:sz w:val="24"/>
          <w:szCs w:val="24"/>
        </w:rPr>
        <w:t>didelį</w:t>
      </w:r>
      <w:proofErr w:type="spellEnd"/>
      <w:r w:rsidR="00287F8F" w:rsidRPr="0069211E">
        <w:rPr>
          <w:i/>
          <w:sz w:val="24"/>
          <w:szCs w:val="24"/>
        </w:rPr>
        <w:t xml:space="preserve"> </w:t>
      </w:r>
      <w:proofErr w:type="spellStart"/>
      <w:r w:rsidR="00287F8F" w:rsidRPr="0069211E">
        <w:rPr>
          <w:i/>
          <w:sz w:val="24"/>
          <w:szCs w:val="24"/>
        </w:rPr>
        <w:t>dėmesį</w:t>
      </w:r>
      <w:proofErr w:type="spellEnd"/>
      <w:r w:rsidR="00287F8F" w:rsidRPr="0069211E">
        <w:rPr>
          <w:i/>
          <w:sz w:val="24"/>
          <w:szCs w:val="24"/>
        </w:rPr>
        <w:t xml:space="preserve"> </w:t>
      </w:r>
      <w:proofErr w:type="spellStart"/>
      <w:r w:rsidR="00287F8F" w:rsidRPr="0069211E">
        <w:rPr>
          <w:i/>
          <w:sz w:val="24"/>
          <w:szCs w:val="24"/>
        </w:rPr>
        <w:t>skirs</w:t>
      </w:r>
      <w:proofErr w:type="spellEnd"/>
      <w:r w:rsidR="00287F8F" w:rsidRPr="0069211E">
        <w:rPr>
          <w:i/>
          <w:sz w:val="24"/>
          <w:szCs w:val="24"/>
        </w:rPr>
        <w:t xml:space="preserve"> </w:t>
      </w:r>
      <w:proofErr w:type="spellStart"/>
      <w:r w:rsidR="00287F8F" w:rsidRPr="0069211E">
        <w:rPr>
          <w:i/>
          <w:sz w:val="24"/>
          <w:szCs w:val="24"/>
        </w:rPr>
        <w:t>Eurochambres</w:t>
      </w:r>
      <w:proofErr w:type="spellEnd"/>
      <w:r w:rsidR="00287F8F" w:rsidRPr="0069211E">
        <w:rPr>
          <w:i/>
          <w:sz w:val="24"/>
          <w:szCs w:val="24"/>
        </w:rPr>
        <w:t>.</w:t>
      </w:r>
      <w:proofErr w:type="gramEnd"/>
    </w:p>
    <w:p w:rsidR="00287F8F" w:rsidRDefault="00287F8F" w:rsidP="00E64466">
      <w:pPr>
        <w:rPr>
          <w:lang w:val="en-GB"/>
        </w:rPr>
      </w:pPr>
    </w:p>
    <w:p w:rsidR="00E64466" w:rsidRDefault="00E64466" w:rsidP="00E64466">
      <w:pPr>
        <w:numPr>
          <w:ilvl w:val="0"/>
          <w:numId w:val="1"/>
        </w:numPr>
        <w:spacing w:after="0" w:line="240" w:lineRule="auto"/>
        <w:rPr>
          <w:rFonts w:eastAsia="Times New Roman"/>
          <w:b/>
          <w:bCs/>
          <w:lang w:val="en-GB"/>
        </w:rPr>
      </w:pPr>
      <w:r>
        <w:rPr>
          <w:rFonts w:eastAsia="Times New Roman"/>
          <w:b/>
          <w:bCs/>
          <w:lang w:val="en-GB"/>
        </w:rPr>
        <w:t>Reform of the EU Emissions Trading System (EUETS)</w:t>
      </w:r>
    </w:p>
    <w:p w:rsidR="00E64466" w:rsidRDefault="00E64466" w:rsidP="00E64466">
      <w:pPr>
        <w:numPr>
          <w:ilvl w:val="0"/>
          <w:numId w:val="1"/>
        </w:numPr>
        <w:spacing w:after="0" w:line="240" w:lineRule="auto"/>
        <w:rPr>
          <w:rFonts w:eastAsia="Times New Roman"/>
          <w:b/>
          <w:bCs/>
          <w:lang w:val="en-GB"/>
        </w:rPr>
      </w:pPr>
      <w:r>
        <w:rPr>
          <w:rFonts w:eastAsia="Times New Roman"/>
          <w:b/>
          <w:bCs/>
          <w:lang w:val="en-GB"/>
        </w:rPr>
        <w:t>Creation of a Carbon border adjustment mechanism (CBAM)</w:t>
      </w:r>
    </w:p>
    <w:p w:rsidR="00E64466" w:rsidRDefault="00E64466" w:rsidP="00E64466">
      <w:pPr>
        <w:numPr>
          <w:ilvl w:val="0"/>
          <w:numId w:val="1"/>
        </w:numPr>
        <w:spacing w:after="0" w:line="240" w:lineRule="auto"/>
        <w:rPr>
          <w:rFonts w:eastAsia="Times New Roman"/>
          <w:b/>
          <w:bCs/>
          <w:lang w:val="en-GB"/>
        </w:rPr>
      </w:pPr>
      <w:r>
        <w:rPr>
          <w:rFonts w:eastAsia="Times New Roman"/>
          <w:b/>
          <w:bCs/>
          <w:lang w:val="en-GB"/>
        </w:rPr>
        <w:t>Review of the Effort Sharing Regulation (ESR)</w:t>
      </w:r>
    </w:p>
    <w:p w:rsidR="00E64466" w:rsidRDefault="00E64466" w:rsidP="00E64466">
      <w:pPr>
        <w:numPr>
          <w:ilvl w:val="0"/>
          <w:numId w:val="1"/>
        </w:numPr>
        <w:spacing w:after="0" w:line="240" w:lineRule="auto"/>
        <w:rPr>
          <w:rFonts w:eastAsia="Times New Roman"/>
          <w:b/>
          <w:bCs/>
          <w:lang w:val="en-GB"/>
        </w:rPr>
      </w:pPr>
      <w:r>
        <w:rPr>
          <w:rFonts w:eastAsia="Times New Roman"/>
          <w:b/>
          <w:bCs/>
          <w:lang w:val="en-GB"/>
        </w:rPr>
        <w:t>Amendment of the Renewable Energy Directive (RED)</w:t>
      </w:r>
    </w:p>
    <w:p w:rsidR="00E64466" w:rsidRDefault="00E64466" w:rsidP="00E64466">
      <w:pPr>
        <w:numPr>
          <w:ilvl w:val="0"/>
          <w:numId w:val="1"/>
        </w:numPr>
        <w:spacing w:after="0" w:line="240" w:lineRule="auto"/>
        <w:rPr>
          <w:rFonts w:eastAsia="Times New Roman"/>
          <w:b/>
          <w:bCs/>
          <w:lang w:val="en-GB"/>
        </w:rPr>
      </w:pPr>
      <w:r>
        <w:rPr>
          <w:rFonts w:eastAsia="Times New Roman"/>
          <w:b/>
          <w:bCs/>
          <w:lang w:val="en-GB"/>
        </w:rPr>
        <w:t>Amendment of the Energy Efficiency Directive (EED)</w:t>
      </w:r>
    </w:p>
    <w:p w:rsidR="00E64466" w:rsidRDefault="00E64466" w:rsidP="00E64466">
      <w:pPr>
        <w:numPr>
          <w:ilvl w:val="0"/>
          <w:numId w:val="1"/>
        </w:numPr>
        <w:spacing w:after="0" w:line="240" w:lineRule="auto"/>
        <w:rPr>
          <w:rFonts w:eastAsia="Times New Roman"/>
          <w:b/>
          <w:bCs/>
          <w:lang w:val="en-GB"/>
        </w:rPr>
      </w:pPr>
      <w:r>
        <w:rPr>
          <w:rFonts w:eastAsia="Times New Roman"/>
          <w:b/>
          <w:bCs/>
          <w:lang w:val="en-GB"/>
        </w:rPr>
        <w:t>Amendment of the Energy Taxation Directive (ETD)</w:t>
      </w:r>
    </w:p>
    <w:p w:rsidR="00E64466" w:rsidRDefault="00E64466" w:rsidP="00E64466">
      <w:pPr>
        <w:numPr>
          <w:ilvl w:val="0"/>
          <w:numId w:val="1"/>
        </w:numPr>
        <w:spacing w:after="0" w:line="240" w:lineRule="auto"/>
        <w:rPr>
          <w:rFonts w:eastAsia="Times New Roman"/>
          <w:lang w:val="en-GB"/>
        </w:rPr>
      </w:pPr>
      <w:proofErr w:type="spellStart"/>
      <w:r>
        <w:rPr>
          <w:rFonts w:eastAsia="Times New Roman"/>
          <w:lang w:val="en-GB"/>
        </w:rPr>
        <w:t>ReFuelEU</w:t>
      </w:r>
      <w:proofErr w:type="spellEnd"/>
      <w:r>
        <w:rPr>
          <w:rFonts w:eastAsia="Times New Roman"/>
          <w:lang w:val="en-GB"/>
        </w:rPr>
        <w:t xml:space="preserve"> Aviation – sustainable aviation fuels </w:t>
      </w:r>
    </w:p>
    <w:p w:rsidR="00E64466" w:rsidRDefault="00E64466" w:rsidP="00E64466">
      <w:pPr>
        <w:numPr>
          <w:ilvl w:val="0"/>
          <w:numId w:val="1"/>
        </w:numPr>
        <w:spacing w:after="0" w:line="240" w:lineRule="auto"/>
        <w:rPr>
          <w:rFonts w:eastAsia="Times New Roman"/>
          <w:lang w:val="fr-BE"/>
        </w:rPr>
      </w:pPr>
      <w:proofErr w:type="spellStart"/>
      <w:r>
        <w:rPr>
          <w:rFonts w:eastAsia="Times New Roman"/>
          <w:lang w:val="fr-BE"/>
        </w:rPr>
        <w:t>FuelEU</w:t>
      </w:r>
      <w:proofErr w:type="spellEnd"/>
      <w:r>
        <w:rPr>
          <w:rFonts w:eastAsia="Times New Roman"/>
          <w:lang w:val="fr-BE"/>
        </w:rPr>
        <w:t xml:space="preserve"> Maritime – green </w:t>
      </w:r>
      <w:proofErr w:type="spellStart"/>
      <w:r>
        <w:rPr>
          <w:rFonts w:eastAsia="Times New Roman"/>
          <w:lang w:val="fr-BE"/>
        </w:rPr>
        <w:t>European</w:t>
      </w:r>
      <w:proofErr w:type="spellEnd"/>
      <w:r>
        <w:rPr>
          <w:rFonts w:eastAsia="Times New Roman"/>
          <w:lang w:val="fr-BE"/>
        </w:rPr>
        <w:t xml:space="preserve"> maritime </w:t>
      </w:r>
      <w:proofErr w:type="spellStart"/>
      <w:r>
        <w:rPr>
          <w:rFonts w:eastAsia="Times New Roman"/>
          <w:lang w:val="fr-BE"/>
        </w:rPr>
        <w:t>space</w:t>
      </w:r>
      <w:proofErr w:type="spellEnd"/>
    </w:p>
    <w:p w:rsidR="00E64466" w:rsidRDefault="00E64466" w:rsidP="00E64466">
      <w:pPr>
        <w:numPr>
          <w:ilvl w:val="0"/>
          <w:numId w:val="1"/>
        </w:numPr>
        <w:spacing w:after="0" w:line="240" w:lineRule="auto"/>
        <w:rPr>
          <w:rFonts w:eastAsia="Times New Roman"/>
          <w:lang w:val="en-GB"/>
        </w:rPr>
      </w:pPr>
      <w:r>
        <w:rPr>
          <w:rFonts w:eastAsia="Times New Roman"/>
          <w:lang w:val="en-GB"/>
        </w:rPr>
        <w:t xml:space="preserve">Revision of the Directive on deployment of the alternative fuels infrastructure </w:t>
      </w:r>
    </w:p>
    <w:p w:rsidR="00E64466" w:rsidRDefault="00E64466" w:rsidP="00E64466">
      <w:pPr>
        <w:numPr>
          <w:ilvl w:val="0"/>
          <w:numId w:val="1"/>
        </w:numPr>
        <w:spacing w:after="0" w:line="240" w:lineRule="auto"/>
        <w:rPr>
          <w:rFonts w:eastAsia="Times New Roman"/>
          <w:lang w:val="en-GB"/>
        </w:rPr>
      </w:pPr>
      <w:r>
        <w:rPr>
          <w:rFonts w:eastAsia="Times New Roman"/>
          <w:lang w:val="en-GB"/>
        </w:rPr>
        <w:t>Amendment of the Regulation setting CO2 emission standards for cars and vans</w:t>
      </w:r>
    </w:p>
    <w:p w:rsidR="00E64466" w:rsidRDefault="00E64466" w:rsidP="00E64466">
      <w:pPr>
        <w:numPr>
          <w:ilvl w:val="0"/>
          <w:numId w:val="1"/>
        </w:numPr>
        <w:spacing w:after="0" w:line="240" w:lineRule="auto"/>
        <w:rPr>
          <w:rFonts w:eastAsia="Times New Roman"/>
          <w:lang w:val="en-GB"/>
        </w:rPr>
      </w:pPr>
      <w:r>
        <w:rPr>
          <w:rFonts w:eastAsia="Times New Roman"/>
        </w:rPr>
        <w:t>Revision of the Regulation on the inclusion of greenhouse gas emissions and removals from land use, land use change and forestry (LULUCF)</w:t>
      </w:r>
    </w:p>
    <w:p w:rsidR="00E64466" w:rsidRDefault="00E64466" w:rsidP="00E64466">
      <w:pPr>
        <w:numPr>
          <w:ilvl w:val="0"/>
          <w:numId w:val="1"/>
        </w:numPr>
        <w:spacing w:after="0" w:line="240" w:lineRule="auto"/>
        <w:rPr>
          <w:rFonts w:eastAsia="Times New Roman"/>
          <w:lang w:val="en-GB"/>
        </w:rPr>
      </w:pPr>
      <w:r>
        <w:rPr>
          <w:rFonts w:eastAsia="Times New Roman"/>
          <w:lang w:val="en-GB"/>
        </w:rPr>
        <w:t>Climate Action Social Fund</w:t>
      </w:r>
    </w:p>
    <w:p w:rsidR="00E64466" w:rsidRDefault="00E64466" w:rsidP="00E64466">
      <w:pPr>
        <w:rPr>
          <w:rFonts w:ascii="Arial" w:hAnsi="Arial" w:cs="Arial"/>
          <w:color w:val="00477A"/>
          <w:sz w:val="20"/>
          <w:szCs w:val="20"/>
        </w:rPr>
      </w:pPr>
    </w:p>
    <w:p w:rsidR="00A63817" w:rsidRDefault="00A63817" w:rsidP="00E64466">
      <w:pPr>
        <w:rPr>
          <w:lang w:val="en-GB"/>
        </w:rPr>
      </w:pPr>
      <w:proofErr w:type="spellStart"/>
      <w:proofErr w:type="gramStart"/>
      <w:r>
        <w:rPr>
          <w:lang w:val="en-GB"/>
        </w:rPr>
        <w:t>Iš</w:t>
      </w:r>
      <w:proofErr w:type="spellEnd"/>
      <w:r>
        <w:rPr>
          <w:lang w:val="en-GB"/>
        </w:rPr>
        <w:t xml:space="preserve"> </w:t>
      </w:r>
      <w:proofErr w:type="spellStart"/>
      <w:r>
        <w:rPr>
          <w:lang w:val="en-GB"/>
        </w:rPr>
        <w:t>šių</w:t>
      </w:r>
      <w:proofErr w:type="spellEnd"/>
      <w:r>
        <w:rPr>
          <w:lang w:val="en-GB"/>
        </w:rPr>
        <w:t xml:space="preserve"> 12 </w:t>
      </w:r>
      <w:proofErr w:type="spellStart"/>
      <w:r>
        <w:rPr>
          <w:lang w:val="en-GB"/>
        </w:rPr>
        <w:t>Direktyvų</w:t>
      </w:r>
      <w:proofErr w:type="spellEnd"/>
      <w:r>
        <w:rPr>
          <w:lang w:val="en-GB"/>
        </w:rPr>
        <w:t xml:space="preserve"> </w:t>
      </w:r>
      <w:proofErr w:type="spellStart"/>
      <w:r>
        <w:rPr>
          <w:lang w:val="en-GB"/>
        </w:rPr>
        <w:t>svarbiausios</w:t>
      </w:r>
      <w:proofErr w:type="spellEnd"/>
      <w:r>
        <w:rPr>
          <w:lang w:val="en-GB"/>
        </w:rPr>
        <w:t xml:space="preserve"> </w:t>
      </w:r>
      <w:proofErr w:type="spellStart"/>
      <w:r>
        <w:rPr>
          <w:lang w:val="en-GB"/>
        </w:rPr>
        <w:t>turėtų</w:t>
      </w:r>
      <w:proofErr w:type="spellEnd"/>
      <w:r>
        <w:rPr>
          <w:lang w:val="en-GB"/>
        </w:rPr>
        <w:t xml:space="preserve"> </w:t>
      </w:r>
      <w:proofErr w:type="spellStart"/>
      <w:r>
        <w:rPr>
          <w:lang w:val="en-GB"/>
        </w:rPr>
        <w:t>būti</w:t>
      </w:r>
      <w:proofErr w:type="spellEnd"/>
      <w:r>
        <w:rPr>
          <w:lang w:val="en-GB"/>
        </w:rPr>
        <w:t xml:space="preserve"> </w:t>
      </w:r>
      <w:proofErr w:type="spellStart"/>
      <w:r>
        <w:rPr>
          <w:lang w:val="en-GB"/>
        </w:rPr>
        <w:t>pirmoji</w:t>
      </w:r>
      <w:proofErr w:type="spellEnd"/>
      <w:r>
        <w:rPr>
          <w:lang w:val="en-GB"/>
        </w:rPr>
        <w:t xml:space="preserve"> (EU ETS) ir </w:t>
      </w:r>
      <w:proofErr w:type="spellStart"/>
      <w:r>
        <w:rPr>
          <w:lang w:val="en-GB"/>
        </w:rPr>
        <w:t>naujai</w:t>
      </w:r>
      <w:proofErr w:type="spellEnd"/>
      <w:r>
        <w:rPr>
          <w:lang w:val="en-GB"/>
        </w:rPr>
        <w:t xml:space="preserve"> </w:t>
      </w:r>
      <w:proofErr w:type="spellStart"/>
      <w:r>
        <w:rPr>
          <w:lang w:val="en-GB"/>
        </w:rPr>
        <w:t>kuriamas</w:t>
      </w:r>
      <w:proofErr w:type="spellEnd"/>
      <w:r>
        <w:rPr>
          <w:lang w:val="en-GB"/>
        </w:rPr>
        <w:t xml:space="preserve"> CBAM </w:t>
      </w:r>
      <w:proofErr w:type="spellStart"/>
      <w:r>
        <w:rPr>
          <w:lang w:val="en-GB"/>
        </w:rPr>
        <w:t>mechanizmas</w:t>
      </w:r>
      <w:proofErr w:type="spellEnd"/>
      <w:r>
        <w:rPr>
          <w:lang w:val="en-GB"/>
        </w:rPr>
        <w:t>.</w:t>
      </w:r>
      <w:proofErr w:type="gramEnd"/>
    </w:p>
    <w:p w:rsidR="00E64466" w:rsidRDefault="00E64466" w:rsidP="00E64466">
      <w:pPr>
        <w:rPr>
          <w:lang w:val="en-GB"/>
        </w:rPr>
      </w:pPr>
    </w:p>
    <w:p w:rsidR="00E64466" w:rsidRPr="00AC3143" w:rsidRDefault="00E64466" w:rsidP="0069211E">
      <w:pPr>
        <w:jc w:val="center"/>
        <w:rPr>
          <w:b/>
          <w:bCs/>
          <w:color w:val="FF0000"/>
          <w:sz w:val="24"/>
          <w:szCs w:val="24"/>
          <w:lang w:val="en-GB"/>
        </w:rPr>
      </w:pPr>
      <w:r w:rsidRPr="00AC3143">
        <w:rPr>
          <w:b/>
          <w:bCs/>
          <w:color w:val="FF0000"/>
          <w:sz w:val="24"/>
          <w:szCs w:val="24"/>
          <w:lang w:val="en-GB"/>
        </w:rPr>
        <w:t>Review and extension of the EU Emission Trading System (EU ETS)</w:t>
      </w:r>
      <w:r w:rsidR="00542B33" w:rsidRPr="00AC3143">
        <w:rPr>
          <w:b/>
          <w:bCs/>
          <w:color w:val="FF0000"/>
          <w:sz w:val="24"/>
          <w:szCs w:val="24"/>
          <w:lang w:val="en-GB"/>
        </w:rPr>
        <w:t xml:space="preserve">; </w:t>
      </w:r>
      <w:proofErr w:type="spellStart"/>
      <w:r w:rsidR="00542B33" w:rsidRPr="00AC3143">
        <w:rPr>
          <w:b/>
          <w:bCs/>
          <w:color w:val="FF0000"/>
          <w:sz w:val="24"/>
          <w:szCs w:val="24"/>
          <w:lang w:val="en-GB"/>
        </w:rPr>
        <w:t>Peržiūra</w:t>
      </w:r>
      <w:proofErr w:type="spellEnd"/>
      <w:r w:rsidR="00542B33" w:rsidRPr="00AC3143">
        <w:rPr>
          <w:b/>
          <w:bCs/>
          <w:color w:val="FF0000"/>
          <w:sz w:val="24"/>
          <w:szCs w:val="24"/>
          <w:lang w:val="en-GB"/>
        </w:rPr>
        <w:t xml:space="preserve"> ir </w:t>
      </w:r>
      <w:proofErr w:type="spellStart"/>
      <w:r w:rsidR="00542B33" w:rsidRPr="00AC3143">
        <w:rPr>
          <w:b/>
          <w:bCs/>
          <w:color w:val="FF0000"/>
          <w:sz w:val="24"/>
          <w:szCs w:val="24"/>
          <w:lang w:val="en-GB"/>
        </w:rPr>
        <w:t>išplėtimas</w:t>
      </w:r>
      <w:proofErr w:type="spellEnd"/>
      <w:r w:rsidR="00542B33" w:rsidRPr="00AC3143">
        <w:rPr>
          <w:b/>
          <w:bCs/>
          <w:color w:val="FF0000"/>
          <w:sz w:val="24"/>
          <w:szCs w:val="24"/>
          <w:lang w:val="en-GB"/>
        </w:rPr>
        <w:t xml:space="preserve"> ES Prekybos </w:t>
      </w:r>
      <w:proofErr w:type="spellStart"/>
      <w:r w:rsidR="00542B33" w:rsidRPr="00AC3143">
        <w:rPr>
          <w:b/>
          <w:bCs/>
          <w:color w:val="FF0000"/>
          <w:sz w:val="24"/>
          <w:szCs w:val="24"/>
          <w:lang w:val="en-GB"/>
        </w:rPr>
        <w:t>Emisijomis</w:t>
      </w:r>
      <w:proofErr w:type="spellEnd"/>
      <w:r w:rsidR="00542B33" w:rsidRPr="00AC3143">
        <w:rPr>
          <w:b/>
          <w:bCs/>
          <w:color w:val="FF0000"/>
          <w:sz w:val="24"/>
          <w:szCs w:val="24"/>
          <w:lang w:val="en-GB"/>
        </w:rPr>
        <w:t xml:space="preserve"> Sistema</w:t>
      </w:r>
    </w:p>
    <w:p w:rsidR="00E64466" w:rsidRDefault="00E64466" w:rsidP="00E64466">
      <w:pPr>
        <w:rPr>
          <w:sz w:val="20"/>
          <w:szCs w:val="20"/>
          <w:lang w:val="en-GB"/>
        </w:rPr>
      </w:pPr>
      <w:r>
        <w:rPr>
          <w:sz w:val="20"/>
          <w:szCs w:val="20"/>
          <w:lang w:val="en-GB"/>
        </w:rPr>
        <w:t>One major undertaking is the overhaul of the ETS, which is a market-based mechanism to price carbon. So far it has covered around 10.000 installations in the power sector and manufacturing industry, as well as commercial aviation within the EEA (intra-EU flights). The current scheme covers around 40% of total EUs GHG emissions, the remaining 60% being covered by the Effort Sharing Regulation.</w:t>
      </w:r>
    </w:p>
    <w:p w:rsidR="00E64466" w:rsidRDefault="00E64466" w:rsidP="00E64466">
      <w:pPr>
        <w:rPr>
          <w:sz w:val="20"/>
          <w:szCs w:val="20"/>
          <w:lang w:val="en-GB"/>
        </w:rPr>
      </w:pPr>
      <w:r>
        <w:rPr>
          <w:sz w:val="20"/>
          <w:szCs w:val="20"/>
          <w:lang w:val="en-GB"/>
        </w:rPr>
        <w:t>The reviewed legislative proposal foresees the inclusion of the maritime sector and applicability for the aviation sector, as well as the establishment of a separate ETS for covering emissions from buildings and road transport.</w:t>
      </w:r>
    </w:p>
    <w:p w:rsidR="00E64466" w:rsidRDefault="00E64466" w:rsidP="00E64466">
      <w:pPr>
        <w:rPr>
          <w:sz w:val="20"/>
          <w:szCs w:val="20"/>
          <w:lang w:val="en-GB"/>
        </w:rPr>
      </w:pPr>
      <w:r>
        <w:rPr>
          <w:sz w:val="20"/>
          <w:szCs w:val="20"/>
          <w:lang w:val="en-GB"/>
        </w:rPr>
        <w:t>To tackle potential social impact of the new ETS and avoid disproportional increases in prices for most vulnerable households (possibly resulting from passed on costs and therefore higher fuel prices or heating bills) the Commission proposes to create a new Climate Action Social Fund, which should be partly funded by the revenues of the new ETS.</w:t>
      </w:r>
    </w:p>
    <w:p w:rsidR="00E64466" w:rsidRDefault="00E64466" w:rsidP="00E64466">
      <w:pPr>
        <w:rPr>
          <w:sz w:val="20"/>
          <w:szCs w:val="20"/>
          <w:u w:val="single"/>
          <w:lang w:val="en-GB"/>
        </w:rPr>
      </w:pPr>
      <w:r>
        <w:rPr>
          <w:sz w:val="20"/>
          <w:szCs w:val="20"/>
          <w:u w:val="single"/>
          <w:lang w:val="en-GB"/>
        </w:rPr>
        <w:t>Key changes:</w:t>
      </w:r>
    </w:p>
    <w:p w:rsidR="00E64466" w:rsidRDefault="00E64466" w:rsidP="00E64466">
      <w:pPr>
        <w:rPr>
          <w:b/>
          <w:bCs/>
          <w:sz w:val="20"/>
          <w:szCs w:val="20"/>
          <w:lang w:val="en-GB"/>
        </w:rPr>
      </w:pPr>
      <w:r>
        <w:rPr>
          <w:b/>
          <w:bCs/>
          <w:sz w:val="20"/>
          <w:szCs w:val="20"/>
          <w:lang w:val="en-GB"/>
        </w:rPr>
        <w:t>Inclusion of the maritime sector</w:t>
      </w:r>
    </w:p>
    <w:p w:rsidR="00E64466" w:rsidRDefault="00E64466" w:rsidP="00E64466">
      <w:pPr>
        <w:numPr>
          <w:ilvl w:val="0"/>
          <w:numId w:val="2"/>
        </w:numPr>
        <w:spacing w:after="0" w:line="240" w:lineRule="auto"/>
        <w:rPr>
          <w:rFonts w:eastAsia="Times New Roman"/>
          <w:sz w:val="20"/>
          <w:szCs w:val="20"/>
          <w:lang w:val="en-GB"/>
        </w:rPr>
      </w:pPr>
      <w:r>
        <w:rPr>
          <w:rFonts w:eastAsia="Times New Roman"/>
          <w:sz w:val="20"/>
          <w:szCs w:val="20"/>
          <w:lang w:val="en-GB"/>
        </w:rPr>
        <w:lastRenderedPageBreak/>
        <w:t>The maritime sector is included in the existing ETS (new activity in Annex I “maritime transport”), applying to intra-EU voyages, half of the emissions from extra-EU voyages and emissions occurring at berth in an EU port</w:t>
      </w:r>
    </w:p>
    <w:p w:rsidR="00E64466" w:rsidRDefault="00E64466" w:rsidP="00E64466">
      <w:pPr>
        <w:numPr>
          <w:ilvl w:val="0"/>
          <w:numId w:val="2"/>
        </w:numPr>
        <w:spacing w:after="0" w:line="240" w:lineRule="auto"/>
        <w:rPr>
          <w:rFonts w:eastAsia="Times New Roman"/>
          <w:sz w:val="20"/>
          <w:szCs w:val="20"/>
          <w:lang w:val="en-GB"/>
        </w:rPr>
      </w:pPr>
      <w:r>
        <w:rPr>
          <w:rFonts w:eastAsia="Times New Roman"/>
          <w:sz w:val="20"/>
          <w:szCs w:val="20"/>
          <w:lang w:val="en-GB"/>
        </w:rPr>
        <w:t>Same rules as in existing ETS should apply with regard to auctioning, the transfer, surrender and cancellation of allowances, penalties and registries</w:t>
      </w:r>
    </w:p>
    <w:p w:rsidR="00E64466" w:rsidRDefault="00E64466" w:rsidP="00E64466">
      <w:pPr>
        <w:numPr>
          <w:ilvl w:val="0"/>
          <w:numId w:val="2"/>
        </w:numPr>
        <w:spacing w:after="0" w:line="240" w:lineRule="auto"/>
        <w:rPr>
          <w:rFonts w:eastAsia="Times New Roman"/>
          <w:sz w:val="20"/>
          <w:szCs w:val="20"/>
          <w:lang w:val="en-GB"/>
        </w:rPr>
      </w:pPr>
      <w:r>
        <w:rPr>
          <w:rFonts w:eastAsia="Times New Roman"/>
          <w:sz w:val="20"/>
          <w:szCs w:val="20"/>
          <w:lang w:val="en-GB"/>
        </w:rPr>
        <w:t>Shipping companies shall surrender allowances to the following schedule:</w:t>
      </w:r>
    </w:p>
    <w:p w:rsidR="00E64466" w:rsidRDefault="00E64466" w:rsidP="00E64466">
      <w:pPr>
        <w:numPr>
          <w:ilvl w:val="0"/>
          <w:numId w:val="3"/>
        </w:numPr>
        <w:spacing w:after="0" w:line="240" w:lineRule="auto"/>
        <w:ind w:left="1080"/>
        <w:contextualSpacing/>
        <w:rPr>
          <w:rFonts w:eastAsia="Times New Roman"/>
          <w:sz w:val="20"/>
          <w:szCs w:val="20"/>
          <w:lang w:val="en-GB"/>
        </w:rPr>
      </w:pPr>
      <w:r>
        <w:rPr>
          <w:rFonts w:eastAsia="Times New Roman"/>
          <w:sz w:val="20"/>
          <w:szCs w:val="20"/>
          <w:lang w:val="en-GB"/>
        </w:rPr>
        <w:t>20% of verified emissions reported for 2023; (not surrendered allowances to be cancelled)</w:t>
      </w:r>
    </w:p>
    <w:p w:rsidR="00E64466" w:rsidRDefault="00E64466" w:rsidP="00E64466">
      <w:pPr>
        <w:numPr>
          <w:ilvl w:val="0"/>
          <w:numId w:val="3"/>
        </w:numPr>
        <w:spacing w:after="0" w:line="240" w:lineRule="auto"/>
        <w:ind w:left="1080"/>
        <w:contextualSpacing/>
        <w:rPr>
          <w:rFonts w:eastAsia="Times New Roman"/>
          <w:sz w:val="20"/>
          <w:szCs w:val="20"/>
          <w:lang w:val="en-GB"/>
        </w:rPr>
      </w:pPr>
      <w:r>
        <w:rPr>
          <w:rFonts w:eastAsia="Times New Roman"/>
          <w:sz w:val="20"/>
          <w:szCs w:val="20"/>
          <w:lang w:val="en-GB"/>
        </w:rPr>
        <w:t>45% of verified emissions reported for 2024; (not surrendered allowances to be cancelled)</w:t>
      </w:r>
    </w:p>
    <w:p w:rsidR="00E64466" w:rsidRDefault="00E64466" w:rsidP="00E64466">
      <w:pPr>
        <w:numPr>
          <w:ilvl w:val="0"/>
          <w:numId w:val="3"/>
        </w:numPr>
        <w:spacing w:after="0" w:line="240" w:lineRule="auto"/>
        <w:ind w:left="1080"/>
        <w:contextualSpacing/>
        <w:rPr>
          <w:rFonts w:eastAsia="Times New Roman"/>
          <w:sz w:val="20"/>
          <w:szCs w:val="20"/>
          <w:lang w:val="en-GB"/>
        </w:rPr>
      </w:pPr>
      <w:r>
        <w:rPr>
          <w:rFonts w:eastAsia="Times New Roman"/>
          <w:sz w:val="20"/>
          <w:szCs w:val="20"/>
          <w:lang w:val="en-GB"/>
        </w:rPr>
        <w:t>70% of verified emissions reported for 2025; (not surrendered allowances to be cancelled)</w:t>
      </w:r>
    </w:p>
    <w:p w:rsidR="00E64466" w:rsidRDefault="00E64466" w:rsidP="00E64466">
      <w:pPr>
        <w:numPr>
          <w:ilvl w:val="0"/>
          <w:numId w:val="3"/>
        </w:numPr>
        <w:spacing w:after="0" w:line="240" w:lineRule="auto"/>
        <w:ind w:left="1080"/>
        <w:contextualSpacing/>
        <w:rPr>
          <w:rFonts w:eastAsia="Times New Roman"/>
          <w:sz w:val="20"/>
          <w:szCs w:val="20"/>
          <w:lang w:val="en-GB"/>
        </w:rPr>
      </w:pPr>
      <w:r>
        <w:rPr>
          <w:rFonts w:eastAsia="Times New Roman"/>
          <w:sz w:val="20"/>
          <w:szCs w:val="20"/>
          <w:lang w:val="en-GB"/>
        </w:rPr>
        <w:t>100% of verified emissions as of 2026 and each year thereafter</w:t>
      </w:r>
    </w:p>
    <w:p w:rsidR="00E64466" w:rsidRDefault="00E64466" w:rsidP="00E64466">
      <w:pPr>
        <w:numPr>
          <w:ilvl w:val="0"/>
          <w:numId w:val="4"/>
        </w:numPr>
        <w:spacing w:after="0" w:line="240" w:lineRule="auto"/>
        <w:rPr>
          <w:rFonts w:eastAsia="Times New Roman"/>
          <w:sz w:val="20"/>
          <w:szCs w:val="20"/>
          <w:lang w:val="en-GB"/>
        </w:rPr>
      </w:pPr>
      <w:r>
        <w:rPr>
          <w:rFonts w:eastAsia="Times New Roman"/>
          <w:sz w:val="20"/>
          <w:szCs w:val="20"/>
          <w:lang w:val="en-GB"/>
        </w:rPr>
        <w:t>Nor surrendered number of allowances should be cancelled during 2023-2025</w:t>
      </w:r>
    </w:p>
    <w:p w:rsidR="00E64466" w:rsidRDefault="00E64466" w:rsidP="00E64466">
      <w:pPr>
        <w:rPr>
          <w:sz w:val="20"/>
          <w:szCs w:val="20"/>
          <w:lang w:val="en-GB"/>
        </w:rPr>
      </w:pPr>
    </w:p>
    <w:p w:rsidR="00E64466" w:rsidRDefault="00E64466" w:rsidP="00E64466">
      <w:pPr>
        <w:rPr>
          <w:b/>
          <w:bCs/>
          <w:sz w:val="20"/>
          <w:szCs w:val="20"/>
          <w:lang w:val="en-GB"/>
        </w:rPr>
      </w:pPr>
      <w:r>
        <w:rPr>
          <w:b/>
          <w:bCs/>
          <w:sz w:val="20"/>
          <w:szCs w:val="20"/>
          <w:lang w:val="en-GB"/>
        </w:rPr>
        <w:t>Foreseen changes in the general ambition level of the existing ETS (incl. maritime):</w:t>
      </w:r>
    </w:p>
    <w:p w:rsidR="00E64466" w:rsidRDefault="00E64466" w:rsidP="00E64466">
      <w:pPr>
        <w:pStyle w:val="ListParagraph"/>
        <w:spacing w:after="0" w:line="240" w:lineRule="auto"/>
        <w:ind w:left="709" w:hanging="360"/>
        <w:rPr>
          <w:sz w:val="20"/>
          <w:szCs w:val="20"/>
          <w:lang w:val="en-GB"/>
        </w:rPr>
      </w:pPr>
      <w:r>
        <w:rPr>
          <w:sz w:val="20"/>
          <w:szCs w:val="20"/>
          <w:lang w:val="en-GB"/>
        </w:rPr>
        <w:t>-</w:t>
      </w:r>
      <w:r>
        <w:rPr>
          <w:rFonts w:ascii="Times New Roman" w:hAnsi="Times New Roman" w:cs="Times New Roman"/>
          <w:sz w:val="14"/>
          <w:szCs w:val="14"/>
          <w:lang w:val="en-GB"/>
        </w:rPr>
        <w:t xml:space="preserve">         </w:t>
      </w:r>
      <w:r>
        <w:rPr>
          <w:sz w:val="20"/>
          <w:szCs w:val="20"/>
          <w:lang w:val="en-GB"/>
        </w:rPr>
        <w:t>The linear reduction factor of Union-wide quantity of allowances shall be increased to 4.2% from the year following the entry into force (Since 2021 the LRF was set at 2.2%)</w:t>
      </w:r>
    </w:p>
    <w:p w:rsidR="00E64466" w:rsidRDefault="00E64466" w:rsidP="00E64466">
      <w:pPr>
        <w:pStyle w:val="ListParagraph"/>
        <w:spacing w:after="0" w:line="240" w:lineRule="auto"/>
        <w:ind w:left="709" w:hanging="360"/>
        <w:rPr>
          <w:sz w:val="20"/>
          <w:szCs w:val="20"/>
          <w:lang w:val="en-GB"/>
        </w:rPr>
      </w:pPr>
      <w:r>
        <w:rPr>
          <w:sz w:val="20"/>
          <w:szCs w:val="20"/>
          <w:lang w:val="en-GB"/>
        </w:rPr>
        <w:t>-</w:t>
      </w:r>
      <w:r>
        <w:rPr>
          <w:rFonts w:ascii="Times New Roman" w:hAnsi="Times New Roman" w:cs="Times New Roman"/>
          <w:sz w:val="14"/>
          <w:szCs w:val="14"/>
          <w:lang w:val="en-GB"/>
        </w:rPr>
        <w:t xml:space="preserve">         </w:t>
      </w:r>
      <w:proofErr w:type="gramStart"/>
      <w:r>
        <w:rPr>
          <w:sz w:val="20"/>
          <w:szCs w:val="20"/>
          <w:lang w:val="en-GB"/>
        </w:rPr>
        <w:t>one-off</w:t>
      </w:r>
      <w:proofErr w:type="gramEnd"/>
      <w:r>
        <w:rPr>
          <w:sz w:val="20"/>
          <w:szCs w:val="20"/>
          <w:lang w:val="en-GB"/>
        </w:rPr>
        <w:t xml:space="preserve"> downward adjustment of cap (to be determined depending on year of entry into force)</w:t>
      </w:r>
    </w:p>
    <w:p w:rsidR="00E64466" w:rsidRDefault="00E64466" w:rsidP="00E64466">
      <w:pPr>
        <w:rPr>
          <w:b/>
          <w:bCs/>
          <w:color w:val="000000"/>
          <w:sz w:val="20"/>
          <w:szCs w:val="20"/>
          <w:lang w:eastAsia="en-GB"/>
        </w:rPr>
      </w:pPr>
    </w:p>
    <w:p w:rsidR="00E64466" w:rsidRDefault="00E64466" w:rsidP="00E64466">
      <w:pPr>
        <w:rPr>
          <w:b/>
          <w:bCs/>
          <w:color w:val="000000"/>
          <w:sz w:val="20"/>
          <w:szCs w:val="20"/>
          <w:lang w:eastAsia="en-GB"/>
        </w:rPr>
      </w:pPr>
      <w:r>
        <w:rPr>
          <w:b/>
          <w:bCs/>
          <w:color w:val="000000"/>
          <w:sz w:val="20"/>
          <w:szCs w:val="20"/>
          <w:lang w:eastAsia="en-GB"/>
        </w:rPr>
        <w:t xml:space="preserve">Auctioning revenues use &amp; </w:t>
      </w:r>
      <w:proofErr w:type="spellStart"/>
      <w:r>
        <w:rPr>
          <w:b/>
          <w:bCs/>
          <w:color w:val="000000"/>
          <w:sz w:val="20"/>
          <w:szCs w:val="20"/>
          <w:lang w:eastAsia="en-GB"/>
        </w:rPr>
        <w:t>modernisation</w:t>
      </w:r>
      <w:proofErr w:type="spellEnd"/>
      <w:r>
        <w:rPr>
          <w:b/>
          <w:bCs/>
          <w:color w:val="000000"/>
          <w:sz w:val="20"/>
          <w:szCs w:val="20"/>
          <w:lang w:eastAsia="en-GB"/>
        </w:rPr>
        <w:t xml:space="preserve"> fund</w:t>
      </w:r>
    </w:p>
    <w:p w:rsidR="00E64466" w:rsidRDefault="00E64466" w:rsidP="00E64466">
      <w:pPr>
        <w:numPr>
          <w:ilvl w:val="0"/>
          <w:numId w:val="5"/>
        </w:numPr>
        <w:spacing w:after="0" w:line="240" w:lineRule="auto"/>
        <w:rPr>
          <w:rFonts w:eastAsia="Times New Roman"/>
          <w:color w:val="000000"/>
          <w:sz w:val="20"/>
          <w:szCs w:val="20"/>
          <w:lang w:eastAsia="en-GB"/>
        </w:rPr>
      </w:pPr>
      <w:r>
        <w:rPr>
          <w:rFonts w:eastAsia="Times New Roman"/>
          <w:color w:val="000000"/>
          <w:sz w:val="20"/>
          <w:szCs w:val="20"/>
          <w:lang w:eastAsia="en-GB"/>
        </w:rPr>
        <w:t>All of the revenues generated from the auctioning of allowances (57% of total allowances) shall be used for climate-related purposes (so far this was only foreseen for 50%)</w:t>
      </w:r>
    </w:p>
    <w:p w:rsidR="00E64466" w:rsidRDefault="00E64466" w:rsidP="00E64466">
      <w:pPr>
        <w:numPr>
          <w:ilvl w:val="0"/>
          <w:numId w:val="5"/>
        </w:numPr>
        <w:spacing w:after="0" w:line="240" w:lineRule="auto"/>
        <w:rPr>
          <w:rFonts w:eastAsia="Times New Roman"/>
          <w:color w:val="000000"/>
          <w:sz w:val="20"/>
          <w:szCs w:val="20"/>
          <w:lang w:eastAsia="en-GB"/>
        </w:rPr>
      </w:pPr>
      <w:r>
        <w:rPr>
          <w:rFonts w:eastAsia="Times New Roman"/>
          <w:color w:val="000000"/>
          <w:sz w:val="20"/>
          <w:szCs w:val="20"/>
          <w:lang w:eastAsia="en-GB"/>
        </w:rPr>
        <w:t>Proposal foresees additional 2.5% of total allowances revenues for the modernization fund (so far already 2% were used that way)</w:t>
      </w:r>
    </w:p>
    <w:p w:rsidR="00E64466" w:rsidRDefault="00E64466" w:rsidP="00E64466">
      <w:pPr>
        <w:numPr>
          <w:ilvl w:val="0"/>
          <w:numId w:val="6"/>
        </w:numPr>
        <w:spacing w:after="0" w:line="240" w:lineRule="auto"/>
        <w:rPr>
          <w:rFonts w:eastAsia="Times New Roman"/>
          <w:color w:val="000000"/>
          <w:sz w:val="20"/>
          <w:szCs w:val="20"/>
          <w:lang w:eastAsia="en-GB"/>
        </w:rPr>
      </w:pPr>
      <w:r>
        <w:rPr>
          <w:rFonts w:eastAsia="Times New Roman"/>
          <w:color w:val="000000"/>
          <w:sz w:val="20"/>
          <w:szCs w:val="20"/>
          <w:lang w:eastAsia="en-GB"/>
        </w:rPr>
        <w:t>No support to investments in energy generation facilities related to any fossil fuel (former only referred to “solid fossil fuels”)</w:t>
      </w:r>
    </w:p>
    <w:p w:rsidR="00E64466" w:rsidRDefault="00E64466" w:rsidP="00E64466">
      <w:pPr>
        <w:numPr>
          <w:ilvl w:val="0"/>
          <w:numId w:val="6"/>
        </w:numPr>
        <w:spacing w:after="0" w:line="240" w:lineRule="auto"/>
        <w:rPr>
          <w:rFonts w:eastAsia="Times New Roman"/>
          <w:color w:val="000000"/>
          <w:sz w:val="20"/>
          <w:szCs w:val="20"/>
          <w:lang w:eastAsia="en-GB"/>
        </w:rPr>
      </w:pPr>
      <w:r>
        <w:rPr>
          <w:rFonts w:eastAsia="Times New Roman"/>
          <w:color w:val="000000"/>
          <w:sz w:val="20"/>
          <w:szCs w:val="20"/>
          <w:lang w:val="en-GB" w:eastAsia="en-GB"/>
        </w:rPr>
        <w:t>More prominence to renewable sources and energy efficiency investments in transport, buildings, waste and agriculture</w:t>
      </w:r>
    </w:p>
    <w:p w:rsidR="00E64466" w:rsidRDefault="00E64466" w:rsidP="00E64466">
      <w:pPr>
        <w:rPr>
          <w:color w:val="000000"/>
          <w:sz w:val="20"/>
          <w:szCs w:val="20"/>
          <w:lang w:eastAsia="en-GB"/>
        </w:rPr>
      </w:pPr>
    </w:p>
    <w:p w:rsidR="00E64466" w:rsidRDefault="00E64466" w:rsidP="00E64466">
      <w:pPr>
        <w:rPr>
          <w:b/>
          <w:bCs/>
          <w:color w:val="000000"/>
          <w:sz w:val="20"/>
          <w:szCs w:val="20"/>
          <w:lang w:val="en-GB" w:eastAsia="en-GB"/>
        </w:rPr>
      </w:pPr>
      <w:r>
        <w:rPr>
          <w:b/>
          <w:bCs/>
          <w:color w:val="000000"/>
          <w:sz w:val="20"/>
          <w:szCs w:val="20"/>
          <w:lang w:val="en-GB" w:eastAsia="en-GB"/>
        </w:rPr>
        <w:t xml:space="preserve">Benchmark values </w:t>
      </w:r>
      <w:r>
        <w:rPr>
          <w:color w:val="000000"/>
          <w:sz w:val="20"/>
          <w:szCs w:val="20"/>
          <w:lang w:val="en-GB" w:eastAsia="en-GB"/>
        </w:rPr>
        <w:t>(performance of 10% most efficient installations in a sector)</w:t>
      </w:r>
    </w:p>
    <w:p w:rsidR="00E64466" w:rsidRDefault="00E64466" w:rsidP="00E64466">
      <w:pPr>
        <w:ind w:left="709" w:hanging="360"/>
        <w:rPr>
          <w:color w:val="000000"/>
          <w:sz w:val="20"/>
          <w:szCs w:val="20"/>
          <w:lang w:eastAsia="en-GB"/>
        </w:rPr>
      </w:pPr>
      <w:r>
        <w:rPr>
          <w:color w:val="000000"/>
          <w:sz w:val="20"/>
          <w:szCs w:val="20"/>
          <w:lang w:eastAsia="en-GB"/>
        </w:rPr>
        <w:t>-</w:t>
      </w:r>
      <w:r>
        <w:rPr>
          <w:rFonts w:ascii="Times New Roman" w:hAnsi="Times New Roman" w:cs="Times New Roman"/>
          <w:color w:val="000000"/>
          <w:sz w:val="14"/>
          <w:szCs w:val="14"/>
          <w:lang w:eastAsia="en-GB"/>
        </w:rPr>
        <w:t xml:space="preserve">         </w:t>
      </w:r>
      <w:r>
        <w:rPr>
          <w:color w:val="000000"/>
          <w:sz w:val="20"/>
          <w:szCs w:val="20"/>
          <w:lang w:val="en-GB" w:eastAsia="en-GB"/>
        </w:rPr>
        <w:t>From 2026 the maximum annual reduction rate shall be changed from 1.6 to 2.5% per year, which means that the benchmark value might become stricter each year</w:t>
      </w:r>
    </w:p>
    <w:p w:rsidR="00E64466" w:rsidRDefault="00E64466" w:rsidP="00E64466">
      <w:pPr>
        <w:rPr>
          <w:b/>
          <w:bCs/>
          <w:color w:val="000000"/>
          <w:sz w:val="20"/>
          <w:szCs w:val="20"/>
          <w:lang w:val="en-GB" w:eastAsia="en-GB"/>
        </w:rPr>
      </w:pPr>
    </w:p>
    <w:p w:rsidR="00E64466" w:rsidRDefault="00E64466" w:rsidP="00E64466">
      <w:pPr>
        <w:rPr>
          <w:b/>
          <w:bCs/>
          <w:color w:val="000000"/>
          <w:sz w:val="20"/>
          <w:szCs w:val="20"/>
          <w:lang w:val="en-GB" w:eastAsia="en-GB"/>
        </w:rPr>
      </w:pPr>
      <w:r>
        <w:rPr>
          <w:b/>
          <w:bCs/>
          <w:color w:val="000000"/>
          <w:sz w:val="20"/>
          <w:szCs w:val="20"/>
          <w:lang w:val="en-GB" w:eastAsia="en-GB"/>
        </w:rPr>
        <w:t>Free allocation conditionality </w:t>
      </w:r>
    </w:p>
    <w:p w:rsidR="00E64466" w:rsidRDefault="00E64466" w:rsidP="00E64466">
      <w:pPr>
        <w:rPr>
          <w:color w:val="000000"/>
          <w:sz w:val="20"/>
          <w:szCs w:val="20"/>
          <w:lang w:val="en-GB" w:eastAsia="en-GB"/>
        </w:rPr>
      </w:pPr>
      <w:r>
        <w:rPr>
          <w:color w:val="000000"/>
          <w:sz w:val="20"/>
          <w:szCs w:val="20"/>
          <w:lang w:val="en-GB" w:eastAsia="en-GB"/>
        </w:rPr>
        <w:t>For the current regulation in place, sectors that are deemed to be at risk of carbon leakage are allocated 100% allowances free of charge till 2030. Other sectors are allocated 30% free allowances which shall decrease from 2026 on to reach 0% by 2030.</w:t>
      </w:r>
    </w:p>
    <w:p w:rsidR="00E64466" w:rsidRDefault="00E64466" w:rsidP="00E64466">
      <w:pPr>
        <w:numPr>
          <w:ilvl w:val="0"/>
          <w:numId w:val="7"/>
        </w:numPr>
        <w:spacing w:after="0" w:line="240" w:lineRule="auto"/>
        <w:rPr>
          <w:rFonts w:eastAsia="Times New Roman"/>
          <w:color w:val="000000"/>
          <w:sz w:val="20"/>
          <w:szCs w:val="20"/>
          <w:lang w:eastAsia="en-GB"/>
        </w:rPr>
      </w:pPr>
      <w:r>
        <w:rPr>
          <w:rFonts w:eastAsia="Times New Roman"/>
          <w:color w:val="000000"/>
          <w:sz w:val="20"/>
          <w:szCs w:val="20"/>
          <w:lang w:val="en-GB" w:eastAsia="en-GB"/>
        </w:rPr>
        <w:t>Installations covered by the EED obligations to conduct an Energy Audit will be required to implement recommendations of the audit report or alternatives to cut equivalent amount of GHG emissions (otherwise free allocation will be reduced by 25%)</w:t>
      </w:r>
    </w:p>
    <w:p w:rsidR="00E64466" w:rsidRDefault="00E64466" w:rsidP="00E64466">
      <w:pPr>
        <w:numPr>
          <w:ilvl w:val="0"/>
          <w:numId w:val="7"/>
        </w:numPr>
        <w:spacing w:after="0" w:line="240" w:lineRule="auto"/>
        <w:rPr>
          <w:rFonts w:eastAsia="Times New Roman"/>
          <w:b/>
          <w:bCs/>
          <w:color w:val="000000"/>
          <w:sz w:val="20"/>
          <w:szCs w:val="20"/>
          <w:lang w:val="en-GB" w:eastAsia="en-GB"/>
        </w:rPr>
      </w:pPr>
      <w:r>
        <w:rPr>
          <w:rFonts w:eastAsia="Times New Roman"/>
        </w:rPr>
        <w:t xml:space="preserve">Sectors and subsectors covered by </w:t>
      </w:r>
      <w:proofErr w:type="spellStart"/>
      <w:r>
        <w:rPr>
          <w:rFonts w:eastAsia="Times New Roman"/>
        </w:rPr>
        <w:t>th</w:t>
      </w:r>
      <w:proofErr w:type="spellEnd"/>
      <w:r>
        <w:rPr>
          <w:rFonts w:eastAsia="Times New Roman"/>
          <w:lang w:val="en-GB"/>
        </w:rPr>
        <w:t xml:space="preserve">e CBAM </w:t>
      </w:r>
      <w:r>
        <w:rPr>
          <w:rFonts w:eastAsia="Times New Roman"/>
        </w:rPr>
        <w:t>should not receive free allocation</w:t>
      </w:r>
      <w:r>
        <w:rPr>
          <w:rFonts w:eastAsia="Times New Roman"/>
          <w:lang w:val="en-GB"/>
        </w:rPr>
        <w:t xml:space="preserve"> as from the date of application of the CBAM</w:t>
      </w:r>
      <w:r>
        <w:rPr>
          <w:rFonts w:eastAsia="Times New Roman"/>
        </w:rPr>
        <w:t xml:space="preserve">. A transitional period is established to allow producers, importers and traders to adjust to the new regime, with a gradual reduction of free allocation as the CBAM is phased in. Rules are also established on the calculation of the final amount to deduct from the free allocation to be auctioned. </w:t>
      </w:r>
    </w:p>
    <w:p w:rsidR="00E64466" w:rsidRDefault="00E64466" w:rsidP="00E64466">
      <w:pPr>
        <w:numPr>
          <w:ilvl w:val="1"/>
          <w:numId w:val="7"/>
        </w:numPr>
        <w:spacing w:after="0" w:line="240" w:lineRule="auto"/>
        <w:rPr>
          <w:rFonts w:eastAsia="Times New Roman"/>
          <w:b/>
          <w:bCs/>
          <w:color w:val="000000"/>
          <w:sz w:val="20"/>
          <w:szCs w:val="20"/>
          <w:lang w:val="en-GB" w:eastAsia="en-GB"/>
        </w:rPr>
      </w:pPr>
      <w:r>
        <w:rPr>
          <w:rFonts w:eastAsia="Times New Roman"/>
        </w:rPr>
        <w:lastRenderedPageBreak/>
        <w:t>A factor reducing the free allocation for the production of these products shall be applied (CBAM factor). The CBAM factor shall be equal to 100 % for the period during the entry into force of [CBAM regulation] and the end of 2025, 90 % in 2026 and shall be reduced by 10 percentage points each year to reach 0 % by the tenth year.</w:t>
      </w:r>
    </w:p>
    <w:p w:rsidR="00E64466" w:rsidRDefault="00E64466" w:rsidP="00E64466">
      <w:pPr>
        <w:rPr>
          <w:b/>
          <w:bCs/>
          <w:color w:val="000000"/>
          <w:sz w:val="20"/>
          <w:szCs w:val="20"/>
          <w:highlight w:val="yellow"/>
          <w:lang w:val="en-GB" w:eastAsia="en-GB"/>
        </w:rPr>
      </w:pPr>
    </w:p>
    <w:p w:rsidR="00E64466" w:rsidRDefault="00E64466" w:rsidP="00E64466">
      <w:pPr>
        <w:rPr>
          <w:color w:val="000000"/>
          <w:sz w:val="20"/>
          <w:szCs w:val="20"/>
          <w:lang w:eastAsia="en-GB"/>
        </w:rPr>
      </w:pPr>
      <w:r>
        <w:rPr>
          <w:b/>
          <w:bCs/>
          <w:color w:val="000000"/>
          <w:sz w:val="20"/>
          <w:szCs w:val="20"/>
          <w:lang w:val="en-GB" w:eastAsia="en-GB"/>
        </w:rPr>
        <w:t>ETS for road transport and buildings </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Separate trading scheme for building and road transport from 2025 (during first year report their emissions for year 2024 and 2025)</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 xml:space="preserve">Issuance of allowances and surrender only from 2026 </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Emission cap will be based on data collected under ESR &amp; ambition level and decrease to reach emission reductions of 43 % in 2030 compared to 2005 for the sectors of buildings and road transport</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Corresponding LRF of 5.15 %</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Regulated activity: release for consumption of fuels (used for combustion in road transport and buildings) – upstream system: Distributor will have to buy emission allowances</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No free allocation</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 xml:space="preserve">Auctioning shall start in 2026 with a volume corresponding to 130% of the auction volume for 2026 + a Market Stability Reserve with holdings of 600 million allowances is created, which shall allow for a smooth start </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Contribution to Innovation Fund: 150 million allowances, to stimulate the green transition</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Generated revenues shall be partly used to address social aspects of the new ETS</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Monitoring, reporting and verification aligned with the existing one for stationary sources</w:t>
      </w:r>
    </w:p>
    <w:p w:rsidR="00E64466" w:rsidRDefault="00E64466" w:rsidP="00E64466">
      <w:pPr>
        <w:numPr>
          <w:ilvl w:val="0"/>
          <w:numId w:val="8"/>
        </w:numPr>
        <w:spacing w:after="0" w:line="240" w:lineRule="auto"/>
        <w:rPr>
          <w:rFonts w:eastAsia="Times New Roman"/>
          <w:sz w:val="20"/>
          <w:szCs w:val="20"/>
          <w:lang w:val="en-GB"/>
        </w:rPr>
      </w:pPr>
      <w:r>
        <w:rPr>
          <w:rFonts w:eastAsia="Times New Roman"/>
          <w:sz w:val="20"/>
          <w:szCs w:val="20"/>
          <w:lang w:val="en-GB"/>
        </w:rPr>
        <w:t>Review clause: the EC will propose a review by 1/1/2028</w:t>
      </w:r>
    </w:p>
    <w:p w:rsidR="00E64466" w:rsidRDefault="00E64466" w:rsidP="00E64466">
      <w:pPr>
        <w:rPr>
          <w:color w:val="000000"/>
          <w:sz w:val="20"/>
          <w:szCs w:val="20"/>
          <w:lang w:eastAsia="en-GB"/>
        </w:rPr>
      </w:pPr>
      <w:r>
        <w:rPr>
          <w:color w:val="000000"/>
          <w:sz w:val="20"/>
          <w:szCs w:val="20"/>
          <w:lang w:eastAsia="en-GB"/>
        </w:rPr>
        <w:t xml:space="preserve">                                                                                                                                                            </w:t>
      </w:r>
    </w:p>
    <w:p w:rsidR="00E64466" w:rsidRDefault="00E64466" w:rsidP="00E64466">
      <w:pPr>
        <w:rPr>
          <w:color w:val="000000"/>
          <w:sz w:val="20"/>
          <w:szCs w:val="20"/>
          <w:lang w:val="de-AT" w:eastAsia="en-GB"/>
        </w:rPr>
      </w:pPr>
      <w:r>
        <w:rPr>
          <w:b/>
          <w:bCs/>
          <w:color w:val="000000"/>
          <w:sz w:val="20"/>
          <w:szCs w:val="20"/>
          <w:lang w:val="en-GB" w:eastAsia="en-GB"/>
        </w:rPr>
        <w:t>Market Stability Reserve (MSR)</w:t>
      </w:r>
    </w:p>
    <w:p w:rsidR="00E64466" w:rsidRDefault="00E64466" w:rsidP="00E64466">
      <w:pPr>
        <w:numPr>
          <w:ilvl w:val="0"/>
          <w:numId w:val="9"/>
        </w:numPr>
        <w:spacing w:after="0" w:line="240" w:lineRule="auto"/>
        <w:rPr>
          <w:rFonts w:eastAsia="Times New Roman"/>
          <w:color w:val="000000"/>
          <w:sz w:val="20"/>
          <w:szCs w:val="20"/>
          <w:lang w:eastAsia="en-GB"/>
        </w:rPr>
      </w:pPr>
      <w:r>
        <w:rPr>
          <w:rFonts w:eastAsia="Times New Roman"/>
          <w:color w:val="000000"/>
          <w:sz w:val="20"/>
          <w:szCs w:val="20"/>
          <w:lang w:eastAsia="en-GB"/>
        </w:rPr>
        <w:t>The MSR will become stricter, more free allowances will be taken out and cancelled, the threshold for this to happen will be reduced</w:t>
      </w:r>
    </w:p>
    <w:p w:rsidR="00E64466" w:rsidRDefault="00E64466" w:rsidP="00E64466">
      <w:pPr>
        <w:rPr>
          <w:color w:val="000000"/>
          <w:sz w:val="20"/>
          <w:szCs w:val="20"/>
          <w:lang w:eastAsia="en-GB"/>
        </w:rPr>
      </w:pPr>
      <w:r>
        <w:rPr>
          <w:color w:val="000000"/>
          <w:sz w:val="20"/>
          <w:szCs w:val="20"/>
          <w:lang w:eastAsia="en-GB"/>
        </w:rPr>
        <w:t> </w:t>
      </w:r>
      <w:r>
        <w:rPr>
          <w:color w:val="000000"/>
          <w:sz w:val="20"/>
          <w:szCs w:val="20"/>
          <w:lang w:val="en-GB" w:eastAsia="en-GB"/>
        </w:rPr>
        <w:t> </w:t>
      </w:r>
    </w:p>
    <w:p w:rsidR="00E64466" w:rsidRDefault="00E64466" w:rsidP="00E64466">
      <w:pPr>
        <w:rPr>
          <w:color w:val="000000"/>
          <w:sz w:val="20"/>
          <w:szCs w:val="20"/>
          <w:lang w:eastAsia="en-GB"/>
        </w:rPr>
      </w:pPr>
      <w:r>
        <w:rPr>
          <w:b/>
          <w:bCs/>
          <w:color w:val="000000"/>
          <w:sz w:val="20"/>
          <w:szCs w:val="20"/>
          <w:lang w:val="en-GB" w:eastAsia="en-GB"/>
        </w:rPr>
        <w:t>Carbon Contracts for Difference (</w:t>
      </w:r>
      <w:proofErr w:type="spellStart"/>
      <w:r>
        <w:rPr>
          <w:b/>
          <w:bCs/>
          <w:color w:val="000000"/>
          <w:sz w:val="20"/>
          <w:szCs w:val="20"/>
          <w:lang w:val="en-GB" w:eastAsia="en-GB"/>
        </w:rPr>
        <w:t>CCfDs</w:t>
      </w:r>
      <w:proofErr w:type="spellEnd"/>
      <w:r>
        <w:rPr>
          <w:b/>
          <w:bCs/>
          <w:color w:val="000000"/>
          <w:sz w:val="20"/>
          <w:szCs w:val="20"/>
          <w:lang w:val="en-GB" w:eastAsia="en-GB"/>
        </w:rPr>
        <w:t>)</w:t>
      </w:r>
    </w:p>
    <w:p w:rsidR="00E64466" w:rsidRDefault="00E64466" w:rsidP="00E64466">
      <w:pPr>
        <w:numPr>
          <w:ilvl w:val="0"/>
          <w:numId w:val="10"/>
        </w:numPr>
        <w:spacing w:after="0" w:line="240" w:lineRule="auto"/>
        <w:rPr>
          <w:rFonts w:eastAsia="Times New Roman"/>
          <w:color w:val="000000"/>
          <w:sz w:val="20"/>
          <w:szCs w:val="20"/>
          <w:lang w:eastAsia="en-GB"/>
        </w:rPr>
      </w:pPr>
      <w:r>
        <w:rPr>
          <w:rFonts w:eastAsia="Times New Roman"/>
          <w:sz w:val="20"/>
          <w:szCs w:val="20"/>
        </w:rPr>
        <w:t xml:space="preserve">The scope of the Innovation Fund is extended to provide support to projects in the form of price-competitive tendering support such as </w:t>
      </w:r>
      <w:proofErr w:type="spellStart"/>
      <w:r>
        <w:rPr>
          <w:rFonts w:eastAsia="Times New Roman"/>
          <w:sz w:val="20"/>
          <w:szCs w:val="20"/>
          <w:lang w:val="en-GB"/>
        </w:rPr>
        <w:t>CCfDs</w:t>
      </w:r>
      <w:proofErr w:type="spellEnd"/>
      <w:r>
        <w:rPr>
          <w:rFonts w:eastAsia="Times New Roman"/>
          <w:sz w:val="20"/>
          <w:szCs w:val="20"/>
          <w:lang w:val="en-GB"/>
        </w:rPr>
        <w:t xml:space="preserve"> (innovation fund is increased by 50 million allowances)</w:t>
      </w:r>
    </w:p>
    <w:p w:rsidR="00E64466" w:rsidRDefault="00E64466" w:rsidP="00E64466">
      <w:pPr>
        <w:numPr>
          <w:ilvl w:val="0"/>
          <w:numId w:val="10"/>
        </w:numPr>
        <w:spacing w:after="0" w:line="240" w:lineRule="auto"/>
        <w:rPr>
          <w:rFonts w:eastAsia="Times New Roman"/>
          <w:color w:val="000000"/>
          <w:sz w:val="20"/>
          <w:szCs w:val="20"/>
          <w:lang w:eastAsia="en-GB"/>
        </w:rPr>
      </w:pPr>
      <w:r>
        <w:rPr>
          <w:rFonts w:eastAsia="Times New Roman"/>
          <w:sz w:val="20"/>
          <w:szCs w:val="20"/>
        </w:rPr>
        <w:t xml:space="preserve">Project-based </w:t>
      </w:r>
      <w:proofErr w:type="spellStart"/>
      <w:r>
        <w:rPr>
          <w:rFonts w:eastAsia="Times New Roman"/>
          <w:sz w:val="20"/>
          <w:szCs w:val="20"/>
          <w:lang w:val="en-GB"/>
        </w:rPr>
        <w:t>CCfDs</w:t>
      </w:r>
      <w:proofErr w:type="spellEnd"/>
      <w:r>
        <w:rPr>
          <w:rFonts w:eastAsia="Times New Roman"/>
          <w:sz w:val="20"/>
          <w:szCs w:val="20"/>
          <w:lang w:val="en-GB"/>
        </w:rPr>
        <w:t xml:space="preserve"> </w:t>
      </w:r>
      <w:r>
        <w:rPr>
          <w:rFonts w:eastAsia="Times New Roman"/>
          <w:sz w:val="20"/>
          <w:szCs w:val="20"/>
        </w:rPr>
        <w:t>offer the EU the opportunity to guarantee investors in innovative climate-friendly technologies a fixed price that rewards CO2 emission reductions above the current price levels in the EU ETS</w:t>
      </w:r>
    </w:p>
    <w:p w:rsidR="00E64466" w:rsidRDefault="00E64466" w:rsidP="00E64466">
      <w:pPr>
        <w:rPr>
          <w:color w:val="000000"/>
          <w:sz w:val="20"/>
          <w:szCs w:val="20"/>
          <w:lang w:eastAsia="en-GB"/>
        </w:rPr>
      </w:pPr>
      <w:r>
        <w:rPr>
          <w:color w:val="000000"/>
          <w:sz w:val="20"/>
          <w:szCs w:val="20"/>
          <w:lang w:eastAsia="en-GB"/>
        </w:rPr>
        <w:t> </w:t>
      </w:r>
    </w:p>
    <w:p w:rsidR="00E64466" w:rsidRDefault="00E64466" w:rsidP="00E64466">
      <w:pPr>
        <w:rPr>
          <w:color w:val="000000"/>
          <w:sz w:val="20"/>
          <w:szCs w:val="20"/>
          <w:lang w:val="de-AT" w:eastAsia="en-GB"/>
        </w:rPr>
      </w:pPr>
      <w:r>
        <w:rPr>
          <w:b/>
          <w:bCs/>
          <w:color w:val="000000"/>
          <w:sz w:val="20"/>
          <w:szCs w:val="20"/>
          <w:lang w:val="en-GB" w:eastAsia="en-GB"/>
        </w:rPr>
        <w:t>CCU</w:t>
      </w:r>
    </w:p>
    <w:p w:rsidR="00E64466" w:rsidRDefault="00E64466" w:rsidP="00E64466">
      <w:pPr>
        <w:ind w:left="709" w:hanging="360"/>
        <w:rPr>
          <w:color w:val="000000"/>
          <w:sz w:val="20"/>
          <w:szCs w:val="20"/>
          <w:lang w:eastAsia="en-GB"/>
        </w:rPr>
      </w:pPr>
      <w:r>
        <w:rPr>
          <w:color w:val="000000"/>
          <w:sz w:val="20"/>
          <w:szCs w:val="20"/>
          <w:lang w:eastAsia="en-GB"/>
        </w:rPr>
        <w:t>-</w:t>
      </w:r>
      <w:r>
        <w:rPr>
          <w:rFonts w:ascii="Times New Roman" w:hAnsi="Times New Roman" w:cs="Times New Roman"/>
          <w:color w:val="000000"/>
          <w:sz w:val="14"/>
          <w:szCs w:val="14"/>
          <w:lang w:eastAsia="en-GB"/>
        </w:rPr>
        <w:t xml:space="preserve">         </w:t>
      </w:r>
      <w:r>
        <w:rPr>
          <w:color w:val="000000"/>
          <w:sz w:val="20"/>
          <w:szCs w:val="20"/>
          <w:lang w:val="en-GB" w:eastAsia="en-GB"/>
        </w:rPr>
        <w:t>Surrender obligations do not arise for emissions of CO2 that end up permanently chemically bound in a product so that they do not enter the atmosphere under normal use</w:t>
      </w:r>
    </w:p>
    <w:p w:rsidR="00E64466" w:rsidRDefault="00E64466" w:rsidP="00E64466">
      <w:pPr>
        <w:rPr>
          <w:color w:val="000000"/>
          <w:sz w:val="20"/>
          <w:szCs w:val="20"/>
          <w:lang w:eastAsia="en-GB"/>
        </w:rPr>
      </w:pPr>
      <w:r>
        <w:rPr>
          <w:color w:val="000000"/>
          <w:sz w:val="20"/>
          <w:szCs w:val="20"/>
          <w:lang w:eastAsia="en-GB"/>
        </w:rPr>
        <w:t> </w:t>
      </w:r>
    </w:p>
    <w:p w:rsidR="00E64466" w:rsidRDefault="00E64466" w:rsidP="00E64466">
      <w:pPr>
        <w:rPr>
          <w:b/>
          <w:bCs/>
          <w:lang w:val="en-GB"/>
        </w:rPr>
      </w:pPr>
      <w:r>
        <w:rPr>
          <w:b/>
          <w:bCs/>
          <w:lang w:val="en-GB"/>
        </w:rPr>
        <w:t>First assessment</w:t>
      </w:r>
    </w:p>
    <w:p w:rsidR="00E64466" w:rsidRDefault="00E64466" w:rsidP="00E64466">
      <w:pPr>
        <w:numPr>
          <w:ilvl w:val="0"/>
          <w:numId w:val="11"/>
        </w:numPr>
        <w:spacing w:after="0" w:line="240" w:lineRule="auto"/>
        <w:rPr>
          <w:rFonts w:eastAsia="Times New Roman"/>
          <w:lang w:val="en-GB"/>
        </w:rPr>
      </w:pPr>
      <w:r>
        <w:rPr>
          <w:rFonts w:eastAsia="Times New Roman"/>
          <w:lang w:val="en-GB"/>
        </w:rPr>
        <w:t xml:space="preserve">Significant strengthening planned: The price for carbon will increase further in the next years, due to the strengthened linear reduction factor and the overall reduction of the cap and the strengthening of the MSR. This will put a pressure on affected companies. </w:t>
      </w:r>
    </w:p>
    <w:p w:rsidR="00E64466" w:rsidRDefault="00E64466" w:rsidP="00E64466">
      <w:pPr>
        <w:numPr>
          <w:ilvl w:val="0"/>
          <w:numId w:val="11"/>
        </w:numPr>
        <w:spacing w:after="0" w:line="240" w:lineRule="auto"/>
        <w:rPr>
          <w:rFonts w:eastAsia="Times New Roman"/>
          <w:lang w:val="en-GB"/>
        </w:rPr>
      </w:pPr>
      <w:r>
        <w:rPr>
          <w:rFonts w:eastAsia="Times New Roman"/>
          <w:lang w:val="en-GB"/>
        </w:rPr>
        <w:lastRenderedPageBreak/>
        <w:t>Even more pressure comes from the out-phasing of free allowances in those sectors, that will be covered from the CBAM</w:t>
      </w:r>
    </w:p>
    <w:p w:rsidR="00E64466" w:rsidRDefault="00E64466" w:rsidP="00E64466">
      <w:pPr>
        <w:numPr>
          <w:ilvl w:val="0"/>
          <w:numId w:val="11"/>
        </w:numPr>
        <w:spacing w:after="0" w:line="240" w:lineRule="auto"/>
        <w:rPr>
          <w:rFonts w:eastAsia="Times New Roman"/>
          <w:lang w:val="en-GB"/>
        </w:rPr>
      </w:pPr>
      <w:r>
        <w:rPr>
          <w:rFonts w:eastAsia="Times New Roman"/>
          <w:lang w:val="en-GB"/>
        </w:rPr>
        <w:t>The conditionality of free allowances to the implementation of recommendations from energy audits from the EED (energy efficiency, low-carbon technologies uptake) is critical, industry is in many cases already very efficient, taking more measures to become even more energy-efficient might come at high cost. Furthermore, MS start with different conditions to invest in low-carbon technologies, some have high amounts of offshore energy available, others are more advanced on H2</w:t>
      </w:r>
    </w:p>
    <w:p w:rsidR="00E64466" w:rsidRDefault="00E64466" w:rsidP="00E64466">
      <w:pPr>
        <w:numPr>
          <w:ilvl w:val="0"/>
          <w:numId w:val="11"/>
        </w:numPr>
        <w:spacing w:after="0" w:line="240" w:lineRule="auto"/>
        <w:rPr>
          <w:rFonts w:eastAsia="Times New Roman"/>
          <w:lang w:val="en-GB"/>
        </w:rPr>
      </w:pPr>
      <w:proofErr w:type="spellStart"/>
      <w:r>
        <w:rPr>
          <w:rFonts w:eastAsia="Times New Roman"/>
          <w:lang w:val="en-GB"/>
        </w:rPr>
        <w:t>CCfDs</w:t>
      </w:r>
      <w:proofErr w:type="spellEnd"/>
      <w:r>
        <w:rPr>
          <w:rFonts w:eastAsia="Times New Roman"/>
          <w:lang w:val="en-GB"/>
        </w:rPr>
        <w:t>: Side effects weakening existing climate policy instruments such as the EU ETS should be considered in the design of such support measures and be limited as much as possible</w:t>
      </w:r>
    </w:p>
    <w:p w:rsidR="00E64466" w:rsidRDefault="00E64466" w:rsidP="00E64466">
      <w:pPr>
        <w:rPr>
          <w:rFonts w:ascii="Arial" w:hAnsi="Arial" w:cs="Arial"/>
          <w:color w:val="00477A"/>
          <w:sz w:val="20"/>
          <w:szCs w:val="20"/>
          <w:lang w:val="en-GB"/>
        </w:rPr>
      </w:pPr>
    </w:p>
    <w:p w:rsidR="00E64466" w:rsidRDefault="00E64466" w:rsidP="00E64466">
      <w:pPr>
        <w:rPr>
          <w:rFonts w:ascii="Arial" w:hAnsi="Arial" w:cs="Arial"/>
          <w:color w:val="00477A"/>
          <w:sz w:val="20"/>
          <w:szCs w:val="20"/>
          <w:lang w:val="en-GB"/>
        </w:rPr>
      </w:pPr>
    </w:p>
    <w:p w:rsidR="00E64466" w:rsidRPr="0069211E" w:rsidRDefault="00E64466" w:rsidP="0069211E">
      <w:pPr>
        <w:jc w:val="center"/>
        <w:rPr>
          <w:rFonts w:ascii="Calibri" w:hAnsi="Calibri" w:cs="Calibri"/>
          <w:b/>
          <w:bCs/>
          <w:color w:val="FF0000"/>
          <w:sz w:val="24"/>
          <w:szCs w:val="24"/>
          <w:lang w:val="en-GB"/>
        </w:rPr>
      </w:pPr>
      <w:r w:rsidRPr="0069211E">
        <w:rPr>
          <w:b/>
          <w:bCs/>
          <w:color w:val="FF0000"/>
          <w:sz w:val="24"/>
          <w:szCs w:val="24"/>
          <w:lang w:val="en-GB"/>
        </w:rPr>
        <w:t>Carbon Border Adjustment Mechanism Regulation</w:t>
      </w:r>
      <w:r w:rsidR="0069211E">
        <w:rPr>
          <w:b/>
          <w:bCs/>
          <w:color w:val="FF0000"/>
          <w:sz w:val="24"/>
          <w:szCs w:val="24"/>
          <w:lang w:val="en-GB"/>
        </w:rPr>
        <w:t xml:space="preserve"> (CO2 </w:t>
      </w:r>
      <w:proofErr w:type="spellStart"/>
      <w:r w:rsidR="0069211E">
        <w:rPr>
          <w:b/>
          <w:bCs/>
          <w:color w:val="FF0000"/>
          <w:sz w:val="24"/>
          <w:szCs w:val="24"/>
          <w:lang w:val="en-GB"/>
        </w:rPr>
        <w:t>sienos</w:t>
      </w:r>
      <w:proofErr w:type="spellEnd"/>
      <w:r w:rsidR="0069211E">
        <w:rPr>
          <w:b/>
          <w:bCs/>
          <w:color w:val="FF0000"/>
          <w:sz w:val="24"/>
          <w:szCs w:val="24"/>
          <w:lang w:val="en-GB"/>
        </w:rPr>
        <w:t xml:space="preserve"> </w:t>
      </w:r>
      <w:proofErr w:type="spellStart"/>
      <w:r w:rsidR="0069211E">
        <w:rPr>
          <w:b/>
          <w:bCs/>
          <w:color w:val="FF0000"/>
          <w:sz w:val="24"/>
          <w:szCs w:val="24"/>
          <w:lang w:val="en-GB"/>
        </w:rPr>
        <w:t>kirtimo</w:t>
      </w:r>
      <w:proofErr w:type="spellEnd"/>
      <w:r w:rsidR="0069211E">
        <w:rPr>
          <w:b/>
          <w:bCs/>
          <w:color w:val="FF0000"/>
          <w:sz w:val="24"/>
          <w:szCs w:val="24"/>
          <w:lang w:val="en-GB"/>
        </w:rPr>
        <w:t xml:space="preserve"> </w:t>
      </w:r>
      <w:proofErr w:type="spellStart"/>
      <w:r w:rsidR="0069211E">
        <w:rPr>
          <w:b/>
          <w:bCs/>
          <w:color w:val="FF0000"/>
          <w:sz w:val="24"/>
          <w:szCs w:val="24"/>
          <w:lang w:val="en-GB"/>
        </w:rPr>
        <w:t>priderinimo</w:t>
      </w:r>
      <w:proofErr w:type="spellEnd"/>
      <w:r w:rsidR="0069211E">
        <w:rPr>
          <w:b/>
          <w:bCs/>
          <w:color w:val="FF0000"/>
          <w:sz w:val="24"/>
          <w:szCs w:val="24"/>
          <w:lang w:val="en-GB"/>
        </w:rPr>
        <w:t xml:space="preserve"> </w:t>
      </w:r>
      <w:proofErr w:type="spellStart"/>
      <w:r w:rsidR="0069211E">
        <w:rPr>
          <w:b/>
          <w:bCs/>
          <w:color w:val="FF0000"/>
          <w:sz w:val="24"/>
          <w:szCs w:val="24"/>
          <w:lang w:val="en-GB"/>
        </w:rPr>
        <w:t>mechan</w:t>
      </w:r>
      <w:r w:rsidR="00FE7D45">
        <w:rPr>
          <w:b/>
          <w:bCs/>
          <w:color w:val="FF0000"/>
          <w:sz w:val="24"/>
          <w:szCs w:val="24"/>
          <w:lang w:val="en-GB"/>
        </w:rPr>
        <w:t>i</w:t>
      </w:r>
      <w:r w:rsidR="0069211E">
        <w:rPr>
          <w:b/>
          <w:bCs/>
          <w:color w:val="FF0000"/>
          <w:sz w:val="24"/>
          <w:szCs w:val="24"/>
          <w:lang w:val="en-GB"/>
        </w:rPr>
        <w:t>zmas</w:t>
      </w:r>
      <w:proofErr w:type="spellEnd"/>
      <w:r w:rsidR="0069211E">
        <w:rPr>
          <w:b/>
          <w:bCs/>
          <w:color w:val="FF0000"/>
          <w:sz w:val="24"/>
          <w:szCs w:val="24"/>
          <w:lang w:val="en-GB"/>
        </w:rPr>
        <w:t>)</w:t>
      </w:r>
    </w:p>
    <w:p w:rsidR="0069211E" w:rsidRDefault="0069211E" w:rsidP="00E64466">
      <w:pPr>
        <w:rPr>
          <w:lang w:val="en-GB"/>
        </w:rPr>
      </w:pPr>
    </w:p>
    <w:p w:rsidR="00E64466" w:rsidRDefault="00E64466" w:rsidP="00E64466">
      <w:pPr>
        <w:rPr>
          <w:lang w:val="en-GB"/>
        </w:rPr>
      </w:pPr>
      <w:r>
        <w:rPr>
          <w:lang w:val="en-GB"/>
        </w:rPr>
        <w:t>The Carbon border adjustment mechanism is the Commission’s new instrument to prevent Carbon Leakage (the relocation of production from Europe to third countries, with less stringent environmental rules).</w:t>
      </w:r>
    </w:p>
    <w:p w:rsidR="00E64466" w:rsidRDefault="00E64466" w:rsidP="00E64466">
      <w:pPr>
        <w:rPr>
          <w:u w:val="single"/>
          <w:lang w:val="en-GB"/>
        </w:rPr>
      </w:pPr>
    </w:p>
    <w:p w:rsidR="00E64466" w:rsidRDefault="00E64466" w:rsidP="00E64466">
      <w:pPr>
        <w:rPr>
          <w:u w:val="single"/>
          <w:lang w:val="en-GB"/>
        </w:rPr>
      </w:pPr>
      <w:r>
        <w:rPr>
          <w:u w:val="single"/>
          <w:lang w:val="en-GB"/>
        </w:rPr>
        <w:t>Key points:</w:t>
      </w:r>
    </w:p>
    <w:p w:rsidR="00E64466" w:rsidRDefault="00E64466" w:rsidP="00E64466">
      <w:pPr>
        <w:numPr>
          <w:ilvl w:val="0"/>
          <w:numId w:val="12"/>
        </w:numPr>
        <w:spacing w:after="0" w:line="240" w:lineRule="auto"/>
        <w:rPr>
          <w:rFonts w:eastAsia="Times New Roman"/>
          <w:lang w:val="en-GB"/>
        </w:rPr>
      </w:pPr>
      <w:r>
        <w:rPr>
          <w:rFonts w:eastAsia="Times New Roman"/>
          <w:lang w:val="en-GB"/>
        </w:rPr>
        <w:t xml:space="preserve">Imports of goods (Annex I) would be subject to a price for embedded emissions (=direct emissions from the production process of goods), reflecting the costs that the EU imposes on domestic producers under its emissions trading system (ETS). </w:t>
      </w:r>
    </w:p>
    <w:p w:rsidR="00E64466" w:rsidRDefault="00E64466" w:rsidP="00E64466">
      <w:pPr>
        <w:numPr>
          <w:ilvl w:val="0"/>
          <w:numId w:val="12"/>
        </w:numPr>
        <w:spacing w:after="0" w:line="240" w:lineRule="auto"/>
        <w:rPr>
          <w:rFonts w:eastAsia="Times New Roman"/>
          <w:lang w:val="en-GB"/>
        </w:rPr>
      </w:pPr>
      <w:r>
        <w:rPr>
          <w:rFonts w:eastAsia="Times New Roman"/>
          <w:lang w:val="en-GB"/>
        </w:rPr>
        <w:t>The mechanism “will progressively become an alternative” to the free allowances currently in place to avoid Carbon Leakage (see phase-out plan under ETS)</w:t>
      </w:r>
    </w:p>
    <w:p w:rsidR="00E64466" w:rsidRDefault="00E64466" w:rsidP="00E64466">
      <w:pPr>
        <w:numPr>
          <w:ilvl w:val="0"/>
          <w:numId w:val="12"/>
        </w:numPr>
        <w:spacing w:after="0" w:line="240" w:lineRule="auto"/>
        <w:rPr>
          <w:rFonts w:eastAsia="Times New Roman"/>
          <w:lang w:val="en-GB"/>
        </w:rPr>
      </w:pPr>
      <w:r>
        <w:rPr>
          <w:rFonts w:eastAsia="Times New Roman"/>
          <w:lang w:val="en-GB"/>
        </w:rPr>
        <w:t>At the beginning the following sub-sectors would be covered: electricity, iron &amp; steel, cement, aluminium and some fertilisers (but could be extended to cover additional sectors in the future)</w:t>
      </w:r>
    </w:p>
    <w:p w:rsidR="00E64466" w:rsidRDefault="00E64466" w:rsidP="00E64466">
      <w:pPr>
        <w:numPr>
          <w:ilvl w:val="0"/>
          <w:numId w:val="12"/>
        </w:numPr>
        <w:spacing w:after="0" w:line="240" w:lineRule="auto"/>
        <w:rPr>
          <w:rFonts w:eastAsia="Times New Roman"/>
          <w:lang w:val="en-GB"/>
        </w:rPr>
      </w:pPr>
      <w:r>
        <w:rPr>
          <w:rFonts w:eastAsia="Times New Roman"/>
          <w:lang w:val="en-GB"/>
        </w:rPr>
        <w:t xml:space="preserve">Countries might be exempted if </w:t>
      </w:r>
    </w:p>
    <w:p w:rsidR="00E64466" w:rsidRDefault="00E64466" w:rsidP="00E64466">
      <w:pPr>
        <w:numPr>
          <w:ilvl w:val="1"/>
          <w:numId w:val="13"/>
        </w:numPr>
        <w:spacing w:after="0" w:line="240" w:lineRule="auto"/>
        <w:rPr>
          <w:rFonts w:eastAsia="Times New Roman"/>
          <w:lang w:val="en-GB"/>
        </w:rPr>
      </w:pPr>
      <w:r>
        <w:rPr>
          <w:rFonts w:eastAsia="Times New Roman"/>
          <w:lang w:val="en-GB"/>
        </w:rPr>
        <w:t>the EU ETS applies to that country</w:t>
      </w:r>
    </w:p>
    <w:p w:rsidR="00E64466" w:rsidRDefault="00E64466" w:rsidP="00E64466">
      <w:pPr>
        <w:numPr>
          <w:ilvl w:val="1"/>
          <w:numId w:val="13"/>
        </w:numPr>
        <w:spacing w:after="0" w:line="240" w:lineRule="auto"/>
        <w:rPr>
          <w:rFonts w:eastAsia="Times New Roman"/>
          <w:lang w:val="en-GB"/>
        </w:rPr>
      </w:pPr>
      <w:r>
        <w:rPr>
          <w:rFonts w:eastAsia="Times New Roman"/>
          <w:lang w:val="en-GB"/>
        </w:rPr>
        <w:t>agreement concluded btw that country and Union fully linking the EU ETS and 3</w:t>
      </w:r>
      <w:r>
        <w:rPr>
          <w:rFonts w:eastAsia="Times New Roman"/>
          <w:vertAlign w:val="superscript"/>
          <w:lang w:val="en-GB"/>
        </w:rPr>
        <w:t>rd</w:t>
      </w:r>
      <w:r>
        <w:rPr>
          <w:rFonts w:eastAsia="Times New Roman"/>
          <w:lang w:val="en-GB"/>
        </w:rPr>
        <w:t xml:space="preserve"> country emission trading system</w:t>
      </w:r>
    </w:p>
    <w:p w:rsidR="00E64466" w:rsidRDefault="00E64466" w:rsidP="00E64466">
      <w:pPr>
        <w:numPr>
          <w:ilvl w:val="1"/>
          <w:numId w:val="13"/>
        </w:numPr>
        <w:spacing w:after="0" w:line="240" w:lineRule="auto"/>
        <w:rPr>
          <w:rFonts w:eastAsia="Times New Roman"/>
          <w:lang w:val="en-GB"/>
        </w:rPr>
      </w:pPr>
      <w:r>
        <w:rPr>
          <w:rFonts w:eastAsia="Times New Roman"/>
          <w:lang w:val="en-GB"/>
        </w:rPr>
        <w:t>countries outside the scope of this regulation (Annex II): Iceland, Liechtenstein, Norway, Switzerland (might be adapted by implementing act)</w:t>
      </w:r>
    </w:p>
    <w:p w:rsidR="00E64466" w:rsidRDefault="00E64466" w:rsidP="00E64466">
      <w:pPr>
        <w:numPr>
          <w:ilvl w:val="0"/>
          <w:numId w:val="13"/>
        </w:numPr>
        <w:spacing w:after="0" w:line="240" w:lineRule="auto"/>
        <w:rPr>
          <w:rFonts w:eastAsia="Times New Roman"/>
          <w:lang w:val="en-GB"/>
        </w:rPr>
      </w:pPr>
      <w:r>
        <w:rPr>
          <w:rFonts w:eastAsia="Times New Roman"/>
          <w:lang w:val="en-GB"/>
        </w:rPr>
        <w:t>Only “authorised declarants” shall be able to make importation to the customs territory of the Union. Declarants must apply for authorisation to the competent authority at the place where it is established (exemption for electricity imports)</w:t>
      </w:r>
    </w:p>
    <w:p w:rsidR="00E64466" w:rsidRDefault="00E64466" w:rsidP="00E64466">
      <w:pPr>
        <w:numPr>
          <w:ilvl w:val="1"/>
          <w:numId w:val="13"/>
        </w:numPr>
        <w:spacing w:after="0" w:line="240" w:lineRule="auto"/>
        <w:rPr>
          <w:rFonts w:eastAsia="Times New Roman"/>
          <w:lang w:val="en-GB"/>
        </w:rPr>
      </w:pPr>
      <w:r>
        <w:rPr>
          <w:rFonts w:eastAsia="Times New Roman"/>
          <w:lang w:val="en-GB"/>
        </w:rPr>
        <w:t>Each authorised declarant shall submit by 31 May each year a CBAM declaration to the competent authority (total quantity of goods in tonnes/MWh, total embedded emissions, corresponding number of CBAM certificates to be surrendered) + surrender corresponding CBAM certificates (certain penalties if not compliant)</w:t>
      </w:r>
    </w:p>
    <w:p w:rsidR="00E64466" w:rsidRDefault="00E64466" w:rsidP="00E64466">
      <w:pPr>
        <w:numPr>
          <w:ilvl w:val="1"/>
          <w:numId w:val="13"/>
        </w:numPr>
        <w:spacing w:after="0" w:line="240" w:lineRule="auto"/>
        <w:rPr>
          <w:rFonts w:eastAsia="Times New Roman"/>
          <w:lang w:val="en-GB"/>
        </w:rPr>
      </w:pPr>
      <w:r>
        <w:rPr>
          <w:rFonts w:eastAsia="Times New Roman"/>
          <w:lang w:val="en-GB"/>
        </w:rPr>
        <w:t>Embedded emissions shall be determined as actual emissions (or if not possible by reference to default values, which are set by the Commission at level corresponding to the emissions of the 10% worst performing installations in the EU – incentive to measure actual emissions)</w:t>
      </w:r>
    </w:p>
    <w:p w:rsidR="00E64466" w:rsidRDefault="00E64466" w:rsidP="00E64466">
      <w:pPr>
        <w:numPr>
          <w:ilvl w:val="1"/>
          <w:numId w:val="13"/>
        </w:numPr>
        <w:spacing w:after="0" w:line="240" w:lineRule="auto"/>
        <w:rPr>
          <w:rFonts w:eastAsia="Times New Roman"/>
          <w:lang w:val="en-GB"/>
        </w:rPr>
      </w:pPr>
      <w:r>
        <w:rPr>
          <w:rFonts w:eastAsia="Times New Roman"/>
          <w:lang w:val="en-GB"/>
        </w:rPr>
        <w:t xml:space="preserve">The embedded emissions must be verified by an accredited verifier </w:t>
      </w:r>
    </w:p>
    <w:p w:rsidR="00E64466" w:rsidRDefault="00E64466" w:rsidP="00E64466">
      <w:pPr>
        <w:numPr>
          <w:ilvl w:val="1"/>
          <w:numId w:val="13"/>
        </w:numPr>
        <w:spacing w:after="0" w:line="240" w:lineRule="auto"/>
        <w:rPr>
          <w:rFonts w:eastAsia="Times New Roman"/>
          <w:lang w:val="en-GB"/>
        </w:rPr>
      </w:pPr>
      <w:r>
        <w:rPr>
          <w:rFonts w:eastAsia="Times New Roman"/>
          <w:lang w:val="en-GB"/>
        </w:rPr>
        <w:lastRenderedPageBreak/>
        <w:t>Authorised declarant might ask for reduction in number of CBAM certificates in proportion to a carbon price paid in country of origin by submitting the necessary information and verifications</w:t>
      </w:r>
    </w:p>
    <w:p w:rsidR="00E64466" w:rsidRDefault="00E64466" w:rsidP="00E64466">
      <w:pPr>
        <w:numPr>
          <w:ilvl w:val="0"/>
          <w:numId w:val="13"/>
        </w:numPr>
        <w:spacing w:after="0" w:line="240" w:lineRule="auto"/>
        <w:rPr>
          <w:rFonts w:eastAsia="Times New Roman"/>
          <w:lang w:val="en-GB"/>
        </w:rPr>
      </w:pPr>
      <w:r>
        <w:rPr>
          <w:rFonts w:eastAsia="Times New Roman"/>
          <w:lang w:val="en-GB"/>
        </w:rPr>
        <w:t>Each MS designates the competent authority to carry out obligations under this Regulation</w:t>
      </w:r>
    </w:p>
    <w:p w:rsidR="00E64466" w:rsidRDefault="00E64466" w:rsidP="00E64466">
      <w:pPr>
        <w:numPr>
          <w:ilvl w:val="1"/>
          <w:numId w:val="13"/>
        </w:numPr>
        <w:spacing w:after="0" w:line="240" w:lineRule="auto"/>
        <w:rPr>
          <w:rFonts w:eastAsia="Times New Roman"/>
          <w:lang w:val="en-GB"/>
        </w:rPr>
      </w:pPr>
      <w:r>
        <w:rPr>
          <w:rFonts w:eastAsia="Times New Roman"/>
          <w:lang w:val="en-GB"/>
        </w:rPr>
        <w:t xml:space="preserve">They shall set up a national registry of authorised declarants </w:t>
      </w:r>
    </w:p>
    <w:p w:rsidR="00E64466" w:rsidRDefault="00E64466" w:rsidP="00E64466">
      <w:pPr>
        <w:numPr>
          <w:ilvl w:val="1"/>
          <w:numId w:val="13"/>
        </w:numPr>
        <w:spacing w:after="0" w:line="240" w:lineRule="auto"/>
        <w:rPr>
          <w:rFonts w:eastAsia="Times New Roman"/>
          <w:lang w:val="en-GB"/>
        </w:rPr>
      </w:pPr>
      <w:r>
        <w:rPr>
          <w:rFonts w:eastAsia="Times New Roman"/>
          <w:lang w:val="en-GB"/>
        </w:rPr>
        <w:t>They sell CBAM certificates to authorised declarants in that MS</w:t>
      </w:r>
    </w:p>
    <w:p w:rsidR="00E64466" w:rsidRDefault="00E64466" w:rsidP="00E64466">
      <w:pPr>
        <w:numPr>
          <w:ilvl w:val="0"/>
          <w:numId w:val="13"/>
        </w:numPr>
        <w:spacing w:after="0" w:line="240" w:lineRule="auto"/>
        <w:rPr>
          <w:rFonts w:eastAsia="Times New Roman"/>
          <w:lang w:val="en-GB"/>
        </w:rPr>
      </w:pPr>
      <w:r>
        <w:rPr>
          <w:rFonts w:eastAsia="Times New Roman"/>
          <w:lang w:val="en-GB"/>
        </w:rPr>
        <w:t xml:space="preserve">The Commission </w:t>
      </w:r>
    </w:p>
    <w:p w:rsidR="00E64466" w:rsidRDefault="00E64466" w:rsidP="00E64466">
      <w:pPr>
        <w:numPr>
          <w:ilvl w:val="1"/>
          <w:numId w:val="13"/>
        </w:numPr>
        <w:spacing w:after="0" w:line="240" w:lineRule="auto"/>
        <w:rPr>
          <w:rFonts w:eastAsia="Times New Roman"/>
          <w:lang w:val="en-GB"/>
        </w:rPr>
      </w:pPr>
      <w:r>
        <w:rPr>
          <w:rFonts w:eastAsia="Times New Roman"/>
          <w:lang w:val="en-GB"/>
        </w:rPr>
        <w:t>shall act as central administrator for the processes relating to CBAM certificates (purchase, holding, surrender, re-purchase, cancellation)</w:t>
      </w:r>
    </w:p>
    <w:p w:rsidR="00E64466" w:rsidRDefault="00E64466" w:rsidP="00E64466">
      <w:pPr>
        <w:numPr>
          <w:ilvl w:val="1"/>
          <w:numId w:val="13"/>
        </w:numPr>
        <w:spacing w:after="0" w:line="240" w:lineRule="auto"/>
        <w:rPr>
          <w:rFonts w:eastAsia="Times New Roman"/>
          <w:lang w:val="en-GB"/>
        </w:rPr>
      </w:pPr>
      <w:r>
        <w:rPr>
          <w:rFonts w:eastAsia="Times New Roman"/>
          <w:lang w:val="en-GB"/>
        </w:rPr>
        <w:t xml:space="preserve">calculates the CBAM price for each calendar week </w:t>
      </w:r>
    </w:p>
    <w:p w:rsidR="00E64466" w:rsidRDefault="00E64466" w:rsidP="00E64466">
      <w:pPr>
        <w:numPr>
          <w:ilvl w:val="1"/>
          <w:numId w:val="13"/>
        </w:numPr>
        <w:spacing w:after="0" w:line="240" w:lineRule="auto"/>
        <w:rPr>
          <w:rFonts w:eastAsia="Times New Roman"/>
          <w:lang w:val="en-GB"/>
        </w:rPr>
      </w:pPr>
      <w:r>
        <w:rPr>
          <w:rFonts w:eastAsia="Times New Roman"/>
          <w:lang w:val="en-GB"/>
        </w:rPr>
        <w:t>establish a central database accessible to public containing installations of third countries (see next bullet point)</w:t>
      </w:r>
    </w:p>
    <w:p w:rsidR="00E64466" w:rsidRDefault="00E64466" w:rsidP="00E64466">
      <w:pPr>
        <w:numPr>
          <w:ilvl w:val="0"/>
          <w:numId w:val="13"/>
        </w:numPr>
        <w:spacing w:after="0" w:line="240" w:lineRule="auto"/>
        <w:rPr>
          <w:rFonts w:eastAsia="Times New Roman"/>
          <w:lang w:val="en-GB"/>
        </w:rPr>
      </w:pPr>
      <w:r>
        <w:rPr>
          <w:rFonts w:eastAsia="Times New Roman"/>
          <w:lang w:val="en-GB"/>
        </w:rPr>
        <w:t>Third country installations can register to CBAM Registry, confirming their embedded emissions in goods produced (authorised declarant can then go on with this information without further verification)</w:t>
      </w:r>
    </w:p>
    <w:p w:rsidR="00E64466" w:rsidRDefault="00E64466" w:rsidP="00E64466">
      <w:pPr>
        <w:numPr>
          <w:ilvl w:val="0"/>
          <w:numId w:val="13"/>
        </w:numPr>
        <w:spacing w:after="0" w:line="240" w:lineRule="auto"/>
        <w:rPr>
          <w:rFonts w:eastAsia="Times New Roman"/>
          <w:lang w:val="en-GB"/>
        </w:rPr>
      </w:pPr>
      <w:r>
        <w:rPr>
          <w:rFonts w:eastAsia="Times New Roman"/>
          <w:lang w:val="en-GB"/>
        </w:rPr>
        <w:t>Not in the articles themselves: CBAM revenues will finance the implementation costs and “generate new own resources for the EU”</w:t>
      </w:r>
    </w:p>
    <w:p w:rsidR="00E64466" w:rsidRDefault="00E64466" w:rsidP="00E64466">
      <w:pPr>
        <w:numPr>
          <w:ilvl w:val="0"/>
          <w:numId w:val="13"/>
        </w:numPr>
        <w:spacing w:after="0" w:line="240" w:lineRule="auto"/>
        <w:rPr>
          <w:rFonts w:eastAsia="Times New Roman"/>
          <w:lang w:val="en-GB"/>
        </w:rPr>
      </w:pPr>
      <w:r>
        <w:rPr>
          <w:rFonts w:eastAsia="Times New Roman"/>
          <w:lang w:val="en-GB"/>
        </w:rPr>
        <w:t>3 years transitional period (from 1/1/2023-31/12/2025) after entering into force of the Regulation</w:t>
      </w:r>
    </w:p>
    <w:p w:rsidR="00E64466" w:rsidRDefault="00E64466" w:rsidP="00E64466">
      <w:pPr>
        <w:numPr>
          <w:ilvl w:val="1"/>
          <w:numId w:val="13"/>
        </w:numPr>
        <w:spacing w:after="0" w:line="240" w:lineRule="auto"/>
        <w:rPr>
          <w:rFonts w:eastAsia="Times New Roman"/>
          <w:lang w:val="en-GB"/>
        </w:rPr>
      </w:pPr>
      <w:r>
        <w:rPr>
          <w:rFonts w:eastAsia="Times New Roman"/>
          <w:lang w:val="en-GB"/>
        </w:rPr>
        <w:t xml:space="preserve">During which CBAM applies as a reporting obligation on declarants, aimed at collecting data and raising awareness among declarants </w:t>
      </w:r>
    </w:p>
    <w:p w:rsidR="00E64466" w:rsidRDefault="00E64466" w:rsidP="00E64466">
      <w:pPr>
        <w:numPr>
          <w:ilvl w:val="1"/>
          <w:numId w:val="13"/>
        </w:numPr>
        <w:spacing w:after="0" w:line="240" w:lineRule="auto"/>
        <w:rPr>
          <w:rFonts w:eastAsia="Times New Roman"/>
          <w:lang w:val="en-GB"/>
        </w:rPr>
      </w:pPr>
      <w:r>
        <w:rPr>
          <w:rFonts w:eastAsia="Times New Roman"/>
          <w:lang w:val="en-GB"/>
        </w:rPr>
        <w:t xml:space="preserve">Declarants will have to report on quarterly basis (CBAM report) containing information </w:t>
      </w:r>
      <w:proofErr w:type="spellStart"/>
      <w:r>
        <w:rPr>
          <w:rFonts w:eastAsia="Times New Roman"/>
          <w:lang w:val="en-GB"/>
        </w:rPr>
        <w:t>og</w:t>
      </w:r>
      <w:proofErr w:type="spellEnd"/>
      <w:r>
        <w:rPr>
          <w:rFonts w:eastAsia="Times New Roman"/>
          <w:lang w:val="en-GB"/>
        </w:rPr>
        <w:t xml:space="preserve"> goods imported </w:t>
      </w:r>
    </w:p>
    <w:p w:rsidR="00E64466" w:rsidRDefault="00E64466" w:rsidP="00E64466">
      <w:pPr>
        <w:numPr>
          <w:ilvl w:val="1"/>
          <w:numId w:val="13"/>
        </w:numPr>
        <w:spacing w:after="0" w:line="240" w:lineRule="auto"/>
        <w:rPr>
          <w:rFonts w:eastAsia="Times New Roman"/>
          <w:lang w:val="en-GB"/>
        </w:rPr>
      </w:pPr>
      <w:r>
        <w:rPr>
          <w:rFonts w:eastAsia="Times New Roman"/>
          <w:lang w:val="en-GB"/>
        </w:rPr>
        <w:t>By the end of the transitional period, the Commission shall present report with possible uptake of indirect emissions (=electricity used to produce a product) in embedded emissions and the extension to other goods</w:t>
      </w:r>
    </w:p>
    <w:p w:rsidR="00E64466" w:rsidRDefault="00E64466" w:rsidP="00E64466">
      <w:pPr>
        <w:numPr>
          <w:ilvl w:val="0"/>
          <w:numId w:val="13"/>
        </w:numPr>
        <w:spacing w:after="0" w:line="240" w:lineRule="auto"/>
        <w:rPr>
          <w:rFonts w:eastAsia="Times New Roman"/>
          <w:lang w:val="en-GB"/>
        </w:rPr>
      </w:pPr>
      <w:r>
        <w:rPr>
          <w:rFonts w:eastAsia="Times New Roman"/>
          <w:lang w:val="en-GB"/>
        </w:rPr>
        <w:t>The Commission will implement a whole bunch of implementing acts to specify various details of the Regulation</w:t>
      </w:r>
    </w:p>
    <w:p w:rsidR="00E64466" w:rsidRDefault="00E64466" w:rsidP="00E64466">
      <w:pPr>
        <w:rPr>
          <w:b/>
          <w:bCs/>
          <w:lang w:val="en-GB"/>
        </w:rPr>
      </w:pPr>
    </w:p>
    <w:p w:rsidR="00E64466" w:rsidRDefault="00E64466" w:rsidP="00E64466">
      <w:pPr>
        <w:rPr>
          <w:b/>
          <w:bCs/>
          <w:lang w:val="en-GB"/>
        </w:rPr>
      </w:pPr>
      <w:r>
        <w:rPr>
          <w:b/>
          <w:bCs/>
          <w:lang w:val="en-GB"/>
        </w:rPr>
        <w:t>First assessment &amp; open questions</w:t>
      </w:r>
    </w:p>
    <w:p w:rsidR="00E64466" w:rsidRDefault="00E64466" w:rsidP="00E64466">
      <w:pPr>
        <w:numPr>
          <w:ilvl w:val="0"/>
          <w:numId w:val="14"/>
        </w:numPr>
        <w:spacing w:after="0" w:line="240" w:lineRule="auto"/>
        <w:rPr>
          <w:rFonts w:eastAsia="Times New Roman"/>
          <w:lang w:val="en-GB"/>
        </w:rPr>
      </w:pPr>
      <w:r>
        <w:rPr>
          <w:rFonts w:eastAsia="Times New Roman"/>
          <w:lang w:val="en-GB"/>
        </w:rPr>
        <w:t>The new regulation would definitely introduce a large amount of additional administrative burden and costs for importers – due to the need of importers’ authorisation, third-party verification of emissions, purchase and surrender of certificates. (this burden would likewise apply to importers from jurisdictions where carbon pricing applies, as they still need to go through the authorisation procedure, even though they do not have to purchase and surrender any CBAM certificates because the carbon price has already been paid in the country of origin)</w:t>
      </w:r>
    </w:p>
    <w:p w:rsidR="00E64466" w:rsidRDefault="00E64466" w:rsidP="00E64466">
      <w:pPr>
        <w:numPr>
          <w:ilvl w:val="0"/>
          <w:numId w:val="14"/>
        </w:numPr>
        <w:spacing w:after="0" w:line="240" w:lineRule="auto"/>
        <w:rPr>
          <w:rFonts w:eastAsia="Times New Roman"/>
          <w:lang w:val="en-GB"/>
        </w:rPr>
      </w:pPr>
      <w:r>
        <w:rPr>
          <w:rFonts w:eastAsia="Times New Roman"/>
          <w:lang w:val="en-GB"/>
        </w:rPr>
        <w:t xml:space="preserve">It also raises a number of questions on the impact on </w:t>
      </w:r>
    </w:p>
    <w:p w:rsidR="00E64466" w:rsidRDefault="00E64466" w:rsidP="00E64466">
      <w:pPr>
        <w:numPr>
          <w:ilvl w:val="1"/>
          <w:numId w:val="14"/>
        </w:numPr>
        <w:spacing w:after="0" w:line="240" w:lineRule="auto"/>
        <w:rPr>
          <w:rFonts w:eastAsia="Times New Roman"/>
          <w:lang w:val="en-GB"/>
        </w:rPr>
      </w:pPr>
      <w:r>
        <w:rPr>
          <w:rFonts w:eastAsia="Times New Roman"/>
          <w:lang w:val="en-GB"/>
        </w:rPr>
        <w:t xml:space="preserve">small and medium sized importers: for new and smaller businesses the regulation states that companies less than 2 years old seeking import authorisation, will have to provide a guarantee proving they are able to cover the predicted cost of purchasing CBAM certificates; they have less resources to professionally certify carbon content – might be more likely ending up using the default values, which are less favourable </w:t>
      </w:r>
    </w:p>
    <w:p w:rsidR="00E64466" w:rsidRDefault="00E64466" w:rsidP="00E64466">
      <w:pPr>
        <w:numPr>
          <w:ilvl w:val="1"/>
          <w:numId w:val="14"/>
        </w:numPr>
        <w:spacing w:after="0" w:line="240" w:lineRule="auto"/>
        <w:rPr>
          <w:rFonts w:eastAsia="Times New Roman"/>
          <w:lang w:val="en-GB"/>
        </w:rPr>
      </w:pPr>
      <w:r>
        <w:rPr>
          <w:rFonts w:eastAsia="Times New Roman"/>
          <w:lang w:val="en-GB"/>
        </w:rPr>
        <w:t>developing countries</w:t>
      </w:r>
    </w:p>
    <w:p w:rsidR="00E64466" w:rsidRDefault="00E64466" w:rsidP="00E64466">
      <w:pPr>
        <w:numPr>
          <w:ilvl w:val="1"/>
          <w:numId w:val="14"/>
        </w:numPr>
        <w:spacing w:after="0" w:line="240" w:lineRule="auto"/>
        <w:rPr>
          <w:rFonts w:eastAsia="Times New Roman"/>
          <w:lang w:val="en-GB"/>
        </w:rPr>
      </w:pPr>
      <w:r>
        <w:rPr>
          <w:rFonts w:eastAsia="Times New Roman"/>
          <w:lang w:val="en-GB"/>
        </w:rPr>
        <w:t>the UK</w:t>
      </w:r>
    </w:p>
    <w:p w:rsidR="00E64466" w:rsidRDefault="00E64466" w:rsidP="00E64466">
      <w:pPr>
        <w:numPr>
          <w:ilvl w:val="1"/>
          <w:numId w:val="14"/>
        </w:numPr>
        <w:spacing w:after="0" w:line="240" w:lineRule="auto"/>
        <w:rPr>
          <w:rFonts w:eastAsia="Times New Roman"/>
          <w:lang w:val="en-GB"/>
        </w:rPr>
      </w:pPr>
      <w:r>
        <w:rPr>
          <w:rFonts w:eastAsia="Times New Roman"/>
          <w:lang w:val="en-GB"/>
        </w:rPr>
        <w:t>exports from European businesses to other countries, which would have to pay the CO2 price, lowering their competitiveness on global markets because others do not have to pay these costs</w:t>
      </w:r>
    </w:p>
    <w:p w:rsidR="00E64466" w:rsidRDefault="00E64466" w:rsidP="00E64466">
      <w:pPr>
        <w:numPr>
          <w:ilvl w:val="0"/>
          <w:numId w:val="14"/>
        </w:numPr>
        <w:spacing w:after="0" w:line="240" w:lineRule="auto"/>
        <w:rPr>
          <w:rFonts w:eastAsia="Times New Roman"/>
          <w:lang w:val="en-GB"/>
        </w:rPr>
      </w:pPr>
      <w:r>
        <w:rPr>
          <w:rFonts w:eastAsia="Times New Roman"/>
          <w:lang w:val="en-GB"/>
        </w:rPr>
        <w:lastRenderedPageBreak/>
        <w:t>It remains to be seen how third countries, which will be affected to varying degrees, will react to the proposal, as well as whether ECH's strongly demanded global actions will result in improvements in that regard.</w:t>
      </w:r>
    </w:p>
    <w:p w:rsidR="00E64466" w:rsidRDefault="00E64466" w:rsidP="00E64466">
      <w:pPr>
        <w:rPr>
          <w:lang w:val="en-GB"/>
        </w:rPr>
      </w:pPr>
    </w:p>
    <w:p w:rsidR="00E64466" w:rsidRDefault="00E64466" w:rsidP="00E64466">
      <w:pPr>
        <w:rPr>
          <w:lang w:val="en-GB"/>
        </w:rPr>
      </w:pPr>
      <w:r>
        <w:rPr>
          <w:lang w:val="en-GB"/>
        </w:rPr>
        <w:t xml:space="preserve">A </w:t>
      </w:r>
      <w:r>
        <w:rPr>
          <w:b/>
          <w:bCs/>
          <w:lang w:val="en-GB"/>
        </w:rPr>
        <w:t>good summary</w:t>
      </w:r>
      <w:r>
        <w:rPr>
          <w:lang w:val="en-GB"/>
        </w:rPr>
        <w:t xml:space="preserve"> can be found here: </w:t>
      </w:r>
      <w:hyperlink r:id="rId6" w:history="1">
        <w:r>
          <w:rPr>
            <w:rStyle w:val="Hyperlink"/>
            <w:lang w:val="en-GB"/>
          </w:rPr>
          <w:t>https://www.cer.eu/sites/default/files/insight_CBAM_EC_SL_5.7.21.pdf</w:t>
        </w:r>
      </w:hyperlink>
      <w:r>
        <w:rPr>
          <w:lang w:val="en-GB"/>
        </w:rPr>
        <w:t xml:space="preserve"> </w:t>
      </w:r>
    </w:p>
    <w:p w:rsidR="00E64466" w:rsidRDefault="00E64466" w:rsidP="00E64466">
      <w:pPr>
        <w:rPr>
          <w:lang w:val="en-GB"/>
        </w:rPr>
      </w:pPr>
      <w:r>
        <w:rPr>
          <w:lang w:val="en-GB"/>
        </w:rPr>
        <w:t xml:space="preserve">Please find </w:t>
      </w:r>
      <w:hyperlink r:id="rId7" w:history="1">
        <w:r>
          <w:rPr>
            <w:rStyle w:val="Hyperlink"/>
            <w:lang w:val="en-GB"/>
          </w:rPr>
          <w:t>here</w:t>
        </w:r>
      </w:hyperlink>
      <w:r>
        <w:rPr>
          <w:lang w:val="en-GB"/>
        </w:rPr>
        <w:t xml:space="preserve"> the ECH position on CBAM in the context of the New Trade Strategy from November 2020</w:t>
      </w:r>
    </w:p>
    <w:p w:rsidR="00E64466" w:rsidRDefault="00E64466" w:rsidP="00E64466">
      <w:pPr>
        <w:rPr>
          <w:lang w:val="en-GB"/>
        </w:rPr>
      </w:pPr>
    </w:p>
    <w:tbl>
      <w:tblPr>
        <w:tblW w:w="0" w:type="auto"/>
        <w:tblCellMar>
          <w:left w:w="0" w:type="dxa"/>
          <w:right w:w="0" w:type="dxa"/>
        </w:tblCellMar>
        <w:tblLook w:val="04A0" w:firstRow="1" w:lastRow="0" w:firstColumn="1" w:lastColumn="0" w:noHBand="0" w:noVBand="1"/>
      </w:tblPr>
      <w:tblGrid>
        <w:gridCol w:w="9350"/>
      </w:tblGrid>
      <w:tr w:rsidR="00925882" w:rsidTr="00954942">
        <w:tc>
          <w:tcPr>
            <w:tcW w:w="9350" w:type="dxa"/>
            <w:tcMar>
              <w:top w:w="0" w:type="dxa"/>
              <w:left w:w="108" w:type="dxa"/>
              <w:bottom w:w="0" w:type="dxa"/>
              <w:right w:w="108" w:type="dxa"/>
            </w:tcMar>
            <w:vAlign w:val="center"/>
          </w:tcPr>
          <w:p w:rsidR="00925882" w:rsidRDefault="00925882" w:rsidP="00954942">
            <w:pPr>
              <w:rPr>
                <w:rFonts w:ascii="Arial" w:hAnsi="Arial" w:cs="Arial"/>
                <w:color w:val="00477A"/>
                <w:sz w:val="20"/>
                <w:szCs w:val="20"/>
                <w:lang w:val="en-GB"/>
              </w:rPr>
            </w:pPr>
          </w:p>
        </w:tc>
      </w:tr>
    </w:tbl>
    <w:p w:rsidR="00925882" w:rsidRPr="00857AFD" w:rsidRDefault="00925882" w:rsidP="00857AFD">
      <w:pPr>
        <w:jc w:val="center"/>
        <w:rPr>
          <w:b/>
          <w:bCs/>
          <w:color w:val="FF0000"/>
          <w:sz w:val="24"/>
          <w:szCs w:val="24"/>
          <w:lang w:val="en-GB"/>
        </w:rPr>
      </w:pPr>
      <w:r w:rsidRPr="00857AFD">
        <w:rPr>
          <w:b/>
          <w:bCs/>
          <w:color w:val="FF0000"/>
          <w:sz w:val="24"/>
          <w:szCs w:val="24"/>
          <w:lang w:val="en-GB"/>
        </w:rPr>
        <w:t>Renewable Energy Directive (RED)</w:t>
      </w:r>
      <w:r w:rsidR="00857AFD" w:rsidRPr="00857AFD">
        <w:rPr>
          <w:b/>
          <w:bCs/>
          <w:color w:val="FF0000"/>
          <w:sz w:val="24"/>
          <w:szCs w:val="24"/>
          <w:lang w:val="en-GB"/>
        </w:rPr>
        <w:t xml:space="preserve">; </w:t>
      </w:r>
      <w:proofErr w:type="spellStart"/>
      <w:r w:rsidR="00857AFD" w:rsidRPr="00857AFD">
        <w:rPr>
          <w:b/>
          <w:bCs/>
          <w:color w:val="FF0000"/>
          <w:sz w:val="24"/>
          <w:szCs w:val="24"/>
          <w:lang w:val="en-GB"/>
        </w:rPr>
        <w:t>Atsinaujinančios</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Energijos</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Direktyva</w:t>
      </w:r>
      <w:proofErr w:type="spellEnd"/>
    </w:p>
    <w:p w:rsidR="00857AFD" w:rsidRDefault="00857AFD" w:rsidP="00925882"/>
    <w:p w:rsidR="00925882" w:rsidRDefault="00925882" w:rsidP="00925882">
      <w:r>
        <w:t>The RED performs two main roles: defining what energy sources are regarded as ‘renewable’ and determining binding targets for renewables in Europe’s energy mix.</w:t>
      </w:r>
    </w:p>
    <w:p w:rsidR="00925882" w:rsidRDefault="00925882" w:rsidP="00925882">
      <w:r>
        <w:t xml:space="preserve">The Commission foresees a series of amendments in this area. </w:t>
      </w:r>
    </w:p>
    <w:p w:rsidR="00925882" w:rsidRDefault="00925882" w:rsidP="00925882">
      <w:pPr>
        <w:numPr>
          <w:ilvl w:val="0"/>
          <w:numId w:val="15"/>
        </w:numPr>
        <w:spacing w:after="0" w:line="240" w:lineRule="auto"/>
        <w:jc w:val="both"/>
        <w:rPr>
          <w:rFonts w:eastAsia="Times New Roman"/>
          <w:lang w:val="en-GB"/>
        </w:rPr>
      </w:pPr>
      <w:r>
        <w:rPr>
          <w:rFonts w:eastAsia="Times New Roman"/>
          <w:lang w:val="en-GB"/>
        </w:rPr>
        <w:t>A definition on renewable hydrogen is delivered</w:t>
      </w:r>
    </w:p>
    <w:p w:rsidR="00925882" w:rsidRDefault="00925882" w:rsidP="00925882">
      <w:pPr>
        <w:numPr>
          <w:ilvl w:val="0"/>
          <w:numId w:val="15"/>
        </w:numPr>
        <w:spacing w:after="0" w:line="240" w:lineRule="auto"/>
        <w:jc w:val="both"/>
        <w:rPr>
          <w:rFonts w:eastAsia="Times New Roman"/>
          <w:lang w:val="en-GB"/>
        </w:rPr>
      </w:pPr>
      <w:r>
        <w:rPr>
          <w:rFonts w:eastAsia="Times New Roman"/>
        </w:rPr>
        <w:t xml:space="preserve">The </w:t>
      </w:r>
      <w:r>
        <w:rPr>
          <w:rFonts w:eastAsia="Times New Roman"/>
          <w:b/>
          <w:bCs/>
        </w:rPr>
        <w:t>overall target</w:t>
      </w:r>
      <w:r>
        <w:rPr>
          <w:rFonts w:eastAsia="Times New Roman"/>
        </w:rPr>
        <w:t xml:space="preserve"> for renewable energy in the Union’s gross final energy consumption by 2030 is increased to </w:t>
      </w:r>
      <w:r>
        <w:rPr>
          <w:rFonts w:eastAsia="Times New Roman"/>
          <w:b/>
          <w:bCs/>
        </w:rPr>
        <w:t>at least 40%</w:t>
      </w:r>
      <w:r>
        <w:rPr>
          <w:rFonts w:eastAsia="Times New Roman"/>
        </w:rPr>
        <w:t xml:space="preserve"> (from at least 32%)</w:t>
      </w:r>
    </w:p>
    <w:p w:rsidR="00925882" w:rsidRDefault="00925882" w:rsidP="00925882">
      <w:pPr>
        <w:numPr>
          <w:ilvl w:val="0"/>
          <w:numId w:val="15"/>
        </w:numPr>
        <w:spacing w:after="0" w:line="240" w:lineRule="auto"/>
        <w:jc w:val="both"/>
        <w:rPr>
          <w:rFonts w:eastAsia="Times New Roman"/>
          <w:lang w:val="en-GB"/>
        </w:rPr>
      </w:pPr>
      <w:r>
        <w:rPr>
          <w:rFonts w:eastAsia="Times New Roman"/>
          <w:lang w:val="en-GB"/>
        </w:rPr>
        <w:t>Introduction of stronger provisions to minimise distortive effects on the biomass raw material market resulting from support schemes, and to avoid supporting certain raw materials for energy production in line with the cascading principle + obligation to phase out support for electricity production from biomass from 2026 (some exceptions)</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Obligation of MS to establish framework to enable deployment of renewable electricity, supporting the uptake of renewable power purchase agreements; this framework shall tackle remaining barriers related to permitting procedures</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Art 7 RED II on calculation method is updated:</w:t>
      </w:r>
    </w:p>
    <w:p w:rsidR="00925882" w:rsidRDefault="00925882" w:rsidP="00925882">
      <w:pPr>
        <w:numPr>
          <w:ilvl w:val="1"/>
          <w:numId w:val="16"/>
        </w:numPr>
        <w:spacing w:after="0" w:line="240" w:lineRule="auto"/>
        <w:jc w:val="both"/>
        <w:rPr>
          <w:rFonts w:eastAsia="Times New Roman"/>
          <w:lang w:val="en-GB"/>
        </w:rPr>
      </w:pPr>
      <w:r>
        <w:rPr>
          <w:rFonts w:eastAsia="Times New Roman"/>
        </w:rPr>
        <w:t xml:space="preserve">energy from renewable fuels of non-biological origin </w:t>
      </w:r>
      <w:r>
        <w:rPr>
          <w:rFonts w:eastAsia="Times New Roman"/>
          <w:lang w:val="en-GB"/>
        </w:rPr>
        <w:t>(</w:t>
      </w:r>
      <w:proofErr w:type="spellStart"/>
      <w:r>
        <w:rPr>
          <w:rFonts w:eastAsia="Times New Roman"/>
          <w:lang w:val="en-GB"/>
        </w:rPr>
        <w:t>eg</w:t>
      </w:r>
      <w:proofErr w:type="spellEnd"/>
      <w:r>
        <w:rPr>
          <w:rFonts w:eastAsia="Times New Roman"/>
          <w:lang w:val="en-GB"/>
        </w:rPr>
        <w:t xml:space="preserve"> H2) </w:t>
      </w:r>
      <w:r>
        <w:rPr>
          <w:rFonts w:eastAsia="Times New Roman"/>
        </w:rPr>
        <w:t xml:space="preserve">must be accounted in the sector in which it is consumed (electricity, heating and cooling or transport), and </w:t>
      </w:r>
    </w:p>
    <w:p w:rsidR="00925882" w:rsidRDefault="00925882" w:rsidP="00925882">
      <w:pPr>
        <w:numPr>
          <w:ilvl w:val="1"/>
          <w:numId w:val="16"/>
        </w:numPr>
        <w:spacing w:after="0" w:line="240" w:lineRule="auto"/>
        <w:jc w:val="both"/>
        <w:rPr>
          <w:rFonts w:eastAsia="Times New Roman"/>
          <w:lang w:val="en-GB"/>
        </w:rPr>
      </w:pPr>
      <w:r>
        <w:rPr>
          <w:rFonts w:eastAsia="Times New Roman"/>
        </w:rPr>
        <w:t>the renewable electricity used to produce renewable fuels of non-biological origin is not included in the calculation of the gross final consumption of electricity from renewable sources in the Member State</w:t>
      </w:r>
    </w:p>
    <w:p w:rsidR="00925882" w:rsidRDefault="00925882" w:rsidP="00925882">
      <w:pPr>
        <w:numPr>
          <w:ilvl w:val="1"/>
          <w:numId w:val="16"/>
        </w:numPr>
        <w:spacing w:after="0" w:line="240" w:lineRule="auto"/>
        <w:jc w:val="both"/>
        <w:rPr>
          <w:rFonts w:eastAsia="Times New Roman"/>
          <w:lang w:val="en-GB"/>
        </w:rPr>
      </w:pPr>
      <w:r>
        <w:rPr>
          <w:rFonts w:ascii="Wingdings" w:eastAsia="Times New Roman" w:hAnsi="Wingdings"/>
          <w:lang w:val="en-GB"/>
        </w:rPr>
        <w:t></w:t>
      </w:r>
      <w:r>
        <w:rPr>
          <w:rFonts w:eastAsia="Times New Roman"/>
          <w:lang w:val="en-GB"/>
        </w:rPr>
        <w:t xml:space="preserve"> H2 production was former counted towards the electricity sector, now it will be counted towards the sector, where it is consumed</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MS are obliged to establish at least 1 cross border pilot project within 3 years (by end of 2025)</w:t>
      </w:r>
    </w:p>
    <w:p w:rsidR="00925882" w:rsidRDefault="00925882" w:rsidP="00925882">
      <w:pPr>
        <w:numPr>
          <w:ilvl w:val="0"/>
          <w:numId w:val="16"/>
        </w:numPr>
        <w:spacing w:after="0" w:line="240" w:lineRule="auto"/>
        <w:jc w:val="both"/>
        <w:rPr>
          <w:rFonts w:eastAsia="Times New Roman"/>
          <w:b/>
          <w:bCs/>
          <w:lang w:val="en-GB"/>
        </w:rPr>
      </w:pPr>
      <w:r>
        <w:rPr>
          <w:rFonts w:eastAsia="Times New Roman"/>
          <w:b/>
          <w:bCs/>
          <w:lang w:val="en-GB"/>
        </w:rPr>
        <w:t>New/adopted targets:</w:t>
      </w:r>
    </w:p>
    <w:p w:rsidR="00925882" w:rsidRDefault="00925882" w:rsidP="00925882">
      <w:pPr>
        <w:numPr>
          <w:ilvl w:val="1"/>
          <w:numId w:val="16"/>
        </w:numPr>
        <w:spacing w:after="0" w:line="240" w:lineRule="auto"/>
        <w:jc w:val="both"/>
        <w:rPr>
          <w:rFonts w:eastAsia="Times New Roman"/>
          <w:lang w:val="en-GB"/>
        </w:rPr>
      </w:pPr>
      <w:r>
        <w:rPr>
          <w:rFonts w:eastAsia="Times New Roman"/>
          <w:lang w:val="en-GB"/>
        </w:rPr>
        <w:t>Indicative target for renewables in building sector in 2030 of 49% (in line with provisions of EPBD + link to efficient district and heating and cooling systems as newly defined in EED recast)</w:t>
      </w:r>
    </w:p>
    <w:p w:rsidR="00925882" w:rsidRDefault="00925882" w:rsidP="00925882">
      <w:pPr>
        <w:numPr>
          <w:ilvl w:val="2"/>
          <w:numId w:val="16"/>
        </w:numPr>
        <w:spacing w:after="0" w:line="240" w:lineRule="auto"/>
        <w:jc w:val="both"/>
        <w:rPr>
          <w:rFonts w:eastAsia="Times New Roman"/>
          <w:lang w:val="en-GB"/>
        </w:rPr>
      </w:pPr>
      <w:r>
        <w:rPr>
          <w:rFonts w:eastAsia="Times New Roman"/>
          <w:lang w:val="en-GB"/>
        </w:rPr>
        <w:t>Public buildings shall fulfil exemplary role</w:t>
      </w:r>
    </w:p>
    <w:p w:rsidR="00925882" w:rsidRDefault="00925882" w:rsidP="00925882">
      <w:pPr>
        <w:numPr>
          <w:ilvl w:val="2"/>
          <w:numId w:val="16"/>
        </w:numPr>
        <w:spacing w:after="0" w:line="240" w:lineRule="auto"/>
        <w:jc w:val="both"/>
        <w:rPr>
          <w:rFonts w:eastAsia="Times New Roman"/>
          <w:lang w:val="en-GB"/>
        </w:rPr>
      </w:pPr>
      <w:r>
        <w:rPr>
          <w:rFonts w:eastAsia="Times New Roman"/>
          <w:lang w:val="en-GB"/>
        </w:rPr>
        <w:t>MS may provide for the roofs of public or mixed private-public buildings to be used by third parties for renewable installations</w:t>
      </w:r>
    </w:p>
    <w:p w:rsidR="00925882" w:rsidRDefault="00925882" w:rsidP="00925882">
      <w:pPr>
        <w:numPr>
          <w:ilvl w:val="1"/>
          <w:numId w:val="16"/>
        </w:numPr>
        <w:spacing w:after="0" w:line="240" w:lineRule="auto"/>
        <w:jc w:val="both"/>
        <w:rPr>
          <w:rFonts w:eastAsia="Times New Roman"/>
          <w:lang w:val="en-GB"/>
        </w:rPr>
      </w:pPr>
      <w:r>
        <w:rPr>
          <w:rFonts w:eastAsia="Times New Roman"/>
          <w:lang w:val="en-GB"/>
        </w:rPr>
        <w:t>Indicative target of annual increase of renewable energy of 1.1% for industry + binding target of renewable h2 of 50% of total H2 used as feedstock or energy carrier in industry by 2030</w:t>
      </w:r>
    </w:p>
    <w:p w:rsidR="00925882" w:rsidRDefault="00925882" w:rsidP="00925882">
      <w:pPr>
        <w:numPr>
          <w:ilvl w:val="1"/>
          <w:numId w:val="16"/>
        </w:numPr>
        <w:spacing w:after="0" w:line="240" w:lineRule="auto"/>
        <w:jc w:val="both"/>
        <w:rPr>
          <w:rFonts w:eastAsia="Times New Roman"/>
          <w:lang w:val="en-GB"/>
        </w:rPr>
      </w:pPr>
      <w:r>
        <w:rPr>
          <w:rFonts w:eastAsia="Times New Roman"/>
          <w:lang w:val="en-GB"/>
        </w:rPr>
        <w:lastRenderedPageBreak/>
        <w:t>Industrial products that are labelled as green, shall indicate the % of renewable energy following a common EU-wide methodology</w:t>
      </w:r>
    </w:p>
    <w:p w:rsidR="00925882" w:rsidRDefault="00925882" w:rsidP="00925882">
      <w:pPr>
        <w:numPr>
          <w:ilvl w:val="1"/>
          <w:numId w:val="16"/>
        </w:numPr>
        <w:spacing w:after="0" w:line="240" w:lineRule="auto"/>
        <w:jc w:val="both"/>
        <w:rPr>
          <w:rFonts w:eastAsia="Times New Roman"/>
          <w:lang w:val="en-GB"/>
        </w:rPr>
      </w:pPr>
      <w:r>
        <w:rPr>
          <w:rFonts w:eastAsia="Times New Roman"/>
          <w:lang w:val="en-GB"/>
        </w:rPr>
        <w:t>1.1% annual increase in heating and cooling becomes binding + MS required to carry out assessment of their potential of energy from renewable sources and use of waste heat and cold in the heating and cooling sector</w:t>
      </w:r>
    </w:p>
    <w:p w:rsidR="00925882" w:rsidRDefault="00925882" w:rsidP="00925882">
      <w:pPr>
        <w:numPr>
          <w:ilvl w:val="1"/>
          <w:numId w:val="16"/>
        </w:numPr>
        <w:spacing w:after="0" w:line="240" w:lineRule="auto"/>
        <w:jc w:val="both"/>
        <w:rPr>
          <w:rFonts w:eastAsia="Times New Roman"/>
          <w:lang w:val="en-GB"/>
        </w:rPr>
      </w:pPr>
      <w:r>
        <w:rPr>
          <w:rFonts w:eastAsia="Times New Roman"/>
          <w:lang w:val="en-GB"/>
        </w:rPr>
        <w:t>2.1% of energy from renewables and waste heat and cold in district heating and cooling indicative (former 1%)</w:t>
      </w:r>
    </w:p>
    <w:p w:rsidR="00925882" w:rsidRDefault="00925882" w:rsidP="00925882">
      <w:pPr>
        <w:numPr>
          <w:ilvl w:val="1"/>
          <w:numId w:val="16"/>
        </w:numPr>
        <w:spacing w:after="0" w:line="240" w:lineRule="auto"/>
        <w:jc w:val="both"/>
        <w:rPr>
          <w:rFonts w:eastAsia="Times New Roman"/>
          <w:lang w:val="en-GB"/>
        </w:rPr>
      </w:pPr>
      <w:r>
        <w:rPr>
          <w:rFonts w:eastAsia="Times New Roman"/>
          <w:lang w:val="en-GB"/>
        </w:rPr>
        <w:t>The ambition level of renewables in transport is increased by setting a 13% GHG intensity reduction target + increase sub-target for advanced biofuels from at least 0.2% in 2022 to 0.5% in 2025 and 2.2% in 2030 + new 2.6% sub-target for RFNBOs (renewable fuels of non-biological origin)</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Adjusted paragraphs to fight shortage of qualified installers of renewable heating and cooling systems</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MS shall now ensure the issuance of guarantees of origin (GO) also for producers that received financial support (links to changes related to PPA)</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MS are required to develop efficient DHC where relevant to promote heating and cooling from RES</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Some new requirements to facilitate system integration of renewable electricity</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Multipliers associated to certain renewable fuels and renewable electricity used in transport are removed</w:t>
      </w:r>
    </w:p>
    <w:p w:rsidR="00925882" w:rsidRDefault="00925882" w:rsidP="00925882">
      <w:pPr>
        <w:numPr>
          <w:ilvl w:val="0"/>
          <w:numId w:val="16"/>
        </w:numPr>
        <w:spacing w:after="0" w:line="240" w:lineRule="auto"/>
        <w:jc w:val="both"/>
        <w:rPr>
          <w:rFonts w:eastAsia="Times New Roman"/>
          <w:lang w:val="en-GB"/>
        </w:rPr>
      </w:pPr>
      <w:r>
        <w:rPr>
          <w:rFonts w:eastAsia="Times New Roman"/>
          <w:lang w:val="en-GB"/>
        </w:rPr>
        <w:t xml:space="preserve">Several adaptations on the current sustainability criteria for biofuels, </w:t>
      </w:r>
      <w:proofErr w:type="spellStart"/>
      <w:r>
        <w:rPr>
          <w:rFonts w:eastAsia="Times New Roman"/>
          <w:lang w:val="en-GB"/>
        </w:rPr>
        <w:t>bioliquids</w:t>
      </w:r>
      <w:proofErr w:type="spellEnd"/>
      <w:r>
        <w:rPr>
          <w:rFonts w:eastAsia="Times New Roman"/>
          <w:lang w:val="en-GB"/>
        </w:rPr>
        <w:t xml:space="preserve"> and biomass fuels</w:t>
      </w:r>
    </w:p>
    <w:p w:rsidR="00925882" w:rsidRDefault="00925882" w:rsidP="00925882">
      <w:pPr>
        <w:rPr>
          <w:lang w:val="en-GB"/>
        </w:rPr>
      </w:pPr>
    </w:p>
    <w:p w:rsidR="00925882" w:rsidRDefault="00925882" w:rsidP="00925882">
      <w:pPr>
        <w:rPr>
          <w:b/>
          <w:bCs/>
          <w:lang w:val="en-GB"/>
        </w:rPr>
      </w:pPr>
      <w:r>
        <w:rPr>
          <w:b/>
          <w:bCs/>
          <w:lang w:val="en-GB"/>
        </w:rPr>
        <w:t>First assessment</w:t>
      </w:r>
    </w:p>
    <w:p w:rsidR="00925882" w:rsidRDefault="00925882" w:rsidP="00925882">
      <w:pPr>
        <w:numPr>
          <w:ilvl w:val="0"/>
          <w:numId w:val="17"/>
        </w:numPr>
        <w:spacing w:after="160" w:line="252" w:lineRule="auto"/>
        <w:contextualSpacing/>
        <w:rPr>
          <w:rFonts w:eastAsia="Times New Roman"/>
          <w:lang w:val="en-GB"/>
        </w:rPr>
      </w:pPr>
      <w:r>
        <w:rPr>
          <w:rFonts w:eastAsia="Times New Roman"/>
          <w:lang w:val="en-GB"/>
        </w:rPr>
        <w:t>Stricter overall goal and several new sectoral targets will be very challenging to reach</w:t>
      </w:r>
    </w:p>
    <w:p w:rsidR="00925882" w:rsidRDefault="00925882" w:rsidP="00925882">
      <w:pPr>
        <w:numPr>
          <w:ilvl w:val="0"/>
          <w:numId w:val="17"/>
        </w:numPr>
        <w:spacing w:after="160" w:line="252" w:lineRule="auto"/>
        <w:contextualSpacing/>
        <w:rPr>
          <w:rFonts w:eastAsia="Times New Roman"/>
          <w:lang w:val="en-GB"/>
        </w:rPr>
      </w:pPr>
      <w:r>
        <w:rPr>
          <w:rFonts w:eastAsia="Times New Roman"/>
          <w:lang w:val="en-GB"/>
        </w:rPr>
        <w:t>Industry is covered by the ETS and thus already obliged to take measures - additional targets seem excessive</w:t>
      </w:r>
    </w:p>
    <w:p w:rsidR="00925882" w:rsidRDefault="00925882" w:rsidP="00925882">
      <w:pPr>
        <w:numPr>
          <w:ilvl w:val="0"/>
          <w:numId w:val="17"/>
        </w:numPr>
        <w:spacing w:after="160" w:line="252" w:lineRule="auto"/>
        <w:contextualSpacing/>
        <w:rPr>
          <w:rFonts w:eastAsia="Times New Roman"/>
          <w:lang w:val="en-GB"/>
        </w:rPr>
      </w:pPr>
      <w:r>
        <w:rPr>
          <w:rFonts w:eastAsia="Times New Roman"/>
          <w:lang w:val="en-GB"/>
        </w:rPr>
        <w:t>Positive to try to tackle permitting procedures and uptake of PPA - depend on national implementation</w:t>
      </w:r>
    </w:p>
    <w:p w:rsidR="00925882" w:rsidRDefault="00925882" w:rsidP="00925882">
      <w:pPr>
        <w:rPr>
          <w:lang w:val="en-GB"/>
        </w:rPr>
      </w:pPr>
    </w:p>
    <w:p w:rsidR="00925882" w:rsidRDefault="00925882" w:rsidP="00925882">
      <w:pPr>
        <w:rPr>
          <w:lang w:val="en-GB"/>
        </w:rPr>
      </w:pPr>
    </w:p>
    <w:p w:rsidR="00925882" w:rsidRPr="00857AFD" w:rsidRDefault="00925882" w:rsidP="00857AFD">
      <w:pPr>
        <w:jc w:val="center"/>
        <w:rPr>
          <w:b/>
          <w:bCs/>
          <w:color w:val="FF0000"/>
          <w:sz w:val="24"/>
          <w:szCs w:val="24"/>
          <w:lang w:val="en-GB"/>
        </w:rPr>
      </w:pPr>
      <w:r w:rsidRPr="00857AFD">
        <w:rPr>
          <w:b/>
          <w:bCs/>
          <w:color w:val="FF0000"/>
          <w:sz w:val="24"/>
          <w:szCs w:val="24"/>
          <w:lang w:val="en-GB"/>
        </w:rPr>
        <w:t>Energy Efficiency Directive (EED)</w:t>
      </w:r>
      <w:r w:rsidR="00857AFD" w:rsidRPr="00857AFD">
        <w:rPr>
          <w:b/>
          <w:bCs/>
          <w:color w:val="FF0000"/>
          <w:sz w:val="24"/>
          <w:szCs w:val="24"/>
          <w:lang w:val="en-GB"/>
        </w:rPr>
        <w:t xml:space="preserve">; </w:t>
      </w:r>
      <w:proofErr w:type="spellStart"/>
      <w:r w:rsidR="00857AFD" w:rsidRPr="00857AFD">
        <w:rPr>
          <w:b/>
          <w:bCs/>
          <w:color w:val="FF0000"/>
          <w:sz w:val="24"/>
          <w:szCs w:val="24"/>
          <w:lang w:val="en-GB"/>
        </w:rPr>
        <w:t>Energijos</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Efektyvumo</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Direktyva</w:t>
      </w:r>
      <w:proofErr w:type="spellEnd"/>
    </w:p>
    <w:p w:rsidR="00857AFD" w:rsidRDefault="00857AFD" w:rsidP="00925882">
      <w:pPr>
        <w:rPr>
          <w:lang w:val="en-GB"/>
        </w:rPr>
      </w:pPr>
    </w:p>
    <w:p w:rsidR="00925882" w:rsidRDefault="00925882" w:rsidP="00925882">
      <w:pPr>
        <w:rPr>
          <w:lang w:val="en-GB"/>
        </w:rPr>
      </w:pPr>
      <w:r>
        <w:rPr>
          <w:lang w:val="en-GB"/>
        </w:rPr>
        <w:t>Last revised in 2018, the EED aims to achieve savings of at least 32.5% by 2030. This Union-wide target is currently non-binding but the Commission proposes to make it a legal obligation.</w:t>
      </w:r>
    </w:p>
    <w:p w:rsidR="00925882" w:rsidRDefault="00925882" w:rsidP="00925882">
      <w:pPr>
        <w:rPr>
          <w:lang w:val="en-GB"/>
        </w:rPr>
      </w:pPr>
      <w:r>
        <w:rPr>
          <w:lang w:val="en-GB"/>
        </w:rPr>
        <w:t>At the same time it intends to maintain indicative national energy efficiency targets for 2030.</w:t>
      </w:r>
    </w:p>
    <w:p w:rsidR="00925882" w:rsidRDefault="00925882" w:rsidP="00925882">
      <w:pPr>
        <w:rPr>
          <w:u w:val="single"/>
          <w:lang w:val="en-GB"/>
        </w:rPr>
      </w:pPr>
    </w:p>
    <w:p w:rsidR="00925882" w:rsidRDefault="00925882" w:rsidP="00925882">
      <w:pPr>
        <w:rPr>
          <w:u w:val="single"/>
          <w:lang w:val="en-GB"/>
        </w:rPr>
      </w:pPr>
      <w:r>
        <w:rPr>
          <w:u w:val="single"/>
          <w:lang w:val="en-GB"/>
        </w:rPr>
        <w:t>Key changes</w:t>
      </w:r>
    </w:p>
    <w:p w:rsidR="00925882" w:rsidRDefault="00925882" w:rsidP="00925882">
      <w:pPr>
        <w:numPr>
          <w:ilvl w:val="0"/>
          <w:numId w:val="18"/>
        </w:numPr>
        <w:spacing w:after="160" w:line="252" w:lineRule="auto"/>
        <w:contextualSpacing/>
        <w:rPr>
          <w:rFonts w:eastAsia="Times New Roman"/>
          <w:lang w:val="en-GB"/>
        </w:rPr>
      </w:pPr>
      <w:r>
        <w:rPr>
          <w:rFonts w:eastAsia="Times New Roman"/>
          <w:lang w:val="en-GB"/>
        </w:rPr>
        <w:t>MS shall collectively ensure a reduction of energy consumption of at least 9% (was not binding before)</w:t>
      </w:r>
    </w:p>
    <w:p w:rsidR="00925882" w:rsidRDefault="00925882" w:rsidP="00925882">
      <w:pPr>
        <w:numPr>
          <w:ilvl w:val="1"/>
          <w:numId w:val="18"/>
        </w:numPr>
        <w:spacing w:after="160" w:line="252" w:lineRule="auto"/>
        <w:contextualSpacing/>
        <w:rPr>
          <w:rFonts w:eastAsia="Times New Roman"/>
          <w:lang w:val="en-GB"/>
        </w:rPr>
      </w:pPr>
      <w:r>
        <w:rPr>
          <w:rFonts w:eastAsia="Times New Roman"/>
          <w:lang w:val="en-GB"/>
        </w:rPr>
        <w:t>Change in accounting! The reference Scenario used is now 2020 (2020 Reference Scenario projections for 2030), and not anymore the 2007 (2007 Reference Scenario projections for 2030)</w:t>
      </w:r>
    </w:p>
    <w:p w:rsidR="00925882" w:rsidRDefault="00925882" w:rsidP="00925882">
      <w:pPr>
        <w:numPr>
          <w:ilvl w:val="1"/>
          <w:numId w:val="18"/>
        </w:numPr>
        <w:spacing w:after="160" w:line="252" w:lineRule="auto"/>
        <w:contextualSpacing/>
        <w:rPr>
          <w:rFonts w:eastAsia="Times New Roman"/>
          <w:lang w:val="en-GB"/>
        </w:rPr>
      </w:pPr>
      <w:r>
        <w:rPr>
          <w:rFonts w:eastAsia="Times New Roman"/>
          <w:lang w:val="en-GB"/>
        </w:rPr>
        <w:lastRenderedPageBreak/>
        <w:t>Expressed as with the former calculation method it c</w:t>
      </w:r>
      <w:proofErr w:type="spellStart"/>
      <w:r>
        <w:rPr>
          <w:rFonts w:eastAsia="Times New Roman"/>
        </w:rPr>
        <w:t>orrespond</w:t>
      </w:r>
      <w:proofErr w:type="spellEnd"/>
      <w:r>
        <w:rPr>
          <w:rFonts w:eastAsia="Times New Roman"/>
          <w:lang w:val="en-GB"/>
        </w:rPr>
        <w:t>s</w:t>
      </w:r>
      <w:r>
        <w:rPr>
          <w:rFonts w:eastAsia="Times New Roman"/>
        </w:rPr>
        <w:t xml:space="preserve"> to a reduction of 36% for final and 39% for primary energy consumption</w:t>
      </w:r>
    </w:p>
    <w:p w:rsidR="00925882" w:rsidRDefault="00925882" w:rsidP="00925882">
      <w:pPr>
        <w:numPr>
          <w:ilvl w:val="1"/>
          <w:numId w:val="18"/>
        </w:numPr>
        <w:spacing w:after="160" w:line="252" w:lineRule="auto"/>
        <w:contextualSpacing/>
        <w:rPr>
          <w:rFonts w:eastAsia="Times New Roman"/>
          <w:lang w:val="en-GB"/>
        </w:rPr>
      </w:pPr>
      <w:r>
        <w:rPr>
          <w:rFonts w:eastAsia="Times New Roman"/>
          <w:lang w:val="en-GB"/>
        </w:rPr>
        <w:t>The 9% reflect additional efforts necessary</w:t>
      </w:r>
      <w:r>
        <w:rPr>
          <w:rFonts w:eastAsia="Times New Roman"/>
        </w:rPr>
        <w:t xml:space="preserve"> compared to the</w:t>
      </w:r>
      <w:r>
        <w:rPr>
          <w:rFonts w:eastAsia="Times New Roman"/>
          <w:lang w:val="en-GB"/>
        </w:rPr>
        <w:t xml:space="preserve"> ones</w:t>
      </w:r>
      <w:r>
        <w:rPr>
          <w:rFonts w:eastAsia="Times New Roman"/>
        </w:rPr>
        <w:t xml:space="preserve"> in place or indicated in the </w:t>
      </w:r>
      <w:r>
        <w:rPr>
          <w:rFonts w:eastAsia="Times New Roman"/>
          <w:lang w:val="en-GB"/>
        </w:rPr>
        <w:t>NECPs</w:t>
      </w:r>
    </w:p>
    <w:p w:rsidR="00925882" w:rsidRDefault="00925882" w:rsidP="00925882">
      <w:pPr>
        <w:numPr>
          <w:ilvl w:val="0"/>
          <w:numId w:val="18"/>
        </w:numPr>
        <w:spacing w:after="0" w:line="240" w:lineRule="auto"/>
        <w:rPr>
          <w:rFonts w:eastAsia="Times New Roman"/>
          <w:lang w:val="en-GB"/>
        </w:rPr>
      </w:pPr>
      <w:r>
        <w:rPr>
          <w:rFonts w:eastAsia="Times New Roman"/>
          <w:lang w:val="en-GB"/>
        </w:rPr>
        <w:t>National contributions remain indicative (strong opposition by majority of MS), but benchmarks and new delivery gap mechanisms are proposed (…)</w:t>
      </w:r>
    </w:p>
    <w:p w:rsidR="00925882" w:rsidRDefault="00925882" w:rsidP="00925882">
      <w:pPr>
        <w:numPr>
          <w:ilvl w:val="0"/>
          <w:numId w:val="18"/>
        </w:numPr>
        <w:spacing w:after="0" w:line="240" w:lineRule="auto"/>
        <w:rPr>
          <w:rFonts w:eastAsia="Times New Roman"/>
          <w:lang w:val="en-GB"/>
        </w:rPr>
      </w:pPr>
      <w:r>
        <w:rPr>
          <w:rFonts w:eastAsia="Times New Roman"/>
          <w:lang w:val="en-GB"/>
        </w:rPr>
        <w:t>Art 3 enshrines the Energy Efficiency First principle into EU law. It shall become a guiding principle of the EU energy policy and be taken into account across all sectors, also the financial sector</w:t>
      </w:r>
    </w:p>
    <w:p w:rsidR="00925882" w:rsidRDefault="00925882" w:rsidP="00925882">
      <w:pPr>
        <w:numPr>
          <w:ilvl w:val="0"/>
          <w:numId w:val="18"/>
        </w:numPr>
        <w:spacing w:after="0" w:line="240" w:lineRule="auto"/>
        <w:rPr>
          <w:rFonts w:eastAsia="Times New Roman"/>
          <w:lang w:val="en-GB"/>
        </w:rPr>
      </w:pPr>
      <w:r>
        <w:rPr>
          <w:rFonts w:eastAsia="Times New Roman"/>
          <w:lang w:val="en-GB"/>
        </w:rPr>
        <w:t>The public sector shall take on a leading role</w:t>
      </w:r>
    </w:p>
    <w:p w:rsidR="00925882" w:rsidRDefault="00925882" w:rsidP="00925882">
      <w:pPr>
        <w:numPr>
          <w:ilvl w:val="1"/>
          <w:numId w:val="18"/>
        </w:numPr>
        <w:spacing w:after="0" w:line="240" w:lineRule="auto"/>
        <w:rPr>
          <w:rFonts w:eastAsia="Times New Roman"/>
          <w:lang w:val="en-GB"/>
        </w:rPr>
      </w:pPr>
      <w:r>
        <w:rPr>
          <w:rFonts w:eastAsia="Times New Roman"/>
          <w:lang w:val="en-GB"/>
        </w:rPr>
        <w:t>Art 5 introduces the obligation on the public sector to reduce its energy consumption of all public bodies by 1.7% each year</w:t>
      </w:r>
    </w:p>
    <w:p w:rsidR="00925882" w:rsidRDefault="00925882" w:rsidP="00925882">
      <w:pPr>
        <w:numPr>
          <w:ilvl w:val="1"/>
          <w:numId w:val="18"/>
        </w:numPr>
        <w:spacing w:after="0" w:line="240" w:lineRule="auto"/>
        <w:rPr>
          <w:rFonts w:eastAsia="Times New Roman"/>
          <w:lang w:val="en-GB"/>
        </w:rPr>
      </w:pPr>
      <w:r>
        <w:rPr>
          <w:rFonts w:eastAsia="Times New Roman"/>
          <w:lang w:val="en-GB"/>
        </w:rPr>
        <w:t>Art 6 broadens the scope of the renovation obligation (currently at 3% per year) to at least 3% to all public bodies at all administration levels and in all sectors of public bodies’ activities (including healthcare, education, etc. where buildings are owned by public bodies); those public buildings should at least be transformed into nearly-zero-energy buildings</w:t>
      </w:r>
    </w:p>
    <w:p w:rsidR="00925882" w:rsidRDefault="00925882" w:rsidP="00925882">
      <w:pPr>
        <w:numPr>
          <w:ilvl w:val="1"/>
          <w:numId w:val="18"/>
        </w:numPr>
        <w:spacing w:after="160" w:line="252" w:lineRule="auto"/>
        <w:contextualSpacing/>
        <w:rPr>
          <w:rFonts w:eastAsia="Times New Roman"/>
          <w:lang w:val="en-GB"/>
        </w:rPr>
      </w:pPr>
      <w:r>
        <w:rPr>
          <w:rFonts w:eastAsia="Times New Roman"/>
          <w:lang w:val="en-GB"/>
        </w:rPr>
        <w:t xml:space="preserve">Art 7 strengthens public procurement provisions, obliging all administrative levels to take into account the energy efficiency first principle, removing </w:t>
      </w:r>
      <w:proofErr w:type="spellStart"/>
      <w:r>
        <w:rPr>
          <w:rFonts w:eastAsia="Times New Roman"/>
          <w:lang w:val="en-GB"/>
        </w:rPr>
        <w:t>conditionalities</w:t>
      </w:r>
      <w:proofErr w:type="spellEnd"/>
      <w:r>
        <w:rPr>
          <w:rFonts w:eastAsia="Times New Roman"/>
          <w:lang w:val="en-GB"/>
        </w:rPr>
        <w:t xml:space="preserve"> with regard to cost-effectiveness, technical and economic feasibility. MS may even require public bodies to consider wider sustainability, social, environmental and circular economy aspects</w:t>
      </w:r>
    </w:p>
    <w:p w:rsidR="00925882" w:rsidRDefault="00925882" w:rsidP="00925882">
      <w:pPr>
        <w:numPr>
          <w:ilvl w:val="0"/>
          <w:numId w:val="18"/>
        </w:numPr>
        <w:spacing w:after="0" w:line="240" w:lineRule="auto"/>
        <w:rPr>
          <w:rFonts w:eastAsia="Times New Roman"/>
          <w:lang w:val="en-GB"/>
        </w:rPr>
      </w:pPr>
      <w:r>
        <w:rPr>
          <w:rFonts w:eastAsia="Times New Roman"/>
          <w:lang w:val="en-GB"/>
        </w:rPr>
        <w:t>MS shall achieve annual energy savings of at least 0.8% from 2021-2023 and 1.5% from 2024-2030 (no more exemption for Cyprus and Malta during that period) as well as 1.5% for a ten-year-period after that</w:t>
      </w:r>
    </w:p>
    <w:p w:rsidR="00925882" w:rsidRDefault="00925882" w:rsidP="00925882">
      <w:pPr>
        <w:numPr>
          <w:ilvl w:val="1"/>
          <w:numId w:val="18"/>
        </w:numPr>
        <w:spacing w:after="0" w:line="240" w:lineRule="auto"/>
        <w:rPr>
          <w:rFonts w:eastAsia="Times New Roman"/>
          <w:lang w:val="en-GB"/>
        </w:rPr>
      </w:pPr>
      <w:r>
        <w:rPr>
          <w:rFonts w:eastAsia="Times New Roman"/>
          <w:lang w:val="en-GB"/>
        </w:rPr>
        <w:t>MS can achieve these reductions either by establishing an energy efficiency obligation scheme (Art 9) or by adopting alternative policy measures (Art 10) or a combination of both</w:t>
      </w:r>
    </w:p>
    <w:p w:rsidR="00925882" w:rsidRDefault="00925882" w:rsidP="00925882">
      <w:pPr>
        <w:numPr>
          <w:ilvl w:val="1"/>
          <w:numId w:val="18"/>
        </w:numPr>
        <w:spacing w:after="0" w:line="240" w:lineRule="auto"/>
        <w:rPr>
          <w:rFonts w:eastAsia="Times New Roman"/>
          <w:lang w:val="en-GB"/>
        </w:rPr>
      </w:pPr>
      <w:r>
        <w:rPr>
          <w:rFonts w:eastAsia="Times New Roman"/>
          <w:lang w:val="en-GB"/>
        </w:rPr>
        <w:t>Measures shall specifically alleviate energy poverty</w:t>
      </w:r>
    </w:p>
    <w:p w:rsidR="00925882" w:rsidRDefault="00925882" w:rsidP="00925882">
      <w:pPr>
        <w:numPr>
          <w:ilvl w:val="1"/>
          <w:numId w:val="18"/>
        </w:numPr>
        <w:spacing w:after="0" w:line="240" w:lineRule="auto"/>
        <w:rPr>
          <w:rFonts w:eastAsia="Times New Roman"/>
          <w:lang w:val="en-GB"/>
        </w:rPr>
      </w:pPr>
      <w:r>
        <w:rPr>
          <w:rFonts w:eastAsia="Times New Roman"/>
          <w:lang w:val="en-GB"/>
        </w:rPr>
        <w:t>Measures to achieve the energy savings and calculations shall be described in the NECPs and related update reports</w:t>
      </w:r>
    </w:p>
    <w:p w:rsidR="00925882" w:rsidRDefault="00925882" w:rsidP="00925882">
      <w:pPr>
        <w:numPr>
          <w:ilvl w:val="1"/>
          <w:numId w:val="18"/>
        </w:numPr>
        <w:spacing w:after="0" w:line="240" w:lineRule="auto"/>
        <w:rPr>
          <w:rFonts w:eastAsia="Times New Roman"/>
          <w:lang w:val="en-GB"/>
        </w:rPr>
      </w:pPr>
      <w:r>
        <w:rPr>
          <w:rFonts w:eastAsia="Times New Roman"/>
          <w:lang w:val="en-GB"/>
        </w:rPr>
        <w:t>Where the Commission concludes that measures of all MS do not ensure the achievement of the required amount of end-use energy savings, it may issue recommendations to MS whose policy measures it deems insufficient</w:t>
      </w:r>
    </w:p>
    <w:p w:rsidR="00925882" w:rsidRDefault="00925882" w:rsidP="00925882">
      <w:pPr>
        <w:numPr>
          <w:ilvl w:val="0"/>
          <w:numId w:val="18"/>
        </w:numPr>
        <w:spacing w:after="0" w:line="240" w:lineRule="auto"/>
        <w:rPr>
          <w:rFonts w:eastAsia="Times New Roman"/>
          <w:lang w:val="en-GB"/>
        </w:rPr>
      </w:pPr>
      <w:r>
        <w:rPr>
          <w:rFonts w:eastAsia="Times New Roman"/>
          <w:lang w:val="en-GB"/>
        </w:rPr>
        <w:t xml:space="preserve">Energy efficiency obligation scheme (Art 9): </w:t>
      </w:r>
    </w:p>
    <w:p w:rsidR="00925882" w:rsidRDefault="00925882" w:rsidP="00925882">
      <w:pPr>
        <w:numPr>
          <w:ilvl w:val="1"/>
          <w:numId w:val="18"/>
        </w:numPr>
        <w:spacing w:after="0" w:line="240" w:lineRule="auto"/>
        <w:rPr>
          <w:rFonts w:eastAsia="Times New Roman"/>
          <w:lang w:val="en-GB"/>
        </w:rPr>
      </w:pPr>
      <w:r>
        <w:rPr>
          <w:rFonts w:eastAsia="Times New Roman"/>
          <w:lang w:val="en-GB"/>
        </w:rPr>
        <w:t>Transmission system operators are newly introduced as potential obligated parties (in addition to energy distributors, retail energy sales companies, transport fuel distributors, etc.) – MS may require obligated parties to achieve an amount of energy savings among vulnerable customers</w:t>
      </w:r>
    </w:p>
    <w:p w:rsidR="00925882" w:rsidRDefault="00925882" w:rsidP="00925882">
      <w:pPr>
        <w:numPr>
          <w:ilvl w:val="1"/>
          <w:numId w:val="18"/>
        </w:numPr>
        <w:spacing w:after="0" w:line="240" w:lineRule="auto"/>
        <w:rPr>
          <w:rFonts w:eastAsia="Times New Roman"/>
          <w:lang w:val="en-GB"/>
        </w:rPr>
      </w:pPr>
      <w:r>
        <w:rPr>
          <w:rFonts w:eastAsia="Times New Roman"/>
          <w:lang w:val="en-GB"/>
        </w:rPr>
        <w:t xml:space="preserve">Energy savings from policy measures regarding the use of direct fossil fuel combustion technologies &amp; reduction of energy use through measures under the ETS cannot be counted towards the fulfilment of the energy savings obligation </w:t>
      </w:r>
    </w:p>
    <w:p w:rsidR="00925882" w:rsidRDefault="00925882" w:rsidP="00925882">
      <w:pPr>
        <w:numPr>
          <w:ilvl w:val="0"/>
          <w:numId w:val="18"/>
        </w:numPr>
        <w:spacing w:after="0" w:line="240" w:lineRule="auto"/>
        <w:rPr>
          <w:rFonts w:eastAsia="Times New Roman"/>
          <w:lang w:val="en-GB"/>
        </w:rPr>
      </w:pPr>
      <w:r>
        <w:rPr>
          <w:rFonts w:eastAsia="Times New Roman"/>
          <w:lang w:val="en-GB"/>
        </w:rPr>
        <w:t>Art 11: Energy management systems and energy audits</w:t>
      </w:r>
    </w:p>
    <w:p w:rsidR="00925882" w:rsidRDefault="00925882" w:rsidP="00925882">
      <w:pPr>
        <w:numPr>
          <w:ilvl w:val="1"/>
          <w:numId w:val="18"/>
        </w:numPr>
        <w:spacing w:after="0" w:line="240" w:lineRule="auto"/>
        <w:rPr>
          <w:rFonts w:eastAsia="Times New Roman"/>
          <w:lang w:val="en-GB"/>
        </w:rPr>
      </w:pPr>
      <w:r>
        <w:rPr>
          <w:rFonts w:eastAsia="Times New Roman"/>
          <w:lang w:val="en-GB"/>
        </w:rPr>
        <w:t xml:space="preserve">Shifts criteria for implementation of energy management system or energy audit from the type of enterprise to the levels of energy consumption (so far big companies were obliged even though there energy consumption might has been very low) </w:t>
      </w:r>
    </w:p>
    <w:p w:rsidR="00925882" w:rsidRDefault="00925882" w:rsidP="00925882">
      <w:pPr>
        <w:numPr>
          <w:ilvl w:val="2"/>
          <w:numId w:val="18"/>
        </w:numPr>
        <w:spacing w:after="0" w:line="240" w:lineRule="auto"/>
        <w:rPr>
          <w:rFonts w:eastAsia="Times New Roman"/>
          <w:lang w:val="en-GB"/>
        </w:rPr>
      </w:pPr>
      <w:r>
        <w:rPr>
          <w:rFonts w:eastAsia="Times New Roman"/>
          <w:lang w:val="en-GB"/>
        </w:rPr>
        <w:t xml:space="preserve">&gt;100TJ consumption </w:t>
      </w:r>
      <w:r>
        <w:rPr>
          <w:rFonts w:ascii="Wingdings" w:eastAsia="Times New Roman" w:hAnsi="Wingdings"/>
          <w:lang w:val="en-GB"/>
        </w:rPr>
        <w:t></w:t>
      </w:r>
      <w:r>
        <w:rPr>
          <w:rFonts w:eastAsia="Times New Roman"/>
          <w:lang w:val="en-GB"/>
        </w:rPr>
        <w:t xml:space="preserve"> energy mgmt. system</w:t>
      </w:r>
    </w:p>
    <w:p w:rsidR="00925882" w:rsidRDefault="00925882" w:rsidP="00925882">
      <w:pPr>
        <w:numPr>
          <w:ilvl w:val="2"/>
          <w:numId w:val="18"/>
        </w:numPr>
        <w:spacing w:after="0" w:line="240" w:lineRule="auto"/>
        <w:rPr>
          <w:rFonts w:eastAsia="Times New Roman"/>
          <w:lang w:val="en-GB"/>
        </w:rPr>
      </w:pPr>
      <w:r>
        <w:rPr>
          <w:rFonts w:eastAsia="Times New Roman"/>
          <w:lang w:val="en-GB"/>
        </w:rPr>
        <w:t xml:space="preserve">&gt;10TJ consumption </w:t>
      </w:r>
      <w:r>
        <w:rPr>
          <w:rFonts w:ascii="Wingdings" w:eastAsia="Times New Roman" w:hAnsi="Wingdings"/>
          <w:lang w:val="en-GB"/>
        </w:rPr>
        <w:t></w:t>
      </w:r>
      <w:r>
        <w:rPr>
          <w:rFonts w:eastAsia="Times New Roman"/>
          <w:lang w:val="en-GB"/>
        </w:rPr>
        <w:t xml:space="preserve"> energy audit</w:t>
      </w:r>
    </w:p>
    <w:p w:rsidR="00925882" w:rsidRDefault="00925882" w:rsidP="00925882">
      <w:pPr>
        <w:numPr>
          <w:ilvl w:val="2"/>
          <w:numId w:val="18"/>
        </w:numPr>
        <w:spacing w:after="0" w:line="240" w:lineRule="auto"/>
        <w:rPr>
          <w:rFonts w:eastAsia="Times New Roman"/>
          <w:lang w:val="en-GB"/>
        </w:rPr>
      </w:pPr>
      <w:r>
        <w:rPr>
          <w:rFonts w:eastAsia="Times New Roman"/>
          <w:lang w:val="en-GB"/>
        </w:rPr>
        <w:t>SMEs and non-SMEs that are not subject to this obligation shall be encouraged to still implement these measures</w:t>
      </w:r>
    </w:p>
    <w:p w:rsidR="00925882" w:rsidRDefault="00925882" w:rsidP="00925882">
      <w:pPr>
        <w:numPr>
          <w:ilvl w:val="1"/>
          <w:numId w:val="18"/>
        </w:numPr>
        <w:spacing w:after="0" w:line="240" w:lineRule="auto"/>
        <w:rPr>
          <w:rFonts w:eastAsia="Times New Roman"/>
          <w:lang w:val="en-GB"/>
        </w:rPr>
      </w:pPr>
      <w:r>
        <w:rPr>
          <w:rFonts w:eastAsia="Times New Roman"/>
          <w:lang w:val="en-GB"/>
        </w:rPr>
        <w:t xml:space="preserve">Data </w:t>
      </w:r>
      <w:proofErr w:type="spellStart"/>
      <w:r>
        <w:rPr>
          <w:rFonts w:eastAsia="Times New Roman"/>
          <w:lang w:val="en-GB"/>
        </w:rPr>
        <w:t>centers</w:t>
      </w:r>
      <w:proofErr w:type="spellEnd"/>
      <w:r>
        <w:rPr>
          <w:rFonts w:eastAsia="Times New Roman"/>
          <w:lang w:val="en-GB"/>
        </w:rPr>
        <w:t xml:space="preserve"> are obliged to monitor their energy performance</w:t>
      </w:r>
    </w:p>
    <w:p w:rsidR="00925882" w:rsidRDefault="00925882" w:rsidP="00925882">
      <w:pPr>
        <w:numPr>
          <w:ilvl w:val="1"/>
          <w:numId w:val="18"/>
        </w:numPr>
        <w:spacing w:after="0" w:line="240" w:lineRule="auto"/>
        <w:rPr>
          <w:rFonts w:eastAsia="Times New Roman"/>
          <w:lang w:val="en-GB"/>
        </w:rPr>
      </w:pPr>
      <w:r>
        <w:rPr>
          <w:rFonts w:eastAsia="Times New Roman"/>
          <w:lang w:val="en-GB"/>
        </w:rPr>
        <w:lastRenderedPageBreak/>
        <w:t>Enterprises implementing an energy performance contract shall be exempted from the obligations</w:t>
      </w:r>
    </w:p>
    <w:p w:rsidR="00925882" w:rsidRDefault="00925882" w:rsidP="00925882">
      <w:pPr>
        <w:numPr>
          <w:ilvl w:val="0"/>
          <w:numId w:val="18"/>
        </w:numPr>
        <w:spacing w:after="0" w:line="240" w:lineRule="auto"/>
        <w:rPr>
          <w:rFonts w:eastAsia="Times New Roman"/>
          <w:lang w:val="en-GB"/>
        </w:rPr>
      </w:pPr>
      <w:r>
        <w:rPr>
          <w:rFonts w:eastAsia="Times New Roman"/>
          <w:lang w:val="en-GB"/>
        </w:rPr>
        <w:t xml:space="preserve">A whole new Chapter IV on consumer information and empowerment referring to protection of consumers, provision of information, </w:t>
      </w:r>
    </w:p>
    <w:p w:rsidR="00925882" w:rsidRDefault="00925882" w:rsidP="00925882">
      <w:pPr>
        <w:numPr>
          <w:ilvl w:val="1"/>
          <w:numId w:val="18"/>
        </w:numPr>
        <w:spacing w:after="0" w:line="240" w:lineRule="auto"/>
        <w:rPr>
          <w:rFonts w:eastAsia="Times New Roman"/>
          <w:lang w:val="en-GB"/>
        </w:rPr>
      </w:pPr>
      <w:r>
        <w:rPr>
          <w:rFonts w:eastAsia="Times New Roman"/>
          <w:lang w:val="en-GB"/>
        </w:rPr>
        <w:t>MS are obliged to implement energy efficiency improvement measures as a priority among vulnerable consumers</w:t>
      </w:r>
    </w:p>
    <w:p w:rsidR="00925882" w:rsidRDefault="00925882" w:rsidP="00925882">
      <w:pPr>
        <w:numPr>
          <w:ilvl w:val="0"/>
          <w:numId w:val="18"/>
        </w:numPr>
        <w:spacing w:after="0" w:line="240" w:lineRule="auto"/>
        <w:rPr>
          <w:rFonts w:eastAsia="Times New Roman"/>
          <w:lang w:val="en-GB"/>
        </w:rPr>
      </w:pPr>
      <w:r>
        <w:rPr>
          <w:rFonts w:eastAsia="Times New Roman"/>
          <w:lang w:val="en-GB"/>
        </w:rPr>
        <w:t>Art 23 &amp; 24 introduce minimum requirements for efficient district heating and cooling systems (gradually increasing), broader cost-benefit requirements and obligations on reuse of waste heat</w:t>
      </w:r>
    </w:p>
    <w:p w:rsidR="00925882" w:rsidRDefault="00925882" w:rsidP="00925882">
      <w:pPr>
        <w:rPr>
          <w:lang w:val="en-GB"/>
        </w:rPr>
      </w:pPr>
    </w:p>
    <w:p w:rsidR="00925882" w:rsidRDefault="00925882" w:rsidP="00925882">
      <w:pPr>
        <w:rPr>
          <w:lang w:val="en-GB"/>
        </w:rPr>
      </w:pPr>
    </w:p>
    <w:p w:rsidR="00925882" w:rsidRDefault="00925882" w:rsidP="00925882">
      <w:pPr>
        <w:rPr>
          <w:b/>
          <w:bCs/>
          <w:lang w:val="en-GB"/>
        </w:rPr>
      </w:pPr>
      <w:r>
        <w:rPr>
          <w:b/>
          <w:bCs/>
          <w:lang w:val="en-GB"/>
        </w:rPr>
        <w:t>First assessment</w:t>
      </w:r>
    </w:p>
    <w:p w:rsidR="00925882" w:rsidRDefault="00925882" w:rsidP="00925882">
      <w:pPr>
        <w:numPr>
          <w:ilvl w:val="0"/>
          <w:numId w:val="19"/>
        </w:numPr>
        <w:spacing w:after="0" w:line="240" w:lineRule="auto"/>
        <w:rPr>
          <w:rFonts w:eastAsia="Times New Roman"/>
          <w:lang w:val="en-GB"/>
        </w:rPr>
      </w:pPr>
      <w:r>
        <w:rPr>
          <w:rFonts w:eastAsia="Times New Roman"/>
          <w:lang w:val="en-GB"/>
        </w:rPr>
        <w:t>Increased overall target will result in further measures on national level and even harder to reach, especially in already highly energy-efficient industry</w:t>
      </w:r>
    </w:p>
    <w:p w:rsidR="00925882" w:rsidRDefault="00925882" w:rsidP="00925882">
      <w:pPr>
        <w:numPr>
          <w:ilvl w:val="0"/>
          <w:numId w:val="19"/>
        </w:numPr>
        <w:spacing w:after="0" w:line="240" w:lineRule="auto"/>
        <w:rPr>
          <w:rFonts w:eastAsia="Times New Roman"/>
          <w:lang w:val="en-GB"/>
        </w:rPr>
      </w:pPr>
      <w:r>
        <w:rPr>
          <w:rFonts w:eastAsia="Times New Roman"/>
          <w:lang w:val="en-GB"/>
        </w:rPr>
        <w:t>Stronger focus on the public sector is positive</w:t>
      </w:r>
    </w:p>
    <w:p w:rsidR="00925882" w:rsidRDefault="00925882" w:rsidP="00925882">
      <w:pPr>
        <w:numPr>
          <w:ilvl w:val="0"/>
          <w:numId w:val="19"/>
        </w:numPr>
        <w:spacing w:after="0" w:line="240" w:lineRule="auto"/>
        <w:rPr>
          <w:rFonts w:eastAsia="Times New Roman"/>
          <w:lang w:val="en-GB"/>
        </w:rPr>
      </w:pPr>
      <w:r>
        <w:rPr>
          <w:rFonts w:eastAsia="Times New Roman"/>
          <w:lang w:val="en-GB"/>
        </w:rPr>
        <w:t xml:space="preserve">Energy Efficiency first principle might not always make sense, the overall goal should be the reduction of GHG emissions: </w:t>
      </w:r>
      <w:proofErr w:type="spellStart"/>
      <w:r>
        <w:rPr>
          <w:rFonts w:eastAsia="Times New Roman"/>
          <w:lang w:val="en-GB"/>
        </w:rPr>
        <w:t>eg</w:t>
      </w:r>
      <w:proofErr w:type="spellEnd"/>
      <w:r>
        <w:rPr>
          <w:rFonts w:eastAsia="Times New Roman"/>
          <w:lang w:val="en-GB"/>
        </w:rPr>
        <w:t xml:space="preserve"> a company might need to invest in new technology to decarbonise a production process, which might result in higher energy demand</w:t>
      </w:r>
    </w:p>
    <w:p w:rsidR="00925882" w:rsidRDefault="00925882" w:rsidP="00925882">
      <w:pPr>
        <w:numPr>
          <w:ilvl w:val="0"/>
          <w:numId w:val="19"/>
        </w:numPr>
        <w:spacing w:after="0" w:line="240" w:lineRule="auto"/>
        <w:rPr>
          <w:rFonts w:eastAsia="Times New Roman"/>
          <w:lang w:val="en-GB"/>
        </w:rPr>
      </w:pPr>
      <w:r>
        <w:rPr>
          <w:rFonts w:eastAsia="Times New Roman"/>
          <w:lang w:val="en-GB"/>
        </w:rPr>
        <w:t>The change in criteria concerning the implementation of energy management systems or energy audits from company type to energy consumption might be positive</w:t>
      </w:r>
    </w:p>
    <w:p w:rsidR="00925882" w:rsidRDefault="00925882" w:rsidP="00925882">
      <w:pPr>
        <w:rPr>
          <w:rFonts w:ascii="Arial" w:hAnsi="Arial" w:cs="Arial"/>
          <w:b/>
          <w:bCs/>
          <w:color w:val="00477A"/>
          <w:sz w:val="20"/>
          <w:szCs w:val="20"/>
          <w:lang w:val="en-GB" w:eastAsia="lt-LT"/>
        </w:rPr>
      </w:pPr>
    </w:p>
    <w:p w:rsidR="00925882" w:rsidRDefault="00925882" w:rsidP="00925882">
      <w:pPr>
        <w:rPr>
          <w:rFonts w:ascii="Arial" w:hAnsi="Arial" w:cs="Arial"/>
          <w:b/>
          <w:bCs/>
          <w:color w:val="00477A"/>
          <w:sz w:val="20"/>
          <w:szCs w:val="20"/>
          <w:lang w:val="en-GB" w:eastAsia="lt-LT"/>
        </w:rPr>
      </w:pPr>
    </w:p>
    <w:p w:rsidR="00925882" w:rsidRDefault="00925882" w:rsidP="00925882">
      <w:pPr>
        <w:rPr>
          <w:rFonts w:ascii="Arial" w:hAnsi="Arial" w:cs="Arial"/>
          <w:b/>
          <w:bCs/>
          <w:sz w:val="20"/>
          <w:szCs w:val="20"/>
          <w:lang w:val="en-GB" w:eastAsia="lt-LT"/>
        </w:rPr>
      </w:pPr>
    </w:p>
    <w:p w:rsidR="00925882" w:rsidRPr="00857AFD" w:rsidRDefault="00925882" w:rsidP="00857AFD">
      <w:pPr>
        <w:jc w:val="center"/>
        <w:rPr>
          <w:rFonts w:ascii="Calibri" w:hAnsi="Calibri" w:cs="Calibri"/>
          <w:b/>
          <w:bCs/>
          <w:color w:val="FF0000"/>
          <w:sz w:val="24"/>
          <w:szCs w:val="24"/>
          <w:lang w:val="lt-LT"/>
        </w:rPr>
      </w:pPr>
      <w:r w:rsidRPr="00857AFD">
        <w:rPr>
          <w:b/>
          <w:bCs/>
          <w:color w:val="FF0000"/>
          <w:sz w:val="24"/>
          <w:szCs w:val="24"/>
          <w:lang w:val="en-GB"/>
        </w:rPr>
        <w:t>Effort Sharing Regulation (ESR)</w:t>
      </w:r>
      <w:r w:rsidR="00857AFD" w:rsidRPr="00857AFD">
        <w:rPr>
          <w:b/>
          <w:bCs/>
          <w:color w:val="FF0000"/>
          <w:sz w:val="24"/>
          <w:szCs w:val="24"/>
          <w:lang w:val="en-GB"/>
        </w:rPr>
        <w:t xml:space="preserve">; </w:t>
      </w:r>
      <w:proofErr w:type="spellStart"/>
      <w:r w:rsidR="00857AFD" w:rsidRPr="00857AFD">
        <w:rPr>
          <w:b/>
          <w:bCs/>
          <w:color w:val="FF0000"/>
          <w:sz w:val="24"/>
          <w:szCs w:val="24"/>
          <w:lang w:val="en-GB"/>
        </w:rPr>
        <w:t>Pastangų</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Pasidalijimo</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Reguliavimas</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reguliuojantis</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valstybėms</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apie</w:t>
      </w:r>
      <w:proofErr w:type="spellEnd"/>
      <w:r w:rsidR="00857AFD" w:rsidRPr="00857AFD">
        <w:rPr>
          <w:b/>
          <w:bCs/>
          <w:color w:val="FF0000"/>
          <w:sz w:val="24"/>
          <w:szCs w:val="24"/>
          <w:lang w:val="en-GB"/>
        </w:rPr>
        <w:t xml:space="preserve"> 60</w:t>
      </w:r>
      <w:r w:rsidR="00857AFD" w:rsidRPr="00857AFD">
        <w:rPr>
          <w:b/>
          <w:bCs/>
          <w:color w:val="FF0000"/>
          <w:sz w:val="24"/>
          <w:szCs w:val="24"/>
        </w:rPr>
        <w:t>%</w:t>
      </w:r>
      <w:r w:rsidR="00857AFD" w:rsidRPr="00857AFD">
        <w:rPr>
          <w:b/>
          <w:bCs/>
          <w:color w:val="FF0000"/>
          <w:sz w:val="24"/>
          <w:szCs w:val="24"/>
          <w:lang w:val="lt-LT"/>
        </w:rPr>
        <w:t xml:space="preserve"> visos Europos Šiltnamio efektą sukeliančių dujų reguliavimą</w:t>
      </w:r>
    </w:p>
    <w:p w:rsidR="00925882" w:rsidRDefault="00925882" w:rsidP="00925882">
      <w:pPr>
        <w:jc w:val="both"/>
      </w:pPr>
      <w:r>
        <w:t xml:space="preserve">The ERS currently covers around 60% of EUs total GHG emissions and sets binding targets for each EU country, depending on their GDP. </w:t>
      </w:r>
    </w:p>
    <w:p w:rsidR="00925882" w:rsidRDefault="00925882" w:rsidP="00925882">
      <w:pPr>
        <w:jc w:val="both"/>
        <w:rPr>
          <w:lang w:val="en-GB"/>
        </w:rPr>
      </w:pPr>
      <w:r>
        <w:t>The Commission yesterday also presented a proposal for a revision of the ESR, which covers sectors not (yet) covered by the ETS: agriculture, road transport, waste, buildings.</w:t>
      </w:r>
    </w:p>
    <w:p w:rsidR="00925882" w:rsidRDefault="00925882" w:rsidP="00925882">
      <w:pPr>
        <w:jc w:val="both"/>
        <w:rPr>
          <w:lang w:val="en-GB"/>
        </w:rPr>
      </w:pPr>
    </w:p>
    <w:p w:rsidR="00925882" w:rsidRDefault="00925882" w:rsidP="00925882">
      <w:pPr>
        <w:jc w:val="both"/>
        <w:rPr>
          <w:lang w:val="en-GB"/>
        </w:rPr>
      </w:pPr>
      <w:r>
        <w:rPr>
          <w:u w:val="single"/>
          <w:lang w:val="en-GB"/>
        </w:rPr>
        <w:t>Key points</w:t>
      </w:r>
      <w:r>
        <w:rPr>
          <w:lang w:val="en-GB"/>
        </w:rPr>
        <w:t>:</w:t>
      </w:r>
    </w:p>
    <w:p w:rsidR="00925882" w:rsidRDefault="00925882" w:rsidP="00925882">
      <w:pPr>
        <w:numPr>
          <w:ilvl w:val="0"/>
          <w:numId w:val="21"/>
        </w:numPr>
        <w:spacing w:after="0" w:line="240" w:lineRule="auto"/>
        <w:jc w:val="both"/>
        <w:rPr>
          <w:rFonts w:eastAsia="Times New Roman"/>
          <w:lang w:val="en-GB"/>
        </w:rPr>
      </w:pPr>
      <w:r>
        <w:rPr>
          <w:rFonts w:eastAsia="Times New Roman"/>
          <w:lang w:val="en-GB"/>
        </w:rPr>
        <w:t>The overall target of the Regulation is increased from 30% to 40% of reduction of GHG emissions by 2030 (compared to 2005)</w:t>
      </w:r>
    </w:p>
    <w:p w:rsidR="00925882" w:rsidRDefault="00925882" w:rsidP="00925882">
      <w:pPr>
        <w:numPr>
          <w:ilvl w:val="0"/>
          <w:numId w:val="21"/>
        </w:numPr>
        <w:spacing w:after="0" w:line="240" w:lineRule="auto"/>
        <w:jc w:val="both"/>
        <w:rPr>
          <w:rFonts w:eastAsia="Times New Roman"/>
          <w:lang w:val="en-GB"/>
        </w:rPr>
      </w:pPr>
      <w:r>
        <w:rPr>
          <w:rFonts w:eastAsia="Times New Roman"/>
          <w:lang w:val="en-GB"/>
        </w:rPr>
        <w:t>Accordingly, MS contributions to that target are updated in Article 4 (+Annex I)</w:t>
      </w:r>
    </w:p>
    <w:p w:rsidR="00925882" w:rsidRDefault="00925882" w:rsidP="00925882">
      <w:pPr>
        <w:numPr>
          <w:ilvl w:val="0"/>
          <w:numId w:val="21"/>
        </w:numPr>
        <w:spacing w:after="0" w:line="240" w:lineRule="auto"/>
        <w:jc w:val="both"/>
        <w:rPr>
          <w:rFonts w:eastAsia="Times New Roman"/>
          <w:lang w:val="en-GB"/>
        </w:rPr>
      </w:pPr>
      <w:r>
        <w:rPr>
          <w:rFonts w:eastAsia="Times New Roman"/>
          <w:lang w:val="en-GB"/>
        </w:rPr>
        <w:t>The proposal introduces limited adjustments to certain flexibility mechanisms</w:t>
      </w:r>
    </w:p>
    <w:p w:rsidR="00925882" w:rsidRDefault="00925882" w:rsidP="00925882">
      <w:pPr>
        <w:numPr>
          <w:ilvl w:val="0"/>
          <w:numId w:val="21"/>
        </w:numPr>
        <w:spacing w:after="0" w:line="240" w:lineRule="auto"/>
        <w:jc w:val="both"/>
        <w:rPr>
          <w:rFonts w:eastAsia="Times New Roman"/>
          <w:lang w:val="en-GB"/>
        </w:rPr>
      </w:pPr>
      <w:r>
        <w:rPr>
          <w:rFonts w:eastAsia="Times New Roman"/>
          <w:lang w:val="en-GB"/>
        </w:rPr>
        <w:t>Some updated provisions concerning the interlinkage with LULUCF</w:t>
      </w:r>
    </w:p>
    <w:p w:rsidR="00925882" w:rsidRDefault="00925882" w:rsidP="00925882">
      <w:pPr>
        <w:numPr>
          <w:ilvl w:val="0"/>
          <w:numId w:val="21"/>
        </w:numPr>
        <w:spacing w:after="0" w:line="240" w:lineRule="auto"/>
        <w:jc w:val="both"/>
        <w:rPr>
          <w:rFonts w:eastAsia="Times New Roman"/>
          <w:lang w:val="en-GB"/>
        </w:rPr>
      </w:pPr>
      <w:r>
        <w:rPr>
          <w:rFonts w:eastAsia="Times New Roman"/>
          <w:lang w:val="en-GB"/>
        </w:rPr>
        <w:t>A voluntary additional reserve (formed by unused LULUCF credits at the end of 2030) is set up to be used by MS for compliance with the new ESR targets, only by 2030, and only if the overall reduction of 55% is reached (for MS that may have difficulties coping with more stringent targets)</w:t>
      </w:r>
    </w:p>
    <w:p w:rsidR="00925882" w:rsidRDefault="00925882" w:rsidP="00925882">
      <w:pPr>
        <w:numPr>
          <w:ilvl w:val="0"/>
          <w:numId w:val="21"/>
        </w:numPr>
        <w:spacing w:after="0" w:line="240" w:lineRule="auto"/>
        <w:jc w:val="both"/>
        <w:rPr>
          <w:rFonts w:eastAsia="Times New Roman"/>
          <w:lang w:val="en-GB"/>
        </w:rPr>
      </w:pPr>
      <w:r>
        <w:rPr>
          <w:rFonts w:eastAsia="Times New Roman"/>
          <w:lang w:val="en-GB"/>
        </w:rPr>
        <w:lastRenderedPageBreak/>
        <w:t>Most of structure and scope stay the same, which means that buildings and road transport will now be covered under the newly introduced ETS and under the ESR. This is being justified as especially the road transport sector has so far contributed relatively little to the achievement of the goals. The Commission furthermore says that these are sectors where incentives of a carbon price need to be complemented by action by public authorities, citing for example the need for public investment in infrastructure, support for the purchase of zero-emission vehicles or the promotion of energy efficiency in buildings</w:t>
      </w:r>
    </w:p>
    <w:p w:rsidR="00925882" w:rsidRDefault="00925882" w:rsidP="00925882">
      <w:pPr>
        <w:numPr>
          <w:ilvl w:val="0"/>
          <w:numId w:val="21"/>
        </w:numPr>
        <w:spacing w:after="0" w:line="240" w:lineRule="auto"/>
        <w:jc w:val="both"/>
        <w:rPr>
          <w:rFonts w:eastAsia="Times New Roman"/>
          <w:lang w:val="en-GB"/>
        </w:rPr>
      </w:pPr>
      <w:r>
        <w:rPr>
          <w:rFonts w:eastAsia="Times New Roman"/>
          <w:lang w:val="en-GB"/>
        </w:rPr>
        <w:t>The new goals shall be binding from 2023; a review was announced for 2025, to adapt the yearly reduction target for 2026-2030</w:t>
      </w:r>
    </w:p>
    <w:p w:rsidR="00925882" w:rsidRDefault="00925882" w:rsidP="00925882">
      <w:pPr>
        <w:jc w:val="both"/>
        <w:rPr>
          <w:lang w:val="en-GB"/>
        </w:rPr>
      </w:pPr>
    </w:p>
    <w:p w:rsidR="00925882" w:rsidRDefault="00925882" w:rsidP="00925882">
      <w:pPr>
        <w:jc w:val="both"/>
      </w:pPr>
    </w:p>
    <w:p w:rsidR="00925882" w:rsidRDefault="00925882" w:rsidP="00925882">
      <w:pPr>
        <w:rPr>
          <w:b/>
          <w:bCs/>
          <w:lang w:val="en-GB"/>
        </w:rPr>
      </w:pPr>
      <w:r>
        <w:rPr>
          <w:b/>
          <w:bCs/>
          <w:lang w:val="en-GB"/>
        </w:rPr>
        <w:t>First Assessment</w:t>
      </w:r>
    </w:p>
    <w:p w:rsidR="00925882" w:rsidRDefault="00925882" w:rsidP="00925882">
      <w:pPr>
        <w:numPr>
          <w:ilvl w:val="0"/>
          <w:numId w:val="22"/>
        </w:numPr>
        <w:spacing w:after="0" w:line="240" w:lineRule="auto"/>
        <w:rPr>
          <w:rFonts w:eastAsia="Times New Roman"/>
          <w:lang w:val="en-GB"/>
        </w:rPr>
      </w:pPr>
      <w:r>
        <w:rPr>
          <w:rFonts w:eastAsia="Times New Roman"/>
          <w:lang w:val="en-GB"/>
        </w:rPr>
        <w:t>Double coverage of buildings and transport sector was always refused by Chambers, how this will ultimately work together needs to be seen</w:t>
      </w:r>
    </w:p>
    <w:p w:rsidR="00925882" w:rsidRDefault="00925882" w:rsidP="00925882">
      <w:pPr>
        <w:rPr>
          <w:rFonts w:ascii="Arial" w:hAnsi="Arial" w:cs="Arial"/>
          <w:b/>
          <w:bCs/>
          <w:sz w:val="20"/>
          <w:szCs w:val="20"/>
          <w:lang w:val="en-GB" w:eastAsia="lt-LT"/>
        </w:rPr>
      </w:pPr>
    </w:p>
    <w:p w:rsidR="00925882" w:rsidRDefault="00925882" w:rsidP="00925882">
      <w:pPr>
        <w:rPr>
          <w:rFonts w:ascii="Arial" w:hAnsi="Arial" w:cs="Arial"/>
          <w:b/>
          <w:bCs/>
          <w:sz w:val="20"/>
          <w:szCs w:val="20"/>
          <w:lang w:val="en-GB" w:eastAsia="lt-LT"/>
        </w:rPr>
      </w:pPr>
    </w:p>
    <w:p w:rsidR="00925882" w:rsidRPr="00857AFD" w:rsidRDefault="00925882" w:rsidP="00857AFD">
      <w:pPr>
        <w:jc w:val="center"/>
        <w:rPr>
          <w:rFonts w:ascii="Calibri" w:hAnsi="Calibri" w:cs="Calibri"/>
          <w:b/>
          <w:bCs/>
          <w:color w:val="FF0000"/>
          <w:sz w:val="24"/>
          <w:szCs w:val="24"/>
          <w:lang w:val="en-GB" w:eastAsia="lt-LT"/>
        </w:rPr>
      </w:pPr>
      <w:r w:rsidRPr="00857AFD">
        <w:rPr>
          <w:b/>
          <w:bCs/>
          <w:color w:val="FF0000"/>
          <w:sz w:val="24"/>
          <w:szCs w:val="24"/>
          <w:lang w:val="en-GB" w:eastAsia="lt-LT"/>
        </w:rPr>
        <w:t>Energy Taxation Directive (E</w:t>
      </w:r>
      <w:r w:rsidRPr="00857AFD">
        <w:rPr>
          <w:b/>
          <w:bCs/>
          <w:color w:val="FF0000"/>
          <w:sz w:val="24"/>
          <w:szCs w:val="24"/>
          <w:lang w:val="en-GB"/>
        </w:rPr>
        <w:t>TD)</w:t>
      </w:r>
      <w:r w:rsidR="00857AFD" w:rsidRPr="00857AFD">
        <w:rPr>
          <w:b/>
          <w:bCs/>
          <w:color w:val="FF0000"/>
          <w:sz w:val="24"/>
          <w:szCs w:val="24"/>
          <w:lang w:val="en-GB"/>
        </w:rPr>
        <w:t xml:space="preserve">; </w:t>
      </w:r>
      <w:proofErr w:type="spellStart"/>
      <w:r w:rsidR="00857AFD" w:rsidRPr="00857AFD">
        <w:rPr>
          <w:b/>
          <w:bCs/>
          <w:color w:val="FF0000"/>
          <w:sz w:val="24"/>
          <w:szCs w:val="24"/>
          <w:lang w:val="en-GB"/>
        </w:rPr>
        <w:t>Energijos</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Apmokestinimo</w:t>
      </w:r>
      <w:proofErr w:type="spellEnd"/>
      <w:r w:rsidR="00857AFD" w:rsidRPr="00857AFD">
        <w:rPr>
          <w:b/>
          <w:bCs/>
          <w:color w:val="FF0000"/>
          <w:sz w:val="24"/>
          <w:szCs w:val="24"/>
          <w:lang w:val="en-GB"/>
        </w:rPr>
        <w:t xml:space="preserve"> </w:t>
      </w:r>
      <w:proofErr w:type="spellStart"/>
      <w:r w:rsidR="00857AFD" w:rsidRPr="00857AFD">
        <w:rPr>
          <w:b/>
          <w:bCs/>
          <w:color w:val="FF0000"/>
          <w:sz w:val="24"/>
          <w:szCs w:val="24"/>
          <w:lang w:val="en-GB"/>
        </w:rPr>
        <w:t>Direktyva</w:t>
      </w:r>
      <w:proofErr w:type="spellEnd"/>
    </w:p>
    <w:p w:rsidR="00925882" w:rsidRDefault="00925882" w:rsidP="00925882">
      <w:pPr>
        <w:jc w:val="both"/>
        <w:rPr>
          <w:lang w:val="en-GB"/>
        </w:rPr>
      </w:pPr>
      <w:r>
        <w:rPr>
          <w:lang w:val="en-GB"/>
        </w:rPr>
        <w:t xml:space="preserve">Another file revised by the Commissions within the whole package is the ETD, which has remained unchanged since 2003, which made an update necessary, also in </w:t>
      </w:r>
      <w:r>
        <w:t>order to support the development of renewable and low-carbon energy. Furthermore, the Commission intends to put an end to incentives for the use of fossil fuels by abolishing the existing tax exemptions. Under the current system, oil and gas is taxed less than electricity, something that will need to change since the electrification of buildings, transport and industry is a key pillar of the green transition.</w:t>
      </w:r>
    </w:p>
    <w:p w:rsidR="00925882" w:rsidRDefault="00925882" w:rsidP="00925882">
      <w:pPr>
        <w:rPr>
          <w:lang w:val="en-GB"/>
        </w:rPr>
      </w:pPr>
    </w:p>
    <w:p w:rsidR="00925882" w:rsidRDefault="00925882" w:rsidP="00925882">
      <w:pPr>
        <w:rPr>
          <w:u w:val="single"/>
          <w:lang w:val="en-GB"/>
        </w:rPr>
      </w:pPr>
      <w:r>
        <w:rPr>
          <w:u w:val="single"/>
          <w:lang w:val="en-GB"/>
        </w:rPr>
        <w:t>Key points:</w:t>
      </w:r>
    </w:p>
    <w:p w:rsidR="00925882" w:rsidRDefault="00925882" w:rsidP="00925882">
      <w:pPr>
        <w:numPr>
          <w:ilvl w:val="0"/>
          <w:numId w:val="23"/>
        </w:numPr>
        <w:spacing w:after="0" w:line="240" w:lineRule="auto"/>
        <w:rPr>
          <w:rFonts w:eastAsia="Times New Roman"/>
          <w:lang w:val="en-GB"/>
        </w:rPr>
      </w:pPr>
      <w:r>
        <w:rPr>
          <w:rFonts w:eastAsia="Times New Roman"/>
          <w:lang w:val="en-GB"/>
        </w:rPr>
        <w:t>The review shall phase-out support for fossil fuels</w:t>
      </w:r>
    </w:p>
    <w:p w:rsidR="00925882" w:rsidRDefault="00925882" w:rsidP="00925882">
      <w:pPr>
        <w:numPr>
          <w:ilvl w:val="0"/>
          <w:numId w:val="23"/>
        </w:numPr>
        <w:spacing w:after="0" w:line="240" w:lineRule="auto"/>
        <w:rPr>
          <w:rFonts w:eastAsia="Times New Roman"/>
          <w:lang w:val="en-GB"/>
        </w:rPr>
      </w:pPr>
      <w:r>
        <w:rPr>
          <w:rFonts w:eastAsia="Times New Roman"/>
          <w:lang w:val="en-GB"/>
        </w:rPr>
        <w:t>Co2 neutral energy carriers shall be exempted from levies</w:t>
      </w:r>
    </w:p>
    <w:p w:rsidR="00925882" w:rsidRDefault="00925882" w:rsidP="00925882">
      <w:pPr>
        <w:numPr>
          <w:ilvl w:val="0"/>
          <w:numId w:val="23"/>
        </w:numPr>
        <w:spacing w:after="0" w:line="240" w:lineRule="auto"/>
        <w:rPr>
          <w:rFonts w:eastAsia="Times New Roman"/>
          <w:lang w:val="en-GB"/>
        </w:rPr>
      </w:pPr>
      <w:r>
        <w:rPr>
          <w:rFonts w:eastAsia="Times New Roman"/>
          <w:lang w:val="en-GB"/>
        </w:rPr>
        <w:t>The new proposal foresees a new definition of the tax base from 1/1/2023, based on the energy content (expressed in €/GJ) of energy products and electricity and not volumes consumed</w:t>
      </w:r>
    </w:p>
    <w:p w:rsidR="00925882" w:rsidRDefault="00925882" w:rsidP="00925882">
      <w:pPr>
        <w:numPr>
          <w:ilvl w:val="0"/>
          <w:numId w:val="23"/>
        </w:numPr>
        <w:spacing w:after="0" w:line="240" w:lineRule="auto"/>
        <w:rPr>
          <w:rFonts w:eastAsia="Times New Roman"/>
          <w:lang w:val="en-GB"/>
        </w:rPr>
      </w:pPr>
      <w:r>
        <w:rPr>
          <w:rFonts w:eastAsia="Times New Roman"/>
          <w:lang w:val="en-GB"/>
        </w:rPr>
        <w:t>This comes together with a new ranking system: fuels will be classified according to their energy content and environmental performance (MS will have to tax most polluting fuels the most) – categories descendant:</w:t>
      </w:r>
    </w:p>
    <w:p w:rsidR="00925882" w:rsidRDefault="00925882" w:rsidP="00925882">
      <w:pPr>
        <w:numPr>
          <w:ilvl w:val="1"/>
          <w:numId w:val="23"/>
        </w:numPr>
        <w:spacing w:after="0" w:line="240" w:lineRule="auto"/>
        <w:rPr>
          <w:rFonts w:eastAsia="Times New Roman"/>
          <w:lang w:val="en-GB"/>
        </w:rPr>
      </w:pPr>
      <w:r>
        <w:rPr>
          <w:rFonts w:eastAsia="Times New Roman"/>
          <w:lang w:val="en-GB"/>
        </w:rPr>
        <w:t>conventional fossil fuels, such as diesel and petrol, and non-sustainable biofuels</w:t>
      </w:r>
    </w:p>
    <w:p w:rsidR="00925882" w:rsidRDefault="00925882" w:rsidP="00925882">
      <w:pPr>
        <w:numPr>
          <w:ilvl w:val="1"/>
          <w:numId w:val="23"/>
        </w:numPr>
        <w:spacing w:after="0" w:line="240" w:lineRule="auto"/>
        <w:rPr>
          <w:rFonts w:eastAsia="Times New Roman"/>
          <w:lang w:val="en-GB"/>
        </w:rPr>
      </w:pPr>
      <w:r>
        <w:rPr>
          <w:rFonts w:eastAsia="Times New Roman"/>
          <w:lang w:val="en-GB"/>
        </w:rPr>
        <w:t>fuels such as natural gas and non-biological non-renewable fuels which, although fossil-based, can still lend support to decarbonisation in the short to medium term (after transitional period will be taxed as conventional fossil fuels)</w:t>
      </w:r>
    </w:p>
    <w:p w:rsidR="00925882" w:rsidRDefault="00925882" w:rsidP="00925882">
      <w:pPr>
        <w:numPr>
          <w:ilvl w:val="1"/>
          <w:numId w:val="23"/>
        </w:numPr>
        <w:spacing w:after="0" w:line="240" w:lineRule="auto"/>
        <w:rPr>
          <w:rFonts w:eastAsia="Times New Roman"/>
          <w:lang w:val="en-GB"/>
        </w:rPr>
      </w:pPr>
      <w:r>
        <w:rPr>
          <w:rFonts w:eastAsia="Times New Roman"/>
          <w:lang w:val="en-GB"/>
        </w:rPr>
        <w:t>sustainable but not advanced biofuels</w:t>
      </w:r>
    </w:p>
    <w:p w:rsidR="00925882" w:rsidRDefault="00925882" w:rsidP="00925882">
      <w:pPr>
        <w:numPr>
          <w:ilvl w:val="1"/>
          <w:numId w:val="23"/>
        </w:numPr>
        <w:spacing w:after="0" w:line="240" w:lineRule="auto"/>
        <w:rPr>
          <w:rFonts w:eastAsia="Times New Roman"/>
          <w:lang w:val="en-GB"/>
        </w:rPr>
      </w:pPr>
      <w:r>
        <w:rPr>
          <w:rFonts w:eastAsia="Times New Roman"/>
          <w:lang w:val="en-GB"/>
        </w:rPr>
        <w:lastRenderedPageBreak/>
        <w:t>electricity (regardless of use), advanced sustainable biofuels and biogas, and non-biological renewable fuels such as renewable hydrogen (also includes low-carbon hydrogen and related fuels for a transitional period of 10 years)</w:t>
      </w:r>
    </w:p>
    <w:p w:rsidR="00925882" w:rsidRDefault="00925882" w:rsidP="00925882">
      <w:pPr>
        <w:numPr>
          <w:ilvl w:val="1"/>
          <w:numId w:val="23"/>
        </w:numPr>
        <w:spacing w:after="0" w:line="240" w:lineRule="auto"/>
        <w:rPr>
          <w:rFonts w:eastAsia="Times New Roman"/>
          <w:lang w:val="en-GB"/>
        </w:rPr>
      </w:pPr>
      <w:r>
        <w:rPr>
          <w:rFonts w:eastAsia="Times New Roman"/>
          <w:lang w:val="en-GB"/>
        </w:rPr>
        <w:t>In order to encourage the use of cleaner energy in the aviation and maritime sectors, sustainable and alternative fuels will benefit from a minimum zero tax rate for a transitional period of 10 years when used for aviation and maritime navigation</w:t>
      </w:r>
    </w:p>
    <w:p w:rsidR="00925882" w:rsidRDefault="00925882" w:rsidP="00925882">
      <w:pPr>
        <w:numPr>
          <w:ilvl w:val="0"/>
          <w:numId w:val="23"/>
        </w:numPr>
        <w:spacing w:after="0" w:line="240" w:lineRule="auto"/>
        <w:rPr>
          <w:rFonts w:eastAsia="Times New Roman"/>
          <w:lang w:val="en-GB"/>
        </w:rPr>
      </w:pPr>
      <w:r>
        <w:rPr>
          <w:rFonts w:eastAsia="Times New Roman"/>
          <w:lang w:val="en-GB"/>
        </w:rPr>
        <w:t>Current minimum rates were set in 2003 and had never been updated; They will now be indexed to inflation each year</w:t>
      </w:r>
    </w:p>
    <w:p w:rsidR="00925882" w:rsidRDefault="00925882" w:rsidP="00925882">
      <w:pPr>
        <w:numPr>
          <w:ilvl w:val="0"/>
          <w:numId w:val="23"/>
        </w:numPr>
        <w:spacing w:after="0" w:line="240" w:lineRule="auto"/>
        <w:rPr>
          <w:rFonts w:eastAsia="Times New Roman"/>
          <w:lang w:val="en-GB"/>
        </w:rPr>
      </w:pPr>
      <w:r>
        <w:rPr>
          <w:rFonts w:eastAsia="Times New Roman"/>
          <w:lang w:val="en-GB"/>
        </w:rPr>
        <w:t>The scope is extended</w:t>
      </w:r>
    </w:p>
    <w:p w:rsidR="00925882" w:rsidRDefault="00925882" w:rsidP="00925882">
      <w:pPr>
        <w:numPr>
          <w:ilvl w:val="1"/>
          <w:numId w:val="23"/>
        </w:numPr>
        <w:spacing w:after="0" w:line="240" w:lineRule="auto"/>
        <w:rPr>
          <w:rFonts w:eastAsia="Times New Roman"/>
          <w:lang w:val="en-GB"/>
        </w:rPr>
      </w:pPr>
      <w:r>
        <w:rPr>
          <w:rFonts w:eastAsia="Times New Roman"/>
          <w:lang w:val="en-GB"/>
        </w:rPr>
        <w:t>to include energy products or uses of energy that were previously outside the EU tax framework, such as mineralogical processes</w:t>
      </w:r>
    </w:p>
    <w:p w:rsidR="00925882" w:rsidRDefault="00925882" w:rsidP="00925882">
      <w:pPr>
        <w:numPr>
          <w:ilvl w:val="1"/>
          <w:numId w:val="23"/>
        </w:numPr>
        <w:spacing w:after="0" w:line="240" w:lineRule="auto"/>
        <w:rPr>
          <w:rFonts w:eastAsia="Times New Roman"/>
          <w:lang w:val="en-GB"/>
        </w:rPr>
      </w:pPr>
      <w:r>
        <w:rPr>
          <w:rFonts w:eastAsia="Times New Roman"/>
          <w:lang w:val="en-GB"/>
        </w:rPr>
        <w:t>national exemptions for polluting fuels are removed, such as diesel in agriculture, and tax breaks for fossil fuels in energy-intensive industries will be ended</w:t>
      </w:r>
    </w:p>
    <w:p w:rsidR="00925882" w:rsidRDefault="00925882" w:rsidP="00925882">
      <w:pPr>
        <w:numPr>
          <w:ilvl w:val="1"/>
          <w:numId w:val="23"/>
        </w:numPr>
        <w:spacing w:after="0" w:line="240" w:lineRule="auto"/>
        <w:rPr>
          <w:rFonts w:eastAsia="Times New Roman"/>
          <w:lang w:val="en-GB"/>
        </w:rPr>
      </w:pPr>
      <w:r>
        <w:rPr>
          <w:rFonts w:eastAsia="Times New Roman"/>
          <w:lang w:val="en-GB"/>
        </w:rPr>
        <w:t>paraffin used as fuel in the aviation industry and heavy fuel oil used in the maritime industry will no longer be fully exempt from taxation for intra-EU travel</w:t>
      </w:r>
    </w:p>
    <w:p w:rsidR="00925882" w:rsidRDefault="00925882" w:rsidP="00925882">
      <w:pPr>
        <w:numPr>
          <w:ilvl w:val="1"/>
          <w:numId w:val="23"/>
        </w:numPr>
        <w:spacing w:after="0" w:line="240" w:lineRule="auto"/>
        <w:rPr>
          <w:rFonts w:eastAsia="Times New Roman"/>
          <w:lang w:val="en-GB"/>
        </w:rPr>
      </w:pPr>
      <w:r>
        <w:rPr>
          <w:rFonts w:eastAsia="Times New Roman"/>
          <w:lang w:val="en-GB"/>
        </w:rPr>
        <w:t>application of reduced rates is streamlined, leaving less room for MS to set rates below the minimum (except for clean energies)</w:t>
      </w:r>
    </w:p>
    <w:p w:rsidR="00925882" w:rsidRDefault="00925882" w:rsidP="00925882">
      <w:pPr>
        <w:numPr>
          <w:ilvl w:val="0"/>
          <w:numId w:val="23"/>
        </w:numPr>
        <w:spacing w:after="0" w:line="240" w:lineRule="auto"/>
        <w:rPr>
          <w:rFonts w:eastAsia="Times New Roman"/>
          <w:lang w:val="en-GB"/>
        </w:rPr>
      </w:pPr>
      <w:r>
        <w:rPr>
          <w:rFonts w:eastAsia="Times New Roman"/>
          <w:lang w:val="en-GB"/>
        </w:rPr>
        <w:t xml:space="preserve">the text provides for some provisions to support low-income households </w:t>
      </w:r>
    </w:p>
    <w:p w:rsidR="00925882" w:rsidRDefault="00925882" w:rsidP="00925882">
      <w:pPr>
        <w:numPr>
          <w:ilvl w:val="0"/>
          <w:numId w:val="23"/>
        </w:numPr>
        <w:spacing w:after="0" w:line="240" w:lineRule="auto"/>
        <w:rPr>
          <w:rFonts w:ascii="Arial" w:eastAsia="Times New Roman" w:hAnsi="Arial" w:cs="Arial"/>
          <w:color w:val="5B6263"/>
          <w:sz w:val="23"/>
          <w:szCs w:val="23"/>
          <w:lang w:eastAsia="lt-LT"/>
        </w:rPr>
      </w:pPr>
      <w:r>
        <w:rPr>
          <w:rFonts w:eastAsia="Times New Roman"/>
          <w:lang w:val="en-GB"/>
        </w:rPr>
        <w:t>The reviewed energy taxation rules shall apply step by step over a period of 10 years, starting in 2023</w:t>
      </w:r>
    </w:p>
    <w:p w:rsidR="00925882" w:rsidRDefault="00925882" w:rsidP="00925882">
      <w:pPr>
        <w:numPr>
          <w:ilvl w:val="0"/>
          <w:numId w:val="23"/>
        </w:numPr>
        <w:spacing w:after="0" w:line="240" w:lineRule="auto"/>
        <w:rPr>
          <w:rFonts w:ascii="Calibri" w:eastAsia="Times New Roman" w:hAnsi="Calibri" w:cs="Calibri"/>
          <w:lang w:val="en-GB"/>
        </w:rPr>
      </w:pPr>
      <w:r>
        <w:rPr>
          <w:rFonts w:eastAsia="Times New Roman"/>
          <w:lang w:val="en-GB"/>
        </w:rPr>
        <w:t>The legislative proposal will have to be adopted by unanimity of the MS in the Council</w:t>
      </w:r>
    </w:p>
    <w:p w:rsidR="00925882" w:rsidRDefault="00925882" w:rsidP="00925882">
      <w:pPr>
        <w:rPr>
          <w:rFonts w:ascii="Arial" w:hAnsi="Arial" w:cs="Arial"/>
          <w:b/>
          <w:bCs/>
          <w:sz w:val="20"/>
          <w:szCs w:val="20"/>
          <w:lang w:val="en-GB" w:eastAsia="lt-LT"/>
        </w:rPr>
      </w:pPr>
    </w:p>
    <w:p w:rsidR="00925882" w:rsidRDefault="00925882" w:rsidP="00925882">
      <w:pPr>
        <w:rPr>
          <w:rFonts w:ascii="Arial" w:hAnsi="Arial" w:cs="Arial"/>
          <w:b/>
          <w:bCs/>
          <w:sz w:val="20"/>
          <w:szCs w:val="20"/>
          <w:lang w:val="en-GB" w:eastAsia="lt-LT"/>
        </w:rPr>
      </w:pPr>
    </w:p>
    <w:p w:rsidR="00925882" w:rsidRPr="00A61FFD" w:rsidRDefault="00925882" w:rsidP="00A61FFD">
      <w:pPr>
        <w:spacing w:after="150"/>
        <w:jc w:val="center"/>
        <w:rPr>
          <w:rFonts w:ascii="Calibri" w:hAnsi="Calibri" w:cs="Calibri"/>
          <w:b/>
          <w:bCs/>
          <w:color w:val="FF0000"/>
          <w:sz w:val="24"/>
          <w:szCs w:val="24"/>
          <w:lang w:val="en-GB"/>
        </w:rPr>
      </w:pPr>
      <w:r w:rsidRPr="00A61FFD">
        <w:rPr>
          <w:b/>
          <w:bCs/>
          <w:color w:val="FF0000"/>
          <w:sz w:val="24"/>
          <w:szCs w:val="24"/>
          <w:lang w:val="en-GB"/>
        </w:rPr>
        <w:t>Social Climate Fund</w:t>
      </w:r>
      <w:r w:rsidR="00A61FFD" w:rsidRPr="00A61FFD">
        <w:rPr>
          <w:b/>
          <w:bCs/>
          <w:color w:val="FF0000"/>
          <w:sz w:val="24"/>
          <w:szCs w:val="24"/>
          <w:lang w:val="en-GB"/>
        </w:rPr>
        <w:t xml:space="preserve">; </w:t>
      </w:r>
      <w:proofErr w:type="spellStart"/>
      <w:r w:rsidR="00A61FFD" w:rsidRPr="00A61FFD">
        <w:rPr>
          <w:b/>
          <w:bCs/>
          <w:color w:val="FF0000"/>
          <w:sz w:val="24"/>
          <w:szCs w:val="24"/>
          <w:lang w:val="en-GB"/>
        </w:rPr>
        <w:t>Socialinis</w:t>
      </w:r>
      <w:proofErr w:type="spellEnd"/>
      <w:r w:rsidR="00A61FFD" w:rsidRPr="00A61FFD">
        <w:rPr>
          <w:b/>
          <w:bCs/>
          <w:color w:val="FF0000"/>
          <w:sz w:val="24"/>
          <w:szCs w:val="24"/>
          <w:lang w:val="en-GB"/>
        </w:rPr>
        <w:t xml:space="preserve"> </w:t>
      </w:r>
      <w:proofErr w:type="spellStart"/>
      <w:r w:rsidR="00A61FFD" w:rsidRPr="00A61FFD">
        <w:rPr>
          <w:b/>
          <w:bCs/>
          <w:color w:val="FF0000"/>
          <w:sz w:val="24"/>
          <w:szCs w:val="24"/>
          <w:lang w:val="en-GB"/>
        </w:rPr>
        <w:t>Klimato</w:t>
      </w:r>
      <w:proofErr w:type="spellEnd"/>
      <w:r w:rsidR="00A61FFD" w:rsidRPr="00A61FFD">
        <w:rPr>
          <w:b/>
          <w:bCs/>
          <w:color w:val="FF0000"/>
          <w:sz w:val="24"/>
          <w:szCs w:val="24"/>
          <w:lang w:val="en-GB"/>
        </w:rPr>
        <w:t xml:space="preserve"> </w:t>
      </w:r>
      <w:proofErr w:type="spellStart"/>
      <w:r w:rsidR="00A61FFD" w:rsidRPr="00A61FFD">
        <w:rPr>
          <w:b/>
          <w:bCs/>
          <w:color w:val="FF0000"/>
          <w:sz w:val="24"/>
          <w:szCs w:val="24"/>
          <w:lang w:val="en-GB"/>
        </w:rPr>
        <w:t>Fondas</w:t>
      </w:r>
      <w:proofErr w:type="spellEnd"/>
    </w:p>
    <w:p w:rsidR="00925882" w:rsidRDefault="00925882" w:rsidP="00925882">
      <w:pPr>
        <w:spacing w:after="150"/>
        <w:rPr>
          <w:lang w:val="en-GB"/>
        </w:rPr>
      </w:pPr>
      <w:r>
        <w:rPr>
          <w:lang w:val="en-GB"/>
        </w:rPr>
        <w:t xml:space="preserve">To smooth out social impacts of announced inclusion of buildings and road transport in the new ETS, the Commission proposes a Social Climate Fund. </w:t>
      </w:r>
    </w:p>
    <w:p w:rsidR="00925882" w:rsidRDefault="00925882" w:rsidP="00925882">
      <w:pPr>
        <w:rPr>
          <w:lang w:eastAsia="lt-LT"/>
        </w:rPr>
      </w:pPr>
    </w:p>
    <w:p w:rsidR="00925882" w:rsidRDefault="00925882" w:rsidP="00925882">
      <w:pPr>
        <w:rPr>
          <w:u w:val="single"/>
          <w:lang w:val="en-GB" w:eastAsia="lt-LT"/>
        </w:rPr>
      </w:pPr>
      <w:r>
        <w:rPr>
          <w:u w:val="single"/>
          <w:lang w:val="en-GB" w:eastAsia="lt-LT"/>
        </w:rPr>
        <w:t>Key points:</w:t>
      </w:r>
    </w:p>
    <w:p w:rsidR="00925882" w:rsidRDefault="00925882" w:rsidP="00925882">
      <w:pPr>
        <w:numPr>
          <w:ilvl w:val="0"/>
          <w:numId w:val="24"/>
        </w:numPr>
        <w:spacing w:after="0" w:line="252" w:lineRule="auto"/>
        <w:rPr>
          <w:rFonts w:eastAsia="Times New Roman"/>
          <w:lang w:eastAsia="lt-LT"/>
        </w:rPr>
      </w:pPr>
      <w:r>
        <w:rPr>
          <w:rFonts w:eastAsia="Times New Roman"/>
          <w:lang w:val="en-GB" w:eastAsia="lt-LT"/>
        </w:rPr>
        <w:t>T</w:t>
      </w:r>
      <w:r>
        <w:rPr>
          <w:rFonts w:eastAsia="Times New Roman"/>
          <w:lang w:eastAsia="lt-LT"/>
        </w:rPr>
        <w:t>he Fund will aim to make funding available to M</w:t>
      </w:r>
      <w:r>
        <w:rPr>
          <w:rFonts w:eastAsia="Times New Roman"/>
          <w:lang w:val="en-GB" w:eastAsia="lt-LT"/>
        </w:rPr>
        <w:t xml:space="preserve">S </w:t>
      </w:r>
      <w:r>
        <w:rPr>
          <w:rFonts w:eastAsia="Times New Roman"/>
          <w:lang w:eastAsia="lt-LT"/>
        </w:rPr>
        <w:t xml:space="preserve">to provide temporary support for investments to reduce their dependence on fossil fuels in buildings and road </w:t>
      </w:r>
      <w:proofErr w:type="gramStart"/>
      <w:r>
        <w:rPr>
          <w:rFonts w:eastAsia="Times New Roman"/>
          <w:lang w:eastAsia="lt-LT"/>
        </w:rPr>
        <w:t>transport,</w:t>
      </w:r>
      <w:proofErr w:type="gramEnd"/>
      <w:r>
        <w:rPr>
          <w:rFonts w:eastAsia="Times New Roman"/>
          <w:lang w:eastAsia="lt-LT"/>
        </w:rPr>
        <w:t xml:space="preserve"> and to tackle energy poverty for the most vulnerable households, but also for the </w:t>
      </w:r>
      <w:r>
        <w:rPr>
          <w:rFonts w:eastAsia="Times New Roman"/>
          <w:b/>
          <w:bCs/>
          <w:lang w:eastAsia="lt-LT"/>
        </w:rPr>
        <w:t>most vulnerable SMEs and micro-enterprises</w:t>
      </w:r>
      <w:r>
        <w:rPr>
          <w:rFonts w:eastAsia="Times New Roman"/>
          <w:lang w:eastAsia="lt-LT"/>
        </w:rPr>
        <w:t>.</w:t>
      </w:r>
    </w:p>
    <w:p w:rsidR="00925882" w:rsidRDefault="00925882" w:rsidP="00925882">
      <w:pPr>
        <w:numPr>
          <w:ilvl w:val="0"/>
          <w:numId w:val="24"/>
        </w:numPr>
        <w:spacing w:after="0" w:line="252" w:lineRule="auto"/>
        <w:rPr>
          <w:rFonts w:eastAsia="Times New Roman"/>
          <w:lang w:eastAsia="lt-LT"/>
        </w:rPr>
      </w:pPr>
      <w:r>
        <w:rPr>
          <w:rFonts w:eastAsia="Times New Roman"/>
          <w:lang w:eastAsia="lt-LT"/>
        </w:rPr>
        <w:t>The Fund will be financed from the revenues generated by the future ETS for the building and road transport sectors</w:t>
      </w:r>
      <w:r>
        <w:rPr>
          <w:rFonts w:eastAsia="Times New Roman"/>
          <w:lang w:val="en-GB" w:eastAsia="lt-LT"/>
        </w:rPr>
        <w:t xml:space="preserve"> (25% foreseen)</w:t>
      </w:r>
      <w:r>
        <w:rPr>
          <w:rFonts w:eastAsia="Times New Roman"/>
          <w:lang w:eastAsia="lt-LT"/>
        </w:rPr>
        <w:t>, which will enter into force at the same time as the Fund</w:t>
      </w:r>
    </w:p>
    <w:p w:rsidR="00925882" w:rsidRDefault="00925882" w:rsidP="00925882">
      <w:pPr>
        <w:numPr>
          <w:ilvl w:val="0"/>
          <w:numId w:val="24"/>
        </w:numPr>
        <w:spacing w:after="0" w:line="252" w:lineRule="auto"/>
        <w:rPr>
          <w:rFonts w:eastAsia="Times New Roman"/>
          <w:lang w:eastAsia="lt-LT"/>
        </w:rPr>
      </w:pPr>
      <w:r>
        <w:rPr>
          <w:rFonts w:eastAsia="Times New Roman"/>
          <w:lang w:val="en-GB" w:eastAsia="lt-LT"/>
        </w:rPr>
        <w:t xml:space="preserve">It </w:t>
      </w:r>
      <w:r>
        <w:rPr>
          <w:rFonts w:eastAsia="Times New Roman"/>
          <w:lang w:eastAsia="lt-LT"/>
        </w:rPr>
        <w:t xml:space="preserve">will run from 2025 to 2032 based on the 2021-2027 Multiannual Financial Framework and own resources. </w:t>
      </w:r>
    </w:p>
    <w:p w:rsidR="00925882" w:rsidRDefault="00925882" w:rsidP="00925882">
      <w:pPr>
        <w:numPr>
          <w:ilvl w:val="0"/>
          <w:numId w:val="24"/>
        </w:numPr>
        <w:spacing w:after="0" w:line="252" w:lineRule="auto"/>
        <w:rPr>
          <w:rFonts w:eastAsia="Times New Roman"/>
          <w:lang w:eastAsia="lt-LT"/>
        </w:rPr>
      </w:pPr>
      <w:r>
        <w:rPr>
          <w:rFonts w:eastAsia="Times New Roman"/>
          <w:lang w:val="en-GB" w:eastAsia="lt-LT"/>
        </w:rPr>
        <w:t>The proposal would ask M</w:t>
      </w:r>
      <w:r>
        <w:rPr>
          <w:rFonts w:eastAsia="Times New Roman"/>
          <w:lang w:eastAsia="lt-LT"/>
        </w:rPr>
        <w:t>S to contribute at least 50% of the total estimated cost of the plan. Each M</w:t>
      </w:r>
      <w:r>
        <w:rPr>
          <w:rFonts w:eastAsia="Times New Roman"/>
          <w:lang w:val="en-GB" w:eastAsia="lt-LT"/>
        </w:rPr>
        <w:t>S</w:t>
      </w:r>
      <w:r>
        <w:rPr>
          <w:rFonts w:eastAsia="Times New Roman"/>
          <w:lang w:eastAsia="lt-LT"/>
        </w:rPr>
        <w:t xml:space="preserve"> will have to draw up a social climate plan by the end of 2024, similar to what has been done in the framework of </w:t>
      </w:r>
      <w:r>
        <w:rPr>
          <w:rFonts w:eastAsia="Times New Roman"/>
          <w:i/>
          <w:iCs/>
          <w:lang w:eastAsia="lt-LT"/>
        </w:rPr>
        <w:t>Next Generation EU</w:t>
      </w:r>
      <w:r>
        <w:rPr>
          <w:rFonts w:eastAsia="Times New Roman"/>
          <w:lang w:eastAsia="lt-LT"/>
        </w:rPr>
        <w:t xml:space="preserve">. These plans will then be </w:t>
      </w:r>
      <w:proofErr w:type="spellStart"/>
      <w:r>
        <w:rPr>
          <w:rFonts w:eastAsia="Times New Roman"/>
          <w:lang w:eastAsia="lt-LT"/>
        </w:rPr>
        <w:t>analysed</w:t>
      </w:r>
      <w:proofErr w:type="spellEnd"/>
      <w:r>
        <w:rPr>
          <w:rFonts w:eastAsia="Times New Roman"/>
          <w:lang w:eastAsia="lt-LT"/>
        </w:rPr>
        <w:t xml:space="preserve"> by the Commission. If the plan </w:t>
      </w:r>
      <w:r>
        <w:rPr>
          <w:rFonts w:eastAsia="Times New Roman"/>
          <w:lang w:val="en-GB" w:eastAsia="lt-LT"/>
        </w:rPr>
        <w:t>is</w:t>
      </w:r>
      <w:r>
        <w:rPr>
          <w:rFonts w:eastAsia="Times New Roman"/>
          <w:lang w:eastAsia="lt-LT"/>
        </w:rPr>
        <w:t xml:space="preserve"> rejected, </w:t>
      </w:r>
      <w:r>
        <w:rPr>
          <w:rFonts w:eastAsia="Times New Roman"/>
          <w:lang w:val="en-GB" w:eastAsia="lt-LT"/>
        </w:rPr>
        <w:t xml:space="preserve">the </w:t>
      </w:r>
      <w:r>
        <w:rPr>
          <w:rFonts w:eastAsia="Times New Roman"/>
          <w:lang w:eastAsia="lt-LT"/>
        </w:rPr>
        <w:t xml:space="preserve">MS concerned will have to submit a new version </w:t>
      </w:r>
    </w:p>
    <w:p w:rsidR="00925882" w:rsidRDefault="00925882" w:rsidP="00925882">
      <w:pPr>
        <w:numPr>
          <w:ilvl w:val="0"/>
          <w:numId w:val="24"/>
        </w:numPr>
        <w:spacing w:after="0" w:line="252" w:lineRule="auto"/>
        <w:rPr>
          <w:rFonts w:eastAsia="Times New Roman"/>
          <w:lang w:val="en-GB" w:eastAsia="lt-LT"/>
        </w:rPr>
      </w:pPr>
      <w:r>
        <w:rPr>
          <w:rFonts w:eastAsia="Times New Roman"/>
          <w:lang w:val="en-GB" w:eastAsia="lt-LT"/>
        </w:rPr>
        <w:t xml:space="preserve">It should </w:t>
      </w:r>
      <w:r>
        <w:rPr>
          <w:rFonts w:eastAsia="Times New Roman"/>
          <w:lang w:eastAsia="lt-LT"/>
        </w:rPr>
        <w:t>raise €72.2 billion</w:t>
      </w:r>
      <w:r>
        <w:rPr>
          <w:rFonts w:eastAsia="Times New Roman"/>
          <w:lang w:val="en-GB" w:eastAsia="lt-LT"/>
        </w:rPr>
        <w:t xml:space="preserve"> in current prices</w:t>
      </w:r>
      <w:r>
        <w:rPr>
          <w:rFonts w:eastAsia="Times New Roman"/>
          <w:lang w:eastAsia="lt-LT"/>
        </w:rPr>
        <w:t xml:space="preserve"> (or €144.4 billion with national co-financing) </w:t>
      </w:r>
      <w:r>
        <w:rPr>
          <w:rFonts w:eastAsia="Times New Roman"/>
          <w:lang w:val="en-GB" w:eastAsia="lt-LT"/>
        </w:rPr>
        <w:t>according to Commission’s calculation</w:t>
      </w:r>
    </w:p>
    <w:p w:rsidR="00925882" w:rsidRDefault="00925882" w:rsidP="00925882">
      <w:pPr>
        <w:numPr>
          <w:ilvl w:val="0"/>
          <w:numId w:val="24"/>
        </w:numPr>
        <w:spacing w:after="0" w:line="252" w:lineRule="auto"/>
        <w:rPr>
          <w:rFonts w:eastAsia="Times New Roman"/>
          <w:lang w:eastAsia="lt-LT"/>
        </w:rPr>
      </w:pPr>
      <w:r>
        <w:rPr>
          <w:rFonts w:eastAsia="Times New Roman"/>
          <w:lang w:eastAsia="lt-LT"/>
        </w:rPr>
        <w:t>The calculation method for allocating funds between Member States is based on a series of criteria, including:</w:t>
      </w:r>
    </w:p>
    <w:p w:rsidR="00925882" w:rsidRDefault="00925882" w:rsidP="00925882">
      <w:pPr>
        <w:numPr>
          <w:ilvl w:val="0"/>
          <w:numId w:val="25"/>
        </w:numPr>
        <w:spacing w:after="0" w:line="252" w:lineRule="auto"/>
        <w:ind w:left="1080"/>
        <w:contextualSpacing/>
        <w:rPr>
          <w:rFonts w:eastAsia="Times New Roman"/>
          <w:lang w:eastAsia="lt-LT"/>
        </w:rPr>
      </w:pPr>
      <w:r>
        <w:rPr>
          <w:rFonts w:eastAsia="Times New Roman"/>
          <w:lang w:eastAsia="lt-LT"/>
        </w:rPr>
        <w:lastRenderedPageBreak/>
        <w:t xml:space="preserve">the share of the population at risk of poverty living in rural areas </w:t>
      </w:r>
    </w:p>
    <w:p w:rsidR="00925882" w:rsidRDefault="00925882" w:rsidP="00925882">
      <w:pPr>
        <w:numPr>
          <w:ilvl w:val="0"/>
          <w:numId w:val="25"/>
        </w:numPr>
        <w:spacing w:after="0" w:line="252" w:lineRule="auto"/>
        <w:ind w:left="1080"/>
        <w:contextualSpacing/>
        <w:rPr>
          <w:rFonts w:eastAsia="Times New Roman"/>
          <w:lang w:eastAsia="lt-LT"/>
        </w:rPr>
      </w:pPr>
      <w:r>
        <w:rPr>
          <w:rFonts w:eastAsia="Times New Roman"/>
          <w:lang w:eastAsia="lt-LT"/>
        </w:rPr>
        <w:t xml:space="preserve">carbon dioxide emissions from fuel combustion by households </w:t>
      </w:r>
    </w:p>
    <w:p w:rsidR="00925882" w:rsidRDefault="00925882" w:rsidP="00925882">
      <w:pPr>
        <w:numPr>
          <w:ilvl w:val="0"/>
          <w:numId w:val="25"/>
        </w:numPr>
        <w:spacing w:after="0" w:line="252" w:lineRule="auto"/>
        <w:ind w:left="1080"/>
        <w:contextualSpacing/>
        <w:rPr>
          <w:rFonts w:eastAsia="Times New Roman"/>
          <w:lang w:eastAsia="lt-LT"/>
        </w:rPr>
      </w:pPr>
      <w:r>
        <w:rPr>
          <w:rFonts w:eastAsia="Times New Roman"/>
          <w:lang w:eastAsia="lt-LT"/>
        </w:rPr>
        <w:t xml:space="preserve">the </w:t>
      </w:r>
      <w:r>
        <w:rPr>
          <w:rFonts w:eastAsia="Times New Roman"/>
          <w:lang w:val="en-GB" w:eastAsia="lt-LT"/>
        </w:rPr>
        <w:t>%</w:t>
      </w:r>
      <w:r>
        <w:rPr>
          <w:rFonts w:eastAsia="Times New Roman"/>
          <w:lang w:eastAsia="lt-LT"/>
        </w:rPr>
        <w:t xml:space="preserve"> of households at risk of poverty with bill arrears </w:t>
      </w:r>
    </w:p>
    <w:p w:rsidR="00925882" w:rsidRDefault="00925882" w:rsidP="00925882">
      <w:pPr>
        <w:numPr>
          <w:ilvl w:val="0"/>
          <w:numId w:val="25"/>
        </w:numPr>
        <w:spacing w:after="0" w:line="252" w:lineRule="auto"/>
        <w:ind w:left="1080"/>
        <w:contextualSpacing/>
        <w:rPr>
          <w:rFonts w:eastAsia="Times New Roman"/>
          <w:lang w:eastAsia="lt-LT"/>
        </w:rPr>
      </w:pPr>
      <w:r>
        <w:rPr>
          <w:rFonts w:eastAsia="Times New Roman"/>
          <w:lang w:eastAsia="lt-LT"/>
        </w:rPr>
        <w:t>total population;</w:t>
      </w:r>
    </w:p>
    <w:p w:rsidR="00925882" w:rsidRDefault="00925882" w:rsidP="00925882">
      <w:pPr>
        <w:numPr>
          <w:ilvl w:val="0"/>
          <w:numId w:val="25"/>
        </w:numPr>
        <w:spacing w:after="0" w:line="252" w:lineRule="auto"/>
        <w:ind w:left="1080"/>
        <w:contextualSpacing/>
        <w:rPr>
          <w:rFonts w:eastAsia="Times New Roman"/>
          <w:lang w:eastAsia="lt-LT"/>
        </w:rPr>
      </w:pPr>
      <w:r>
        <w:rPr>
          <w:rFonts w:eastAsia="Times New Roman"/>
          <w:lang w:eastAsia="lt-LT"/>
        </w:rPr>
        <w:t>the M</w:t>
      </w:r>
      <w:r>
        <w:rPr>
          <w:rFonts w:eastAsia="Times New Roman"/>
          <w:lang w:val="en-GB" w:eastAsia="lt-LT"/>
        </w:rPr>
        <w:t>S’s</w:t>
      </w:r>
      <w:r>
        <w:rPr>
          <w:rFonts w:eastAsia="Times New Roman"/>
          <w:lang w:eastAsia="lt-LT"/>
        </w:rPr>
        <w:t xml:space="preserve"> GNI per capita</w:t>
      </w:r>
    </w:p>
    <w:p w:rsidR="00925882" w:rsidRDefault="00925882" w:rsidP="00925882">
      <w:pPr>
        <w:numPr>
          <w:ilvl w:val="0"/>
          <w:numId w:val="26"/>
        </w:numPr>
        <w:spacing w:after="0" w:line="252" w:lineRule="auto"/>
        <w:rPr>
          <w:rFonts w:eastAsia="Times New Roman"/>
          <w:lang w:eastAsia="lt-LT"/>
        </w:rPr>
      </w:pPr>
      <w:r>
        <w:rPr>
          <w:rFonts w:eastAsia="Times New Roman"/>
          <w:lang w:eastAsia="lt-LT"/>
        </w:rPr>
        <w:t>According to this distribution key, Poland should receive €12.7 billion, followed by France (€8 billion), Spain (€7.6 billion) and Germany (€5.9 billion). On the contrary, Malta should receive only €5.1 million.</w:t>
      </w:r>
    </w:p>
    <w:p w:rsidR="00925882" w:rsidRDefault="00925882" w:rsidP="00925882">
      <w:pPr>
        <w:numPr>
          <w:ilvl w:val="0"/>
          <w:numId w:val="26"/>
        </w:numPr>
        <w:spacing w:after="0" w:line="252" w:lineRule="auto"/>
        <w:rPr>
          <w:rFonts w:eastAsia="Times New Roman"/>
          <w:lang w:eastAsia="lt-LT"/>
        </w:rPr>
      </w:pPr>
      <w:r>
        <w:rPr>
          <w:rFonts w:eastAsia="Times New Roman"/>
          <w:lang w:val="en-GB" w:eastAsia="lt-LT"/>
        </w:rPr>
        <w:t xml:space="preserve">Many concerns (from ENVI chair, trade unions) are raised about the social consequences of inclusion of road transport and buildings in an ETS. </w:t>
      </w:r>
    </w:p>
    <w:p w:rsidR="00925882" w:rsidRDefault="00925882" w:rsidP="00925882">
      <w:pPr>
        <w:rPr>
          <w:rFonts w:ascii="Arial" w:hAnsi="Arial" w:cs="Arial"/>
          <w:sz w:val="20"/>
          <w:szCs w:val="20"/>
          <w:lang w:eastAsia="lt-LT"/>
        </w:rPr>
      </w:pPr>
    </w:p>
    <w:p w:rsidR="00925882" w:rsidRDefault="00925882" w:rsidP="00925882">
      <w:pPr>
        <w:rPr>
          <w:rFonts w:ascii="Arial" w:hAnsi="Arial" w:cs="Arial"/>
          <w:b/>
          <w:bCs/>
          <w:sz w:val="20"/>
          <w:szCs w:val="20"/>
          <w:lang w:val="en-GB" w:eastAsia="lt-LT"/>
        </w:rPr>
      </w:pPr>
      <w:r>
        <w:rPr>
          <w:rFonts w:ascii="Arial" w:hAnsi="Arial" w:cs="Arial"/>
          <w:b/>
          <w:bCs/>
          <w:sz w:val="20"/>
          <w:szCs w:val="20"/>
          <w:lang w:val="en-GB" w:eastAsia="lt-LT"/>
        </w:rPr>
        <w:t>First assessment:</w:t>
      </w:r>
    </w:p>
    <w:p w:rsidR="00925882" w:rsidRDefault="00925882" w:rsidP="00925882">
      <w:pPr>
        <w:numPr>
          <w:ilvl w:val="0"/>
          <w:numId w:val="27"/>
        </w:numPr>
        <w:spacing w:after="0" w:line="240" w:lineRule="auto"/>
        <w:rPr>
          <w:rFonts w:ascii="Arial" w:eastAsia="Times New Roman" w:hAnsi="Arial" w:cs="Arial"/>
          <w:sz w:val="20"/>
          <w:szCs w:val="20"/>
          <w:lang w:val="en-GB" w:eastAsia="lt-LT"/>
        </w:rPr>
      </w:pPr>
      <w:r>
        <w:rPr>
          <w:rFonts w:ascii="Arial" w:eastAsia="Times New Roman" w:hAnsi="Arial" w:cs="Arial"/>
          <w:sz w:val="20"/>
          <w:szCs w:val="20"/>
          <w:lang w:val="en-GB" w:eastAsia="lt-LT"/>
        </w:rPr>
        <w:t>The inclusion of most vulnerable SMEs and micro-enterprises in the Social Fund might be positive</w:t>
      </w:r>
    </w:p>
    <w:p w:rsidR="00925882" w:rsidRDefault="00925882" w:rsidP="00925882">
      <w:pPr>
        <w:rPr>
          <w:rFonts w:ascii="Arial" w:hAnsi="Arial" w:cs="Arial"/>
          <w:b/>
          <w:bCs/>
          <w:color w:val="00477A"/>
          <w:sz w:val="20"/>
          <w:szCs w:val="20"/>
          <w:lang w:val="en-GB" w:eastAsia="lt-LT"/>
        </w:rPr>
      </w:pPr>
    </w:p>
    <w:p w:rsidR="00A61FFD" w:rsidRPr="00AC3143" w:rsidRDefault="00A61FFD" w:rsidP="00FE7D45">
      <w:pPr>
        <w:jc w:val="center"/>
        <w:rPr>
          <w:rFonts w:ascii="Arial" w:hAnsi="Arial" w:cs="Arial"/>
          <w:b/>
          <w:color w:val="FF0000"/>
          <w:sz w:val="28"/>
          <w:szCs w:val="28"/>
        </w:rPr>
      </w:pPr>
      <w:proofErr w:type="spellStart"/>
      <w:proofErr w:type="gramStart"/>
      <w:r w:rsidRPr="00AC3143">
        <w:rPr>
          <w:rFonts w:eastAsia="Times New Roman"/>
          <w:b/>
          <w:color w:val="FF0000"/>
          <w:sz w:val="28"/>
          <w:szCs w:val="28"/>
          <w:lang w:eastAsia="lt-LT"/>
        </w:rPr>
        <w:t>Nuorodos</w:t>
      </w:r>
      <w:proofErr w:type="spellEnd"/>
      <w:r w:rsidRPr="00AC3143">
        <w:rPr>
          <w:rFonts w:eastAsia="Times New Roman"/>
          <w:b/>
          <w:color w:val="FF0000"/>
          <w:sz w:val="28"/>
          <w:szCs w:val="28"/>
          <w:lang w:eastAsia="lt-LT"/>
        </w:rPr>
        <w:t xml:space="preserve"> į </w:t>
      </w:r>
      <w:proofErr w:type="spellStart"/>
      <w:r w:rsidRPr="00AC3143">
        <w:rPr>
          <w:rFonts w:eastAsia="Times New Roman"/>
          <w:b/>
          <w:color w:val="FF0000"/>
          <w:sz w:val="28"/>
          <w:szCs w:val="28"/>
          <w:lang w:eastAsia="lt-LT"/>
        </w:rPr>
        <w:t>dokumentus</w:t>
      </w:r>
      <w:proofErr w:type="spellEnd"/>
      <w:r w:rsidRPr="00AC3143">
        <w:rPr>
          <w:rFonts w:eastAsia="Times New Roman"/>
          <w:b/>
          <w:color w:val="FF0000"/>
          <w:sz w:val="28"/>
          <w:szCs w:val="28"/>
          <w:lang w:eastAsia="lt-LT"/>
        </w:rPr>
        <w:t xml:space="preserve">, </w:t>
      </w:r>
      <w:proofErr w:type="spellStart"/>
      <w:r w:rsidRPr="00AC3143">
        <w:rPr>
          <w:rFonts w:eastAsia="Times New Roman"/>
          <w:b/>
          <w:color w:val="FF0000"/>
          <w:sz w:val="28"/>
          <w:szCs w:val="28"/>
          <w:lang w:eastAsia="lt-LT"/>
        </w:rPr>
        <w:t>Direktyvas</w:t>
      </w:r>
      <w:proofErr w:type="spellEnd"/>
      <w:r w:rsidRPr="00AC3143">
        <w:rPr>
          <w:rFonts w:eastAsia="Times New Roman"/>
          <w:b/>
          <w:color w:val="FF0000"/>
          <w:sz w:val="28"/>
          <w:szCs w:val="28"/>
          <w:lang w:eastAsia="lt-LT"/>
        </w:rPr>
        <w:t>.</w:t>
      </w:r>
      <w:proofErr w:type="gramEnd"/>
      <w:r w:rsidRPr="00AC3143">
        <w:rPr>
          <w:rFonts w:eastAsia="Times New Roman"/>
          <w:b/>
          <w:color w:val="FF0000"/>
          <w:sz w:val="28"/>
          <w:szCs w:val="28"/>
          <w:lang w:eastAsia="lt-LT"/>
        </w:rPr>
        <w:t xml:space="preserve"> </w:t>
      </w:r>
      <w:proofErr w:type="spellStart"/>
      <w:r w:rsidRPr="00AC3143">
        <w:rPr>
          <w:rFonts w:eastAsia="Times New Roman"/>
          <w:b/>
          <w:color w:val="FF0000"/>
          <w:sz w:val="28"/>
          <w:szCs w:val="28"/>
          <w:lang w:eastAsia="lt-LT"/>
        </w:rPr>
        <w:t>Klausimai</w:t>
      </w:r>
      <w:proofErr w:type="spellEnd"/>
      <w:r w:rsidRPr="00AC3143">
        <w:rPr>
          <w:rFonts w:eastAsia="Times New Roman"/>
          <w:b/>
          <w:color w:val="FF0000"/>
          <w:sz w:val="28"/>
          <w:szCs w:val="28"/>
          <w:lang w:eastAsia="lt-LT"/>
        </w:rPr>
        <w:t xml:space="preserve"> – </w:t>
      </w:r>
      <w:proofErr w:type="spellStart"/>
      <w:r w:rsidRPr="00AC3143">
        <w:rPr>
          <w:rFonts w:eastAsia="Times New Roman"/>
          <w:b/>
          <w:color w:val="FF0000"/>
          <w:sz w:val="28"/>
          <w:szCs w:val="28"/>
          <w:lang w:eastAsia="lt-LT"/>
        </w:rPr>
        <w:t>atsakymai</w:t>
      </w:r>
      <w:proofErr w:type="spellEnd"/>
      <w:r w:rsidRPr="00AC3143">
        <w:rPr>
          <w:rFonts w:eastAsia="Times New Roman"/>
          <w:b/>
          <w:color w:val="FF0000"/>
          <w:sz w:val="28"/>
          <w:szCs w:val="28"/>
          <w:lang w:eastAsia="lt-LT"/>
        </w:rPr>
        <w:t xml:space="preserve">; </w:t>
      </w:r>
      <w:proofErr w:type="spellStart"/>
      <w:r w:rsidRPr="00AC3143">
        <w:rPr>
          <w:rFonts w:eastAsia="Times New Roman"/>
          <w:b/>
          <w:color w:val="FF0000"/>
          <w:sz w:val="28"/>
          <w:szCs w:val="28"/>
          <w:lang w:eastAsia="lt-LT"/>
        </w:rPr>
        <w:t>Santraukos</w:t>
      </w:r>
      <w:proofErr w:type="spellEnd"/>
    </w:p>
    <w:p w:rsidR="00A61FFD" w:rsidRDefault="00AC3143" w:rsidP="00A61FFD">
      <w:pPr>
        <w:rPr>
          <w:rFonts w:ascii="Arial" w:hAnsi="Arial" w:cs="Arial"/>
          <w:b/>
          <w:bCs/>
          <w:sz w:val="20"/>
          <w:szCs w:val="20"/>
          <w:lang w:val="en-GB" w:eastAsia="lt-LT"/>
        </w:rPr>
      </w:pPr>
      <w:hyperlink r:id="rId8" w:history="1">
        <w:r w:rsidR="00A61FFD">
          <w:rPr>
            <w:rStyle w:val="Hyperlink"/>
            <w:rFonts w:ascii="Arial" w:hAnsi="Arial" w:cs="Arial"/>
            <w:b/>
            <w:bCs/>
            <w:sz w:val="20"/>
            <w:szCs w:val="20"/>
            <w:lang w:val="en-GB" w:eastAsia="lt-LT"/>
          </w:rPr>
          <w:t>Here</w:t>
        </w:r>
      </w:hyperlink>
      <w:r w:rsidR="00A61FFD">
        <w:rPr>
          <w:rFonts w:ascii="Arial" w:hAnsi="Arial" w:cs="Arial"/>
          <w:b/>
          <w:bCs/>
          <w:sz w:val="20"/>
          <w:szCs w:val="20"/>
          <w:lang w:val="en-GB" w:eastAsia="lt-LT"/>
        </w:rPr>
        <w:t xml:space="preserve"> you find all the published documents and legislative files.</w:t>
      </w:r>
    </w:p>
    <w:p w:rsidR="00A61FFD" w:rsidRDefault="00A61FFD" w:rsidP="00A61FFD">
      <w:pPr>
        <w:rPr>
          <w:rFonts w:ascii="Arial" w:hAnsi="Arial" w:cs="Arial"/>
          <w:b/>
          <w:bCs/>
          <w:sz w:val="20"/>
          <w:szCs w:val="20"/>
          <w:lang w:val="en-GB" w:eastAsia="lt-LT"/>
        </w:rPr>
      </w:pPr>
      <w:r>
        <w:rPr>
          <w:rFonts w:ascii="Arial" w:hAnsi="Arial" w:cs="Arial"/>
          <w:b/>
          <w:bCs/>
          <w:sz w:val="20"/>
          <w:szCs w:val="20"/>
          <w:lang w:val="en-GB" w:eastAsia="lt-LT"/>
        </w:rPr>
        <w:t xml:space="preserve">And </w:t>
      </w:r>
      <w:hyperlink r:id="rId9" w:history="1">
        <w:r>
          <w:rPr>
            <w:rStyle w:val="Hyperlink"/>
            <w:rFonts w:ascii="Arial" w:hAnsi="Arial" w:cs="Arial"/>
            <w:b/>
            <w:bCs/>
            <w:sz w:val="20"/>
            <w:szCs w:val="20"/>
            <w:lang w:val="en-GB" w:eastAsia="lt-LT"/>
          </w:rPr>
          <w:t>here</w:t>
        </w:r>
      </w:hyperlink>
      <w:r>
        <w:rPr>
          <w:rFonts w:ascii="Arial" w:hAnsi="Arial" w:cs="Arial"/>
          <w:b/>
          <w:bCs/>
          <w:sz w:val="20"/>
          <w:szCs w:val="20"/>
          <w:lang w:val="en-GB" w:eastAsia="lt-LT"/>
        </w:rPr>
        <w:t xml:space="preserve"> a nice &amp; short overview</w:t>
      </w:r>
    </w:p>
    <w:p w:rsidR="00A61FFD" w:rsidRDefault="00A61FFD" w:rsidP="00A61FFD">
      <w:pPr>
        <w:rPr>
          <w:rFonts w:ascii="Arial" w:hAnsi="Arial" w:cs="Arial"/>
          <w:sz w:val="20"/>
          <w:szCs w:val="20"/>
          <w:lang w:val="en-GB" w:eastAsia="lt-LT"/>
        </w:rPr>
      </w:pPr>
      <w:r>
        <w:rPr>
          <w:rFonts w:ascii="Arial" w:hAnsi="Arial" w:cs="Arial"/>
          <w:b/>
          <w:bCs/>
          <w:sz w:val="20"/>
          <w:szCs w:val="20"/>
          <w:lang w:val="en-GB" w:eastAsia="lt-LT"/>
        </w:rPr>
        <w:t xml:space="preserve">Another interesting link </w:t>
      </w:r>
      <w:hyperlink r:id="rId10" w:history="1">
        <w:r>
          <w:rPr>
            <w:rStyle w:val="Hyperlink"/>
            <w:rFonts w:ascii="Arial" w:hAnsi="Arial" w:cs="Arial"/>
            <w:b/>
            <w:bCs/>
            <w:sz w:val="20"/>
            <w:szCs w:val="20"/>
            <w:lang w:val="en-GB" w:eastAsia="lt-LT"/>
          </w:rPr>
          <w:t>here</w:t>
        </w:r>
      </w:hyperlink>
      <w:r>
        <w:rPr>
          <w:rFonts w:ascii="Arial" w:hAnsi="Arial" w:cs="Arial"/>
          <w:b/>
          <w:bCs/>
          <w:sz w:val="20"/>
          <w:szCs w:val="20"/>
          <w:lang w:val="en-GB" w:eastAsia="lt-LT"/>
        </w:rPr>
        <w:t xml:space="preserve"> </w:t>
      </w:r>
      <w:r>
        <w:rPr>
          <w:rFonts w:ascii="Arial" w:hAnsi="Arial" w:cs="Arial"/>
          <w:sz w:val="20"/>
          <w:szCs w:val="20"/>
          <w:lang w:val="en-GB" w:eastAsia="lt-LT"/>
        </w:rPr>
        <w:t>(find Q&amp;A documents, factsheets on the various files, as well as the flyer “Delivering the European Green Deal“)</w:t>
      </w:r>
    </w:p>
    <w:p w:rsidR="00A80CFB" w:rsidRPr="00AC3143" w:rsidRDefault="00A80CFB" w:rsidP="00AC3143">
      <w:pPr>
        <w:jc w:val="center"/>
        <w:rPr>
          <w:rFonts w:ascii="Arial" w:hAnsi="Arial" w:cs="Arial"/>
          <w:color w:val="FF0000"/>
          <w:lang w:val="en-GB"/>
        </w:rPr>
      </w:pPr>
      <w:bookmarkStart w:id="0" w:name="_GoBack"/>
      <w:bookmarkEnd w:id="0"/>
      <w:proofErr w:type="spellStart"/>
      <w:r w:rsidRPr="00AC3143">
        <w:rPr>
          <w:rFonts w:ascii="Arial" w:hAnsi="Arial" w:cs="Arial"/>
          <w:color w:val="FF0000"/>
          <w:lang w:val="en-GB"/>
        </w:rPr>
        <w:t>Europos</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Komisija</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paskelbdama</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Direktyvų</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keitimo</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paketą</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padarė</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tokį</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keitimų</w:t>
      </w:r>
      <w:proofErr w:type="spellEnd"/>
      <w:r w:rsidRPr="00AC3143">
        <w:rPr>
          <w:rFonts w:ascii="Arial" w:hAnsi="Arial" w:cs="Arial"/>
          <w:color w:val="FF0000"/>
          <w:lang w:val="en-GB"/>
        </w:rPr>
        <w:t xml:space="preserve"> </w:t>
      </w:r>
      <w:proofErr w:type="spellStart"/>
      <w:r w:rsidRPr="00AC3143">
        <w:rPr>
          <w:rFonts w:ascii="Arial" w:hAnsi="Arial" w:cs="Arial"/>
          <w:color w:val="FF0000"/>
          <w:lang w:val="en-GB"/>
        </w:rPr>
        <w:t>pristatymą</w:t>
      </w:r>
      <w:proofErr w:type="spellEnd"/>
      <w:r w:rsidRPr="00AC3143">
        <w:rPr>
          <w:rFonts w:ascii="Arial" w:hAnsi="Arial" w:cs="Arial"/>
          <w:color w:val="FF0000"/>
          <w:lang w:val="en-GB"/>
        </w:rPr>
        <w:t>:</w:t>
      </w:r>
    </w:p>
    <w:tbl>
      <w:tblPr>
        <w:tblW w:w="0" w:type="auto"/>
        <w:tblCellMar>
          <w:left w:w="0" w:type="dxa"/>
          <w:right w:w="0" w:type="dxa"/>
        </w:tblCellMar>
        <w:tblLook w:val="04A0" w:firstRow="1" w:lastRow="0" w:firstColumn="1" w:lastColumn="0" w:noHBand="0" w:noVBand="1"/>
      </w:tblPr>
      <w:tblGrid>
        <w:gridCol w:w="9350"/>
      </w:tblGrid>
      <w:tr w:rsidR="00A80CFB" w:rsidTr="0095254C">
        <w:tc>
          <w:tcPr>
            <w:tcW w:w="9350" w:type="dxa"/>
            <w:shd w:val="clear" w:color="auto" w:fill="D9E2F3"/>
            <w:tcMar>
              <w:top w:w="0" w:type="dxa"/>
              <w:left w:w="108" w:type="dxa"/>
              <w:bottom w:w="0" w:type="dxa"/>
              <w:right w:w="108" w:type="dxa"/>
            </w:tcMar>
            <w:vAlign w:val="center"/>
          </w:tcPr>
          <w:p w:rsidR="00A80CFB" w:rsidRDefault="00A80CFB" w:rsidP="0095254C">
            <w:pPr>
              <w:jc w:val="center"/>
              <w:rPr>
                <w:rFonts w:ascii="Arial" w:hAnsi="Arial" w:cs="Arial"/>
                <w:color w:val="00477A"/>
                <w:sz w:val="20"/>
                <w:szCs w:val="20"/>
                <w:lang w:val="en-GB"/>
              </w:rPr>
            </w:pPr>
            <w:r>
              <w:rPr>
                <w:rFonts w:ascii="Arial" w:hAnsi="Arial" w:cs="Arial"/>
                <w:color w:val="00477A"/>
                <w:sz w:val="20"/>
                <w:szCs w:val="20"/>
                <w:lang w:val="en-GB"/>
              </w:rPr>
              <w:t>The Fit for 55 package consists of a set of inter-connected proposals, which all drive towards</w:t>
            </w:r>
          </w:p>
          <w:p w:rsidR="00A80CFB" w:rsidRDefault="00A80CFB" w:rsidP="0095254C">
            <w:pPr>
              <w:jc w:val="center"/>
              <w:rPr>
                <w:rFonts w:ascii="Arial" w:hAnsi="Arial" w:cs="Arial"/>
                <w:color w:val="00477A"/>
                <w:sz w:val="20"/>
                <w:szCs w:val="20"/>
                <w:lang w:val="en-GB"/>
              </w:rPr>
            </w:pPr>
            <w:proofErr w:type="gramStart"/>
            <w:r>
              <w:rPr>
                <w:rFonts w:ascii="Arial" w:hAnsi="Arial" w:cs="Arial"/>
                <w:color w:val="00477A"/>
                <w:sz w:val="20"/>
                <w:szCs w:val="20"/>
                <w:lang w:val="en-GB"/>
              </w:rPr>
              <w:t>the</w:t>
            </w:r>
            <w:proofErr w:type="gramEnd"/>
            <w:r>
              <w:rPr>
                <w:rFonts w:ascii="Arial" w:hAnsi="Arial" w:cs="Arial"/>
                <w:color w:val="00477A"/>
                <w:sz w:val="20"/>
                <w:szCs w:val="20"/>
                <w:lang w:val="en-GB"/>
              </w:rPr>
              <w:t xml:space="preserve"> same goal of ensuring a fair, competitive and green transition by 2030 and beyond. Where</w:t>
            </w:r>
          </w:p>
          <w:p w:rsidR="00A80CFB" w:rsidRDefault="00A80CFB" w:rsidP="0095254C">
            <w:pPr>
              <w:jc w:val="center"/>
              <w:rPr>
                <w:rFonts w:ascii="Arial" w:hAnsi="Arial" w:cs="Arial"/>
                <w:color w:val="00477A"/>
                <w:sz w:val="20"/>
                <w:szCs w:val="20"/>
                <w:lang w:val="en-GB"/>
              </w:rPr>
            </w:pPr>
            <w:r>
              <w:rPr>
                <w:rFonts w:ascii="Arial" w:hAnsi="Arial" w:cs="Arial"/>
                <w:color w:val="00477A"/>
                <w:sz w:val="20"/>
                <w:szCs w:val="20"/>
                <w:lang w:val="en-GB"/>
              </w:rPr>
              <w:t>possible existing legislation is made more ambitious and where needed new proposals are put</w:t>
            </w:r>
          </w:p>
          <w:p w:rsidR="00A80CFB" w:rsidRDefault="00A80CFB" w:rsidP="0095254C">
            <w:pPr>
              <w:jc w:val="center"/>
              <w:rPr>
                <w:rFonts w:ascii="Arial" w:hAnsi="Arial" w:cs="Arial"/>
                <w:color w:val="00477A"/>
                <w:sz w:val="20"/>
                <w:szCs w:val="20"/>
                <w:lang w:val="en-GB"/>
              </w:rPr>
            </w:pPr>
            <w:proofErr w:type="gramStart"/>
            <w:r>
              <w:rPr>
                <w:rFonts w:ascii="Arial" w:hAnsi="Arial" w:cs="Arial"/>
                <w:color w:val="00477A"/>
                <w:sz w:val="20"/>
                <w:szCs w:val="20"/>
                <w:lang w:val="en-GB"/>
              </w:rPr>
              <w:t>on</w:t>
            </w:r>
            <w:proofErr w:type="gramEnd"/>
            <w:r>
              <w:rPr>
                <w:rFonts w:ascii="Arial" w:hAnsi="Arial" w:cs="Arial"/>
                <w:color w:val="00477A"/>
                <w:sz w:val="20"/>
                <w:szCs w:val="20"/>
                <w:lang w:val="en-GB"/>
              </w:rPr>
              <w:t xml:space="preserve"> the table. Overall, the package strengthens eight existing pieces of legislation and presents</w:t>
            </w:r>
          </w:p>
          <w:p w:rsidR="00A80CFB" w:rsidRDefault="00A80CFB" w:rsidP="0095254C">
            <w:pPr>
              <w:jc w:val="center"/>
              <w:rPr>
                <w:rFonts w:ascii="Arial" w:hAnsi="Arial" w:cs="Arial"/>
                <w:color w:val="00477A"/>
                <w:sz w:val="20"/>
                <w:szCs w:val="20"/>
                <w:lang w:val="en-GB"/>
              </w:rPr>
            </w:pPr>
            <w:r>
              <w:rPr>
                <w:rFonts w:ascii="Arial" w:hAnsi="Arial" w:cs="Arial"/>
                <w:color w:val="00477A"/>
                <w:sz w:val="20"/>
                <w:szCs w:val="20"/>
                <w:lang w:val="en-GB"/>
              </w:rPr>
              <w:t>five new initiatives, across a range policy areas and economic sectors: climate, energy and</w:t>
            </w:r>
          </w:p>
          <w:p w:rsidR="00A80CFB" w:rsidRDefault="00A80CFB" w:rsidP="0095254C">
            <w:pPr>
              <w:jc w:val="center"/>
              <w:rPr>
                <w:rFonts w:ascii="Arial" w:hAnsi="Arial" w:cs="Arial"/>
                <w:color w:val="00477A"/>
                <w:sz w:val="20"/>
                <w:szCs w:val="20"/>
                <w:lang w:val="en-GB"/>
              </w:rPr>
            </w:pPr>
            <w:proofErr w:type="gramStart"/>
            <w:r>
              <w:rPr>
                <w:rFonts w:ascii="Arial" w:hAnsi="Arial" w:cs="Arial"/>
                <w:color w:val="00477A"/>
                <w:sz w:val="20"/>
                <w:szCs w:val="20"/>
                <w:lang w:val="en-GB"/>
              </w:rPr>
              <w:t>fuels</w:t>
            </w:r>
            <w:proofErr w:type="gramEnd"/>
            <w:r>
              <w:rPr>
                <w:rFonts w:ascii="Arial" w:hAnsi="Arial" w:cs="Arial"/>
                <w:color w:val="00477A"/>
                <w:sz w:val="20"/>
                <w:szCs w:val="20"/>
                <w:lang w:val="en-GB"/>
              </w:rPr>
              <w:t>, transport, buildings, land use and forestry.</w:t>
            </w:r>
          </w:p>
          <w:p w:rsidR="00A80CFB" w:rsidRDefault="00A80CFB" w:rsidP="0095254C">
            <w:pPr>
              <w:jc w:val="center"/>
              <w:rPr>
                <w:rFonts w:ascii="Arial" w:hAnsi="Arial" w:cs="Arial"/>
                <w:color w:val="00477A"/>
                <w:sz w:val="20"/>
                <w:szCs w:val="20"/>
                <w:lang w:val="en-GB"/>
              </w:rPr>
            </w:pPr>
          </w:p>
        </w:tc>
      </w:tr>
      <w:tr w:rsidR="00A80CFB" w:rsidTr="0095254C">
        <w:tc>
          <w:tcPr>
            <w:tcW w:w="9350" w:type="dxa"/>
            <w:shd w:val="clear" w:color="auto" w:fill="D9E2F3"/>
            <w:tcMar>
              <w:top w:w="0" w:type="dxa"/>
              <w:left w:w="108" w:type="dxa"/>
              <w:bottom w:w="0" w:type="dxa"/>
              <w:right w:w="108" w:type="dxa"/>
            </w:tcMar>
            <w:vAlign w:val="center"/>
          </w:tcPr>
          <w:p w:rsidR="00A80CFB" w:rsidRDefault="00A80CFB" w:rsidP="0095254C">
            <w:pPr>
              <w:jc w:val="center"/>
              <w:rPr>
                <w:rFonts w:ascii="Arial" w:hAnsi="Arial" w:cs="Arial"/>
                <w:color w:val="00477A"/>
                <w:sz w:val="20"/>
                <w:szCs w:val="20"/>
                <w:lang w:val="en-GB"/>
              </w:rPr>
            </w:pPr>
            <w:r>
              <w:rPr>
                <w:rFonts w:ascii="Arial" w:hAnsi="Arial" w:cs="Arial"/>
                <w:color w:val="00477A"/>
                <w:sz w:val="20"/>
                <w:szCs w:val="20"/>
                <w:lang w:val="en-GB"/>
              </w:rPr>
              <w:t>The legislative proposals are backed by impact assessment analysis, which takes into account</w:t>
            </w:r>
          </w:p>
          <w:p w:rsidR="00A80CFB" w:rsidRDefault="00A80CFB" w:rsidP="0095254C">
            <w:pPr>
              <w:jc w:val="center"/>
              <w:rPr>
                <w:rFonts w:ascii="Arial" w:hAnsi="Arial" w:cs="Arial"/>
                <w:color w:val="00477A"/>
                <w:sz w:val="20"/>
                <w:szCs w:val="20"/>
                <w:lang w:val="en-GB"/>
              </w:rPr>
            </w:pPr>
            <w:proofErr w:type="gramStart"/>
            <w:r>
              <w:rPr>
                <w:rFonts w:ascii="Arial" w:hAnsi="Arial" w:cs="Arial"/>
                <w:color w:val="00477A"/>
                <w:sz w:val="20"/>
                <w:szCs w:val="20"/>
                <w:lang w:val="en-GB"/>
              </w:rPr>
              <w:t>the</w:t>
            </w:r>
            <w:proofErr w:type="gramEnd"/>
            <w:r>
              <w:rPr>
                <w:rFonts w:ascii="Arial" w:hAnsi="Arial" w:cs="Arial"/>
                <w:color w:val="00477A"/>
                <w:sz w:val="20"/>
                <w:szCs w:val="20"/>
                <w:lang w:val="en-GB"/>
              </w:rPr>
              <w:t xml:space="preserve"> interconnection of the overall package. The analysis shows that an over-reliance on</w:t>
            </w:r>
          </w:p>
          <w:p w:rsidR="00A80CFB" w:rsidRDefault="00A80CFB" w:rsidP="0095254C">
            <w:pPr>
              <w:jc w:val="center"/>
              <w:rPr>
                <w:rFonts w:ascii="Arial" w:hAnsi="Arial" w:cs="Arial"/>
                <w:color w:val="00477A"/>
                <w:sz w:val="20"/>
                <w:szCs w:val="20"/>
                <w:lang w:val="en-GB"/>
              </w:rPr>
            </w:pPr>
            <w:r>
              <w:rPr>
                <w:rFonts w:ascii="Arial" w:hAnsi="Arial" w:cs="Arial"/>
                <w:color w:val="00477A"/>
                <w:sz w:val="20"/>
                <w:szCs w:val="20"/>
                <w:lang w:val="en-GB"/>
              </w:rPr>
              <w:t>strengthened regulatory policies would lead to unnecessarily high economic burdens, while</w:t>
            </w:r>
          </w:p>
          <w:p w:rsidR="00A80CFB" w:rsidRDefault="00A80CFB" w:rsidP="0095254C">
            <w:pPr>
              <w:jc w:val="center"/>
              <w:rPr>
                <w:rFonts w:ascii="Arial" w:hAnsi="Arial" w:cs="Arial"/>
                <w:color w:val="00477A"/>
                <w:sz w:val="20"/>
                <w:szCs w:val="20"/>
                <w:lang w:val="en-GB"/>
              </w:rPr>
            </w:pPr>
            <w:proofErr w:type="gramStart"/>
            <w:r>
              <w:rPr>
                <w:rFonts w:ascii="Arial" w:hAnsi="Arial" w:cs="Arial"/>
                <w:color w:val="00477A"/>
                <w:sz w:val="20"/>
                <w:szCs w:val="20"/>
                <w:lang w:val="en-GB"/>
              </w:rPr>
              <w:t>carbon</w:t>
            </w:r>
            <w:proofErr w:type="gramEnd"/>
            <w:r>
              <w:rPr>
                <w:rFonts w:ascii="Arial" w:hAnsi="Arial" w:cs="Arial"/>
                <w:color w:val="00477A"/>
                <w:sz w:val="20"/>
                <w:szCs w:val="20"/>
                <w:lang w:val="en-GB"/>
              </w:rPr>
              <w:t xml:space="preserve"> pricing alone would not overcome persistent market failures and non-market barriers.</w:t>
            </w:r>
          </w:p>
          <w:p w:rsidR="00A80CFB" w:rsidRDefault="00A80CFB" w:rsidP="0095254C">
            <w:pPr>
              <w:jc w:val="center"/>
              <w:rPr>
                <w:rFonts w:ascii="Arial" w:hAnsi="Arial" w:cs="Arial"/>
                <w:color w:val="00477A"/>
                <w:sz w:val="20"/>
                <w:szCs w:val="20"/>
                <w:lang w:val="en-GB"/>
              </w:rPr>
            </w:pPr>
            <w:r>
              <w:rPr>
                <w:rFonts w:ascii="Arial" w:hAnsi="Arial" w:cs="Arial"/>
                <w:color w:val="00477A"/>
                <w:sz w:val="20"/>
                <w:szCs w:val="20"/>
                <w:lang w:val="en-GB"/>
              </w:rPr>
              <w:t>The chosen policy mix is therefore a careful balance between pricing, targets, standards and</w:t>
            </w:r>
          </w:p>
          <w:p w:rsidR="00A80CFB" w:rsidRDefault="00A80CFB" w:rsidP="0095254C">
            <w:pPr>
              <w:jc w:val="center"/>
              <w:rPr>
                <w:rFonts w:ascii="Arial" w:hAnsi="Arial" w:cs="Arial"/>
                <w:color w:val="00477A"/>
                <w:sz w:val="20"/>
                <w:szCs w:val="20"/>
                <w:lang w:val="en-GB"/>
              </w:rPr>
            </w:pPr>
            <w:r>
              <w:rPr>
                <w:rFonts w:ascii="Arial" w:hAnsi="Arial" w:cs="Arial"/>
                <w:color w:val="00477A"/>
                <w:sz w:val="20"/>
                <w:szCs w:val="20"/>
                <w:lang w:val="en-GB"/>
              </w:rPr>
              <w:t>support measures</w:t>
            </w:r>
          </w:p>
          <w:p w:rsidR="00A80CFB" w:rsidRDefault="00A80CFB" w:rsidP="0095254C">
            <w:pPr>
              <w:jc w:val="center"/>
              <w:rPr>
                <w:rFonts w:ascii="Arial" w:hAnsi="Arial" w:cs="Arial"/>
                <w:color w:val="00477A"/>
                <w:sz w:val="20"/>
                <w:szCs w:val="20"/>
                <w:lang w:val="en-GB"/>
              </w:rPr>
            </w:pPr>
          </w:p>
        </w:tc>
      </w:tr>
      <w:tr w:rsidR="00A80CFB" w:rsidTr="0095254C">
        <w:tc>
          <w:tcPr>
            <w:tcW w:w="9350" w:type="dxa"/>
            <w:tcMar>
              <w:top w:w="0" w:type="dxa"/>
              <w:left w:w="108" w:type="dxa"/>
              <w:bottom w:w="0" w:type="dxa"/>
              <w:right w:w="108" w:type="dxa"/>
            </w:tcMar>
            <w:vAlign w:val="center"/>
            <w:hideMark/>
          </w:tcPr>
          <w:p w:rsidR="00A80CFB" w:rsidRDefault="00A80CFB" w:rsidP="0095254C">
            <w:pPr>
              <w:jc w:val="center"/>
              <w:rPr>
                <w:rFonts w:ascii="Arial" w:hAnsi="Arial" w:cs="Arial"/>
                <w:color w:val="00477A"/>
                <w:sz w:val="20"/>
                <w:szCs w:val="20"/>
                <w:lang w:val="en-GB"/>
              </w:rPr>
            </w:pPr>
            <w:r>
              <w:rPr>
                <w:noProof/>
              </w:rPr>
              <w:lastRenderedPageBreak/>
              <w:drawing>
                <wp:inline distT="0" distB="0" distL="0" distR="0" wp14:anchorId="61813B7C" wp14:editId="35D3DBCA">
                  <wp:extent cx="5734050" cy="3943350"/>
                  <wp:effectExtent l="0" t="0" r="0" b="0"/>
                  <wp:docPr id="3" name="Picture 3" descr="cid:image001.png@01D778D6.97F09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778D6.97F095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4050" cy="3943350"/>
                          </a:xfrm>
                          <a:prstGeom prst="rect">
                            <a:avLst/>
                          </a:prstGeom>
                          <a:noFill/>
                          <a:ln>
                            <a:noFill/>
                          </a:ln>
                        </pic:spPr>
                      </pic:pic>
                    </a:graphicData>
                  </a:graphic>
                </wp:inline>
              </w:drawing>
            </w:r>
          </w:p>
        </w:tc>
      </w:tr>
    </w:tbl>
    <w:p w:rsidR="00A80CFB" w:rsidRDefault="00A80CFB" w:rsidP="00A80CFB">
      <w:pPr>
        <w:rPr>
          <w:rFonts w:ascii="Arial" w:hAnsi="Arial" w:cs="Arial"/>
          <w:color w:val="00477A"/>
          <w:sz w:val="20"/>
          <w:szCs w:val="20"/>
          <w:lang w:val="en-GB"/>
        </w:rPr>
      </w:pPr>
    </w:p>
    <w:p w:rsidR="00925882" w:rsidRDefault="00925882" w:rsidP="00E64466">
      <w:pPr>
        <w:rPr>
          <w:rFonts w:ascii="Arial" w:hAnsi="Arial" w:cs="Arial"/>
          <w:color w:val="00477A"/>
          <w:sz w:val="20"/>
          <w:szCs w:val="20"/>
          <w:lang w:val="en-GB"/>
        </w:rPr>
      </w:pPr>
    </w:p>
    <w:p w:rsidR="00E64466" w:rsidRPr="0079257B" w:rsidRDefault="00E64466" w:rsidP="0079257B">
      <w:pPr>
        <w:jc w:val="both"/>
        <w:rPr>
          <w:sz w:val="24"/>
          <w:szCs w:val="24"/>
        </w:rPr>
      </w:pPr>
    </w:p>
    <w:sectPr w:rsidR="00E64466" w:rsidRPr="0079257B">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1AA"/>
    <w:multiLevelType w:val="multilevel"/>
    <w:tmpl w:val="2E1074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8B2BB1"/>
    <w:multiLevelType w:val="multilevel"/>
    <w:tmpl w:val="D190FEB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nsid w:val="03AB6A1C"/>
    <w:multiLevelType w:val="multilevel"/>
    <w:tmpl w:val="E206A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3F86F03"/>
    <w:multiLevelType w:val="multilevel"/>
    <w:tmpl w:val="3EF0C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2713671"/>
    <w:multiLevelType w:val="multilevel"/>
    <w:tmpl w:val="8B4E9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73D46E8"/>
    <w:multiLevelType w:val="multilevel"/>
    <w:tmpl w:val="FCFAC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8605D30"/>
    <w:multiLevelType w:val="multilevel"/>
    <w:tmpl w:val="8BF47B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nsid w:val="1C5D42D9"/>
    <w:multiLevelType w:val="multilevel"/>
    <w:tmpl w:val="8A2AE5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C743C65"/>
    <w:multiLevelType w:val="multilevel"/>
    <w:tmpl w:val="5798F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3A40652"/>
    <w:multiLevelType w:val="multilevel"/>
    <w:tmpl w:val="63FAE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1C63CE"/>
    <w:multiLevelType w:val="multilevel"/>
    <w:tmpl w:val="3F60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F5639DE"/>
    <w:multiLevelType w:val="multilevel"/>
    <w:tmpl w:val="8BCC7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21513E5"/>
    <w:multiLevelType w:val="multilevel"/>
    <w:tmpl w:val="C7EC3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63C65D5"/>
    <w:multiLevelType w:val="multilevel"/>
    <w:tmpl w:val="E2AC9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F304FDE"/>
    <w:multiLevelType w:val="multilevel"/>
    <w:tmpl w:val="9D403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19A6FEC"/>
    <w:multiLevelType w:val="multilevel"/>
    <w:tmpl w:val="0ABC1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2445F0D"/>
    <w:multiLevelType w:val="multilevel"/>
    <w:tmpl w:val="84B48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3461A3B"/>
    <w:multiLevelType w:val="multilevel"/>
    <w:tmpl w:val="04A47F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49A0668"/>
    <w:multiLevelType w:val="multilevel"/>
    <w:tmpl w:val="09B00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F257BDB"/>
    <w:multiLevelType w:val="multilevel"/>
    <w:tmpl w:val="B89E0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9D636CC"/>
    <w:multiLevelType w:val="multilevel"/>
    <w:tmpl w:val="F3965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6727168B"/>
    <w:multiLevelType w:val="multilevel"/>
    <w:tmpl w:val="2E4C8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6A9A5A2B"/>
    <w:multiLevelType w:val="multilevel"/>
    <w:tmpl w:val="DA209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D2B4C7D"/>
    <w:multiLevelType w:val="multilevel"/>
    <w:tmpl w:val="32928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BC518F8"/>
    <w:multiLevelType w:val="multilevel"/>
    <w:tmpl w:val="2BD01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C3E24BC"/>
    <w:multiLevelType w:val="multilevel"/>
    <w:tmpl w:val="07162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CC854AC"/>
    <w:multiLevelType w:val="multilevel"/>
    <w:tmpl w:val="29B0B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4"/>
  </w:num>
  <w:num w:numId="3">
    <w:abstractNumId w:val="1"/>
  </w:num>
  <w:num w:numId="4">
    <w:abstractNumId w:val="25"/>
  </w:num>
  <w:num w:numId="5">
    <w:abstractNumId w:val="18"/>
  </w:num>
  <w:num w:numId="6">
    <w:abstractNumId w:val="23"/>
  </w:num>
  <w:num w:numId="7">
    <w:abstractNumId w:val="22"/>
  </w:num>
  <w:num w:numId="8">
    <w:abstractNumId w:val="16"/>
  </w:num>
  <w:num w:numId="9">
    <w:abstractNumId w:val="20"/>
  </w:num>
  <w:num w:numId="10">
    <w:abstractNumId w:val="12"/>
  </w:num>
  <w:num w:numId="11">
    <w:abstractNumId w:val="4"/>
  </w:num>
  <w:num w:numId="12">
    <w:abstractNumId w:val="11"/>
  </w:num>
  <w:num w:numId="13">
    <w:abstractNumId w:val="10"/>
  </w:num>
  <w:num w:numId="14">
    <w:abstractNumId w:val="26"/>
  </w:num>
  <w:num w:numId="15">
    <w:abstractNumId w:val="15"/>
  </w:num>
  <w:num w:numId="16">
    <w:abstractNumId w:val="9"/>
  </w:num>
  <w:num w:numId="17">
    <w:abstractNumId w:val="3"/>
  </w:num>
  <w:num w:numId="18">
    <w:abstractNumId w:val="24"/>
  </w:num>
  <w:num w:numId="19">
    <w:abstractNumId w:val="5"/>
  </w:num>
  <w:num w:numId="20">
    <w:abstractNumId w:val="8"/>
  </w:num>
  <w:num w:numId="21">
    <w:abstractNumId w:val="21"/>
  </w:num>
  <w:num w:numId="22">
    <w:abstractNumId w:val="7"/>
  </w:num>
  <w:num w:numId="23">
    <w:abstractNumId w:val="13"/>
  </w:num>
  <w:num w:numId="24">
    <w:abstractNumId w:val="19"/>
  </w:num>
  <w:num w:numId="25">
    <w:abstractNumId w:val="6"/>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BF"/>
    <w:rsid w:val="0002667A"/>
    <w:rsid w:val="001A5EBB"/>
    <w:rsid w:val="00287F8F"/>
    <w:rsid w:val="002F3BFE"/>
    <w:rsid w:val="00311068"/>
    <w:rsid w:val="003F15BF"/>
    <w:rsid w:val="004E06C7"/>
    <w:rsid w:val="00542B33"/>
    <w:rsid w:val="005E21B5"/>
    <w:rsid w:val="005E48E9"/>
    <w:rsid w:val="00684151"/>
    <w:rsid w:val="0069211E"/>
    <w:rsid w:val="006D4EB6"/>
    <w:rsid w:val="006E24B4"/>
    <w:rsid w:val="00747BAB"/>
    <w:rsid w:val="0079257B"/>
    <w:rsid w:val="008106DF"/>
    <w:rsid w:val="00857AFD"/>
    <w:rsid w:val="00925882"/>
    <w:rsid w:val="009348E4"/>
    <w:rsid w:val="00954942"/>
    <w:rsid w:val="00A136EC"/>
    <w:rsid w:val="00A5157A"/>
    <w:rsid w:val="00A61FFD"/>
    <w:rsid w:val="00A63817"/>
    <w:rsid w:val="00A75451"/>
    <w:rsid w:val="00A80CFB"/>
    <w:rsid w:val="00AA473A"/>
    <w:rsid w:val="00AB52E2"/>
    <w:rsid w:val="00AC3143"/>
    <w:rsid w:val="00AF5E4C"/>
    <w:rsid w:val="00B63316"/>
    <w:rsid w:val="00BA4E58"/>
    <w:rsid w:val="00BE312C"/>
    <w:rsid w:val="00C05806"/>
    <w:rsid w:val="00C7264C"/>
    <w:rsid w:val="00CA0DB3"/>
    <w:rsid w:val="00CE5C27"/>
    <w:rsid w:val="00D665F7"/>
    <w:rsid w:val="00E64466"/>
    <w:rsid w:val="00EB28A4"/>
    <w:rsid w:val="00EE0E55"/>
    <w:rsid w:val="00F014B6"/>
    <w:rsid w:val="00F4098D"/>
    <w:rsid w:val="00FA25C4"/>
    <w:rsid w:val="00FC5843"/>
    <w:rsid w:val="00FE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AB"/>
    <w:rPr>
      <w:rFonts w:ascii="Tahoma" w:hAnsi="Tahoma" w:cs="Tahoma"/>
      <w:sz w:val="16"/>
      <w:szCs w:val="16"/>
    </w:rPr>
  </w:style>
  <w:style w:type="character" w:styleId="Hyperlink">
    <w:name w:val="Hyperlink"/>
    <w:basedOn w:val="DefaultParagraphFont"/>
    <w:uiPriority w:val="99"/>
    <w:semiHidden/>
    <w:unhideWhenUsed/>
    <w:rsid w:val="00E64466"/>
    <w:rPr>
      <w:color w:val="0563C1"/>
      <w:u w:val="single"/>
    </w:rPr>
  </w:style>
  <w:style w:type="paragraph" w:styleId="ListParagraph">
    <w:name w:val="List Paragraph"/>
    <w:basedOn w:val="Normal"/>
    <w:uiPriority w:val="34"/>
    <w:qFormat/>
    <w:rsid w:val="00E64466"/>
    <w:pPr>
      <w:spacing w:after="160" w:line="252" w:lineRule="auto"/>
      <w:ind w:left="720"/>
      <w:contextualSpacing/>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2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BAB"/>
    <w:rPr>
      <w:rFonts w:ascii="Tahoma" w:hAnsi="Tahoma" w:cs="Tahoma"/>
      <w:sz w:val="16"/>
      <w:szCs w:val="16"/>
    </w:rPr>
  </w:style>
  <w:style w:type="character" w:styleId="Hyperlink">
    <w:name w:val="Hyperlink"/>
    <w:basedOn w:val="DefaultParagraphFont"/>
    <w:uiPriority w:val="99"/>
    <w:semiHidden/>
    <w:unhideWhenUsed/>
    <w:rsid w:val="00E64466"/>
    <w:rPr>
      <w:color w:val="0563C1"/>
      <w:u w:val="single"/>
    </w:rPr>
  </w:style>
  <w:style w:type="paragraph" w:styleId="ListParagraph">
    <w:name w:val="List Paragraph"/>
    <w:basedOn w:val="Normal"/>
    <w:uiPriority w:val="34"/>
    <w:qFormat/>
    <w:rsid w:val="00E64466"/>
    <w:pPr>
      <w:spacing w:after="160"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4660">
      <w:bodyDiv w:val="1"/>
      <w:marLeft w:val="0"/>
      <w:marRight w:val="0"/>
      <w:marTop w:val="0"/>
      <w:marBottom w:val="0"/>
      <w:divBdr>
        <w:top w:val="none" w:sz="0" w:space="0" w:color="auto"/>
        <w:left w:val="none" w:sz="0" w:space="0" w:color="auto"/>
        <w:bottom w:val="none" w:sz="0" w:space="0" w:color="auto"/>
        <w:right w:val="none" w:sz="0" w:space="0" w:color="auto"/>
      </w:divBdr>
    </w:div>
    <w:div w:id="146670188">
      <w:bodyDiv w:val="1"/>
      <w:marLeft w:val="0"/>
      <w:marRight w:val="0"/>
      <w:marTop w:val="0"/>
      <w:marBottom w:val="0"/>
      <w:divBdr>
        <w:top w:val="none" w:sz="0" w:space="0" w:color="auto"/>
        <w:left w:val="none" w:sz="0" w:space="0" w:color="auto"/>
        <w:bottom w:val="none" w:sz="0" w:space="0" w:color="auto"/>
        <w:right w:val="none" w:sz="0" w:space="0" w:color="auto"/>
      </w:divBdr>
    </w:div>
    <w:div w:id="285241628">
      <w:bodyDiv w:val="1"/>
      <w:marLeft w:val="0"/>
      <w:marRight w:val="0"/>
      <w:marTop w:val="0"/>
      <w:marBottom w:val="0"/>
      <w:divBdr>
        <w:top w:val="none" w:sz="0" w:space="0" w:color="auto"/>
        <w:left w:val="none" w:sz="0" w:space="0" w:color="auto"/>
        <w:bottom w:val="none" w:sz="0" w:space="0" w:color="auto"/>
        <w:right w:val="none" w:sz="0" w:space="0" w:color="auto"/>
      </w:divBdr>
    </w:div>
    <w:div w:id="5321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uropean-green-deal/delivering-european-green-deal_e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urochambres.eu/wp-content/uploads/2020/11/201113_EUROCHAMBRES-Position-Paper-on-the-New-Trade-Strategy.pdf" TargetMode="External"/><Relationship Id="rId12" Type="http://schemas.openxmlformats.org/officeDocument/2006/relationships/image" Target="cid:image001.png@01D778D6.97F095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r.eu/sites/default/files/insight_CBAM_EC_SL_5.7.21.pdf"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ec.europa.eu/commission/presscorner/detail/en/ip_21_3541" TargetMode="External"/><Relationship Id="rId4" Type="http://schemas.openxmlformats.org/officeDocument/2006/relationships/settings" Target="settings.xml"/><Relationship Id="rId9" Type="http://schemas.openxmlformats.org/officeDocument/2006/relationships/hyperlink" Target="https://www.euractiv.com/section/energy-environment/news/europes-fit-for-55-climate-package-what-to-expe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4876</Words>
  <Characters>27798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dc:creator>
  <cp:lastModifiedBy>Gediminas</cp:lastModifiedBy>
  <cp:revision>14</cp:revision>
  <cp:lastPrinted>2019-12-16T05:59:00Z</cp:lastPrinted>
  <dcterms:created xsi:type="dcterms:W3CDTF">2021-07-27T09:51:00Z</dcterms:created>
  <dcterms:modified xsi:type="dcterms:W3CDTF">2021-07-27T12:35:00Z</dcterms:modified>
</cp:coreProperties>
</file>