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9B" w:rsidRPr="00324116" w:rsidRDefault="00F66C9B" w:rsidP="00F66C9B">
      <w:pPr>
        <w:spacing w:before="120"/>
        <w:jc w:val="right"/>
        <w:rPr>
          <w:sz w:val="22"/>
          <w:lang w:val="lt-LT"/>
        </w:rPr>
      </w:pPr>
      <w:r w:rsidRPr="00324116">
        <w:rPr>
          <w:sz w:val="22"/>
          <w:lang w:val="lt-LT"/>
        </w:rPr>
        <w:t>202</w:t>
      </w:r>
      <w:r>
        <w:rPr>
          <w:sz w:val="22"/>
          <w:lang w:val="lt-LT"/>
        </w:rPr>
        <w:t>2</w:t>
      </w:r>
      <w:r w:rsidRPr="00324116">
        <w:rPr>
          <w:sz w:val="22"/>
          <w:lang w:val="lt-LT"/>
        </w:rPr>
        <w:t xml:space="preserve"> m. </w:t>
      </w:r>
      <w:r>
        <w:rPr>
          <w:sz w:val="22"/>
          <w:lang w:val="lt-LT"/>
        </w:rPr>
        <w:t>vasario</w:t>
      </w:r>
      <w:r w:rsidRPr="00324116">
        <w:rPr>
          <w:sz w:val="22"/>
          <w:lang w:val="lt-LT"/>
        </w:rPr>
        <w:t xml:space="preserve"> 2</w:t>
      </w:r>
      <w:r>
        <w:rPr>
          <w:sz w:val="22"/>
          <w:lang w:val="lt-LT"/>
        </w:rPr>
        <w:t>5</w:t>
      </w:r>
      <w:r w:rsidRPr="00324116">
        <w:rPr>
          <w:sz w:val="22"/>
          <w:lang w:val="lt-LT"/>
        </w:rPr>
        <w:t xml:space="preserve"> d., Vilnius</w:t>
      </w:r>
    </w:p>
    <w:p w:rsidR="00F66C9B" w:rsidRPr="00324116" w:rsidRDefault="00F66C9B" w:rsidP="00F66C9B">
      <w:pPr>
        <w:rPr>
          <w:lang w:val="lt-LT"/>
        </w:rPr>
      </w:pPr>
    </w:p>
    <w:p w:rsidR="00C42C86" w:rsidRPr="00324116" w:rsidRDefault="00C42C86" w:rsidP="00F66C9B">
      <w:pPr>
        <w:rPr>
          <w:lang w:val="lt-LT"/>
        </w:rPr>
      </w:pPr>
    </w:p>
    <w:p w:rsidR="00F66C9B" w:rsidRPr="00324116" w:rsidRDefault="00F66C9B" w:rsidP="00B47EAB">
      <w:pPr>
        <w:tabs>
          <w:tab w:val="center" w:pos="4487"/>
        </w:tabs>
        <w:rPr>
          <w:lang w:val="lt-LT"/>
        </w:rPr>
      </w:pPr>
    </w:p>
    <w:p w:rsidR="00F66C9B" w:rsidRPr="00324116" w:rsidRDefault="00F66C9B" w:rsidP="00F66C9B">
      <w:pPr>
        <w:outlineLvl w:val="1"/>
        <w:rPr>
          <w:b/>
          <w:caps/>
          <w:sz w:val="24"/>
          <w:lang w:val="lt-LT"/>
        </w:rPr>
      </w:pPr>
      <w:r w:rsidRPr="00324116">
        <w:rPr>
          <w:b/>
          <w:caps/>
          <w:sz w:val="24"/>
          <w:lang w:val="lt-LT"/>
        </w:rPr>
        <w:t xml:space="preserve">DARBO UŽMOKESTIS ŠALYJE </w:t>
      </w:r>
    </w:p>
    <w:p w:rsidR="00F66C9B" w:rsidRPr="00324116" w:rsidRDefault="00F66C9B" w:rsidP="00F66C9B">
      <w:pPr>
        <w:outlineLvl w:val="1"/>
        <w:rPr>
          <w:caps/>
          <w:lang w:val="lt-LT"/>
        </w:rPr>
      </w:pPr>
    </w:p>
    <w:p w:rsidR="00F66C9B" w:rsidRPr="00324116" w:rsidRDefault="00F66C9B" w:rsidP="00F66C9B">
      <w:pPr>
        <w:outlineLvl w:val="1"/>
        <w:rPr>
          <w:b/>
          <w:lang w:val="lt-LT"/>
        </w:rPr>
      </w:pPr>
      <w:proofErr w:type="spellStart"/>
      <w:r w:rsidRPr="00B47EAB">
        <w:rPr>
          <w:b/>
          <w:color w:val="70AD47" w:themeColor="accent6"/>
          <w:lang w:val="lt-LT"/>
        </w:rPr>
        <w:t>Bruto</w:t>
      </w:r>
      <w:proofErr w:type="spellEnd"/>
      <w:r w:rsidRPr="00B47EAB">
        <w:rPr>
          <w:b/>
          <w:color w:val="70AD47" w:themeColor="accent6"/>
          <w:lang w:val="lt-LT"/>
        </w:rPr>
        <w:t xml:space="preserve"> darbo užmokestis </w:t>
      </w:r>
      <w:r w:rsidRPr="00324116">
        <w:rPr>
          <w:b/>
          <w:lang w:val="lt-LT"/>
        </w:rPr>
        <w:t xml:space="preserve">šalies ūkyje per 2021 m. </w:t>
      </w:r>
      <w:r>
        <w:rPr>
          <w:b/>
          <w:lang w:val="lt-LT"/>
        </w:rPr>
        <w:t>ketvirtąjį</w:t>
      </w:r>
      <w:r w:rsidRPr="00324116">
        <w:rPr>
          <w:b/>
          <w:lang w:val="lt-LT"/>
        </w:rPr>
        <w:t xml:space="preserve"> ketvirtį išaugo </w:t>
      </w:r>
      <w:r>
        <w:rPr>
          <w:b/>
          <w:lang w:val="lt-LT"/>
        </w:rPr>
        <w:t>5,1</w:t>
      </w:r>
      <w:r w:rsidRPr="00324116">
        <w:rPr>
          <w:b/>
          <w:lang w:val="lt-LT"/>
        </w:rPr>
        <w:t> proc.</w:t>
      </w:r>
    </w:p>
    <w:p w:rsidR="00F66C9B" w:rsidRPr="00F66C9B" w:rsidRDefault="00F66C9B" w:rsidP="006544FB">
      <w:pPr>
        <w:pStyle w:val="ListParagraph"/>
        <w:numPr>
          <w:ilvl w:val="0"/>
          <w:numId w:val="4"/>
        </w:numPr>
        <w:spacing w:before="120" w:after="120"/>
        <w:ind w:left="568" w:hanging="284"/>
        <w:contextualSpacing w:val="0"/>
        <w:jc w:val="both"/>
        <w:rPr>
          <w:rFonts w:cs="Arial"/>
          <w:color w:val="000000" w:themeColor="text1"/>
          <w:lang w:val="lt-LT" w:eastAsia="lt-LT"/>
        </w:rPr>
      </w:pPr>
      <w:r w:rsidRPr="00F66C9B">
        <w:rPr>
          <w:color w:val="000000" w:themeColor="text1"/>
          <w:lang w:val="lt-LT"/>
        </w:rPr>
        <w:t xml:space="preserve">Vidutinis mėnesinis </w:t>
      </w:r>
      <w:proofErr w:type="spellStart"/>
      <w:r w:rsidRPr="00F66C9B">
        <w:rPr>
          <w:color w:val="000000" w:themeColor="text1"/>
          <w:lang w:val="lt-LT"/>
        </w:rPr>
        <w:t>bruto</w:t>
      </w:r>
      <w:proofErr w:type="spellEnd"/>
      <w:r w:rsidRPr="00F66C9B">
        <w:rPr>
          <w:color w:val="000000" w:themeColor="text1"/>
          <w:lang w:val="lt-LT"/>
        </w:rPr>
        <w:t xml:space="preserve"> (neatskaičius darbuotojo mokesčių) darbo </w:t>
      </w:r>
      <w:r w:rsidRPr="00F66C9B">
        <w:rPr>
          <w:rFonts w:cs="Arial"/>
          <w:color w:val="000000" w:themeColor="text1"/>
          <w:lang w:val="lt-LT"/>
        </w:rPr>
        <w:t>užmokestis</w:t>
      </w:r>
      <w:r w:rsidRPr="00F66C9B">
        <w:rPr>
          <w:rFonts w:eastAsia="Calibri" w:cs="Arial"/>
          <w:color w:val="000000" w:themeColor="text1"/>
          <w:lang w:val="lt-LT"/>
        </w:rPr>
        <w:t xml:space="preserve"> </w:t>
      </w:r>
      <w:r w:rsidRPr="00F66C9B">
        <w:rPr>
          <w:color w:val="000000" w:themeColor="text1"/>
          <w:lang w:val="lt-LT"/>
        </w:rPr>
        <w:t xml:space="preserve">šalies ūkyje </w:t>
      </w:r>
      <w:r w:rsidRPr="00F66C9B">
        <w:rPr>
          <w:rFonts w:eastAsia="Calibri" w:cs="Arial"/>
          <w:color w:val="000000" w:themeColor="text1"/>
          <w:lang w:val="lt-LT"/>
        </w:rPr>
        <w:t>(</w:t>
      </w:r>
      <w:r w:rsidRPr="00F66C9B">
        <w:rPr>
          <w:rFonts w:cs="Arial"/>
          <w:color w:val="000000" w:themeColor="text1"/>
          <w:lang w:val="lt-LT"/>
        </w:rPr>
        <w:t>be individualiųjų</w:t>
      </w:r>
      <w:r w:rsidRPr="00F66C9B">
        <w:rPr>
          <w:color w:val="000000" w:themeColor="text1"/>
          <w:lang w:val="lt-LT"/>
        </w:rPr>
        <w:t xml:space="preserve"> įmonių) 2021 m. ketvirtąjį</w:t>
      </w:r>
      <w:r w:rsidRPr="00B47EAB">
        <w:rPr>
          <w:color w:val="000000" w:themeColor="text1"/>
          <w:lang w:val="lt-LT"/>
        </w:rPr>
        <w:t xml:space="preserve"> </w:t>
      </w:r>
      <w:r w:rsidRPr="00F66C9B">
        <w:rPr>
          <w:color w:val="000000" w:themeColor="text1"/>
          <w:lang w:val="lt-LT"/>
        </w:rPr>
        <w:t xml:space="preserve">ketvirtį sudarė 1 679,3 EUR ir, palyginti su 2021 m. trečiuoju ketvirčiu, išaugo 5,1 proc.: </w:t>
      </w:r>
      <w:r w:rsidRPr="00B47EAB">
        <w:rPr>
          <w:color w:val="70AD47" w:themeColor="accent6"/>
          <w:lang w:val="lt-LT"/>
        </w:rPr>
        <w:t xml:space="preserve">viešajame sektoriuje </w:t>
      </w:r>
      <w:r w:rsidRPr="00F66C9B">
        <w:rPr>
          <w:color w:val="000000" w:themeColor="text1"/>
          <w:lang w:val="lt-LT"/>
        </w:rPr>
        <w:t xml:space="preserve">vidutinis mėnesinis </w:t>
      </w:r>
      <w:proofErr w:type="spellStart"/>
      <w:r w:rsidRPr="00F66C9B">
        <w:rPr>
          <w:color w:val="000000" w:themeColor="text1"/>
          <w:lang w:val="lt-LT"/>
        </w:rPr>
        <w:t>bruto</w:t>
      </w:r>
      <w:proofErr w:type="spellEnd"/>
      <w:r w:rsidRPr="00F66C9B">
        <w:rPr>
          <w:color w:val="000000" w:themeColor="text1"/>
          <w:lang w:val="lt-LT"/>
        </w:rPr>
        <w:t xml:space="preserve"> darbo užmokestis sudarė 1 816,6 EUR ir buvo 8,5 proc. didesnis, privačiajame – 1 620,1 EUR ir buvo 3,5 proc. didesnis.</w:t>
      </w:r>
    </w:p>
    <w:p w:rsidR="00F66C9B" w:rsidRPr="00F66C9B" w:rsidRDefault="00F66C9B" w:rsidP="006544FB">
      <w:pPr>
        <w:pStyle w:val="ListParagraph"/>
        <w:numPr>
          <w:ilvl w:val="0"/>
          <w:numId w:val="4"/>
        </w:numPr>
        <w:spacing w:before="120" w:after="120"/>
        <w:ind w:left="568" w:hanging="284"/>
        <w:contextualSpacing w:val="0"/>
        <w:jc w:val="both"/>
        <w:rPr>
          <w:rFonts w:cs="Arial"/>
          <w:color w:val="000000" w:themeColor="text1"/>
          <w:lang w:val="lt-LT"/>
        </w:rPr>
      </w:pPr>
      <w:r w:rsidRPr="00F66C9B">
        <w:rPr>
          <w:color w:val="000000" w:themeColor="text1"/>
          <w:lang w:val="lt-LT"/>
        </w:rPr>
        <w:t xml:space="preserve">Vidutinis mėnesinis </w:t>
      </w:r>
      <w:proofErr w:type="spellStart"/>
      <w:r w:rsidRPr="00F66C9B">
        <w:rPr>
          <w:color w:val="000000" w:themeColor="text1"/>
          <w:lang w:val="lt-LT"/>
        </w:rPr>
        <w:t>bruto</w:t>
      </w:r>
      <w:proofErr w:type="spellEnd"/>
      <w:r w:rsidRPr="00F66C9B">
        <w:rPr>
          <w:color w:val="000000" w:themeColor="text1"/>
          <w:lang w:val="lt-LT"/>
        </w:rPr>
        <w:t xml:space="preserve"> darbo užmokestis šalies ūkyje 2021 m. ketvirtąjį</w:t>
      </w:r>
      <w:r w:rsidRPr="00F66C9B" w:rsidDel="0011170A">
        <w:rPr>
          <w:color w:val="000000" w:themeColor="text1"/>
          <w:lang w:val="lt-LT"/>
        </w:rPr>
        <w:t xml:space="preserve"> </w:t>
      </w:r>
      <w:r w:rsidRPr="00F66C9B">
        <w:rPr>
          <w:color w:val="000000" w:themeColor="text1"/>
          <w:lang w:val="lt-LT"/>
        </w:rPr>
        <w:t>ketvirtį išaugo visose veiklose, labiausiai kasybos ir karjerų eksploatavimo (11,2 proc.) veikloje, kitose veiklose padidėjo nuo 0,6 iki 11,1 proc.</w:t>
      </w:r>
    </w:p>
    <w:p w:rsidR="00F66C9B" w:rsidRPr="00F66C9B" w:rsidRDefault="00F66C9B" w:rsidP="006544FB">
      <w:pPr>
        <w:pStyle w:val="ListParagraph"/>
        <w:numPr>
          <w:ilvl w:val="0"/>
          <w:numId w:val="4"/>
        </w:numPr>
        <w:spacing w:before="120" w:after="120"/>
        <w:ind w:left="568" w:hanging="284"/>
        <w:contextualSpacing w:val="0"/>
        <w:jc w:val="both"/>
        <w:rPr>
          <w:rFonts w:cs="Arial"/>
          <w:color w:val="000000" w:themeColor="text1"/>
          <w:lang w:val="lt-LT"/>
        </w:rPr>
      </w:pPr>
      <w:r w:rsidRPr="00F66C9B">
        <w:rPr>
          <w:color w:val="000000" w:themeColor="text1"/>
          <w:lang w:val="lt-LT"/>
        </w:rPr>
        <w:t xml:space="preserve">Vidutinis mėnesinis </w:t>
      </w:r>
      <w:proofErr w:type="spellStart"/>
      <w:r w:rsidRPr="00B47EAB">
        <w:rPr>
          <w:color w:val="70AD47" w:themeColor="accent6"/>
          <w:lang w:val="lt-LT"/>
        </w:rPr>
        <w:t>neto</w:t>
      </w:r>
      <w:proofErr w:type="spellEnd"/>
      <w:r w:rsidRPr="00F66C9B">
        <w:rPr>
          <w:color w:val="000000" w:themeColor="text1"/>
          <w:lang w:val="lt-LT"/>
        </w:rPr>
        <w:t xml:space="preserve"> (atskaičius darbuotojo mokesčius) </w:t>
      </w:r>
      <w:r w:rsidRPr="00B47EAB">
        <w:rPr>
          <w:color w:val="70AD47" w:themeColor="accent6"/>
          <w:lang w:val="lt-LT"/>
        </w:rPr>
        <w:t xml:space="preserve">darbo užmokestis </w:t>
      </w:r>
      <w:r w:rsidRPr="00F66C9B">
        <w:rPr>
          <w:color w:val="000000" w:themeColor="text1"/>
          <w:lang w:val="lt-LT"/>
        </w:rPr>
        <w:t xml:space="preserve">šalies ūkyje sudarė 1 058,6 EUR ir, palyginti su 2021 m. trečiuoju ketvirčiu, padidėjo 4,6 proc.: viešajame sektoriuje jis sudarė 1 136,8 EUR ir buvo 7,7 proc. didesnis, privačiajame – 1 024,9 EUR ir buvo 3,1 proc. didesnis. </w:t>
      </w:r>
    </w:p>
    <w:p w:rsidR="00F66C9B" w:rsidRPr="00F66C9B" w:rsidRDefault="00F66C9B" w:rsidP="006544FB">
      <w:pPr>
        <w:pStyle w:val="ListParagraph"/>
        <w:numPr>
          <w:ilvl w:val="0"/>
          <w:numId w:val="4"/>
        </w:numPr>
        <w:spacing w:before="120" w:after="120"/>
        <w:ind w:left="568" w:hanging="284"/>
        <w:contextualSpacing w:val="0"/>
        <w:jc w:val="both"/>
        <w:rPr>
          <w:color w:val="000000" w:themeColor="text1"/>
          <w:sz w:val="28"/>
          <w:szCs w:val="28"/>
          <w:lang w:val="lt-LT"/>
        </w:rPr>
      </w:pPr>
      <w:r w:rsidRPr="00F66C9B">
        <w:rPr>
          <w:color w:val="000000" w:themeColor="text1"/>
          <w:lang w:val="lt-LT"/>
        </w:rPr>
        <w:t>Realusis darbo užmokestis 2021 m. ketvirtąjį</w:t>
      </w:r>
      <w:r w:rsidRPr="00F66C9B" w:rsidDel="0011170A">
        <w:rPr>
          <w:color w:val="000000" w:themeColor="text1"/>
          <w:lang w:val="lt-LT"/>
        </w:rPr>
        <w:t xml:space="preserve"> </w:t>
      </w:r>
      <w:r w:rsidRPr="00F66C9B">
        <w:rPr>
          <w:color w:val="000000" w:themeColor="text1"/>
          <w:lang w:val="lt-LT"/>
        </w:rPr>
        <w:t xml:space="preserve">ketvirtį, palyginti su 2021 m. trečiuoju ketvirčiu, šalies </w:t>
      </w:r>
      <w:r w:rsidRPr="00F66C9B">
        <w:rPr>
          <w:rFonts w:cs="Arial"/>
          <w:color w:val="000000" w:themeColor="text1"/>
          <w:lang w:val="lt-LT"/>
        </w:rPr>
        <w:t>ūkyje padidėjo 0,8</w:t>
      </w:r>
      <w:r w:rsidR="008E0DA6">
        <w:rPr>
          <w:rFonts w:cs="Arial"/>
          <w:color w:val="000000" w:themeColor="text1"/>
          <w:lang w:val="lt-LT"/>
        </w:rPr>
        <w:t> </w:t>
      </w:r>
      <w:r w:rsidRPr="00F66C9B">
        <w:rPr>
          <w:rFonts w:cs="Arial"/>
          <w:color w:val="000000" w:themeColor="text1"/>
          <w:lang w:val="lt-LT"/>
        </w:rPr>
        <w:t>proc.: viešajame sektoriuje buvo 3,8 proc. didesnis, privačiajame</w:t>
      </w:r>
      <w:r w:rsidR="0012218F">
        <w:rPr>
          <w:rFonts w:cs="Arial"/>
          <w:color w:val="000000" w:themeColor="text1"/>
          <w:lang w:val="lt-LT"/>
        </w:rPr>
        <w:t> </w:t>
      </w:r>
      <w:r w:rsidRPr="00F66C9B">
        <w:rPr>
          <w:rFonts w:cs="Arial"/>
          <w:color w:val="000000" w:themeColor="text1"/>
          <w:lang w:val="lt-LT"/>
        </w:rPr>
        <w:t>– sumažėjo 0,7 proc.</w:t>
      </w:r>
    </w:p>
    <w:p w:rsidR="00F66C9B" w:rsidRPr="00596419" w:rsidRDefault="00F66C9B" w:rsidP="006544FB">
      <w:pPr>
        <w:pStyle w:val="Pagrtekstas"/>
        <w:numPr>
          <w:ilvl w:val="0"/>
          <w:numId w:val="1"/>
        </w:numPr>
        <w:spacing w:before="120" w:after="120"/>
        <w:ind w:left="568" w:hanging="284"/>
        <w:rPr>
          <w:lang w:val="lt-LT"/>
        </w:rPr>
      </w:pPr>
      <w:r w:rsidRPr="00F66C9B">
        <w:rPr>
          <w:color w:val="000000" w:themeColor="text1"/>
          <w:lang w:val="lt-LT"/>
        </w:rPr>
        <w:t>Darbo užmokesčio pokyčiams 2021 m. ketvirtąjį</w:t>
      </w:r>
      <w:r w:rsidRPr="00F66C9B" w:rsidDel="0011170A">
        <w:rPr>
          <w:color w:val="000000" w:themeColor="text1"/>
          <w:lang w:val="lt-LT"/>
        </w:rPr>
        <w:t xml:space="preserve"> </w:t>
      </w:r>
      <w:r w:rsidRPr="00F66C9B">
        <w:rPr>
          <w:color w:val="000000" w:themeColor="text1"/>
          <w:lang w:val="lt-LT"/>
        </w:rPr>
        <w:t xml:space="preserve">ketvirtį įtakos turėjo </w:t>
      </w:r>
      <w:r w:rsidRPr="00F66C9B">
        <w:rPr>
          <w:color w:val="000000" w:themeColor="text1"/>
          <w:spacing w:val="-2"/>
          <w:lang w:val="lt-LT"/>
        </w:rPr>
        <w:t>sezoniniai svyravimai,</w:t>
      </w:r>
      <w:r w:rsidRPr="00F66C9B">
        <w:rPr>
          <w:color w:val="000000" w:themeColor="text1"/>
          <w:lang w:val="lt-LT"/>
        </w:rPr>
        <w:t xml:space="preserve"> išmokėtos didesnės </w:t>
      </w:r>
      <w:r w:rsidRPr="00596419">
        <w:rPr>
          <w:color w:val="000000" w:themeColor="text1"/>
          <w:lang w:val="lt-LT"/>
        </w:rPr>
        <w:t xml:space="preserve">vienkartinės premijos, priedai ir piniginės </w:t>
      </w:r>
      <w:r w:rsidRPr="00596419">
        <w:rPr>
          <w:lang w:val="lt-LT"/>
        </w:rPr>
        <w:t xml:space="preserve">išmokos </w:t>
      </w:r>
      <w:r>
        <w:rPr>
          <w:lang w:val="lt-LT"/>
        </w:rPr>
        <w:t>bei</w:t>
      </w:r>
      <w:r w:rsidRPr="00596419">
        <w:rPr>
          <w:lang w:val="lt-LT"/>
        </w:rPr>
        <w:t xml:space="preserve"> kitos priežastys. </w:t>
      </w:r>
    </w:p>
    <w:p w:rsidR="00F66C9B" w:rsidRPr="00F66C9B" w:rsidRDefault="00F66C9B" w:rsidP="006544FB">
      <w:pPr>
        <w:spacing w:before="120" w:after="120"/>
        <w:ind w:left="568" w:hanging="284"/>
        <w:jc w:val="both"/>
        <w:rPr>
          <w:lang w:val="lt-LT"/>
        </w:rPr>
      </w:pPr>
    </w:p>
    <w:p w:rsidR="00F66C9B" w:rsidRPr="00324116" w:rsidRDefault="00F66C9B" w:rsidP="00F66C9B">
      <w:pPr>
        <w:ind w:right="-113"/>
        <w:rPr>
          <w:b/>
          <w:lang w:val="lt-LT" w:eastAsia="lt-LT"/>
        </w:rPr>
      </w:pPr>
      <w:r w:rsidRPr="00324116">
        <w:rPr>
          <w:b/>
          <w:lang w:val="lt-LT" w:eastAsia="lt-LT"/>
        </w:rPr>
        <w:t>1 pav. Vidutinis mėnesinis darbo užmokestis</w:t>
      </w:r>
      <w:r w:rsidRPr="00324116">
        <w:rPr>
          <w:b/>
          <w:vertAlign w:val="superscript"/>
          <w:lang w:val="lt-LT" w:eastAsia="lt-LT"/>
        </w:rPr>
        <w:t xml:space="preserve">1 </w:t>
      </w:r>
      <w:r w:rsidRPr="00324116">
        <w:rPr>
          <w:b/>
          <w:lang w:val="lt-LT" w:eastAsia="lt-LT"/>
        </w:rPr>
        <w:t xml:space="preserve">ir </w:t>
      </w:r>
      <w:r w:rsidRPr="00B47EAB">
        <w:rPr>
          <w:b/>
          <w:color w:val="70AD47" w:themeColor="accent6"/>
          <w:lang w:val="lt-LT"/>
        </w:rPr>
        <w:t>realiojo darbo užmokesčio</w:t>
      </w:r>
      <w:r w:rsidRPr="00B47EAB">
        <w:rPr>
          <w:b/>
          <w:color w:val="70AD47" w:themeColor="accent6"/>
          <w:lang w:val="lt-LT" w:eastAsia="lt-LT"/>
        </w:rPr>
        <w:t xml:space="preserve"> indeksai </w:t>
      </w:r>
      <w:r w:rsidRPr="00324116">
        <w:rPr>
          <w:b/>
          <w:lang w:val="lt-LT" w:eastAsia="lt-LT"/>
        </w:rPr>
        <w:t>šalies ūkyje ketvirčiais</w:t>
      </w:r>
    </w:p>
    <w:p w:rsidR="00F66C9B" w:rsidRPr="00324116" w:rsidRDefault="00F66C9B" w:rsidP="00F66C9B">
      <w:pPr>
        <w:rPr>
          <w:sz w:val="18"/>
          <w:szCs w:val="18"/>
          <w:lang w:val="lt-LT"/>
        </w:rPr>
      </w:pPr>
      <w:r w:rsidRPr="00324116">
        <w:rPr>
          <w:noProof/>
          <w:sz w:val="16"/>
          <w:szCs w:val="16"/>
          <w:lang w:val="lt-LT" w:eastAsia="lt-LT"/>
        </w:rPr>
        <w:drawing>
          <wp:inline distT="0" distB="0" distL="0" distR="0" wp14:anchorId="177C51BB" wp14:editId="17583074">
            <wp:extent cx="6480000" cy="2844000"/>
            <wp:effectExtent l="0" t="0" r="0" b="0"/>
            <wp:docPr id="2"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24116">
        <w:rPr>
          <w:sz w:val="18"/>
          <w:szCs w:val="18"/>
          <w:lang w:val="lt-LT"/>
        </w:rPr>
        <w:t>______________________</w:t>
      </w:r>
    </w:p>
    <w:p w:rsidR="00F66C9B" w:rsidRPr="00324116" w:rsidRDefault="00F66C9B" w:rsidP="00F66C9B">
      <w:pPr>
        <w:jc w:val="both"/>
        <w:rPr>
          <w:rFonts w:cs="Arial"/>
          <w:sz w:val="18"/>
          <w:szCs w:val="18"/>
          <w:lang w:val="lt-LT"/>
        </w:rPr>
      </w:pPr>
      <w:r w:rsidRPr="00324116">
        <w:rPr>
          <w:sz w:val="18"/>
          <w:szCs w:val="18"/>
          <w:vertAlign w:val="superscript"/>
          <w:lang w:val="lt-LT"/>
        </w:rPr>
        <w:t>1</w:t>
      </w:r>
      <w:r w:rsidRPr="00324116">
        <w:rPr>
          <w:sz w:val="18"/>
          <w:szCs w:val="18"/>
          <w:lang w:val="lt-LT"/>
        </w:rPr>
        <w:t> </w:t>
      </w:r>
      <w:r w:rsidRPr="00324116">
        <w:rPr>
          <w:rFonts w:cs="Arial"/>
          <w:sz w:val="18"/>
          <w:szCs w:val="18"/>
          <w:lang w:val="lt-LT"/>
        </w:rPr>
        <w:t xml:space="preserve">Be individualiųjų įmonių. </w:t>
      </w:r>
    </w:p>
    <w:p w:rsidR="00F66C9B" w:rsidRPr="00324116" w:rsidRDefault="00F66C9B" w:rsidP="00F66C9B">
      <w:pPr>
        <w:rPr>
          <w:lang w:val="lt-LT" w:eastAsia="lt-LT"/>
        </w:rPr>
      </w:pPr>
    </w:p>
    <w:p w:rsidR="00F66C9B" w:rsidRPr="00324116" w:rsidRDefault="00F66C9B" w:rsidP="00F66C9B">
      <w:pPr>
        <w:spacing w:after="120"/>
        <w:outlineLvl w:val="1"/>
        <w:rPr>
          <w:b/>
          <w:lang w:val="lt-LT"/>
        </w:rPr>
      </w:pPr>
      <w:r w:rsidRPr="00324116">
        <w:rPr>
          <w:b/>
          <w:lang w:val="lt-LT"/>
        </w:rPr>
        <w:t xml:space="preserve">Per metus </w:t>
      </w:r>
      <w:proofErr w:type="spellStart"/>
      <w:r w:rsidRPr="00324116">
        <w:rPr>
          <w:b/>
          <w:lang w:val="lt-LT"/>
        </w:rPr>
        <w:t>bruto</w:t>
      </w:r>
      <w:proofErr w:type="spellEnd"/>
      <w:r w:rsidRPr="00324116">
        <w:rPr>
          <w:b/>
          <w:lang w:val="lt-LT"/>
        </w:rPr>
        <w:t xml:space="preserve"> darbo užmokestis šalies ūkyje išaugo </w:t>
      </w:r>
      <w:r>
        <w:rPr>
          <w:b/>
          <w:lang w:val="lt-LT"/>
        </w:rPr>
        <w:t>10,2</w:t>
      </w:r>
      <w:r w:rsidRPr="00324116">
        <w:rPr>
          <w:b/>
          <w:lang w:val="lt-LT"/>
        </w:rPr>
        <w:t> proc.</w:t>
      </w:r>
    </w:p>
    <w:p w:rsidR="00F66C9B" w:rsidRPr="00324116" w:rsidRDefault="00F66C9B" w:rsidP="00F66C9B">
      <w:pPr>
        <w:numPr>
          <w:ilvl w:val="0"/>
          <w:numId w:val="2"/>
        </w:numPr>
        <w:spacing w:after="120"/>
        <w:ind w:left="568" w:hanging="284"/>
        <w:jc w:val="both"/>
        <w:rPr>
          <w:lang w:val="lt-LT"/>
        </w:rPr>
      </w:pPr>
      <w:r w:rsidRPr="00324116">
        <w:rPr>
          <w:lang w:val="lt-LT"/>
        </w:rPr>
        <w:t xml:space="preserve">Vidutinis mėnesinis </w:t>
      </w:r>
      <w:proofErr w:type="spellStart"/>
      <w:r w:rsidRPr="00324116">
        <w:rPr>
          <w:lang w:val="lt-LT"/>
        </w:rPr>
        <w:t>bruto</w:t>
      </w:r>
      <w:proofErr w:type="spellEnd"/>
      <w:r w:rsidRPr="00324116">
        <w:rPr>
          <w:lang w:val="lt-LT"/>
        </w:rPr>
        <w:t xml:space="preserve"> darbo užmokestis 2021 m. </w:t>
      </w:r>
      <w:r>
        <w:rPr>
          <w:lang w:val="lt-LT"/>
        </w:rPr>
        <w:t>ketvirtąjį</w:t>
      </w:r>
      <w:r w:rsidRPr="00324116">
        <w:rPr>
          <w:lang w:val="lt-LT"/>
        </w:rPr>
        <w:t xml:space="preserve"> ketvirtį, palyginti su 2020 m. </w:t>
      </w:r>
      <w:r>
        <w:rPr>
          <w:lang w:val="lt-LT"/>
        </w:rPr>
        <w:t>ketvirtuoju</w:t>
      </w:r>
      <w:r w:rsidRPr="00324116">
        <w:rPr>
          <w:lang w:val="lt-LT"/>
        </w:rPr>
        <w:t xml:space="preserve"> ketvirčiu, šalies ūkyje padidėjo </w:t>
      </w:r>
      <w:r>
        <w:rPr>
          <w:lang w:val="lt-LT"/>
        </w:rPr>
        <w:t>10,2</w:t>
      </w:r>
      <w:r w:rsidRPr="00324116">
        <w:rPr>
          <w:lang w:val="lt-LT"/>
        </w:rPr>
        <w:t xml:space="preserve"> proc.: viešajame sektoriuje – </w:t>
      </w:r>
      <w:r>
        <w:rPr>
          <w:lang w:val="lt-LT"/>
        </w:rPr>
        <w:t>7,7</w:t>
      </w:r>
      <w:r w:rsidRPr="00324116">
        <w:rPr>
          <w:lang w:val="lt-LT"/>
        </w:rPr>
        <w:t> proc., privačiajame – 1</w:t>
      </w:r>
      <w:r>
        <w:rPr>
          <w:lang w:val="lt-LT"/>
        </w:rPr>
        <w:t>1,7</w:t>
      </w:r>
      <w:r w:rsidRPr="00324116">
        <w:rPr>
          <w:lang w:val="lt-LT"/>
        </w:rPr>
        <w:t> proc.</w:t>
      </w:r>
    </w:p>
    <w:p w:rsidR="00F66C9B" w:rsidRPr="00096FAC" w:rsidRDefault="00F66C9B" w:rsidP="00F66C9B">
      <w:pPr>
        <w:pStyle w:val="ListParagraph"/>
        <w:numPr>
          <w:ilvl w:val="0"/>
          <w:numId w:val="2"/>
        </w:numPr>
        <w:spacing w:after="120"/>
        <w:ind w:left="568" w:hanging="284"/>
        <w:jc w:val="both"/>
        <w:rPr>
          <w:lang w:val="lt-LT"/>
        </w:rPr>
      </w:pPr>
      <w:r w:rsidRPr="00096FAC">
        <w:rPr>
          <w:lang w:val="lt-LT"/>
        </w:rPr>
        <w:t xml:space="preserve">Vidutinis mėnesinis </w:t>
      </w:r>
      <w:proofErr w:type="spellStart"/>
      <w:r w:rsidRPr="00096FAC">
        <w:rPr>
          <w:lang w:val="lt-LT"/>
        </w:rPr>
        <w:t>bruto</w:t>
      </w:r>
      <w:proofErr w:type="spellEnd"/>
      <w:r w:rsidRPr="00096FAC">
        <w:rPr>
          <w:lang w:val="lt-LT"/>
        </w:rPr>
        <w:t xml:space="preserve"> darbo užmokestis per metus padidėjo visose ekonominės veiklos rūšių įmonėse,</w:t>
      </w:r>
      <w:r w:rsidRPr="00096FAC">
        <w:rPr>
          <w:rFonts w:eastAsia="Arial Unicode MS" w:cs="Arial"/>
          <w:bCs/>
          <w:lang w:val="lt-LT" w:eastAsia="en-GB"/>
        </w:rPr>
        <w:t xml:space="preserve"> </w:t>
      </w:r>
      <w:r w:rsidRPr="00096FAC">
        <w:rPr>
          <w:lang w:val="lt-LT"/>
        </w:rPr>
        <w:t>įstaigose ir organizacijose nuo 5,6 proc. (</w:t>
      </w:r>
      <w:r w:rsidR="00096FAC" w:rsidRPr="00096FAC">
        <w:rPr>
          <w:lang w:val="lt-LT"/>
        </w:rPr>
        <w:t>transporto ir saugojimo</w:t>
      </w:r>
      <w:r w:rsidRPr="00096FAC">
        <w:rPr>
          <w:rFonts w:cs="Arial"/>
          <w:bCs/>
          <w:lang w:val="lt-LT" w:eastAsia="en-GB"/>
        </w:rPr>
        <w:t xml:space="preserve">) iki </w:t>
      </w:r>
      <w:r w:rsidR="00096FAC" w:rsidRPr="00096FAC">
        <w:rPr>
          <w:rFonts w:cs="Arial"/>
          <w:bCs/>
          <w:lang w:val="lt-LT" w:eastAsia="en-GB"/>
        </w:rPr>
        <w:t>26,1</w:t>
      </w:r>
      <w:r w:rsidRPr="00096FAC">
        <w:rPr>
          <w:rFonts w:cs="Arial"/>
          <w:bCs/>
          <w:lang w:val="lt-LT" w:eastAsia="en-GB"/>
        </w:rPr>
        <w:t> proc. (apgyvendinimo ir maitinimo paslaugų veiklos).</w:t>
      </w:r>
    </w:p>
    <w:p w:rsidR="00F66C9B" w:rsidRPr="00324116" w:rsidRDefault="00F66C9B" w:rsidP="00F66C9B">
      <w:pPr>
        <w:numPr>
          <w:ilvl w:val="0"/>
          <w:numId w:val="2"/>
        </w:numPr>
        <w:spacing w:after="120"/>
        <w:ind w:left="568" w:hanging="284"/>
        <w:jc w:val="both"/>
        <w:rPr>
          <w:lang w:val="lt-LT"/>
        </w:rPr>
      </w:pPr>
      <w:r w:rsidRPr="00324116">
        <w:rPr>
          <w:lang w:val="lt-LT"/>
        </w:rPr>
        <w:t xml:space="preserve">Vidutinis mėnesinis </w:t>
      </w:r>
      <w:proofErr w:type="spellStart"/>
      <w:r w:rsidRPr="00324116">
        <w:rPr>
          <w:lang w:val="lt-LT"/>
        </w:rPr>
        <w:t>neto</w:t>
      </w:r>
      <w:proofErr w:type="spellEnd"/>
      <w:r w:rsidRPr="00324116">
        <w:rPr>
          <w:lang w:val="lt-LT"/>
        </w:rPr>
        <w:t xml:space="preserve"> darbo užmokestis per metus šalies ūkyje padidėjo 9,</w:t>
      </w:r>
      <w:r>
        <w:rPr>
          <w:lang w:val="lt-LT"/>
        </w:rPr>
        <w:t>4</w:t>
      </w:r>
      <w:r w:rsidRPr="00324116">
        <w:rPr>
          <w:lang w:val="lt-LT"/>
        </w:rPr>
        <w:t> proc.: viešajame sektoriuje – 7,</w:t>
      </w:r>
      <w:r>
        <w:rPr>
          <w:lang w:val="lt-LT"/>
        </w:rPr>
        <w:t>3</w:t>
      </w:r>
      <w:r w:rsidRPr="00324116">
        <w:rPr>
          <w:lang w:val="lt-LT"/>
        </w:rPr>
        <w:t xml:space="preserve"> proc., privačiajame – </w:t>
      </w:r>
      <w:r>
        <w:rPr>
          <w:lang w:val="lt-LT"/>
        </w:rPr>
        <w:t>10,7</w:t>
      </w:r>
      <w:r w:rsidRPr="00324116">
        <w:rPr>
          <w:lang w:val="lt-LT"/>
        </w:rPr>
        <w:t xml:space="preserve"> proc. </w:t>
      </w:r>
    </w:p>
    <w:p w:rsidR="00F66C9B" w:rsidRPr="00096FAC" w:rsidRDefault="00F66C9B" w:rsidP="00F66C9B">
      <w:pPr>
        <w:numPr>
          <w:ilvl w:val="0"/>
          <w:numId w:val="2"/>
        </w:numPr>
        <w:spacing w:after="120"/>
        <w:ind w:left="568" w:hanging="284"/>
        <w:jc w:val="both"/>
        <w:rPr>
          <w:lang w:val="lt-LT"/>
        </w:rPr>
      </w:pPr>
      <w:r w:rsidRPr="00096FAC">
        <w:rPr>
          <w:lang w:val="lt-LT"/>
        </w:rPr>
        <w:t>Realusis darbo užmokestis 2021 m. ketvirtąjį ketvirtį, palyginti su 2020 m. ketvirtuoju ketvirčiu, šalies ūkyje padidėjo 0,1 proc.: viešajame sektoriuje sumažėjo 1,8 proc., privačiajame išaugo 1,3 proc.</w:t>
      </w:r>
    </w:p>
    <w:p w:rsidR="00F66C9B" w:rsidRPr="00096FAC" w:rsidRDefault="00F66C9B" w:rsidP="00F66C9B">
      <w:pPr>
        <w:pStyle w:val="Pagrtekstas"/>
        <w:numPr>
          <w:ilvl w:val="0"/>
          <w:numId w:val="2"/>
        </w:numPr>
        <w:spacing w:before="120"/>
        <w:ind w:left="568" w:hanging="284"/>
        <w:rPr>
          <w:rFonts w:cs="Arial"/>
          <w:bCs/>
          <w:lang w:val="lt-LT" w:eastAsia="lt-LT"/>
        </w:rPr>
      </w:pPr>
      <w:r w:rsidRPr="00096FAC">
        <w:rPr>
          <w:rFonts w:cs="Arial"/>
          <w:lang w:val="lt-LT"/>
        </w:rPr>
        <w:t xml:space="preserve">Darbo užmokesčio pokyčiams įtakos turėjo </w:t>
      </w:r>
      <w:r w:rsidRPr="00096FAC">
        <w:rPr>
          <w:lang w:val="lt-LT"/>
        </w:rPr>
        <w:t xml:space="preserve">nuo 2021 m. sausio 1 d. </w:t>
      </w:r>
      <w:r w:rsidRPr="00096FAC">
        <w:rPr>
          <w:rFonts w:cs="Arial"/>
          <w:lang w:val="lt-LT"/>
        </w:rPr>
        <w:t>padidinta minimalioji mėnesinė alga, padidintas valstybės politikų, teisėjų, valstybės pareigūnų, valstybės tarnautojų ir biudžetinių įstaigų darbuotojų pareiginės algos bazinis dydis,</w:t>
      </w:r>
      <w:r w:rsidRPr="00096FAC">
        <w:rPr>
          <w:lang w:val="lt-LT"/>
        </w:rPr>
        <w:t xml:space="preserve"> pasikeitusi neapmokestinamojo pajamų dydžio skaičiavimo tvarka ir kitos priežastys. </w:t>
      </w:r>
    </w:p>
    <w:p w:rsidR="00F66C9B" w:rsidRPr="00324116" w:rsidRDefault="00F66C9B" w:rsidP="00F66C9B">
      <w:pPr>
        <w:rPr>
          <w:lang w:val="lt-LT"/>
        </w:rPr>
      </w:pPr>
    </w:p>
    <w:p w:rsidR="00F66C9B" w:rsidRPr="00324116" w:rsidRDefault="00F66C9B" w:rsidP="00F66C9B">
      <w:pPr>
        <w:spacing w:after="60"/>
        <w:rPr>
          <w:rFonts w:cs="Arial"/>
          <w:b/>
          <w:bCs/>
          <w:lang w:val="lt-LT" w:eastAsia="lt-LT"/>
        </w:rPr>
      </w:pPr>
      <w:r w:rsidRPr="00324116">
        <w:rPr>
          <w:rFonts w:cs="Arial"/>
          <w:b/>
          <w:bCs/>
          <w:lang w:val="lt-LT" w:eastAsia="lt-LT"/>
        </w:rPr>
        <w:t xml:space="preserve">2 pav. Vidutinio mėnesinio </w:t>
      </w:r>
      <w:proofErr w:type="spellStart"/>
      <w:r w:rsidRPr="00324116">
        <w:rPr>
          <w:rFonts w:cs="Arial"/>
          <w:b/>
          <w:bCs/>
          <w:lang w:val="lt-LT" w:eastAsia="lt-LT"/>
        </w:rPr>
        <w:t>bruto</w:t>
      </w:r>
      <w:proofErr w:type="spellEnd"/>
      <w:r w:rsidRPr="00324116">
        <w:rPr>
          <w:rFonts w:cs="Arial"/>
          <w:b/>
          <w:bCs/>
          <w:lang w:val="lt-LT" w:eastAsia="lt-LT"/>
        </w:rPr>
        <w:t xml:space="preserve"> darbo užmokesčio</w:t>
      </w:r>
      <w:r w:rsidRPr="00324116">
        <w:rPr>
          <w:rFonts w:cs="Arial"/>
          <w:b/>
          <w:bCs/>
          <w:vertAlign w:val="superscript"/>
          <w:lang w:val="lt-LT" w:eastAsia="lt-LT"/>
        </w:rPr>
        <w:t>2</w:t>
      </w:r>
      <w:r w:rsidRPr="00324116">
        <w:rPr>
          <w:rFonts w:cs="Arial"/>
          <w:b/>
          <w:bCs/>
          <w:lang w:val="lt-LT" w:eastAsia="lt-LT"/>
        </w:rPr>
        <w:t xml:space="preserve"> pokytis pagal sektorius ketvirčiais</w:t>
      </w:r>
    </w:p>
    <w:p w:rsidR="00F66C9B" w:rsidRPr="00324116" w:rsidRDefault="00F66C9B" w:rsidP="00F66C9B">
      <w:pPr>
        <w:spacing w:after="60"/>
        <w:rPr>
          <w:rFonts w:cs="Arial"/>
          <w:lang w:val="lt-LT" w:eastAsia="lt-LT"/>
        </w:rPr>
      </w:pPr>
      <w:r w:rsidRPr="00324116">
        <w:rPr>
          <w:rFonts w:cs="Arial"/>
          <w:lang w:val="lt-LT" w:eastAsia="lt-LT"/>
        </w:rPr>
        <w:t>Palyginti su atitinkamu praėjusių metų ketvirčiu, procentais</w:t>
      </w:r>
    </w:p>
    <w:p w:rsidR="00F66C9B" w:rsidRPr="00324116" w:rsidRDefault="00F66C9B" w:rsidP="00F66C9B">
      <w:pPr>
        <w:spacing w:after="60"/>
        <w:rPr>
          <w:rFonts w:cs="Arial"/>
          <w:lang w:val="lt-LT" w:eastAsia="lt-LT"/>
        </w:rPr>
      </w:pPr>
      <w:r w:rsidRPr="00324116">
        <w:rPr>
          <w:noProof/>
          <w:sz w:val="18"/>
          <w:szCs w:val="18"/>
          <w:lang w:val="lt-LT" w:eastAsia="lt-LT"/>
        </w:rPr>
        <w:drawing>
          <wp:inline distT="0" distB="0" distL="0" distR="0" wp14:anchorId="2D478A7D" wp14:editId="2C98A7AA">
            <wp:extent cx="6432605" cy="3059430"/>
            <wp:effectExtent l="0" t="0" r="6350" b="0"/>
            <wp:docPr id="1"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6C9B" w:rsidRPr="00324116" w:rsidRDefault="00F66C9B" w:rsidP="00F66C9B">
      <w:pPr>
        <w:rPr>
          <w:sz w:val="18"/>
          <w:szCs w:val="18"/>
          <w:lang w:val="lt-LT"/>
        </w:rPr>
      </w:pPr>
      <w:r w:rsidRPr="00324116">
        <w:rPr>
          <w:sz w:val="18"/>
          <w:szCs w:val="18"/>
          <w:lang w:val="lt-LT"/>
        </w:rPr>
        <w:t>______________________</w:t>
      </w:r>
    </w:p>
    <w:p w:rsidR="00F66C9B" w:rsidRPr="00324116" w:rsidRDefault="00F66C9B" w:rsidP="00F66C9B">
      <w:pPr>
        <w:rPr>
          <w:spacing w:val="-2"/>
          <w:sz w:val="18"/>
          <w:szCs w:val="18"/>
          <w:lang w:val="lt-LT"/>
        </w:rPr>
      </w:pPr>
      <w:r w:rsidRPr="00324116">
        <w:rPr>
          <w:sz w:val="18"/>
          <w:szCs w:val="18"/>
          <w:vertAlign w:val="superscript"/>
          <w:lang w:val="lt-LT"/>
        </w:rPr>
        <w:t>2</w:t>
      </w:r>
      <w:r w:rsidRPr="00324116">
        <w:rPr>
          <w:sz w:val="18"/>
          <w:szCs w:val="18"/>
          <w:lang w:val="lt-LT"/>
        </w:rPr>
        <w:t> </w:t>
      </w:r>
      <w:r w:rsidRPr="00324116">
        <w:rPr>
          <w:spacing w:val="-2"/>
          <w:sz w:val="18"/>
          <w:szCs w:val="18"/>
          <w:lang w:val="lt-LT"/>
        </w:rPr>
        <w:t xml:space="preserve">Be individualiųjų įmonių, </w:t>
      </w:r>
      <w:r w:rsidRPr="00324116">
        <w:rPr>
          <w:noProof/>
          <w:spacing w:val="-2"/>
          <w:sz w:val="18"/>
          <w:szCs w:val="18"/>
          <w:lang w:val="lt-LT" w:eastAsia="lt-LT"/>
        </w:rPr>
        <w:t>p</w:t>
      </w:r>
      <w:r w:rsidRPr="00324116">
        <w:rPr>
          <w:spacing w:val="-2"/>
          <w:sz w:val="18"/>
          <w:szCs w:val="18"/>
          <w:lang w:val="lt-LT"/>
        </w:rPr>
        <w:t xml:space="preserve">ašalinus nuo 2019 m. </w:t>
      </w:r>
      <w:proofErr w:type="spellStart"/>
      <w:r w:rsidRPr="00324116">
        <w:rPr>
          <w:spacing w:val="-2"/>
          <w:sz w:val="18"/>
          <w:szCs w:val="18"/>
          <w:lang w:val="lt-LT"/>
        </w:rPr>
        <w:t>bruto</w:t>
      </w:r>
      <w:proofErr w:type="spellEnd"/>
      <w:r w:rsidRPr="00324116">
        <w:rPr>
          <w:spacing w:val="-2"/>
          <w:sz w:val="18"/>
          <w:szCs w:val="18"/>
          <w:lang w:val="lt-LT"/>
        </w:rPr>
        <w:t xml:space="preserve"> darbo užmokesčio indeksavimo dėl įsigaliojusių mokesčių pasikeitimo įtaką.</w:t>
      </w:r>
    </w:p>
    <w:p w:rsidR="00F66C9B" w:rsidRPr="00324116" w:rsidRDefault="00F66C9B" w:rsidP="00F66C9B">
      <w:pPr>
        <w:rPr>
          <w:lang w:val="lt-LT"/>
        </w:rPr>
      </w:pPr>
    </w:p>
    <w:p w:rsidR="00F66C9B" w:rsidRPr="00096FAC" w:rsidRDefault="00F66C9B" w:rsidP="00F66C9B">
      <w:pPr>
        <w:spacing w:after="60"/>
        <w:rPr>
          <w:b/>
          <w:color w:val="000000" w:themeColor="text1"/>
          <w:lang w:val="lt-LT"/>
        </w:rPr>
      </w:pPr>
      <w:r w:rsidRPr="00096FAC">
        <w:rPr>
          <w:b/>
          <w:color w:val="000000" w:themeColor="text1"/>
          <w:lang w:val="lt-LT"/>
        </w:rPr>
        <w:t xml:space="preserve">3 pav. Vidutinis mėnesinis </w:t>
      </w:r>
      <w:proofErr w:type="spellStart"/>
      <w:r w:rsidRPr="00096FAC">
        <w:rPr>
          <w:b/>
          <w:color w:val="000000" w:themeColor="text1"/>
          <w:lang w:val="lt-LT"/>
        </w:rPr>
        <w:t>bruto</w:t>
      </w:r>
      <w:proofErr w:type="spellEnd"/>
      <w:r w:rsidRPr="00096FAC">
        <w:rPr>
          <w:b/>
          <w:color w:val="000000" w:themeColor="text1"/>
          <w:lang w:val="lt-LT"/>
        </w:rPr>
        <w:t xml:space="preserve"> darbo užmokestis</w:t>
      </w:r>
      <w:r w:rsidRPr="00096FAC">
        <w:rPr>
          <w:b/>
          <w:color w:val="000000" w:themeColor="text1"/>
          <w:vertAlign w:val="superscript"/>
          <w:lang w:val="lt-LT"/>
        </w:rPr>
        <w:t xml:space="preserve">3 </w:t>
      </w:r>
      <w:r w:rsidRPr="00096FAC">
        <w:rPr>
          <w:b/>
          <w:color w:val="000000" w:themeColor="text1"/>
          <w:lang w:val="lt-LT"/>
        </w:rPr>
        <w:t>šalies ūkyje pagal ekonominės veiklos rūšis</w:t>
      </w:r>
    </w:p>
    <w:p w:rsidR="00F66C9B" w:rsidRPr="00096FAC" w:rsidRDefault="00F66C9B" w:rsidP="00F66C9B">
      <w:pPr>
        <w:spacing w:after="60"/>
        <w:rPr>
          <w:color w:val="000000" w:themeColor="text1"/>
          <w:lang w:val="lt-LT"/>
        </w:rPr>
      </w:pPr>
      <w:r w:rsidRPr="00096FAC">
        <w:rPr>
          <w:color w:val="000000" w:themeColor="text1"/>
          <w:lang w:val="lt-LT"/>
        </w:rPr>
        <w:t>EUR</w:t>
      </w:r>
    </w:p>
    <w:p w:rsidR="00F66C9B" w:rsidRPr="00324116" w:rsidRDefault="00F66C9B" w:rsidP="00F66C9B">
      <w:pPr>
        <w:rPr>
          <w:b/>
          <w:lang w:val="lt-LT"/>
        </w:rPr>
      </w:pPr>
      <w:r w:rsidRPr="00324116">
        <w:rPr>
          <w:b/>
          <w:noProof/>
          <w:lang w:val="lt-LT" w:eastAsia="lt-LT"/>
        </w:rPr>
        <w:drawing>
          <wp:inline distT="0" distB="0" distL="0" distR="0" wp14:anchorId="7764FED2" wp14:editId="3977A7BF">
            <wp:extent cx="6480000" cy="30600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6C9B" w:rsidRPr="00324116" w:rsidRDefault="00F66C9B" w:rsidP="00F66C9B">
      <w:pPr>
        <w:rPr>
          <w:sz w:val="18"/>
          <w:szCs w:val="18"/>
          <w:lang w:val="lt-LT"/>
        </w:rPr>
      </w:pPr>
      <w:r w:rsidRPr="00324116">
        <w:rPr>
          <w:sz w:val="18"/>
          <w:szCs w:val="18"/>
          <w:lang w:val="lt-LT"/>
        </w:rPr>
        <w:t>______________________</w:t>
      </w:r>
    </w:p>
    <w:p w:rsidR="00F66C9B" w:rsidRPr="00324116" w:rsidRDefault="00F66C9B" w:rsidP="00F66C9B">
      <w:pPr>
        <w:jc w:val="both"/>
        <w:rPr>
          <w:rFonts w:cs="Arial"/>
          <w:i/>
          <w:sz w:val="18"/>
          <w:szCs w:val="18"/>
          <w:lang w:val="lt-LT" w:eastAsia="en-GB"/>
        </w:rPr>
      </w:pPr>
      <w:r w:rsidRPr="00324116">
        <w:rPr>
          <w:sz w:val="18"/>
          <w:szCs w:val="18"/>
          <w:vertAlign w:val="superscript"/>
          <w:lang w:val="lt-LT"/>
        </w:rPr>
        <w:t>3</w:t>
      </w:r>
      <w:r w:rsidRPr="00324116">
        <w:rPr>
          <w:sz w:val="18"/>
          <w:szCs w:val="18"/>
          <w:lang w:val="lt-LT"/>
        </w:rPr>
        <w:t> </w:t>
      </w:r>
      <w:r w:rsidRPr="00324116">
        <w:rPr>
          <w:rFonts w:cs="Arial"/>
          <w:sz w:val="18"/>
          <w:szCs w:val="18"/>
          <w:lang w:val="lt-LT"/>
        </w:rPr>
        <w:t>Be individualiųjų įmonių.</w:t>
      </w:r>
    </w:p>
    <w:p w:rsidR="00F66C9B" w:rsidRPr="00324116" w:rsidRDefault="00F66C9B" w:rsidP="00F66C9B">
      <w:pPr>
        <w:rPr>
          <w:lang w:val="lt-LT"/>
        </w:rPr>
      </w:pPr>
    </w:p>
    <w:p w:rsidR="00F66C9B" w:rsidRPr="00324116" w:rsidRDefault="00F66C9B" w:rsidP="00F66C9B">
      <w:pPr>
        <w:keepNext/>
        <w:keepLines/>
        <w:rPr>
          <w:rFonts w:cs="Arial"/>
          <w:b/>
          <w:bCs/>
          <w:lang w:val="lt-LT" w:eastAsia="lt-LT"/>
        </w:rPr>
      </w:pPr>
      <w:r w:rsidRPr="00324116">
        <w:rPr>
          <w:rFonts w:cs="Arial"/>
          <w:b/>
          <w:bCs/>
          <w:lang w:val="lt-LT" w:eastAsia="lt-LT"/>
        </w:rPr>
        <w:t xml:space="preserve">4 pav. Vidutinio mėnesinio </w:t>
      </w:r>
      <w:proofErr w:type="spellStart"/>
      <w:r w:rsidRPr="00324116">
        <w:rPr>
          <w:rFonts w:cs="Arial"/>
          <w:b/>
          <w:bCs/>
          <w:lang w:val="lt-LT" w:eastAsia="lt-LT"/>
        </w:rPr>
        <w:t>bruto</w:t>
      </w:r>
      <w:proofErr w:type="spellEnd"/>
      <w:r w:rsidRPr="00324116">
        <w:rPr>
          <w:rFonts w:cs="Arial"/>
          <w:b/>
          <w:bCs/>
          <w:lang w:val="lt-LT" w:eastAsia="lt-LT"/>
        </w:rPr>
        <w:t xml:space="preserve"> darbo užmokesčio</w:t>
      </w:r>
      <w:r w:rsidRPr="00324116">
        <w:rPr>
          <w:rFonts w:cs="Arial"/>
          <w:b/>
          <w:bCs/>
          <w:vertAlign w:val="superscript"/>
          <w:lang w:val="lt-LT" w:eastAsia="lt-LT"/>
        </w:rPr>
        <w:t xml:space="preserve">4 </w:t>
      </w:r>
      <w:r w:rsidRPr="00324116">
        <w:rPr>
          <w:rFonts w:cs="Arial"/>
          <w:b/>
          <w:bCs/>
          <w:lang w:val="lt-LT" w:eastAsia="lt-LT"/>
        </w:rPr>
        <w:t xml:space="preserve">pokytis šalies ūkyje pagal ekonominės veiklos rūšis </w:t>
      </w:r>
    </w:p>
    <w:p w:rsidR="00F66C9B" w:rsidRPr="00324116" w:rsidRDefault="00F66C9B" w:rsidP="00F66C9B">
      <w:pPr>
        <w:keepNext/>
        <w:keepLines/>
        <w:rPr>
          <w:rFonts w:cs="Arial"/>
          <w:lang w:val="lt-LT" w:eastAsia="lt-LT"/>
        </w:rPr>
      </w:pPr>
      <w:r w:rsidRPr="00324116">
        <w:rPr>
          <w:rFonts w:cs="Arial"/>
          <w:lang w:val="lt-LT" w:eastAsia="lt-LT"/>
        </w:rPr>
        <w:t>2021 m. I</w:t>
      </w:r>
      <w:r>
        <w:rPr>
          <w:rFonts w:cs="Arial"/>
          <w:lang w:val="lt-LT" w:eastAsia="lt-LT"/>
        </w:rPr>
        <w:t>V</w:t>
      </w:r>
      <w:r w:rsidRPr="00324116">
        <w:rPr>
          <w:rFonts w:cs="Arial"/>
          <w:lang w:val="lt-LT" w:eastAsia="lt-LT"/>
        </w:rPr>
        <w:t xml:space="preserve"> ketvirtis, palyginti su ankstesniu ketvirčiu, procentais</w:t>
      </w:r>
    </w:p>
    <w:p w:rsidR="00F66C9B" w:rsidRPr="00324116" w:rsidRDefault="00F66C9B" w:rsidP="00F66C9B">
      <w:pPr>
        <w:keepNext/>
        <w:keepLines/>
        <w:spacing w:after="120"/>
        <w:rPr>
          <w:lang w:val="lt-LT"/>
        </w:rPr>
      </w:pPr>
      <w:r w:rsidRPr="00324116">
        <w:rPr>
          <w:noProof/>
          <w:lang w:val="lt-LT" w:eastAsia="lt-LT"/>
        </w:rPr>
        <w:drawing>
          <wp:inline distT="0" distB="0" distL="0" distR="0" wp14:anchorId="6011A5BF" wp14:editId="20108D25">
            <wp:extent cx="6478270" cy="2584174"/>
            <wp:effectExtent l="0" t="0" r="0" b="6985"/>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6C9B" w:rsidRPr="00324116" w:rsidRDefault="00F66C9B" w:rsidP="00F66C9B">
      <w:pPr>
        <w:rPr>
          <w:sz w:val="18"/>
          <w:szCs w:val="18"/>
          <w:lang w:val="lt-LT"/>
        </w:rPr>
      </w:pPr>
      <w:r w:rsidRPr="00324116">
        <w:rPr>
          <w:sz w:val="18"/>
          <w:szCs w:val="18"/>
          <w:lang w:val="lt-LT"/>
        </w:rPr>
        <w:t>______________________</w:t>
      </w:r>
    </w:p>
    <w:p w:rsidR="00F66C9B" w:rsidRPr="00324116" w:rsidRDefault="00F66C9B" w:rsidP="00F66C9B">
      <w:pPr>
        <w:rPr>
          <w:sz w:val="18"/>
          <w:szCs w:val="18"/>
          <w:lang w:val="lt-LT"/>
        </w:rPr>
      </w:pPr>
      <w:r w:rsidRPr="00324116">
        <w:rPr>
          <w:sz w:val="18"/>
          <w:szCs w:val="18"/>
          <w:vertAlign w:val="superscript"/>
          <w:lang w:val="lt-LT"/>
        </w:rPr>
        <w:t>4</w:t>
      </w:r>
      <w:r w:rsidRPr="00324116">
        <w:rPr>
          <w:sz w:val="18"/>
          <w:szCs w:val="18"/>
          <w:lang w:val="lt-LT"/>
        </w:rPr>
        <w:t> Be individualiųjų įmonių.</w:t>
      </w:r>
    </w:p>
    <w:p w:rsidR="00F66C9B" w:rsidRPr="00324116" w:rsidRDefault="00F66C9B" w:rsidP="00F66C9B">
      <w:pPr>
        <w:rPr>
          <w:sz w:val="16"/>
          <w:szCs w:val="16"/>
          <w:lang w:val="lt-LT"/>
        </w:rPr>
      </w:pPr>
    </w:p>
    <w:p w:rsidR="00F66C9B" w:rsidRPr="00324116" w:rsidRDefault="00F66C9B" w:rsidP="00F66C9B">
      <w:pPr>
        <w:spacing w:after="120"/>
        <w:rPr>
          <w:rFonts w:cs="Arial"/>
          <w:lang w:val="lt-LT" w:eastAsia="lt-LT"/>
        </w:rPr>
      </w:pPr>
      <w:r w:rsidRPr="00324116">
        <w:rPr>
          <w:rFonts w:cs="Arial"/>
          <w:lang w:val="lt-LT" w:eastAsia="lt-LT"/>
        </w:rPr>
        <w:t>Palyginti su ankstesnių metų atitinkamu ketvirčiu</w:t>
      </w:r>
      <w:r w:rsidRPr="00324116">
        <w:rPr>
          <w:rFonts w:cs="Arial"/>
          <w:vertAlign w:val="superscript"/>
          <w:lang w:val="lt-LT" w:eastAsia="lt-LT"/>
        </w:rPr>
        <w:t>5</w:t>
      </w:r>
      <w:r w:rsidRPr="00324116">
        <w:rPr>
          <w:rFonts w:cs="Arial"/>
          <w:lang w:val="lt-LT" w:eastAsia="lt-LT"/>
        </w:rPr>
        <w:t>, procentais</w:t>
      </w:r>
    </w:p>
    <w:p w:rsidR="00F66C9B" w:rsidRPr="00324116" w:rsidRDefault="00F66C9B" w:rsidP="00F66C9B">
      <w:pPr>
        <w:spacing w:after="60"/>
        <w:rPr>
          <w:rFonts w:cs="Arial"/>
          <w:bCs/>
          <w:lang w:val="lt-LT" w:eastAsia="lt-LT"/>
        </w:rPr>
      </w:pPr>
      <w:r w:rsidRPr="00324116">
        <w:rPr>
          <w:noProof/>
          <w:sz w:val="18"/>
          <w:szCs w:val="18"/>
          <w:lang w:val="lt-LT" w:eastAsia="lt-LT"/>
        </w:rPr>
        <w:drawing>
          <wp:inline distT="0" distB="0" distL="0" distR="0" wp14:anchorId="3603887A" wp14:editId="40978776">
            <wp:extent cx="6518910" cy="3896139"/>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6C9B" w:rsidRPr="00324116" w:rsidRDefault="00F66C9B" w:rsidP="00F66C9B">
      <w:pPr>
        <w:rPr>
          <w:sz w:val="18"/>
          <w:szCs w:val="18"/>
          <w:lang w:val="lt-LT"/>
        </w:rPr>
      </w:pPr>
      <w:r w:rsidRPr="00324116">
        <w:rPr>
          <w:sz w:val="18"/>
          <w:szCs w:val="18"/>
          <w:lang w:val="lt-LT"/>
        </w:rPr>
        <w:t>______________________</w:t>
      </w:r>
    </w:p>
    <w:p w:rsidR="00F66C9B" w:rsidRDefault="00F66C9B" w:rsidP="00F66C9B">
      <w:pPr>
        <w:rPr>
          <w:sz w:val="16"/>
          <w:szCs w:val="16"/>
          <w:lang w:val="lt-LT"/>
        </w:rPr>
      </w:pPr>
      <w:r w:rsidRPr="00324116">
        <w:rPr>
          <w:sz w:val="18"/>
          <w:szCs w:val="18"/>
          <w:vertAlign w:val="superscript"/>
          <w:lang w:val="lt-LT"/>
        </w:rPr>
        <w:t>5</w:t>
      </w:r>
      <w:r w:rsidRPr="00324116">
        <w:rPr>
          <w:sz w:val="18"/>
          <w:szCs w:val="18"/>
          <w:lang w:val="lt-LT"/>
        </w:rPr>
        <w:t> </w:t>
      </w:r>
      <w:r w:rsidRPr="00324116">
        <w:rPr>
          <w:spacing w:val="-2"/>
          <w:sz w:val="18"/>
          <w:szCs w:val="18"/>
          <w:lang w:val="lt-LT"/>
        </w:rPr>
        <w:t>Be individualiųjų įmonių.</w:t>
      </w:r>
    </w:p>
    <w:p w:rsidR="00F66C9B" w:rsidRPr="00324116" w:rsidRDefault="00F66C9B" w:rsidP="00F66C9B">
      <w:pPr>
        <w:rPr>
          <w:sz w:val="16"/>
          <w:szCs w:val="16"/>
          <w:lang w:val="lt-LT"/>
        </w:rPr>
      </w:pPr>
    </w:p>
    <w:p w:rsidR="00F66C9B" w:rsidRPr="00324116" w:rsidRDefault="00F66C9B" w:rsidP="00F66C9B">
      <w:pPr>
        <w:spacing w:after="60"/>
        <w:rPr>
          <w:rFonts w:cs="Arial"/>
          <w:bCs/>
          <w:lang w:val="lt-LT" w:eastAsia="lt-LT"/>
        </w:rPr>
      </w:pPr>
      <w:r w:rsidRPr="00324116">
        <w:rPr>
          <w:rFonts w:cs="Arial"/>
          <w:bCs/>
          <w:lang w:val="lt-LT" w:eastAsia="lt-LT"/>
        </w:rPr>
        <w:t>Ekonominės veiklos rūšys pagal Ekonominės veiklos rūšių klasifikatorių:</w:t>
      </w:r>
    </w:p>
    <w:tbl>
      <w:tblPr>
        <w:tblW w:w="5000" w:type="pct"/>
        <w:tblLayout w:type="fixed"/>
        <w:tblLook w:val="04A0" w:firstRow="1" w:lastRow="0" w:firstColumn="1" w:lastColumn="0" w:noHBand="0" w:noVBand="1"/>
      </w:tblPr>
      <w:tblGrid>
        <w:gridCol w:w="5102"/>
        <w:gridCol w:w="5102"/>
      </w:tblGrid>
      <w:tr w:rsidR="00F66C9B" w:rsidRPr="00324116" w:rsidTr="0053149A">
        <w:trPr>
          <w:trHeight w:val="2154"/>
        </w:trPr>
        <w:tc>
          <w:tcPr>
            <w:tcW w:w="2500" w:type="pct"/>
            <w:hideMark/>
          </w:tcPr>
          <w:p w:rsidR="00F66C9B" w:rsidRPr="00324116" w:rsidRDefault="00F66C9B" w:rsidP="0053149A">
            <w:pPr>
              <w:rPr>
                <w:rFonts w:cs="Arial"/>
                <w:bCs/>
                <w:sz w:val="18"/>
                <w:szCs w:val="18"/>
                <w:lang w:val="lt-LT" w:eastAsia="en-GB"/>
              </w:rPr>
            </w:pPr>
            <w:r w:rsidRPr="00324116">
              <w:rPr>
                <w:rFonts w:cs="Arial"/>
                <w:sz w:val="18"/>
                <w:szCs w:val="18"/>
                <w:lang w:val="lt-LT" w:eastAsia="en-GB"/>
              </w:rPr>
              <w:t>A – žemės ūkis, miškininkystė ir žuvininkystė</w:t>
            </w:r>
          </w:p>
          <w:p w:rsidR="00F66C9B" w:rsidRPr="00324116" w:rsidRDefault="00F66C9B" w:rsidP="0053149A">
            <w:pPr>
              <w:rPr>
                <w:snapToGrid w:val="0"/>
                <w:sz w:val="18"/>
                <w:szCs w:val="18"/>
                <w:lang w:val="lt-LT"/>
              </w:rPr>
            </w:pPr>
            <w:r w:rsidRPr="00324116">
              <w:rPr>
                <w:rFonts w:cs="Arial"/>
                <w:sz w:val="18"/>
                <w:szCs w:val="18"/>
                <w:lang w:val="lt-LT" w:eastAsia="en-GB"/>
              </w:rPr>
              <w:t>B – kasyba ir karjerų eksploatavimas</w:t>
            </w:r>
          </w:p>
          <w:p w:rsidR="00F66C9B" w:rsidRPr="00324116" w:rsidRDefault="00F66C9B" w:rsidP="0053149A">
            <w:pPr>
              <w:rPr>
                <w:snapToGrid w:val="0"/>
                <w:sz w:val="18"/>
                <w:szCs w:val="18"/>
                <w:lang w:val="lt-LT"/>
              </w:rPr>
            </w:pPr>
            <w:r w:rsidRPr="00324116">
              <w:rPr>
                <w:rFonts w:cs="Arial"/>
                <w:bCs/>
                <w:sz w:val="18"/>
                <w:szCs w:val="18"/>
                <w:lang w:val="lt-LT" w:eastAsia="en-GB"/>
              </w:rPr>
              <w:t xml:space="preserve">C – apdirbamoji gamyba </w:t>
            </w:r>
          </w:p>
          <w:p w:rsidR="00F66C9B" w:rsidRPr="00324116" w:rsidRDefault="00F66C9B" w:rsidP="0053149A">
            <w:pPr>
              <w:rPr>
                <w:snapToGrid w:val="0"/>
                <w:sz w:val="18"/>
                <w:szCs w:val="18"/>
                <w:lang w:val="lt-LT"/>
              </w:rPr>
            </w:pPr>
            <w:r w:rsidRPr="00324116">
              <w:rPr>
                <w:rFonts w:eastAsia="Arial Unicode MS" w:cs="Arial"/>
                <w:bCs/>
                <w:sz w:val="18"/>
                <w:szCs w:val="18"/>
                <w:lang w:val="lt-LT" w:eastAsia="en-GB"/>
              </w:rPr>
              <w:t>D – elektros, dujų, garo tiekimas ir oro kondicionavimas</w:t>
            </w:r>
            <w:r w:rsidRPr="00324116">
              <w:rPr>
                <w:rFonts w:cs="Arial"/>
                <w:bCs/>
                <w:sz w:val="18"/>
                <w:szCs w:val="18"/>
                <w:lang w:val="lt-LT" w:eastAsia="en-GB"/>
              </w:rPr>
              <w:t xml:space="preserve"> </w:t>
            </w:r>
          </w:p>
          <w:p w:rsidR="00F66C9B" w:rsidRPr="00324116" w:rsidRDefault="00F66C9B" w:rsidP="0053149A">
            <w:pPr>
              <w:rPr>
                <w:snapToGrid w:val="0"/>
                <w:sz w:val="18"/>
                <w:szCs w:val="18"/>
                <w:lang w:val="lt-LT"/>
              </w:rPr>
            </w:pPr>
            <w:r w:rsidRPr="00324116">
              <w:rPr>
                <w:rFonts w:cs="Arial"/>
                <w:bCs/>
                <w:sz w:val="18"/>
                <w:szCs w:val="18"/>
                <w:lang w:val="lt-LT" w:eastAsia="en-GB"/>
              </w:rPr>
              <w:t>E – vandens tiekimas, nuotekų valymas, atliekų tvarkymas ir regeneravimas</w:t>
            </w:r>
          </w:p>
          <w:p w:rsidR="00F66C9B" w:rsidRPr="00324116" w:rsidRDefault="00F66C9B" w:rsidP="0053149A">
            <w:pPr>
              <w:rPr>
                <w:rFonts w:cs="Arial"/>
                <w:bCs/>
                <w:sz w:val="18"/>
                <w:szCs w:val="18"/>
                <w:lang w:val="lt-LT" w:eastAsia="en-GB"/>
              </w:rPr>
            </w:pPr>
            <w:r w:rsidRPr="00324116">
              <w:rPr>
                <w:rFonts w:cs="Arial"/>
                <w:bCs/>
                <w:sz w:val="18"/>
                <w:szCs w:val="18"/>
                <w:lang w:val="lt-LT" w:eastAsia="en-GB"/>
              </w:rPr>
              <w:t>F – statyba</w:t>
            </w:r>
          </w:p>
          <w:p w:rsidR="00F66C9B" w:rsidRPr="00324116" w:rsidRDefault="00F66C9B" w:rsidP="0053149A">
            <w:pPr>
              <w:rPr>
                <w:snapToGrid w:val="0"/>
                <w:sz w:val="18"/>
                <w:szCs w:val="18"/>
                <w:lang w:val="lt-LT"/>
              </w:rPr>
            </w:pPr>
            <w:r w:rsidRPr="00324116">
              <w:rPr>
                <w:rFonts w:cs="Arial"/>
                <w:bCs/>
                <w:sz w:val="18"/>
                <w:szCs w:val="18"/>
                <w:lang w:val="lt-LT" w:eastAsia="en-GB"/>
              </w:rPr>
              <w:t>G – didmeninė ir mažmeninė prekyba; variklinių transporto priemonių ir motociklų remontas</w:t>
            </w:r>
          </w:p>
          <w:p w:rsidR="00F66C9B" w:rsidRPr="00324116" w:rsidRDefault="00F66C9B" w:rsidP="0053149A">
            <w:pPr>
              <w:rPr>
                <w:snapToGrid w:val="0"/>
                <w:sz w:val="18"/>
                <w:szCs w:val="18"/>
                <w:lang w:val="lt-LT"/>
              </w:rPr>
            </w:pPr>
            <w:r w:rsidRPr="00324116">
              <w:rPr>
                <w:rFonts w:cs="Arial"/>
                <w:bCs/>
                <w:sz w:val="18"/>
                <w:szCs w:val="18"/>
                <w:lang w:val="lt-LT" w:eastAsia="en-GB"/>
              </w:rPr>
              <w:t>H – transportas ir saugojimas</w:t>
            </w:r>
          </w:p>
          <w:p w:rsidR="00F66C9B" w:rsidRPr="00324116" w:rsidRDefault="00F66C9B" w:rsidP="0053149A">
            <w:pPr>
              <w:rPr>
                <w:snapToGrid w:val="0"/>
                <w:sz w:val="18"/>
                <w:szCs w:val="18"/>
                <w:lang w:val="lt-LT"/>
              </w:rPr>
            </w:pPr>
            <w:r w:rsidRPr="00324116">
              <w:rPr>
                <w:snapToGrid w:val="0"/>
                <w:sz w:val="18"/>
                <w:szCs w:val="18"/>
                <w:lang w:val="lt-LT"/>
              </w:rPr>
              <w:t>I – apgyvendinimo ir maitinimo paslaugų veikla</w:t>
            </w:r>
          </w:p>
        </w:tc>
        <w:tc>
          <w:tcPr>
            <w:tcW w:w="2500" w:type="pct"/>
            <w:hideMark/>
          </w:tcPr>
          <w:p w:rsidR="00F66C9B" w:rsidRPr="00324116" w:rsidRDefault="00F66C9B" w:rsidP="0053149A">
            <w:pPr>
              <w:rPr>
                <w:snapToGrid w:val="0"/>
                <w:sz w:val="18"/>
                <w:szCs w:val="18"/>
                <w:lang w:val="lt-LT"/>
              </w:rPr>
            </w:pPr>
            <w:r w:rsidRPr="00324116">
              <w:rPr>
                <w:rFonts w:cs="Arial"/>
                <w:bCs/>
                <w:sz w:val="18"/>
                <w:szCs w:val="18"/>
                <w:lang w:val="lt-LT" w:eastAsia="en-GB"/>
              </w:rPr>
              <w:t>J – informacija ir ryšiai</w:t>
            </w:r>
          </w:p>
          <w:p w:rsidR="00F66C9B" w:rsidRPr="00324116" w:rsidRDefault="00F66C9B" w:rsidP="0053149A">
            <w:pPr>
              <w:rPr>
                <w:rFonts w:cs="Arial"/>
                <w:bCs/>
                <w:sz w:val="18"/>
                <w:szCs w:val="18"/>
                <w:lang w:val="lt-LT" w:eastAsia="en-GB"/>
              </w:rPr>
            </w:pPr>
            <w:r w:rsidRPr="00324116">
              <w:rPr>
                <w:rFonts w:cs="Arial"/>
                <w:bCs/>
                <w:sz w:val="18"/>
                <w:szCs w:val="18"/>
                <w:lang w:val="lt-LT" w:eastAsia="en-GB"/>
              </w:rPr>
              <w:t>K – finansinė ir draudimo veikla</w:t>
            </w:r>
          </w:p>
          <w:p w:rsidR="00F66C9B" w:rsidRPr="00324116" w:rsidRDefault="00F66C9B" w:rsidP="0053149A">
            <w:pPr>
              <w:rPr>
                <w:rFonts w:cs="Arial"/>
                <w:bCs/>
                <w:sz w:val="18"/>
                <w:szCs w:val="18"/>
                <w:lang w:val="lt-LT" w:eastAsia="en-GB"/>
              </w:rPr>
            </w:pPr>
            <w:r w:rsidRPr="00324116">
              <w:rPr>
                <w:rFonts w:cs="Arial"/>
                <w:bCs/>
                <w:sz w:val="18"/>
                <w:szCs w:val="18"/>
                <w:lang w:val="lt-LT" w:eastAsia="en-GB"/>
              </w:rPr>
              <w:t>L – nekilnojamojo turto operacijos</w:t>
            </w:r>
          </w:p>
          <w:p w:rsidR="00F66C9B" w:rsidRPr="00324116" w:rsidRDefault="00F66C9B" w:rsidP="0053149A">
            <w:pPr>
              <w:rPr>
                <w:snapToGrid w:val="0"/>
                <w:sz w:val="18"/>
                <w:szCs w:val="18"/>
                <w:lang w:val="lt-LT"/>
              </w:rPr>
            </w:pPr>
            <w:r w:rsidRPr="00324116">
              <w:rPr>
                <w:rFonts w:cs="Arial"/>
                <w:bCs/>
                <w:sz w:val="18"/>
                <w:szCs w:val="18"/>
                <w:lang w:val="lt-LT" w:eastAsia="en-GB"/>
              </w:rPr>
              <w:t>M – profesinė, mokslinė ir techninė veikla</w:t>
            </w:r>
          </w:p>
          <w:p w:rsidR="00F66C9B" w:rsidRPr="00324116" w:rsidRDefault="00F66C9B" w:rsidP="0053149A">
            <w:pPr>
              <w:rPr>
                <w:snapToGrid w:val="0"/>
                <w:sz w:val="18"/>
                <w:szCs w:val="18"/>
                <w:lang w:val="lt-LT"/>
              </w:rPr>
            </w:pPr>
            <w:r w:rsidRPr="00324116">
              <w:rPr>
                <w:rFonts w:cs="Arial"/>
                <w:bCs/>
                <w:sz w:val="18"/>
                <w:szCs w:val="18"/>
                <w:lang w:val="lt-LT" w:eastAsia="en-GB"/>
              </w:rPr>
              <w:t>N – administracinė ir aptarnavimo veikla</w:t>
            </w:r>
          </w:p>
          <w:p w:rsidR="00F66C9B" w:rsidRPr="00324116" w:rsidRDefault="00F66C9B" w:rsidP="0053149A">
            <w:pPr>
              <w:rPr>
                <w:rFonts w:cs="Arial"/>
                <w:bCs/>
                <w:sz w:val="18"/>
                <w:szCs w:val="18"/>
                <w:lang w:val="lt-LT" w:eastAsia="en-GB"/>
              </w:rPr>
            </w:pPr>
            <w:r w:rsidRPr="00324116">
              <w:rPr>
                <w:rFonts w:cs="Arial"/>
                <w:bCs/>
                <w:sz w:val="18"/>
                <w:szCs w:val="18"/>
                <w:lang w:val="lt-LT" w:eastAsia="en-GB"/>
              </w:rPr>
              <w:t>O – viešasis valdymas ir gynyba; privalomasis socialinis draudimas</w:t>
            </w:r>
          </w:p>
          <w:p w:rsidR="00F66C9B" w:rsidRPr="00324116" w:rsidRDefault="00F66C9B" w:rsidP="0053149A">
            <w:pPr>
              <w:rPr>
                <w:rFonts w:cs="Arial"/>
                <w:bCs/>
                <w:sz w:val="18"/>
                <w:szCs w:val="18"/>
                <w:lang w:val="lt-LT" w:eastAsia="en-GB"/>
              </w:rPr>
            </w:pPr>
            <w:r w:rsidRPr="00324116">
              <w:rPr>
                <w:rFonts w:cs="Arial"/>
                <w:bCs/>
                <w:sz w:val="18"/>
                <w:szCs w:val="18"/>
                <w:lang w:val="lt-LT" w:eastAsia="en-GB"/>
              </w:rPr>
              <w:t>P – švietimas</w:t>
            </w:r>
          </w:p>
          <w:p w:rsidR="00F66C9B" w:rsidRPr="00324116" w:rsidRDefault="00F66C9B" w:rsidP="0053149A">
            <w:pPr>
              <w:rPr>
                <w:snapToGrid w:val="0"/>
                <w:sz w:val="18"/>
                <w:szCs w:val="18"/>
                <w:lang w:val="lt-LT"/>
              </w:rPr>
            </w:pPr>
            <w:r w:rsidRPr="00324116">
              <w:rPr>
                <w:rFonts w:cs="Arial"/>
                <w:bCs/>
                <w:sz w:val="18"/>
                <w:szCs w:val="18"/>
                <w:lang w:val="lt-LT" w:eastAsia="en-GB"/>
              </w:rPr>
              <w:t>Q – žmonių sveikatos priežiūra ir socialinis darbas</w:t>
            </w:r>
          </w:p>
          <w:p w:rsidR="00F66C9B" w:rsidRPr="00324116" w:rsidRDefault="00F66C9B" w:rsidP="0053149A">
            <w:pPr>
              <w:rPr>
                <w:snapToGrid w:val="0"/>
                <w:sz w:val="18"/>
                <w:szCs w:val="18"/>
                <w:lang w:val="lt-LT"/>
              </w:rPr>
            </w:pPr>
            <w:r w:rsidRPr="00324116">
              <w:rPr>
                <w:snapToGrid w:val="0"/>
                <w:sz w:val="18"/>
                <w:szCs w:val="18"/>
                <w:lang w:val="lt-LT"/>
              </w:rPr>
              <w:t>R – meninė, pramoginė ir poilsio organizavimo veikla</w:t>
            </w:r>
          </w:p>
          <w:p w:rsidR="00F66C9B" w:rsidRPr="00324116" w:rsidRDefault="00F66C9B" w:rsidP="0053149A">
            <w:pPr>
              <w:rPr>
                <w:rFonts w:cs="Arial"/>
                <w:bCs/>
                <w:sz w:val="18"/>
                <w:szCs w:val="18"/>
                <w:lang w:val="lt-LT" w:eastAsia="en-GB"/>
              </w:rPr>
            </w:pPr>
            <w:r w:rsidRPr="00324116">
              <w:rPr>
                <w:rFonts w:cs="Arial"/>
                <w:sz w:val="18"/>
                <w:szCs w:val="18"/>
                <w:lang w:val="lt-LT" w:eastAsia="en-GB"/>
              </w:rPr>
              <w:t>S – kita aptarnavimo veikla</w:t>
            </w:r>
          </w:p>
        </w:tc>
      </w:tr>
    </w:tbl>
    <w:p w:rsidR="00F66C9B" w:rsidRPr="00324116" w:rsidRDefault="00F66C9B" w:rsidP="00F66C9B"/>
    <w:p w:rsidR="00F66C9B" w:rsidRPr="009E6F90" w:rsidRDefault="00F66C9B" w:rsidP="00F66C9B">
      <w:pPr>
        <w:rPr>
          <w:color w:val="000000" w:themeColor="text1"/>
        </w:rPr>
      </w:pPr>
    </w:p>
    <w:p w:rsidR="00F66C9B" w:rsidRPr="009E6F90" w:rsidRDefault="00F66C9B" w:rsidP="00F66C9B">
      <w:pPr>
        <w:spacing w:after="40"/>
        <w:rPr>
          <w:rFonts w:cs="Arial"/>
          <w:b/>
          <w:bCs/>
          <w:color w:val="000000" w:themeColor="text1"/>
          <w:lang w:val="lt-LT" w:eastAsia="lt-LT"/>
        </w:rPr>
      </w:pPr>
      <w:r w:rsidRPr="009E6F90">
        <w:rPr>
          <w:rFonts w:cs="Arial"/>
          <w:b/>
          <w:bCs/>
          <w:color w:val="000000" w:themeColor="text1"/>
          <w:lang w:val="lt-LT" w:eastAsia="lt-LT"/>
        </w:rPr>
        <w:t>1 lentelė. Vidutinis mėnesinis darbo užmokestis</w:t>
      </w:r>
      <w:r w:rsidRPr="009E6F90">
        <w:rPr>
          <w:rFonts w:cs="Arial"/>
          <w:b/>
          <w:bCs/>
          <w:color w:val="000000" w:themeColor="text1"/>
          <w:vertAlign w:val="superscript"/>
          <w:lang w:val="lt-LT" w:eastAsia="lt-LT"/>
        </w:rPr>
        <w:t xml:space="preserve">6 </w:t>
      </w:r>
      <w:r w:rsidRPr="009E6F90">
        <w:rPr>
          <w:rFonts w:cs="Arial"/>
          <w:b/>
          <w:bCs/>
          <w:color w:val="000000" w:themeColor="text1"/>
          <w:lang w:val="lt-LT" w:eastAsia="lt-LT"/>
        </w:rPr>
        <w:t>pagal sektorius ir lytį 2021 m. ketvirtąjį ketvirtį</w:t>
      </w:r>
    </w:p>
    <w:p w:rsidR="00F66C9B" w:rsidRPr="009E6F90" w:rsidRDefault="00F66C9B" w:rsidP="00F66C9B">
      <w:pPr>
        <w:spacing w:before="40" w:after="40"/>
        <w:rPr>
          <w:rFonts w:cs="Arial"/>
          <w:bCs/>
          <w:color w:val="000000" w:themeColor="text1"/>
          <w:lang w:val="lt-LT" w:eastAsia="lt-LT"/>
        </w:rPr>
      </w:pPr>
      <w:r w:rsidRPr="009E6F90">
        <w:rPr>
          <w:rFonts w:cs="Arial"/>
          <w:bCs/>
          <w:color w:val="000000" w:themeColor="text1"/>
          <w:lang w:val="lt-LT" w:eastAsia="lt-LT"/>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311"/>
        <w:gridCol w:w="1274"/>
        <w:gridCol w:w="1419"/>
        <w:gridCol w:w="1562"/>
        <w:gridCol w:w="1274"/>
        <w:gridCol w:w="1266"/>
      </w:tblGrid>
      <w:tr w:rsidR="009E6F90" w:rsidRPr="009E6F90" w:rsidTr="006544FB">
        <w:trPr>
          <w:tblHeader/>
        </w:trPr>
        <w:tc>
          <w:tcPr>
            <w:tcW w:w="1024" w:type="pct"/>
            <w:vMerge w:val="restart"/>
            <w:tcBorders>
              <w:top w:val="single" w:sz="4" w:space="0" w:color="auto"/>
              <w:left w:val="single" w:sz="4" w:space="0" w:color="auto"/>
              <w:bottom w:val="single" w:sz="4" w:space="0" w:color="auto"/>
              <w:right w:val="single" w:sz="4" w:space="0" w:color="auto"/>
            </w:tcBorders>
            <w:shd w:val="clear" w:color="auto" w:fill="FBD9E0"/>
          </w:tcPr>
          <w:p w:rsidR="00F66C9B" w:rsidRPr="009E6F90" w:rsidRDefault="00F66C9B" w:rsidP="0053149A">
            <w:pPr>
              <w:spacing w:before="40" w:after="40"/>
              <w:outlineLvl w:val="1"/>
              <w:rPr>
                <w:color w:val="000000" w:themeColor="text1"/>
                <w:sz w:val="19"/>
                <w:szCs w:val="19"/>
                <w:lang w:val="lt-LT"/>
              </w:rPr>
            </w:pPr>
          </w:p>
        </w:tc>
        <w:tc>
          <w:tcPr>
            <w:tcW w:w="1963" w:type="pct"/>
            <w:gridSpan w:val="3"/>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outlineLvl w:val="1"/>
              <w:rPr>
                <w:color w:val="000000" w:themeColor="text1"/>
                <w:sz w:val="19"/>
                <w:szCs w:val="19"/>
                <w:lang w:val="lt-LT"/>
              </w:rPr>
            </w:pPr>
            <w:proofErr w:type="spellStart"/>
            <w:r w:rsidRPr="009E6F90">
              <w:rPr>
                <w:rFonts w:cs="Arial"/>
                <w:color w:val="000000" w:themeColor="text1"/>
                <w:sz w:val="19"/>
                <w:szCs w:val="19"/>
                <w:lang w:val="lt-LT"/>
              </w:rPr>
              <w:t>Bruto</w:t>
            </w:r>
            <w:proofErr w:type="spellEnd"/>
          </w:p>
        </w:tc>
        <w:tc>
          <w:tcPr>
            <w:tcW w:w="2012" w:type="pct"/>
            <w:gridSpan w:val="3"/>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outlineLvl w:val="1"/>
              <w:rPr>
                <w:color w:val="000000" w:themeColor="text1"/>
                <w:sz w:val="19"/>
                <w:szCs w:val="19"/>
                <w:lang w:val="lt-LT"/>
              </w:rPr>
            </w:pPr>
            <w:proofErr w:type="spellStart"/>
            <w:r w:rsidRPr="009E6F90">
              <w:rPr>
                <w:rFonts w:cs="Arial"/>
                <w:color w:val="000000" w:themeColor="text1"/>
                <w:sz w:val="19"/>
                <w:szCs w:val="19"/>
                <w:lang w:val="lt-LT"/>
              </w:rPr>
              <w:t>Neto</w:t>
            </w:r>
            <w:proofErr w:type="spellEnd"/>
          </w:p>
        </w:tc>
      </w:tr>
      <w:tr w:rsidR="009E6F90" w:rsidRPr="009E6F90" w:rsidTr="006544FB">
        <w:trPr>
          <w:tblHeader/>
        </w:trPr>
        <w:tc>
          <w:tcPr>
            <w:tcW w:w="1024" w:type="pct"/>
            <w:vMerge/>
            <w:tcBorders>
              <w:top w:val="single" w:sz="4" w:space="0" w:color="auto"/>
              <w:left w:val="single" w:sz="4" w:space="0" w:color="auto"/>
              <w:bottom w:val="single" w:sz="4" w:space="0" w:color="auto"/>
              <w:right w:val="single" w:sz="4" w:space="0" w:color="auto"/>
            </w:tcBorders>
            <w:shd w:val="clear" w:color="auto" w:fill="FBD9E0"/>
            <w:vAlign w:val="center"/>
            <w:hideMark/>
          </w:tcPr>
          <w:p w:rsidR="00F66C9B" w:rsidRPr="009E6F90" w:rsidRDefault="00F66C9B" w:rsidP="0053149A">
            <w:pPr>
              <w:spacing w:before="40" w:after="40"/>
              <w:rPr>
                <w:color w:val="000000" w:themeColor="text1"/>
                <w:sz w:val="19"/>
                <w:szCs w:val="19"/>
                <w:lang w:val="lt-LT"/>
              </w:rPr>
            </w:pPr>
          </w:p>
        </w:tc>
        <w:tc>
          <w:tcPr>
            <w:tcW w:w="643"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rPr>
                <w:rFonts w:cs="Arial"/>
                <w:color w:val="000000" w:themeColor="text1"/>
                <w:sz w:val="19"/>
                <w:szCs w:val="19"/>
                <w:lang w:val="lt-LT"/>
              </w:rPr>
            </w:pPr>
            <w:r w:rsidRPr="009E6F90">
              <w:rPr>
                <w:rFonts w:cs="Arial"/>
                <w:color w:val="000000" w:themeColor="text1"/>
                <w:sz w:val="19"/>
                <w:szCs w:val="19"/>
                <w:lang w:val="lt-LT"/>
              </w:rPr>
              <w:t>iš viso</w:t>
            </w:r>
          </w:p>
        </w:tc>
        <w:tc>
          <w:tcPr>
            <w:tcW w:w="625"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ind w:right="-57"/>
              <w:rPr>
                <w:rFonts w:cs="Arial"/>
                <w:color w:val="000000" w:themeColor="text1"/>
                <w:sz w:val="19"/>
                <w:szCs w:val="19"/>
                <w:lang w:val="lt-LT"/>
              </w:rPr>
            </w:pPr>
            <w:r w:rsidRPr="009E6F90">
              <w:rPr>
                <w:rFonts w:cs="Arial"/>
                <w:color w:val="000000" w:themeColor="text1"/>
                <w:sz w:val="19"/>
                <w:szCs w:val="19"/>
                <w:lang w:val="lt-LT"/>
              </w:rPr>
              <w:t>vyrai</w:t>
            </w:r>
          </w:p>
        </w:tc>
        <w:tc>
          <w:tcPr>
            <w:tcW w:w="696"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ind w:right="-57"/>
              <w:rPr>
                <w:rFonts w:cs="Arial"/>
                <w:color w:val="000000" w:themeColor="text1"/>
                <w:sz w:val="19"/>
                <w:szCs w:val="19"/>
                <w:lang w:val="lt-LT"/>
              </w:rPr>
            </w:pPr>
            <w:r w:rsidRPr="009E6F90">
              <w:rPr>
                <w:rFonts w:cs="Arial"/>
                <w:color w:val="000000" w:themeColor="text1"/>
                <w:sz w:val="19"/>
                <w:szCs w:val="19"/>
                <w:lang w:val="lt-LT"/>
              </w:rPr>
              <w:t>moterys</w:t>
            </w:r>
          </w:p>
        </w:tc>
        <w:tc>
          <w:tcPr>
            <w:tcW w:w="766"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rPr>
                <w:rFonts w:cs="Arial"/>
                <w:color w:val="000000" w:themeColor="text1"/>
                <w:sz w:val="19"/>
                <w:szCs w:val="19"/>
                <w:lang w:val="lt-LT"/>
              </w:rPr>
            </w:pPr>
            <w:r w:rsidRPr="009E6F90">
              <w:rPr>
                <w:rFonts w:cs="Arial"/>
                <w:color w:val="000000" w:themeColor="text1"/>
                <w:sz w:val="19"/>
                <w:szCs w:val="19"/>
                <w:lang w:val="lt-LT"/>
              </w:rPr>
              <w:t>iš viso</w:t>
            </w:r>
          </w:p>
        </w:tc>
        <w:tc>
          <w:tcPr>
            <w:tcW w:w="625"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ind w:right="-57"/>
              <w:rPr>
                <w:rFonts w:cs="Arial"/>
                <w:color w:val="000000" w:themeColor="text1"/>
                <w:sz w:val="19"/>
                <w:szCs w:val="19"/>
                <w:lang w:val="lt-LT"/>
              </w:rPr>
            </w:pPr>
            <w:r w:rsidRPr="009E6F90">
              <w:rPr>
                <w:rFonts w:cs="Arial"/>
                <w:color w:val="000000" w:themeColor="text1"/>
                <w:sz w:val="19"/>
                <w:szCs w:val="19"/>
                <w:lang w:val="lt-LT"/>
              </w:rPr>
              <w:t>vyrai</w:t>
            </w:r>
          </w:p>
        </w:tc>
        <w:tc>
          <w:tcPr>
            <w:tcW w:w="622"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keepNext/>
              <w:keepLines/>
              <w:spacing w:before="40" w:after="40"/>
              <w:ind w:right="-57"/>
              <w:rPr>
                <w:rFonts w:cs="Arial"/>
                <w:color w:val="000000" w:themeColor="text1"/>
                <w:sz w:val="19"/>
                <w:szCs w:val="19"/>
                <w:lang w:val="lt-LT"/>
              </w:rPr>
            </w:pPr>
            <w:r w:rsidRPr="009E6F90">
              <w:rPr>
                <w:rFonts w:cs="Arial"/>
                <w:color w:val="000000" w:themeColor="text1"/>
                <w:sz w:val="19"/>
                <w:szCs w:val="19"/>
                <w:lang w:val="lt-LT"/>
              </w:rPr>
              <w:t>moterys</w:t>
            </w:r>
          </w:p>
        </w:tc>
      </w:tr>
      <w:tr w:rsidR="009E6F90" w:rsidRPr="009E6F90" w:rsidTr="006544FB">
        <w:trPr>
          <w:trHeight w:val="81"/>
        </w:trPr>
        <w:tc>
          <w:tcPr>
            <w:tcW w:w="1024" w:type="pct"/>
            <w:tcBorders>
              <w:top w:val="single" w:sz="4" w:space="0" w:color="auto"/>
              <w:left w:val="single" w:sz="4" w:space="0" w:color="auto"/>
              <w:bottom w:val="nil"/>
              <w:right w:val="single" w:sz="4" w:space="0" w:color="auto"/>
            </w:tcBorders>
            <w:vAlign w:val="bottom"/>
            <w:hideMark/>
          </w:tcPr>
          <w:p w:rsidR="00F66C9B" w:rsidRPr="009E6F90" w:rsidRDefault="00F66C9B" w:rsidP="0053149A">
            <w:pPr>
              <w:spacing w:before="40" w:after="40"/>
              <w:rPr>
                <w:b/>
                <w:color w:val="000000" w:themeColor="text1"/>
                <w:sz w:val="19"/>
                <w:szCs w:val="19"/>
                <w:lang w:val="lt-LT"/>
              </w:rPr>
            </w:pPr>
            <w:r w:rsidRPr="009E6F90">
              <w:rPr>
                <w:b/>
                <w:color w:val="000000" w:themeColor="text1"/>
                <w:sz w:val="19"/>
                <w:szCs w:val="19"/>
                <w:lang w:val="lt-LT"/>
              </w:rPr>
              <w:t>Šalies ūkis</w:t>
            </w:r>
          </w:p>
        </w:tc>
        <w:tc>
          <w:tcPr>
            <w:tcW w:w="643"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1679</w:t>
            </w:r>
            <w:r w:rsidR="00142AA4">
              <w:rPr>
                <w:rFonts w:cs="Arial"/>
                <w:color w:val="000000" w:themeColor="text1"/>
              </w:rPr>
              <w:t>,</w:t>
            </w:r>
            <w:r w:rsidRPr="009E6F90">
              <w:rPr>
                <w:rFonts w:cs="Arial"/>
                <w:color w:val="000000" w:themeColor="text1"/>
              </w:rPr>
              <w:t>3</w:t>
            </w:r>
          </w:p>
        </w:tc>
        <w:tc>
          <w:tcPr>
            <w:tcW w:w="625"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1748</w:t>
            </w:r>
            <w:r w:rsidR="00142AA4">
              <w:rPr>
                <w:rFonts w:cs="Arial"/>
                <w:color w:val="000000" w:themeColor="text1"/>
              </w:rPr>
              <w:t>,</w:t>
            </w:r>
            <w:r w:rsidRPr="009E6F90">
              <w:rPr>
                <w:rFonts w:cs="Arial"/>
                <w:color w:val="000000" w:themeColor="text1"/>
              </w:rPr>
              <w:t>4</w:t>
            </w:r>
          </w:p>
        </w:tc>
        <w:tc>
          <w:tcPr>
            <w:tcW w:w="696"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1608</w:t>
            </w:r>
            <w:r w:rsidR="00142AA4">
              <w:rPr>
                <w:rFonts w:cs="Arial"/>
                <w:color w:val="000000" w:themeColor="text1"/>
              </w:rPr>
              <w:t>,</w:t>
            </w:r>
            <w:r w:rsidRPr="009E6F90">
              <w:rPr>
                <w:rFonts w:cs="Arial"/>
                <w:color w:val="000000" w:themeColor="text1"/>
              </w:rPr>
              <w:t>6</w:t>
            </w:r>
          </w:p>
        </w:tc>
        <w:tc>
          <w:tcPr>
            <w:tcW w:w="766" w:type="pct"/>
            <w:tcBorders>
              <w:top w:val="single" w:sz="4" w:space="0" w:color="auto"/>
              <w:left w:val="nil"/>
              <w:bottom w:val="nil"/>
              <w:right w:val="nil"/>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1058</w:t>
            </w:r>
            <w:r w:rsidR="00142AA4">
              <w:rPr>
                <w:rFonts w:cs="Arial"/>
                <w:color w:val="000000" w:themeColor="text1"/>
              </w:rPr>
              <w:t>,</w:t>
            </w:r>
            <w:r w:rsidRPr="009E6F90">
              <w:rPr>
                <w:rFonts w:cs="Arial"/>
                <w:color w:val="000000" w:themeColor="text1"/>
              </w:rPr>
              <w:t>6</w:t>
            </w:r>
          </w:p>
        </w:tc>
        <w:tc>
          <w:tcPr>
            <w:tcW w:w="625" w:type="pct"/>
            <w:tcBorders>
              <w:top w:val="single" w:sz="4" w:space="0" w:color="auto"/>
              <w:left w:val="nil"/>
              <w:bottom w:val="nil"/>
              <w:right w:val="nil"/>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1098</w:t>
            </w:r>
            <w:r w:rsidR="00142AA4">
              <w:rPr>
                <w:rFonts w:cs="Arial"/>
                <w:color w:val="000000" w:themeColor="text1"/>
              </w:rPr>
              <w:t>,</w:t>
            </w:r>
            <w:r w:rsidRPr="009E6F90">
              <w:rPr>
                <w:rFonts w:cs="Arial"/>
                <w:color w:val="000000" w:themeColor="text1"/>
              </w:rPr>
              <w:t>0</w:t>
            </w:r>
          </w:p>
        </w:tc>
        <w:tc>
          <w:tcPr>
            <w:tcW w:w="622" w:type="pct"/>
            <w:tcBorders>
              <w:top w:val="single" w:sz="4" w:space="0" w:color="auto"/>
              <w:left w:val="nil"/>
              <w:bottom w:val="nil"/>
              <w:right w:val="single" w:sz="4" w:space="0" w:color="auto"/>
            </w:tcBorders>
            <w:shd w:val="clear" w:color="auto" w:fill="auto"/>
            <w:vAlign w:val="bottom"/>
          </w:tcPr>
          <w:p w:rsidR="00F66C9B" w:rsidRPr="009E6F90" w:rsidRDefault="00F66C9B" w:rsidP="0053149A">
            <w:pPr>
              <w:spacing w:before="40" w:after="40"/>
              <w:jc w:val="right"/>
              <w:rPr>
                <w:rFonts w:cs="Arial"/>
                <w:b/>
                <w:color w:val="000000" w:themeColor="text1"/>
                <w:sz w:val="19"/>
                <w:szCs w:val="19"/>
                <w:lang w:val="lt-LT"/>
              </w:rPr>
            </w:pPr>
            <w:r w:rsidRPr="009E6F90">
              <w:rPr>
                <w:rFonts w:cs="Arial"/>
                <w:color w:val="000000" w:themeColor="text1"/>
              </w:rPr>
              <w:t>1018</w:t>
            </w:r>
            <w:r w:rsidR="00142AA4">
              <w:rPr>
                <w:rFonts w:cs="Arial"/>
                <w:color w:val="000000" w:themeColor="text1"/>
              </w:rPr>
              <w:t>,</w:t>
            </w:r>
            <w:r w:rsidRPr="009E6F90">
              <w:rPr>
                <w:rFonts w:cs="Arial"/>
                <w:color w:val="000000" w:themeColor="text1"/>
              </w:rPr>
              <w:t>4</w:t>
            </w:r>
          </w:p>
        </w:tc>
      </w:tr>
      <w:tr w:rsidR="009E6F90" w:rsidRPr="009E6F90" w:rsidTr="006544FB">
        <w:tc>
          <w:tcPr>
            <w:tcW w:w="1024" w:type="pct"/>
            <w:tcBorders>
              <w:top w:val="nil"/>
              <w:left w:val="single" w:sz="4" w:space="0" w:color="auto"/>
              <w:bottom w:val="nil"/>
              <w:right w:val="single" w:sz="4" w:space="0" w:color="auto"/>
            </w:tcBorders>
            <w:vAlign w:val="bottom"/>
            <w:hideMark/>
          </w:tcPr>
          <w:p w:rsidR="00F66C9B" w:rsidRPr="009E6F90" w:rsidRDefault="00F66C9B" w:rsidP="0053149A">
            <w:pPr>
              <w:spacing w:before="40" w:after="40"/>
              <w:rPr>
                <w:color w:val="000000" w:themeColor="text1"/>
                <w:sz w:val="19"/>
                <w:szCs w:val="19"/>
                <w:lang w:val="lt-LT"/>
              </w:rPr>
            </w:pPr>
            <w:r w:rsidRPr="009E6F90">
              <w:rPr>
                <w:color w:val="000000" w:themeColor="text1"/>
                <w:sz w:val="19"/>
                <w:szCs w:val="19"/>
                <w:lang w:val="lt-LT"/>
              </w:rPr>
              <w:t>Viešasis sektorius</w:t>
            </w:r>
          </w:p>
        </w:tc>
        <w:tc>
          <w:tcPr>
            <w:tcW w:w="643"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1816</w:t>
            </w:r>
            <w:r w:rsidR="00142AA4">
              <w:rPr>
                <w:rFonts w:cs="Arial"/>
                <w:color w:val="000000" w:themeColor="text1"/>
              </w:rPr>
              <w:t>,</w:t>
            </w:r>
            <w:r w:rsidRPr="009E6F90">
              <w:rPr>
                <w:rFonts w:cs="Arial"/>
                <w:color w:val="000000" w:themeColor="text1"/>
              </w:rPr>
              <w:t>6</w:t>
            </w:r>
          </w:p>
        </w:tc>
        <w:tc>
          <w:tcPr>
            <w:tcW w:w="625"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1908</w:t>
            </w:r>
            <w:r w:rsidR="00142AA4">
              <w:rPr>
                <w:rFonts w:cs="Arial"/>
                <w:color w:val="000000" w:themeColor="text1"/>
              </w:rPr>
              <w:t>,</w:t>
            </w:r>
            <w:r w:rsidRPr="009E6F90">
              <w:rPr>
                <w:rFonts w:cs="Arial"/>
                <w:color w:val="000000" w:themeColor="text1"/>
              </w:rPr>
              <w:t>8</w:t>
            </w:r>
          </w:p>
        </w:tc>
        <w:tc>
          <w:tcPr>
            <w:tcW w:w="696"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1771</w:t>
            </w:r>
            <w:r w:rsidR="00142AA4">
              <w:rPr>
                <w:rFonts w:cs="Arial"/>
                <w:color w:val="000000" w:themeColor="text1"/>
              </w:rPr>
              <w:t>,</w:t>
            </w:r>
            <w:r w:rsidRPr="009E6F90">
              <w:rPr>
                <w:rFonts w:cs="Arial"/>
                <w:color w:val="000000" w:themeColor="text1"/>
              </w:rPr>
              <w:t>2</w:t>
            </w:r>
          </w:p>
        </w:tc>
        <w:tc>
          <w:tcPr>
            <w:tcW w:w="766"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1136</w:t>
            </w:r>
            <w:r w:rsidR="00142AA4">
              <w:rPr>
                <w:rFonts w:cs="Arial"/>
                <w:color w:val="000000" w:themeColor="text1"/>
              </w:rPr>
              <w:t>,</w:t>
            </w:r>
            <w:r w:rsidRPr="009E6F90">
              <w:rPr>
                <w:rFonts w:cs="Arial"/>
                <w:color w:val="000000" w:themeColor="text1"/>
              </w:rPr>
              <w:t>8</w:t>
            </w:r>
          </w:p>
        </w:tc>
        <w:tc>
          <w:tcPr>
            <w:tcW w:w="625" w:type="pct"/>
            <w:tcBorders>
              <w:top w:val="nil"/>
              <w:left w:val="nil"/>
              <w:bottom w:val="nil"/>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1189</w:t>
            </w:r>
            <w:r w:rsidR="00142AA4">
              <w:rPr>
                <w:rFonts w:cs="Arial"/>
                <w:color w:val="000000" w:themeColor="text1"/>
              </w:rPr>
              <w:t>,</w:t>
            </w:r>
            <w:r w:rsidRPr="009E6F90">
              <w:rPr>
                <w:rFonts w:cs="Arial"/>
                <w:color w:val="000000" w:themeColor="text1"/>
              </w:rPr>
              <w:t>2</w:t>
            </w:r>
          </w:p>
        </w:tc>
        <w:tc>
          <w:tcPr>
            <w:tcW w:w="622" w:type="pct"/>
            <w:tcBorders>
              <w:top w:val="nil"/>
              <w:left w:val="nil"/>
              <w:bottom w:val="nil"/>
              <w:right w:val="single" w:sz="4" w:space="0" w:color="auto"/>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1110</w:t>
            </w:r>
            <w:r w:rsidR="00142AA4">
              <w:rPr>
                <w:rFonts w:cs="Arial"/>
                <w:color w:val="000000" w:themeColor="text1"/>
              </w:rPr>
              <w:t>,</w:t>
            </w:r>
            <w:r w:rsidRPr="009E6F90">
              <w:rPr>
                <w:rFonts w:cs="Arial"/>
                <w:color w:val="000000" w:themeColor="text1"/>
              </w:rPr>
              <w:t>9</w:t>
            </w:r>
          </w:p>
        </w:tc>
      </w:tr>
      <w:tr w:rsidR="009E6F90" w:rsidRPr="009E6F90" w:rsidTr="006544FB">
        <w:tc>
          <w:tcPr>
            <w:tcW w:w="1024" w:type="pct"/>
            <w:tcBorders>
              <w:top w:val="nil"/>
              <w:left w:val="single" w:sz="4" w:space="0" w:color="auto"/>
              <w:bottom w:val="single" w:sz="4" w:space="0" w:color="auto"/>
              <w:right w:val="single" w:sz="4" w:space="0" w:color="auto"/>
            </w:tcBorders>
            <w:vAlign w:val="bottom"/>
            <w:hideMark/>
          </w:tcPr>
          <w:p w:rsidR="00F66C9B" w:rsidRPr="009E6F90" w:rsidRDefault="00F66C9B" w:rsidP="0053149A">
            <w:pPr>
              <w:spacing w:before="40" w:after="40"/>
              <w:rPr>
                <w:color w:val="000000" w:themeColor="text1"/>
                <w:sz w:val="19"/>
                <w:szCs w:val="19"/>
                <w:lang w:val="lt-LT"/>
              </w:rPr>
            </w:pPr>
            <w:r w:rsidRPr="009E6F90">
              <w:rPr>
                <w:color w:val="000000" w:themeColor="text1"/>
                <w:sz w:val="19"/>
                <w:szCs w:val="19"/>
                <w:lang w:val="lt-LT"/>
              </w:rPr>
              <w:t>Privatusis sektorius</w:t>
            </w:r>
          </w:p>
        </w:tc>
        <w:tc>
          <w:tcPr>
            <w:tcW w:w="643" w:type="pct"/>
            <w:tcBorders>
              <w:top w:val="nil"/>
              <w:left w:val="nil"/>
              <w:bottom w:val="single" w:sz="4" w:space="0" w:color="auto"/>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1620</w:t>
            </w:r>
            <w:r w:rsidR="00142AA4">
              <w:rPr>
                <w:rFonts w:cs="Arial"/>
                <w:color w:val="000000" w:themeColor="text1"/>
              </w:rPr>
              <w:t>,</w:t>
            </w:r>
            <w:r w:rsidRPr="009E6F90">
              <w:rPr>
                <w:rFonts w:cs="Arial"/>
                <w:color w:val="000000" w:themeColor="text1"/>
              </w:rPr>
              <w:t>1</w:t>
            </w:r>
          </w:p>
        </w:tc>
        <w:tc>
          <w:tcPr>
            <w:tcW w:w="625" w:type="pct"/>
            <w:tcBorders>
              <w:top w:val="nil"/>
              <w:left w:val="nil"/>
              <w:bottom w:val="single" w:sz="4" w:space="0" w:color="auto"/>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1709</w:t>
            </w:r>
            <w:r w:rsidR="00142AA4">
              <w:rPr>
                <w:rFonts w:cs="Arial"/>
                <w:color w:val="000000" w:themeColor="text1"/>
              </w:rPr>
              <w:t>,</w:t>
            </w:r>
            <w:r w:rsidRPr="009E6F90">
              <w:rPr>
                <w:rFonts w:cs="Arial"/>
                <w:color w:val="000000" w:themeColor="text1"/>
              </w:rPr>
              <w:t>1</w:t>
            </w:r>
          </w:p>
        </w:tc>
        <w:tc>
          <w:tcPr>
            <w:tcW w:w="696" w:type="pct"/>
            <w:tcBorders>
              <w:top w:val="nil"/>
              <w:left w:val="nil"/>
              <w:bottom w:val="single" w:sz="4" w:space="0" w:color="auto"/>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1496</w:t>
            </w:r>
            <w:r w:rsidR="00142AA4">
              <w:rPr>
                <w:rFonts w:cs="Arial"/>
                <w:color w:val="000000" w:themeColor="text1"/>
              </w:rPr>
              <w:t>,</w:t>
            </w:r>
            <w:r w:rsidRPr="009E6F90">
              <w:rPr>
                <w:rFonts w:cs="Arial"/>
                <w:color w:val="000000" w:themeColor="text1"/>
              </w:rPr>
              <w:t>6</w:t>
            </w:r>
          </w:p>
        </w:tc>
        <w:tc>
          <w:tcPr>
            <w:tcW w:w="766" w:type="pct"/>
            <w:tcBorders>
              <w:top w:val="nil"/>
              <w:left w:val="nil"/>
              <w:bottom w:val="single" w:sz="4" w:space="0" w:color="auto"/>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1024</w:t>
            </w:r>
            <w:r w:rsidR="00142AA4">
              <w:rPr>
                <w:rFonts w:cs="Arial"/>
                <w:color w:val="000000" w:themeColor="text1"/>
              </w:rPr>
              <w:t>,</w:t>
            </w:r>
            <w:r w:rsidRPr="009E6F90">
              <w:rPr>
                <w:rFonts w:cs="Arial"/>
                <w:color w:val="000000" w:themeColor="text1"/>
              </w:rPr>
              <w:t>9</w:t>
            </w:r>
          </w:p>
        </w:tc>
        <w:tc>
          <w:tcPr>
            <w:tcW w:w="625" w:type="pct"/>
            <w:tcBorders>
              <w:top w:val="nil"/>
              <w:left w:val="nil"/>
              <w:bottom w:val="single" w:sz="4" w:space="0" w:color="auto"/>
              <w:right w:val="nil"/>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1075</w:t>
            </w:r>
            <w:r w:rsidR="00142AA4">
              <w:rPr>
                <w:rFonts w:cs="Arial"/>
                <w:color w:val="000000" w:themeColor="text1"/>
              </w:rPr>
              <w:t>,</w:t>
            </w:r>
            <w:r w:rsidRPr="009E6F90">
              <w:rPr>
                <w:rFonts w:cs="Arial"/>
                <w:color w:val="000000" w:themeColor="text1"/>
              </w:rPr>
              <w:t>6</w:t>
            </w:r>
          </w:p>
        </w:tc>
        <w:tc>
          <w:tcPr>
            <w:tcW w:w="622" w:type="pct"/>
            <w:tcBorders>
              <w:top w:val="nil"/>
              <w:left w:val="nil"/>
              <w:bottom w:val="single" w:sz="4" w:space="0" w:color="auto"/>
              <w:right w:val="single" w:sz="4" w:space="0" w:color="auto"/>
            </w:tcBorders>
            <w:shd w:val="clear" w:color="auto" w:fill="auto"/>
            <w:vAlign w:val="bottom"/>
          </w:tcPr>
          <w:p w:rsidR="00F66C9B" w:rsidRPr="009E6F90" w:rsidRDefault="00F66C9B" w:rsidP="0053149A">
            <w:pPr>
              <w:spacing w:before="40" w:after="40"/>
              <w:jc w:val="right"/>
              <w:rPr>
                <w:rFonts w:cs="Arial"/>
                <w:color w:val="000000" w:themeColor="text1"/>
                <w:sz w:val="19"/>
                <w:szCs w:val="19"/>
                <w:lang w:val="lt-LT"/>
              </w:rPr>
            </w:pPr>
            <w:r w:rsidRPr="009E6F90">
              <w:rPr>
                <w:rFonts w:cs="Arial"/>
                <w:color w:val="000000" w:themeColor="text1"/>
              </w:rPr>
              <w:t>954</w:t>
            </w:r>
            <w:r w:rsidR="00142AA4">
              <w:rPr>
                <w:rFonts w:cs="Arial"/>
                <w:color w:val="000000" w:themeColor="text1"/>
              </w:rPr>
              <w:t>,</w:t>
            </w:r>
            <w:r w:rsidRPr="009E6F90">
              <w:rPr>
                <w:rFonts w:cs="Arial"/>
                <w:color w:val="000000" w:themeColor="text1"/>
              </w:rPr>
              <w:t>7</w:t>
            </w:r>
          </w:p>
        </w:tc>
      </w:tr>
    </w:tbl>
    <w:p w:rsidR="00F66C9B" w:rsidRPr="009E6F90" w:rsidRDefault="00F66C9B" w:rsidP="00F66C9B">
      <w:pPr>
        <w:rPr>
          <w:color w:val="000000" w:themeColor="text1"/>
          <w:sz w:val="18"/>
          <w:szCs w:val="18"/>
          <w:lang w:val="lt-LT"/>
        </w:rPr>
      </w:pPr>
      <w:r w:rsidRPr="009E6F90">
        <w:rPr>
          <w:color w:val="000000" w:themeColor="text1"/>
          <w:sz w:val="18"/>
          <w:szCs w:val="18"/>
          <w:lang w:val="lt-LT"/>
        </w:rPr>
        <w:t>______________________</w:t>
      </w:r>
    </w:p>
    <w:p w:rsidR="00F66C9B" w:rsidRPr="009E6F90" w:rsidRDefault="00F66C9B" w:rsidP="00F66C9B">
      <w:pPr>
        <w:rPr>
          <w:color w:val="000000" w:themeColor="text1"/>
          <w:sz w:val="18"/>
          <w:szCs w:val="18"/>
          <w:lang w:val="lt-LT"/>
        </w:rPr>
      </w:pPr>
      <w:r w:rsidRPr="009E6F90">
        <w:rPr>
          <w:color w:val="000000" w:themeColor="text1"/>
          <w:sz w:val="18"/>
          <w:szCs w:val="18"/>
          <w:vertAlign w:val="superscript"/>
          <w:lang w:val="lt-LT"/>
        </w:rPr>
        <w:t>6</w:t>
      </w:r>
      <w:r w:rsidRPr="009E6F90">
        <w:rPr>
          <w:color w:val="000000" w:themeColor="text1"/>
          <w:sz w:val="18"/>
          <w:szCs w:val="18"/>
          <w:lang w:val="lt-LT"/>
        </w:rPr>
        <w:t xml:space="preserve"> </w:t>
      </w:r>
      <w:r w:rsidRPr="009E6F90">
        <w:rPr>
          <w:rFonts w:cs="Arial"/>
          <w:bCs/>
          <w:color w:val="000000" w:themeColor="text1"/>
          <w:sz w:val="18"/>
          <w:szCs w:val="18"/>
          <w:lang w:val="lt-LT"/>
        </w:rPr>
        <w:t>Be individualiųjų įmonių.</w:t>
      </w:r>
      <w:r w:rsidRPr="009E6F90">
        <w:rPr>
          <w:color w:val="000000" w:themeColor="text1"/>
          <w:sz w:val="18"/>
          <w:szCs w:val="18"/>
          <w:lang w:val="lt-LT"/>
        </w:rPr>
        <w:t xml:space="preserve"> </w:t>
      </w:r>
    </w:p>
    <w:p w:rsidR="00F66C9B" w:rsidRPr="009E6F90" w:rsidRDefault="00F66C9B" w:rsidP="00F66C9B">
      <w:pPr>
        <w:rPr>
          <w:color w:val="000000" w:themeColor="text1"/>
        </w:rPr>
      </w:pPr>
    </w:p>
    <w:p w:rsidR="00F66C9B" w:rsidRPr="009E6F90" w:rsidRDefault="00F66C9B" w:rsidP="00F66C9B">
      <w:pPr>
        <w:spacing w:after="60"/>
        <w:ind w:right="-170"/>
        <w:outlineLvl w:val="1"/>
        <w:rPr>
          <w:b/>
          <w:color w:val="000000" w:themeColor="text1"/>
          <w:lang w:val="lt-LT"/>
        </w:rPr>
      </w:pPr>
      <w:r w:rsidRPr="009E6F90">
        <w:rPr>
          <w:b/>
          <w:color w:val="000000" w:themeColor="text1"/>
          <w:lang w:val="lt-LT"/>
        </w:rPr>
        <w:t>2 lentelė. Vidutinio mėnesinio darbo užmokesčio</w:t>
      </w:r>
      <w:r w:rsidRPr="009E6F90">
        <w:rPr>
          <w:b/>
          <w:color w:val="000000" w:themeColor="text1"/>
          <w:vertAlign w:val="superscript"/>
          <w:lang w:val="lt-LT"/>
        </w:rPr>
        <w:t xml:space="preserve">7 </w:t>
      </w:r>
      <w:r w:rsidRPr="009E6F90">
        <w:rPr>
          <w:b/>
          <w:color w:val="000000" w:themeColor="text1"/>
          <w:lang w:val="lt-LT"/>
        </w:rPr>
        <w:t>indeksai pagal sektorius ir lytį 2021 m. ketvirtąjį ketvirtį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1352"/>
        <w:gridCol w:w="1303"/>
        <w:gridCol w:w="1413"/>
        <w:gridCol w:w="1403"/>
        <w:gridCol w:w="1403"/>
        <w:gridCol w:w="1217"/>
      </w:tblGrid>
      <w:tr w:rsidR="009E6F90" w:rsidRPr="009E6F90" w:rsidTr="0053149A">
        <w:trPr>
          <w:tblHeader/>
        </w:trPr>
        <w:tc>
          <w:tcPr>
            <w:tcW w:w="1032" w:type="pct"/>
            <w:vMerge w:val="restart"/>
            <w:tcBorders>
              <w:top w:val="single" w:sz="4" w:space="0" w:color="auto"/>
              <w:left w:val="single" w:sz="4" w:space="0" w:color="auto"/>
              <w:bottom w:val="single" w:sz="4" w:space="0" w:color="auto"/>
              <w:right w:val="single" w:sz="4" w:space="0" w:color="auto"/>
            </w:tcBorders>
            <w:shd w:val="clear" w:color="auto" w:fill="FBD9E0"/>
          </w:tcPr>
          <w:p w:rsidR="00F66C9B" w:rsidRPr="009E6F90" w:rsidRDefault="00F66C9B" w:rsidP="0053149A">
            <w:pPr>
              <w:spacing w:before="40" w:after="40"/>
              <w:ind w:right="-57"/>
              <w:jc w:val="center"/>
              <w:rPr>
                <w:rFonts w:cs="Arial"/>
                <w:color w:val="000000" w:themeColor="text1"/>
                <w:sz w:val="19"/>
                <w:szCs w:val="19"/>
                <w:lang w:val="lt-LT"/>
              </w:rPr>
            </w:pPr>
          </w:p>
        </w:tc>
        <w:tc>
          <w:tcPr>
            <w:tcW w:w="1994" w:type="pct"/>
            <w:gridSpan w:val="3"/>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spacing w:before="40" w:after="40"/>
              <w:rPr>
                <w:rFonts w:cs="Arial"/>
                <w:color w:val="000000" w:themeColor="text1"/>
                <w:sz w:val="19"/>
                <w:szCs w:val="19"/>
                <w:lang w:val="lt-LT"/>
              </w:rPr>
            </w:pPr>
            <w:r w:rsidRPr="009E6F90">
              <w:rPr>
                <w:rFonts w:cs="Arial"/>
                <w:bCs/>
                <w:color w:val="000000" w:themeColor="text1"/>
                <w:sz w:val="19"/>
                <w:szCs w:val="19"/>
                <w:lang w:val="lt-LT"/>
              </w:rPr>
              <w:t>Ankstesnis ketvirtis – 100 proc.</w:t>
            </w:r>
          </w:p>
        </w:tc>
        <w:tc>
          <w:tcPr>
            <w:tcW w:w="1973" w:type="pct"/>
            <w:gridSpan w:val="3"/>
            <w:tcBorders>
              <w:top w:val="single" w:sz="4" w:space="0" w:color="auto"/>
              <w:left w:val="single" w:sz="4" w:space="0" w:color="auto"/>
              <w:bottom w:val="single" w:sz="4" w:space="0" w:color="auto"/>
              <w:right w:val="single" w:sz="4" w:space="0" w:color="auto"/>
            </w:tcBorders>
            <w:shd w:val="clear" w:color="auto" w:fill="FBD9E0"/>
            <w:hideMark/>
          </w:tcPr>
          <w:p w:rsidR="00F66C9B" w:rsidRPr="009E6F90" w:rsidRDefault="00F66C9B" w:rsidP="0053149A">
            <w:pPr>
              <w:spacing w:before="40" w:after="40"/>
              <w:rPr>
                <w:rFonts w:cs="Arial"/>
                <w:color w:val="000000" w:themeColor="text1"/>
                <w:sz w:val="19"/>
                <w:szCs w:val="19"/>
                <w:lang w:val="lt-LT"/>
              </w:rPr>
            </w:pPr>
            <w:r w:rsidRPr="009E6F90">
              <w:rPr>
                <w:rFonts w:cs="Arial"/>
                <w:bCs/>
                <w:color w:val="000000" w:themeColor="text1"/>
                <w:sz w:val="19"/>
                <w:szCs w:val="19"/>
                <w:lang w:val="lt-LT"/>
              </w:rPr>
              <w:t>2020 m. ketvirtasis ketvirtis – 100 proc.</w:t>
            </w:r>
          </w:p>
        </w:tc>
      </w:tr>
      <w:tr w:rsidR="00F66C9B" w:rsidRPr="00324116" w:rsidTr="0053149A">
        <w:trPr>
          <w:tblHeader/>
        </w:trPr>
        <w:tc>
          <w:tcPr>
            <w:tcW w:w="1032" w:type="pct"/>
            <w:vMerge/>
            <w:tcBorders>
              <w:top w:val="single" w:sz="4" w:space="0" w:color="auto"/>
              <w:left w:val="single" w:sz="4" w:space="0" w:color="auto"/>
              <w:bottom w:val="single" w:sz="4" w:space="0" w:color="auto"/>
              <w:right w:val="single" w:sz="4" w:space="0" w:color="auto"/>
            </w:tcBorders>
            <w:shd w:val="clear" w:color="auto" w:fill="FBD9E0"/>
            <w:vAlign w:val="center"/>
            <w:hideMark/>
          </w:tcPr>
          <w:p w:rsidR="00F66C9B" w:rsidRPr="00324116" w:rsidRDefault="00F66C9B" w:rsidP="0053149A">
            <w:pPr>
              <w:spacing w:before="40" w:after="40"/>
              <w:rPr>
                <w:rFonts w:cs="Arial"/>
                <w:sz w:val="19"/>
                <w:szCs w:val="19"/>
                <w:lang w:val="lt-LT"/>
              </w:rPr>
            </w:pPr>
          </w:p>
        </w:tc>
        <w:tc>
          <w:tcPr>
            <w:tcW w:w="663"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ind w:right="-57"/>
              <w:rPr>
                <w:rFonts w:cs="Arial"/>
                <w:sz w:val="19"/>
                <w:szCs w:val="19"/>
                <w:lang w:val="lt-LT"/>
              </w:rPr>
            </w:pPr>
            <w:r w:rsidRPr="00324116">
              <w:rPr>
                <w:rFonts w:cs="Arial"/>
                <w:sz w:val="19"/>
                <w:szCs w:val="19"/>
                <w:lang w:val="lt-LT"/>
              </w:rPr>
              <w:t xml:space="preserve">iš viso </w:t>
            </w:r>
          </w:p>
        </w:tc>
        <w:tc>
          <w:tcPr>
            <w:tcW w:w="639"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ind w:right="-57"/>
              <w:rPr>
                <w:rFonts w:cs="Arial"/>
                <w:sz w:val="19"/>
                <w:szCs w:val="19"/>
                <w:lang w:val="lt-LT"/>
              </w:rPr>
            </w:pPr>
            <w:r w:rsidRPr="00324116">
              <w:rPr>
                <w:rFonts w:cs="Arial"/>
                <w:sz w:val="19"/>
                <w:szCs w:val="19"/>
                <w:lang w:val="lt-LT"/>
              </w:rPr>
              <w:t>vyrai</w:t>
            </w:r>
          </w:p>
        </w:tc>
        <w:tc>
          <w:tcPr>
            <w:tcW w:w="693"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ind w:right="-57"/>
              <w:rPr>
                <w:rFonts w:cs="Arial"/>
                <w:sz w:val="19"/>
                <w:szCs w:val="19"/>
                <w:lang w:val="lt-LT"/>
              </w:rPr>
            </w:pPr>
            <w:r w:rsidRPr="00324116">
              <w:rPr>
                <w:rFonts w:cs="Arial"/>
                <w:sz w:val="19"/>
                <w:szCs w:val="19"/>
                <w:lang w:val="lt-LT"/>
              </w:rPr>
              <w:t>moterys</w:t>
            </w:r>
          </w:p>
        </w:tc>
        <w:tc>
          <w:tcPr>
            <w:tcW w:w="688"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iš viso</w:t>
            </w:r>
          </w:p>
        </w:tc>
        <w:tc>
          <w:tcPr>
            <w:tcW w:w="688"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ind w:right="-57"/>
              <w:rPr>
                <w:rFonts w:cs="Arial"/>
                <w:sz w:val="19"/>
                <w:szCs w:val="19"/>
                <w:lang w:val="lt-LT"/>
              </w:rPr>
            </w:pPr>
            <w:r w:rsidRPr="00324116">
              <w:rPr>
                <w:rFonts w:cs="Arial"/>
                <w:sz w:val="19"/>
                <w:szCs w:val="19"/>
                <w:lang w:val="lt-LT"/>
              </w:rPr>
              <w:t>vyrai</w:t>
            </w:r>
          </w:p>
        </w:tc>
        <w:tc>
          <w:tcPr>
            <w:tcW w:w="597" w:type="pct"/>
            <w:tcBorders>
              <w:top w:val="single" w:sz="4" w:space="0" w:color="auto"/>
              <w:left w:val="single" w:sz="4" w:space="0" w:color="auto"/>
              <w:bottom w:val="single" w:sz="4" w:space="0" w:color="auto"/>
              <w:right w:val="single" w:sz="4" w:space="0" w:color="auto"/>
            </w:tcBorders>
            <w:shd w:val="clear" w:color="auto" w:fill="FBD9E0"/>
            <w:hideMark/>
          </w:tcPr>
          <w:p w:rsidR="00F66C9B" w:rsidRPr="00324116" w:rsidRDefault="00F66C9B" w:rsidP="0053149A">
            <w:pPr>
              <w:spacing w:before="40" w:after="40"/>
              <w:ind w:right="-57"/>
              <w:rPr>
                <w:rFonts w:cs="Arial"/>
                <w:sz w:val="19"/>
                <w:szCs w:val="19"/>
                <w:lang w:val="lt-LT"/>
              </w:rPr>
            </w:pPr>
            <w:r w:rsidRPr="00324116">
              <w:rPr>
                <w:rFonts w:cs="Arial"/>
                <w:sz w:val="19"/>
                <w:szCs w:val="19"/>
                <w:lang w:val="lt-LT"/>
              </w:rPr>
              <w:t>moterys</w:t>
            </w:r>
          </w:p>
        </w:tc>
      </w:tr>
      <w:tr w:rsidR="00F66C9B" w:rsidRPr="00324116" w:rsidTr="0053149A">
        <w:tc>
          <w:tcPr>
            <w:tcW w:w="1032" w:type="pct"/>
            <w:tcBorders>
              <w:top w:val="single" w:sz="4" w:space="0" w:color="auto"/>
              <w:left w:val="single" w:sz="4" w:space="0" w:color="auto"/>
              <w:bottom w:val="nil"/>
              <w:right w:val="single" w:sz="4" w:space="0" w:color="auto"/>
            </w:tcBorders>
            <w:shd w:val="clear" w:color="auto" w:fill="F595AA"/>
            <w:vAlign w:val="bottom"/>
            <w:hideMark/>
          </w:tcPr>
          <w:p w:rsidR="00F66C9B" w:rsidRPr="00324116" w:rsidRDefault="00F66C9B" w:rsidP="0053149A">
            <w:pPr>
              <w:spacing w:before="40" w:after="40"/>
              <w:rPr>
                <w:rFonts w:cs="Arial"/>
                <w:b/>
                <w:iCs/>
                <w:sz w:val="19"/>
                <w:szCs w:val="19"/>
                <w:lang w:val="lt-LT"/>
              </w:rPr>
            </w:pPr>
            <w:proofErr w:type="spellStart"/>
            <w:r w:rsidRPr="00324116">
              <w:rPr>
                <w:rFonts w:cs="Arial"/>
                <w:b/>
                <w:bCs/>
                <w:iCs/>
                <w:sz w:val="19"/>
                <w:szCs w:val="19"/>
                <w:lang w:val="lt-LT"/>
              </w:rPr>
              <w:t>Bruto</w:t>
            </w:r>
            <w:proofErr w:type="spellEnd"/>
          </w:p>
        </w:tc>
        <w:tc>
          <w:tcPr>
            <w:tcW w:w="663" w:type="pct"/>
            <w:tcBorders>
              <w:top w:val="single" w:sz="4" w:space="0" w:color="auto"/>
              <w:left w:val="single" w:sz="4" w:space="0" w:color="auto"/>
              <w:bottom w:val="nil"/>
              <w:right w:val="nil"/>
            </w:tcBorders>
            <w:shd w:val="clear" w:color="auto" w:fill="F595AA"/>
            <w:vAlign w:val="bottom"/>
          </w:tcPr>
          <w:p w:rsidR="00F66C9B" w:rsidRPr="00324116" w:rsidRDefault="00F66C9B" w:rsidP="0053149A">
            <w:pPr>
              <w:spacing w:before="40" w:after="40"/>
              <w:jc w:val="right"/>
              <w:outlineLvl w:val="5"/>
              <w:rPr>
                <w:rFonts w:cs="Arial"/>
                <w:b/>
                <w:iCs/>
                <w:sz w:val="19"/>
                <w:szCs w:val="19"/>
                <w:lang w:val="lt-LT"/>
              </w:rPr>
            </w:pPr>
          </w:p>
        </w:tc>
        <w:tc>
          <w:tcPr>
            <w:tcW w:w="639" w:type="pct"/>
            <w:tcBorders>
              <w:top w:val="single" w:sz="4" w:space="0" w:color="auto"/>
              <w:left w:val="nil"/>
              <w:bottom w:val="nil"/>
              <w:right w:val="nil"/>
            </w:tcBorders>
            <w:shd w:val="clear" w:color="auto" w:fill="F595AA"/>
            <w:vAlign w:val="bottom"/>
          </w:tcPr>
          <w:p w:rsidR="00F66C9B" w:rsidRPr="00324116" w:rsidRDefault="00F66C9B" w:rsidP="0053149A">
            <w:pPr>
              <w:spacing w:before="40" w:after="40"/>
              <w:jc w:val="right"/>
              <w:rPr>
                <w:rFonts w:cs="Arial"/>
                <w:b/>
                <w:sz w:val="19"/>
                <w:szCs w:val="19"/>
                <w:lang w:val="lt-LT"/>
              </w:rPr>
            </w:pPr>
          </w:p>
        </w:tc>
        <w:tc>
          <w:tcPr>
            <w:tcW w:w="693" w:type="pct"/>
            <w:tcBorders>
              <w:top w:val="single" w:sz="4" w:space="0" w:color="auto"/>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b/>
                <w:sz w:val="19"/>
                <w:szCs w:val="19"/>
                <w:lang w:val="lt-LT"/>
              </w:rPr>
            </w:pPr>
          </w:p>
        </w:tc>
        <w:tc>
          <w:tcPr>
            <w:tcW w:w="688" w:type="pct"/>
            <w:tcBorders>
              <w:top w:val="single" w:sz="4" w:space="0" w:color="auto"/>
              <w:left w:val="single" w:sz="4" w:space="0" w:color="auto"/>
              <w:bottom w:val="nil"/>
              <w:right w:val="nil"/>
            </w:tcBorders>
            <w:shd w:val="clear" w:color="auto" w:fill="F595AA"/>
            <w:vAlign w:val="bottom"/>
          </w:tcPr>
          <w:p w:rsidR="00F66C9B" w:rsidRPr="00324116" w:rsidRDefault="00F66C9B" w:rsidP="0053149A">
            <w:pPr>
              <w:spacing w:before="40" w:after="40"/>
              <w:jc w:val="right"/>
              <w:rPr>
                <w:rFonts w:cs="Arial"/>
                <w:b/>
                <w:sz w:val="19"/>
                <w:szCs w:val="19"/>
                <w:lang w:val="lt-LT"/>
              </w:rPr>
            </w:pPr>
          </w:p>
        </w:tc>
        <w:tc>
          <w:tcPr>
            <w:tcW w:w="688" w:type="pct"/>
            <w:tcBorders>
              <w:top w:val="single" w:sz="4" w:space="0" w:color="auto"/>
              <w:left w:val="nil"/>
              <w:bottom w:val="nil"/>
              <w:right w:val="nil"/>
            </w:tcBorders>
            <w:shd w:val="clear" w:color="auto" w:fill="F595AA"/>
            <w:vAlign w:val="bottom"/>
          </w:tcPr>
          <w:p w:rsidR="00F66C9B" w:rsidRPr="00324116" w:rsidRDefault="00F66C9B" w:rsidP="0053149A">
            <w:pPr>
              <w:spacing w:before="40" w:after="40"/>
              <w:jc w:val="right"/>
              <w:rPr>
                <w:rFonts w:cs="Arial"/>
                <w:b/>
                <w:sz w:val="19"/>
                <w:szCs w:val="19"/>
                <w:lang w:val="lt-LT"/>
              </w:rPr>
            </w:pPr>
          </w:p>
        </w:tc>
        <w:tc>
          <w:tcPr>
            <w:tcW w:w="597" w:type="pct"/>
            <w:tcBorders>
              <w:top w:val="single" w:sz="4" w:space="0" w:color="auto"/>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b/>
                <w:sz w:val="19"/>
                <w:szCs w:val="19"/>
                <w:lang w:val="lt-LT"/>
              </w:rPr>
            </w:pP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b/>
                <w:sz w:val="19"/>
                <w:szCs w:val="19"/>
                <w:lang w:val="lt-LT"/>
              </w:rPr>
            </w:pPr>
            <w:r w:rsidRPr="00324116">
              <w:rPr>
                <w:rFonts w:cs="Arial"/>
                <w:b/>
                <w:sz w:val="19"/>
                <w:szCs w:val="19"/>
                <w:lang w:val="lt-LT"/>
              </w:rPr>
              <w:t>Šalies ūkis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105</w:t>
            </w:r>
            <w:r w:rsidR="00142AA4">
              <w:rPr>
                <w:rFonts w:cs="Arial"/>
              </w:rPr>
              <w:t>,</w:t>
            </w:r>
            <w:r>
              <w:rPr>
                <w:rFonts w:cs="Arial"/>
              </w:rPr>
              <w:t>1</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104</w:t>
            </w:r>
            <w:r w:rsidR="00142AA4">
              <w:rPr>
                <w:rFonts w:cs="Arial"/>
              </w:rPr>
              <w:t>,</w:t>
            </w:r>
            <w:r>
              <w:rPr>
                <w:rFonts w:cs="Arial"/>
              </w:rPr>
              <w:t>0</w:t>
            </w:r>
          </w:p>
        </w:tc>
        <w:tc>
          <w:tcPr>
            <w:tcW w:w="69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106</w:t>
            </w:r>
            <w:r w:rsidR="00142AA4">
              <w:rPr>
                <w:rFonts w:cs="Arial"/>
              </w:rPr>
              <w:t>,</w:t>
            </w:r>
            <w:r>
              <w:rPr>
                <w:rFonts w:cs="Arial"/>
              </w:rPr>
              <w:t>3</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110</w:t>
            </w:r>
            <w:r w:rsidR="00142AA4">
              <w:rPr>
                <w:rFonts w:cs="Arial"/>
              </w:rPr>
              <w:t>,</w:t>
            </w:r>
            <w:r>
              <w:rPr>
                <w:rFonts w:cs="Arial"/>
              </w:rPr>
              <w:t>2</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109</w:t>
            </w:r>
            <w:r w:rsidR="00142AA4">
              <w:rPr>
                <w:rFonts w:cs="Arial"/>
              </w:rPr>
              <w:t>,</w:t>
            </w:r>
            <w:r>
              <w:rPr>
                <w:rFonts w:cs="Arial"/>
              </w:rPr>
              <w:t>6</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110</w:t>
            </w:r>
            <w:r w:rsidR="00142AA4">
              <w:rPr>
                <w:rFonts w:cs="Arial"/>
              </w:rPr>
              <w:t>,</w:t>
            </w:r>
            <w:r>
              <w:rPr>
                <w:rFonts w:cs="Arial"/>
              </w:rPr>
              <w:t>8</w:t>
            </w: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Viešasis sektorius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108</w:t>
            </w:r>
            <w:r w:rsidR="00142AA4">
              <w:rPr>
                <w:rFonts w:cs="Arial"/>
              </w:rPr>
              <w:t>,</w:t>
            </w:r>
            <w:r>
              <w:rPr>
                <w:rFonts w:cs="Arial"/>
              </w:rPr>
              <w:t>5</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106</w:t>
            </w:r>
            <w:r w:rsidR="00142AA4">
              <w:rPr>
                <w:rFonts w:cs="Arial"/>
              </w:rPr>
              <w:t>,</w:t>
            </w:r>
            <w:r>
              <w:rPr>
                <w:rFonts w:cs="Arial"/>
              </w:rPr>
              <w:t>2</w:t>
            </w:r>
          </w:p>
        </w:tc>
        <w:tc>
          <w:tcPr>
            <w:tcW w:w="69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109</w:t>
            </w:r>
            <w:r w:rsidR="00142AA4">
              <w:rPr>
                <w:rFonts w:cs="Arial"/>
              </w:rPr>
              <w:t>,</w:t>
            </w:r>
            <w:r>
              <w:rPr>
                <w:rFonts w:cs="Arial"/>
              </w:rPr>
              <w:t>8</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107</w:t>
            </w:r>
            <w:r w:rsidR="00142AA4">
              <w:rPr>
                <w:rFonts w:cs="Arial"/>
              </w:rPr>
              <w:t>,</w:t>
            </w:r>
            <w:r>
              <w:rPr>
                <w:rFonts w:cs="Arial"/>
              </w:rPr>
              <w:t>7</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106</w:t>
            </w:r>
            <w:r w:rsidR="00142AA4">
              <w:rPr>
                <w:rFonts w:cs="Arial"/>
              </w:rPr>
              <w:t>,</w:t>
            </w:r>
            <w:r>
              <w:rPr>
                <w:rFonts w:cs="Arial"/>
              </w:rPr>
              <w:t>4</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108</w:t>
            </w:r>
            <w:r w:rsidR="00142AA4">
              <w:rPr>
                <w:rFonts w:cs="Arial"/>
              </w:rPr>
              <w:t>,</w:t>
            </w:r>
            <w:r>
              <w:rPr>
                <w:rFonts w:cs="Arial"/>
              </w:rPr>
              <w:t>4</w:t>
            </w: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Privatusis sektorius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5</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4</w:t>
            </w:r>
          </w:p>
        </w:tc>
        <w:tc>
          <w:tcPr>
            <w:tcW w:w="69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6</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111</w:t>
            </w:r>
            <w:r w:rsidR="00142AA4">
              <w:rPr>
                <w:rFonts w:cs="Arial"/>
              </w:rPr>
              <w:t>,</w:t>
            </w:r>
            <w:r>
              <w:rPr>
                <w:rFonts w:cs="Arial"/>
              </w:rPr>
              <w:t>7</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110</w:t>
            </w:r>
            <w:r w:rsidR="00142AA4">
              <w:rPr>
                <w:rFonts w:cs="Arial"/>
              </w:rPr>
              <w:t>,</w:t>
            </w:r>
            <w:r>
              <w:rPr>
                <w:rFonts w:cs="Arial"/>
              </w:rPr>
              <w:t>7</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113</w:t>
            </w:r>
            <w:r w:rsidR="00142AA4">
              <w:rPr>
                <w:rFonts w:cs="Arial"/>
              </w:rPr>
              <w:t>,</w:t>
            </w:r>
            <w:r>
              <w:rPr>
                <w:rFonts w:cs="Arial"/>
              </w:rPr>
              <w:t>3</w:t>
            </w:r>
          </w:p>
        </w:tc>
      </w:tr>
      <w:tr w:rsidR="00F66C9B" w:rsidRPr="00324116" w:rsidTr="0053149A">
        <w:tc>
          <w:tcPr>
            <w:tcW w:w="1032" w:type="pct"/>
            <w:tcBorders>
              <w:top w:val="nil"/>
              <w:left w:val="single" w:sz="4" w:space="0" w:color="auto"/>
              <w:bottom w:val="nil"/>
              <w:right w:val="single" w:sz="4" w:space="0" w:color="auto"/>
            </w:tcBorders>
            <w:shd w:val="clear" w:color="auto" w:fill="F595AA"/>
            <w:vAlign w:val="bottom"/>
            <w:hideMark/>
          </w:tcPr>
          <w:p w:rsidR="00F66C9B" w:rsidRPr="00324116" w:rsidRDefault="00F66C9B" w:rsidP="0053149A">
            <w:pPr>
              <w:spacing w:before="40" w:after="40"/>
              <w:rPr>
                <w:rFonts w:cs="Arial"/>
                <w:b/>
                <w:iCs/>
                <w:sz w:val="19"/>
                <w:szCs w:val="19"/>
                <w:lang w:val="lt-LT"/>
              </w:rPr>
            </w:pPr>
            <w:proofErr w:type="spellStart"/>
            <w:r w:rsidRPr="00324116">
              <w:rPr>
                <w:rFonts w:cs="Arial"/>
                <w:b/>
                <w:sz w:val="19"/>
                <w:szCs w:val="19"/>
                <w:lang w:val="lt-LT"/>
              </w:rPr>
              <w:t>Neto</w:t>
            </w:r>
            <w:proofErr w:type="spellEnd"/>
          </w:p>
        </w:tc>
        <w:tc>
          <w:tcPr>
            <w:tcW w:w="663" w:type="pct"/>
            <w:tcBorders>
              <w:top w:val="nil"/>
              <w:left w:val="single" w:sz="4" w:space="0" w:color="auto"/>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39" w:type="pct"/>
            <w:tcBorders>
              <w:top w:val="nil"/>
              <w:left w:val="nil"/>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93" w:type="pct"/>
            <w:tcBorders>
              <w:top w:val="nil"/>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88" w:type="pct"/>
            <w:tcBorders>
              <w:top w:val="nil"/>
              <w:left w:val="single" w:sz="4" w:space="0" w:color="auto"/>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88" w:type="pct"/>
            <w:tcBorders>
              <w:top w:val="nil"/>
              <w:left w:val="nil"/>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597" w:type="pct"/>
            <w:tcBorders>
              <w:top w:val="nil"/>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sz w:val="19"/>
                <w:szCs w:val="19"/>
                <w:lang w:val="lt-LT"/>
              </w:rPr>
            </w:pP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b/>
                <w:sz w:val="19"/>
                <w:szCs w:val="19"/>
                <w:lang w:val="lt-LT"/>
              </w:rPr>
            </w:pPr>
            <w:r w:rsidRPr="00324116">
              <w:rPr>
                <w:rFonts w:cs="Arial"/>
                <w:b/>
                <w:sz w:val="19"/>
                <w:szCs w:val="19"/>
                <w:lang w:val="lt-LT"/>
              </w:rPr>
              <w:t>Šalies ūkis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104</w:t>
            </w:r>
            <w:r w:rsidR="00142AA4">
              <w:rPr>
                <w:rFonts w:cs="Arial"/>
              </w:rPr>
              <w:t>,</w:t>
            </w:r>
            <w:r>
              <w:rPr>
                <w:rFonts w:cs="Arial"/>
              </w:rPr>
              <w:t>6</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103</w:t>
            </w:r>
            <w:r w:rsidR="00142AA4">
              <w:rPr>
                <w:rFonts w:cs="Arial"/>
              </w:rPr>
              <w:t>,</w:t>
            </w:r>
            <w:r>
              <w:rPr>
                <w:rFonts w:cs="Arial"/>
              </w:rPr>
              <w:t>6</w:t>
            </w:r>
          </w:p>
        </w:tc>
        <w:tc>
          <w:tcPr>
            <w:tcW w:w="693"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105</w:t>
            </w:r>
            <w:r w:rsidR="00142AA4">
              <w:rPr>
                <w:rFonts w:cs="Arial"/>
              </w:rPr>
              <w:t>,</w:t>
            </w:r>
            <w:r>
              <w:rPr>
                <w:rFonts w:cs="Arial"/>
              </w:rPr>
              <w:t>7</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109</w:t>
            </w:r>
            <w:r w:rsidR="00142AA4">
              <w:rPr>
                <w:rFonts w:cs="Arial"/>
              </w:rPr>
              <w:t>,</w:t>
            </w:r>
            <w:r>
              <w:rPr>
                <w:rFonts w:cs="Arial"/>
              </w:rPr>
              <w:t>4</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109</w:t>
            </w:r>
            <w:r w:rsidR="00142AA4">
              <w:rPr>
                <w:rFonts w:cs="Arial"/>
              </w:rPr>
              <w:t>,</w:t>
            </w:r>
            <w:r>
              <w:rPr>
                <w:rFonts w:cs="Arial"/>
              </w:rPr>
              <w:t>0</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109</w:t>
            </w:r>
            <w:r w:rsidR="00142AA4">
              <w:rPr>
                <w:rFonts w:cs="Arial"/>
              </w:rPr>
              <w:t>,</w:t>
            </w:r>
            <w:r>
              <w:rPr>
                <w:rFonts w:cs="Arial"/>
              </w:rPr>
              <w:t>9</w:t>
            </w: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Viešasis sektorius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107</w:t>
            </w:r>
            <w:r w:rsidR="00142AA4">
              <w:rPr>
                <w:rFonts w:cs="Arial"/>
              </w:rPr>
              <w:t>,</w:t>
            </w:r>
            <w:r>
              <w:rPr>
                <w:rFonts w:cs="Arial"/>
              </w:rPr>
              <w:t>7</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105</w:t>
            </w:r>
            <w:r w:rsidR="00142AA4">
              <w:rPr>
                <w:rFonts w:cs="Arial"/>
              </w:rPr>
              <w:t>,</w:t>
            </w:r>
            <w:r>
              <w:rPr>
                <w:rFonts w:cs="Arial"/>
              </w:rPr>
              <w:t>7</w:t>
            </w:r>
          </w:p>
        </w:tc>
        <w:tc>
          <w:tcPr>
            <w:tcW w:w="693"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108</w:t>
            </w:r>
            <w:r w:rsidR="00142AA4">
              <w:rPr>
                <w:rFonts w:cs="Arial"/>
              </w:rPr>
              <w:t>,</w:t>
            </w:r>
            <w:r>
              <w:rPr>
                <w:rFonts w:cs="Arial"/>
              </w:rPr>
              <w:t>8</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107</w:t>
            </w:r>
            <w:r w:rsidR="00142AA4">
              <w:rPr>
                <w:rFonts w:cs="Arial"/>
              </w:rPr>
              <w:t>,</w:t>
            </w:r>
            <w:r>
              <w:rPr>
                <w:rFonts w:cs="Arial"/>
              </w:rPr>
              <w:t>3</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106</w:t>
            </w:r>
            <w:r w:rsidR="00142AA4">
              <w:rPr>
                <w:rFonts w:cs="Arial"/>
              </w:rPr>
              <w:t>,</w:t>
            </w:r>
            <w:r>
              <w:rPr>
                <w:rFonts w:cs="Arial"/>
              </w:rPr>
              <w:t>2</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107</w:t>
            </w:r>
            <w:r w:rsidR="00142AA4">
              <w:rPr>
                <w:rFonts w:cs="Arial"/>
              </w:rPr>
              <w:t>,</w:t>
            </w:r>
            <w:r>
              <w:rPr>
                <w:rFonts w:cs="Arial"/>
              </w:rPr>
              <w:t>9</w:t>
            </w: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Privatusis sektorius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1</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0</w:t>
            </w:r>
          </w:p>
        </w:tc>
        <w:tc>
          <w:tcPr>
            <w:tcW w:w="693"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2</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110</w:t>
            </w:r>
            <w:r w:rsidR="00142AA4">
              <w:rPr>
                <w:rFonts w:cs="Arial"/>
              </w:rPr>
              <w:t>,</w:t>
            </w:r>
            <w:r>
              <w:rPr>
                <w:rFonts w:cs="Arial"/>
              </w:rPr>
              <w:t>7</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109</w:t>
            </w:r>
            <w:r w:rsidR="00142AA4">
              <w:rPr>
                <w:rFonts w:cs="Arial"/>
              </w:rPr>
              <w:t>,</w:t>
            </w:r>
            <w:r>
              <w:rPr>
                <w:rFonts w:cs="Arial"/>
              </w:rPr>
              <w:t>9</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112</w:t>
            </w:r>
            <w:r w:rsidR="00142AA4">
              <w:rPr>
                <w:rFonts w:cs="Arial"/>
              </w:rPr>
              <w:t>,</w:t>
            </w:r>
            <w:r>
              <w:rPr>
                <w:rFonts w:cs="Arial"/>
              </w:rPr>
              <w:t>0</w:t>
            </w:r>
          </w:p>
        </w:tc>
      </w:tr>
      <w:tr w:rsidR="00F66C9B" w:rsidRPr="00324116" w:rsidTr="0053149A">
        <w:tc>
          <w:tcPr>
            <w:tcW w:w="1032" w:type="pct"/>
            <w:tcBorders>
              <w:top w:val="nil"/>
              <w:left w:val="single" w:sz="4" w:space="0" w:color="auto"/>
              <w:bottom w:val="nil"/>
              <w:right w:val="single" w:sz="4" w:space="0" w:color="auto"/>
            </w:tcBorders>
            <w:shd w:val="clear" w:color="auto" w:fill="F595AA"/>
            <w:vAlign w:val="bottom"/>
            <w:hideMark/>
          </w:tcPr>
          <w:p w:rsidR="00F66C9B" w:rsidRPr="00324116" w:rsidRDefault="00F66C9B" w:rsidP="0053149A">
            <w:pPr>
              <w:spacing w:before="40" w:after="40"/>
              <w:rPr>
                <w:rFonts w:cs="Arial"/>
                <w:sz w:val="19"/>
                <w:szCs w:val="19"/>
                <w:lang w:val="lt-LT"/>
              </w:rPr>
            </w:pPr>
            <w:r w:rsidRPr="00324116">
              <w:rPr>
                <w:rFonts w:cs="Arial"/>
                <w:b/>
                <w:sz w:val="19"/>
                <w:szCs w:val="19"/>
                <w:lang w:val="lt-LT"/>
              </w:rPr>
              <w:t>Realiojo</w:t>
            </w:r>
          </w:p>
        </w:tc>
        <w:tc>
          <w:tcPr>
            <w:tcW w:w="663" w:type="pct"/>
            <w:tcBorders>
              <w:top w:val="nil"/>
              <w:left w:val="single" w:sz="4" w:space="0" w:color="auto"/>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39" w:type="pct"/>
            <w:tcBorders>
              <w:top w:val="nil"/>
              <w:left w:val="nil"/>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93" w:type="pct"/>
            <w:tcBorders>
              <w:top w:val="nil"/>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88" w:type="pct"/>
            <w:tcBorders>
              <w:top w:val="nil"/>
              <w:left w:val="single" w:sz="4" w:space="0" w:color="auto"/>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688" w:type="pct"/>
            <w:tcBorders>
              <w:top w:val="nil"/>
              <w:left w:val="nil"/>
              <w:bottom w:val="nil"/>
              <w:right w:val="nil"/>
            </w:tcBorders>
            <w:shd w:val="clear" w:color="auto" w:fill="F595AA"/>
            <w:vAlign w:val="bottom"/>
          </w:tcPr>
          <w:p w:rsidR="00F66C9B" w:rsidRPr="00324116" w:rsidRDefault="00F66C9B" w:rsidP="0053149A">
            <w:pPr>
              <w:spacing w:before="40" w:after="40"/>
              <w:jc w:val="right"/>
              <w:rPr>
                <w:rFonts w:cs="Arial"/>
                <w:sz w:val="19"/>
                <w:szCs w:val="19"/>
                <w:lang w:val="lt-LT"/>
              </w:rPr>
            </w:pPr>
          </w:p>
        </w:tc>
        <w:tc>
          <w:tcPr>
            <w:tcW w:w="597" w:type="pct"/>
            <w:tcBorders>
              <w:top w:val="nil"/>
              <w:left w:val="nil"/>
              <w:bottom w:val="nil"/>
              <w:right w:val="single" w:sz="4" w:space="0" w:color="auto"/>
            </w:tcBorders>
            <w:shd w:val="clear" w:color="auto" w:fill="F595AA"/>
            <w:vAlign w:val="bottom"/>
          </w:tcPr>
          <w:p w:rsidR="00F66C9B" w:rsidRPr="00324116" w:rsidRDefault="00F66C9B" w:rsidP="0053149A">
            <w:pPr>
              <w:spacing w:before="40" w:after="40"/>
              <w:jc w:val="right"/>
              <w:rPr>
                <w:rFonts w:cs="Arial"/>
                <w:sz w:val="19"/>
                <w:szCs w:val="19"/>
                <w:lang w:val="lt-LT"/>
              </w:rPr>
            </w:pP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b/>
                <w:sz w:val="19"/>
                <w:szCs w:val="19"/>
                <w:lang w:val="lt-LT"/>
              </w:rPr>
            </w:pPr>
            <w:r w:rsidRPr="00324116">
              <w:rPr>
                <w:rFonts w:cs="Arial"/>
                <w:b/>
                <w:sz w:val="19"/>
                <w:szCs w:val="19"/>
                <w:lang w:val="lt-LT"/>
              </w:rPr>
              <w:t>Šalies ūkis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100</w:t>
            </w:r>
            <w:r w:rsidR="00142AA4">
              <w:rPr>
                <w:rFonts w:cs="Arial"/>
              </w:rPr>
              <w:t>,</w:t>
            </w:r>
            <w:r>
              <w:rPr>
                <w:rFonts w:cs="Arial"/>
              </w:rPr>
              <w:t>8</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99</w:t>
            </w:r>
            <w:r w:rsidR="00142AA4">
              <w:rPr>
                <w:rFonts w:cs="Arial"/>
              </w:rPr>
              <w:t>,</w:t>
            </w:r>
            <w:r>
              <w:rPr>
                <w:rFonts w:cs="Arial"/>
              </w:rPr>
              <w:t>8</w:t>
            </w:r>
          </w:p>
        </w:tc>
        <w:tc>
          <w:tcPr>
            <w:tcW w:w="693"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101</w:t>
            </w:r>
            <w:r w:rsidR="00142AA4">
              <w:rPr>
                <w:rFonts w:cs="Arial"/>
              </w:rPr>
              <w:t>,</w:t>
            </w:r>
            <w:r>
              <w:rPr>
                <w:rFonts w:cs="Arial"/>
              </w:rPr>
              <w:t>8</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100</w:t>
            </w:r>
            <w:r w:rsidR="00142AA4">
              <w:rPr>
                <w:rFonts w:cs="Arial"/>
              </w:rPr>
              <w:t>,</w:t>
            </w:r>
            <w:r>
              <w:rPr>
                <w:rFonts w:cs="Arial"/>
              </w:rPr>
              <w:t>1</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99</w:t>
            </w:r>
            <w:r w:rsidR="00142AA4">
              <w:rPr>
                <w:rFonts w:cs="Arial"/>
              </w:rPr>
              <w:t>,</w:t>
            </w:r>
            <w:r>
              <w:rPr>
                <w:rFonts w:cs="Arial"/>
              </w:rPr>
              <w:t>7</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b/>
                <w:sz w:val="19"/>
                <w:szCs w:val="19"/>
                <w:lang w:val="lt-LT"/>
              </w:rPr>
            </w:pPr>
            <w:r>
              <w:rPr>
                <w:rFonts w:cs="Arial"/>
              </w:rPr>
              <w:t>100</w:t>
            </w:r>
            <w:r w:rsidR="00142AA4">
              <w:rPr>
                <w:rFonts w:cs="Arial"/>
              </w:rPr>
              <w:t>,</w:t>
            </w:r>
            <w:r>
              <w:rPr>
                <w:rFonts w:cs="Arial"/>
              </w:rPr>
              <w:t>5</w:t>
            </w:r>
          </w:p>
        </w:tc>
      </w:tr>
      <w:tr w:rsidR="00F66C9B" w:rsidRPr="00324116" w:rsidTr="0053149A">
        <w:tc>
          <w:tcPr>
            <w:tcW w:w="1032" w:type="pct"/>
            <w:tcBorders>
              <w:top w:val="nil"/>
              <w:left w:val="single" w:sz="4" w:space="0" w:color="auto"/>
              <w:bottom w:val="nil"/>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Viešasis sektorius</w:t>
            </w:r>
          </w:p>
        </w:tc>
        <w:tc>
          <w:tcPr>
            <w:tcW w:w="663"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103</w:t>
            </w:r>
            <w:r w:rsidR="00142AA4">
              <w:rPr>
                <w:rFonts w:cs="Arial"/>
              </w:rPr>
              <w:t>,</w:t>
            </w:r>
            <w:r>
              <w:rPr>
                <w:rFonts w:cs="Arial"/>
              </w:rPr>
              <w:t>8</w:t>
            </w:r>
          </w:p>
        </w:tc>
        <w:tc>
          <w:tcPr>
            <w:tcW w:w="639"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101</w:t>
            </w:r>
            <w:r w:rsidR="00142AA4">
              <w:rPr>
                <w:rFonts w:cs="Arial"/>
              </w:rPr>
              <w:t>,</w:t>
            </w:r>
            <w:r>
              <w:rPr>
                <w:rFonts w:cs="Arial"/>
              </w:rPr>
              <w:t>8</w:t>
            </w:r>
          </w:p>
        </w:tc>
        <w:tc>
          <w:tcPr>
            <w:tcW w:w="693"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104</w:t>
            </w:r>
            <w:r w:rsidR="00142AA4">
              <w:rPr>
                <w:rFonts w:cs="Arial"/>
              </w:rPr>
              <w:t>,</w:t>
            </w:r>
            <w:r>
              <w:rPr>
                <w:rFonts w:cs="Arial"/>
              </w:rPr>
              <w:t>8</w:t>
            </w:r>
          </w:p>
        </w:tc>
        <w:tc>
          <w:tcPr>
            <w:tcW w:w="688" w:type="pct"/>
            <w:tcBorders>
              <w:top w:val="nil"/>
              <w:left w:val="single" w:sz="4" w:space="0" w:color="auto"/>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98</w:t>
            </w:r>
            <w:r w:rsidR="00142AA4">
              <w:rPr>
                <w:rFonts w:cs="Arial"/>
              </w:rPr>
              <w:t>,</w:t>
            </w:r>
            <w:r>
              <w:rPr>
                <w:rFonts w:cs="Arial"/>
              </w:rPr>
              <w:t>2</w:t>
            </w:r>
          </w:p>
        </w:tc>
        <w:tc>
          <w:tcPr>
            <w:tcW w:w="688" w:type="pct"/>
            <w:tcBorders>
              <w:top w:val="nil"/>
              <w:left w:val="nil"/>
              <w:bottom w:val="nil"/>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97</w:t>
            </w:r>
            <w:r w:rsidR="00142AA4">
              <w:rPr>
                <w:rFonts w:cs="Arial"/>
              </w:rPr>
              <w:t>,</w:t>
            </w:r>
            <w:r>
              <w:rPr>
                <w:rFonts w:cs="Arial"/>
              </w:rPr>
              <w:t>2</w:t>
            </w:r>
          </w:p>
        </w:tc>
        <w:tc>
          <w:tcPr>
            <w:tcW w:w="597" w:type="pct"/>
            <w:tcBorders>
              <w:top w:val="nil"/>
              <w:left w:val="nil"/>
              <w:bottom w:val="nil"/>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98</w:t>
            </w:r>
            <w:r w:rsidR="00142AA4">
              <w:rPr>
                <w:rFonts w:cs="Arial"/>
              </w:rPr>
              <w:t>,</w:t>
            </w:r>
            <w:r>
              <w:rPr>
                <w:rFonts w:cs="Arial"/>
              </w:rPr>
              <w:t>7</w:t>
            </w:r>
          </w:p>
        </w:tc>
      </w:tr>
      <w:tr w:rsidR="00F66C9B" w:rsidRPr="00324116" w:rsidTr="0053149A">
        <w:tc>
          <w:tcPr>
            <w:tcW w:w="1032" w:type="pct"/>
            <w:tcBorders>
              <w:top w:val="nil"/>
              <w:left w:val="single" w:sz="4" w:space="0" w:color="auto"/>
              <w:bottom w:val="single" w:sz="4" w:space="0" w:color="auto"/>
              <w:right w:val="single" w:sz="4" w:space="0" w:color="auto"/>
            </w:tcBorders>
            <w:vAlign w:val="bottom"/>
            <w:hideMark/>
          </w:tcPr>
          <w:p w:rsidR="00F66C9B" w:rsidRPr="00324116" w:rsidRDefault="00F66C9B" w:rsidP="0053149A">
            <w:pPr>
              <w:spacing w:before="40" w:after="40"/>
              <w:rPr>
                <w:rFonts w:cs="Arial"/>
                <w:sz w:val="19"/>
                <w:szCs w:val="19"/>
                <w:lang w:val="lt-LT"/>
              </w:rPr>
            </w:pPr>
            <w:r w:rsidRPr="00324116">
              <w:rPr>
                <w:rFonts w:cs="Arial"/>
                <w:sz w:val="19"/>
                <w:szCs w:val="19"/>
                <w:lang w:val="lt-LT"/>
              </w:rPr>
              <w:t>Privatusis sektorius</w:t>
            </w:r>
          </w:p>
        </w:tc>
        <w:tc>
          <w:tcPr>
            <w:tcW w:w="663" w:type="pct"/>
            <w:tcBorders>
              <w:top w:val="nil"/>
              <w:left w:val="nil"/>
              <w:bottom w:val="single" w:sz="4" w:space="0" w:color="auto"/>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99</w:t>
            </w:r>
            <w:r w:rsidR="00142AA4">
              <w:rPr>
                <w:rFonts w:cs="Arial"/>
              </w:rPr>
              <w:t>,</w:t>
            </w:r>
            <w:r>
              <w:rPr>
                <w:rFonts w:cs="Arial"/>
              </w:rPr>
              <w:t>3</w:t>
            </w:r>
          </w:p>
        </w:tc>
        <w:tc>
          <w:tcPr>
            <w:tcW w:w="639" w:type="pct"/>
            <w:tcBorders>
              <w:top w:val="nil"/>
              <w:left w:val="nil"/>
              <w:bottom w:val="single" w:sz="4" w:space="0" w:color="auto"/>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99</w:t>
            </w:r>
            <w:r w:rsidR="00142AA4">
              <w:rPr>
                <w:rFonts w:cs="Arial"/>
              </w:rPr>
              <w:t>,</w:t>
            </w:r>
            <w:r>
              <w:rPr>
                <w:rFonts w:cs="Arial"/>
              </w:rPr>
              <w:t>2</w:t>
            </w:r>
          </w:p>
        </w:tc>
        <w:tc>
          <w:tcPr>
            <w:tcW w:w="693" w:type="pct"/>
            <w:tcBorders>
              <w:top w:val="nil"/>
              <w:left w:val="nil"/>
              <w:bottom w:val="single" w:sz="4" w:space="0" w:color="auto"/>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99</w:t>
            </w:r>
            <w:r w:rsidR="00142AA4">
              <w:rPr>
                <w:rFonts w:cs="Arial"/>
              </w:rPr>
              <w:t>,</w:t>
            </w:r>
            <w:r>
              <w:rPr>
                <w:rFonts w:cs="Arial"/>
              </w:rPr>
              <w:t>4</w:t>
            </w:r>
          </w:p>
        </w:tc>
        <w:tc>
          <w:tcPr>
            <w:tcW w:w="688" w:type="pct"/>
            <w:tcBorders>
              <w:top w:val="nil"/>
              <w:left w:val="single" w:sz="4" w:space="0" w:color="auto"/>
              <w:bottom w:val="single" w:sz="4" w:space="0" w:color="auto"/>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101</w:t>
            </w:r>
            <w:r w:rsidR="00142AA4">
              <w:rPr>
                <w:rFonts w:cs="Arial"/>
              </w:rPr>
              <w:t>,</w:t>
            </w:r>
            <w:r>
              <w:rPr>
                <w:rFonts w:cs="Arial"/>
              </w:rPr>
              <w:t>3</w:t>
            </w:r>
          </w:p>
        </w:tc>
        <w:tc>
          <w:tcPr>
            <w:tcW w:w="688" w:type="pct"/>
            <w:tcBorders>
              <w:top w:val="nil"/>
              <w:left w:val="nil"/>
              <w:bottom w:val="single" w:sz="4" w:space="0" w:color="auto"/>
              <w:right w:val="nil"/>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100</w:t>
            </w:r>
            <w:r w:rsidR="00142AA4">
              <w:rPr>
                <w:rFonts w:cs="Arial"/>
              </w:rPr>
              <w:t>,</w:t>
            </w:r>
            <w:r>
              <w:rPr>
                <w:rFonts w:cs="Arial"/>
              </w:rPr>
              <w:t>5</w:t>
            </w:r>
          </w:p>
        </w:tc>
        <w:tc>
          <w:tcPr>
            <w:tcW w:w="597" w:type="pct"/>
            <w:tcBorders>
              <w:top w:val="nil"/>
              <w:left w:val="nil"/>
              <w:bottom w:val="single" w:sz="4" w:space="0" w:color="auto"/>
              <w:right w:val="single" w:sz="4" w:space="0" w:color="auto"/>
            </w:tcBorders>
            <w:shd w:val="clear" w:color="auto" w:fill="auto"/>
            <w:vAlign w:val="bottom"/>
          </w:tcPr>
          <w:p w:rsidR="00F66C9B" w:rsidRPr="00324116" w:rsidRDefault="00F66C9B" w:rsidP="0053149A">
            <w:pPr>
              <w:spacing w:before="40" w:after="40"/>
              <w:jc w:val="right"/>
              <w:rPr>
                <w:rFonts w:cs="Arial"/>
                <w:sz w:val="19"/>
                <w:szCs w:val="19"/>
                <w:lang w:val="lt-LT"/>
              </w:rPr>
            </w:pPr>
            <w:r>
              <w:rPr>
                <w:rFonts w:cs="Arial"/>
              </w:rPr>
              <w:t>102</w:t>
            </w:r>
            <w:r w:rsidR="00142AA4">
              <w:rPr>
                <w:rFonts w:cs="Arial"/>
              </w:rPr>
              <w:t>,</w:t>
            </w:r>
            <w:r>
              <w:rPr>
                <w:rFonts w:cs="Arial"/>
              </w:rPr>
              <w:t>5</w:t>
            </w:r>
          </w:p>
        </w:tc>
      </w:tr>
    </w:tbl>
    <w:p w:rsidR="00F66C9B" w:rsidRPr="00324116" w:rsidRDefault="00F66C9B" w:rsidP="00F66C9B">
      <w:pPr>
        <w:rPr>
          <w:sz w:val="18"/>
          <w:szCs w:val="18"/>
          <w:lang w:val="lt-LT"/>
        </w:rPr>
      </w:pPr>
      <w:r w:rsidRPr="00324116">
        <w:rPr>
          <w:sz w:val="18"/>
          <w:szCs w:val="18"/>
          <w:lang w:val="lt-LT"/>
        </w:rPr>
        <w:t>______________________</w:t>
      </w:r>
    </w:p>
    <w:p w:rsidR="00F66C9B" w:rsidRPr="00324116" w:rsidRDefault="00F66C9B" w:rsidP="00F66C9B">
      <w:pPr>
        <w:rPr>
          <w:sz w:val="18"/>
          <w:szCs w:val="18"/>
          <w:lang w:val="lt-LT"/>
        </w:rPr>
      </w:pPr>
      <w:r w:rsidRPr="00324116">
        <w:rPr>
          <w:sz w:val="18"/>
          <w:szCs w:val="18"/>
          <w:vertAlign w:val="superscript"/>
          <w:lang w:val="lt-LT"/>
        </w:rPr>
        <w:t>7</w:t>
      </w:r>
      <w:r w:rsidRPr="00324116">
        <w:rPr>
          <w:sz w:val="18"/>
          <w:szCs w:val="18"/>
          <w:lang w:val="lt-LT"/>
        </w:rPr>
        <w:t xml:space="preserve"> Be individualiųjų įmonių.</w:t>
      </w:r>
    </w:p>
    <w:p w:rsidR="00F66C9B" w:rsidRPr="00324116" w:rsidRDefault="00F66C9B" w:rsidP="00F66C9B">
      <w:pPr>
        <w:rPr>
          <w:sz w:val="16"/>
          <w:szCs w:val="16"/>
          <w:lang w:val="lt-LT"/>
        </w:rPr>
      </w:pPr>
    </w:p>
    <w:p w:rsidR="00F66C9B" w:rsidRPr="00324116" w:rsidRDefault="00F66C9B" w:rsidP="00F66C9B">
      <w:pPr>
        <w:rPr>
          <w:sz w:val="16"/>
          <w:szCs w:val="16"/>
          <w:lang w:val="lt-LT"/>
        </w:rPr>
      </w:pPr>
      <w:r w:rsidRPr="00324116">
        <w:rPr>
          <w:b/>
          <w:lang w:val="lt-LT"/>
        </w:rPr>
        <w:t xml:space="preserve">2021 m. </w:t>
      </w:r>
      <w:r>
        <w:rPr>
          <w:b/>
          <w:lang w:val="lt-LT"/>
        </w:rPr>
        <w:t>ketvirtąjį</w:t>
      </w:r>
      <w:r w:rsidRPr="00324116">
        <w:rPr>
          <w:b/>
          <w:lang w:val="lt-LT"/>
        </w:rPr>
        <w:t xml:space="preserve"> ketvirtį vidutinis darbuotojų skaičius šalies ūkyje išaugo </w:t>
      </w:r>
      <w:r>
        <w:rPr>
          <w:b/>
          <w:lang w:val="lt-LT"/>
        </w:rPr>
        <w:t>3</w:t>
      </w:r>
      <w:r w:rsidRPr="00324116">
        <w:rPr>
          <w:b/>
          <w:lang w:val="lt-LT"/>
        </w:rPr>
        <w:t> tūkst.</w:t>
      </w:r>
    </w:p>
    <w:p w:rsidR="00F66C9B" w:rsidRPr="00652199" w:rsidRDefault="00F66C9B" w:rsidP="00F66C9B">
      <w:pPr>
        <w:numPr>
          <w:ilvl w:val="0"/>
          <w:numId w:val="3"/>
        </w:numPr>
        <w:spacing w:before="120" w:after="120"/>
        <w:ind w:left="568" w:hanging="284"/>
        <w:jc w:val="both"/>
        <w:rPr>
          <w:lang w:val="lt-LT"/>
        </w:rPr>
      </w:pPr>
      <w:r w:rsidRPr="00652199">
        <w:rPr>
          <w:lang w:val="lt-LT"/>
        </w:rPr>
        <w:t>Vidutinis darbuotojų skaičius 2021 m. ketvirtąjį ketvirtį, palyginti su 2021 m. trečiuoju ketvirčiu, šalies ūkyje padidėjo 3 tūkst. (0,2 proc.): viešajame sektoriuje išaugo 3,</w:t>
      </w:r>
      <w:r w:rsidR="0016368F" w:rsidRPr="00652199">
        <w:rPr>
          <w:lang w:val="lt-LT"/>
        </w:rPr>
        <w:t>5</w:t>
      </w:r>
      <w:r w:rsidRPr="00652199">
        <w:rPr>
          <w:lang w:val="lt-LT"/>
        </w:rPr>
        <w:t> tūkst., arba 1 proc., privačiajame sektoriuje sumažėjo 0,5 tūkst. (0,1 proc.). Labiausiai viešajame sektoriuje vidutinis darbuotojų skaičius išaugo švietime (3,9</w:t>
      </w:r>
      <w:r w:rsidR="00F72758">
        <w:rPr>
          <w:lang w:val="lt-LT"/>
        </w:rPr>
        <w:t> </w:t>
      </w:r>
      <w:r w:rsidRPr="00652199">
        <w:rPr>
          <w:lang w:val="lt-LT"/>
        </w:rPr>
        <w:t xml:space="preserve">tūkst.). Privačiajame sektoriuje labiausiai (2,6 tūkst.) darbuotojų skaičius sumažėjo </w:t>
      </w:r>
      <w:r w:rsidRPr="00652199">
        <w:rPr>
          <w:snapToGrid w:val="0"/>
          <w:lang w:val="lt-LT"/>
        </w:rPr>
        <w:t>apgyvendinimo ir maitinimo paslaugų veikloje.</w:t>
      </w:r>
    </w:p>
    <w:p w:rsidR="00F66C9B" w:rsidRPr="00324116" w:rsidRDefault="00F66C9B" w:rsidP="00F66C9B">
      <w:pPr>
        <w:numPr>
          <w:ilvl w:val="0"/>
          <w:numId w:val="3"/>
        </w:numPr>
        <w:spacing w:before="120"/>
        <w:ind w:left="568" w:hanging="284"/>
        <w:jc w:val="both"/>
        <w:rPr>
          <w:lang w:val="lt-LT"/>
        </w:rPr>
      </w:pPr>
      <w:r w:rsidRPr="00324116">
        <w:rPr>
          <w:lang w:val="lt-LT"/>
        </w:rPr>
        <w:t xml:space="preserve">Vidutinis darbuotojų skaičius 2021 m. </w:t>
      </w:r>
      <w:r>
        <w:rPr>
          <w:lang w:val="lt-LT"/>
        </w:rPr>
        <w:t>ketvirtąjį</w:t>
      </w:r>
      <w:r w:rsidRPr="00324116">
        <w:rPr>
          <w:lang w:val="lt-LT"/>
        </w:rPr>
        <w:t xml:space="preserve"> ketvirtį, palyginti su 2020 m. </w:t>
      </w:r>
      <w:r>
        <w:rPr>
          <w:lang w:val="lt-LT"/>
        </w:rPr>
        <w:t xml:space="preserve">ketvirtuoju </w:t>
      </w:r>
      <w:r w:rsidRPr="00324116">
        <w:rPr>
          <w:lang w:val="lt-LT"/>
        </w:rPr>
        <w:t>ketvirčiu, šalies ūkyje išaugo 4</w:t>
      </w:r>
      <w:r>
        <w:rPr>
          <w:lang w:val="lt-LT"/>
        </w:rPr>
        <w:t>2</w:t>
      </w:r>
      <w:r w:rsidRPr="00324116">
        <w:rPr>
          <w:lang w:val="lt-LT"/>
        </w:rPr>
        <w:t>,</w:t>
      </w:r>
      <w:r>
        <w:rPr>
          <w:lang w:val="lt-LT"/>
        </w:rPr>
        <w:t>5</w:t>
      </w:r>
      <w:r w:rsidRPr="00324116">
        <w:rPr>
          <w:lang w:val="lt-LT"/>
        </w:rPr>
        <w:t> tūkst. (3</w:t>
      </w:r>
      <w:r>
        <w:rPr>
          <w:lang w:val="lt-LT"/>
        </w:rPr>
        <w:t>,4</w:t>
      </w:r>
      <w:r w:rsidR="00652199">
        <w:rPr>
          <w:lang w:val="lt-LT"/>
        </w:rPr>
        <w:t xml:space="preserve"> </w:t>
      </w:r>
      <w:r w:rsidRPr="00324116">
        <w:rPr>
          <w:lang w:val="lt-LT"/>
        </w:rPr>
        <w:t xml:space="preserve">proc.): viešajame sektoriuje sumažėjo </w:t>
      </w:r>
      <w:r>
        <w:rPr>
          <w:lang w:val="lt-LT"/>
        </w:rPr>
        <w:t>1,3</w:t>
      </w:r>
      <w:r w:rsidRPr="00324116">
        <w:rPr>
          <w:lang w:val="lt-LT"/>
        </w:rPr>
        <w:t> tūkst. (0,</w:t>
      </w:r>
      <w:r>
        <w:rPr>
          <w:lang w:val="lt-LT"/>
        </w:rPr>
        <w:t>4</w:t>
      </w:r>
      <w:r w:rsidRPr="00324116">
        <w:rPr>
          <w:lang w:val="lt-LT"/>
        </w:rPr>
        <w:t> proc.), privačiajame sektoriuje padidėjo 4</w:t>
      </w:r>
      <w:r>
        <w:rPr>
          <w:lang w:val="lt-LT"/>
        </w:rPr>
        <w:t>3</w:t>
      </w:r>
      <w:r w:rsidRPr="00324116">
        <w:rPr>
          <w:lang w:val="lt-LT"/>
        </w:rPr>
        <w:t>,</w:t>
      </w:r>
      <w:r>
        <w:rPr>
          <w:lang w:val="lt-LT"/>
        </w:rPr>
        <w:t>8</w:t>
      </w:r>
      <w:r w:rsidRPr="00324116">
        <w:rPr>
          <w:lang w:val="lt-LT"/>
        </w:rPr>
        <w:t xml:space="preserve"> tūkst. (5 proc.). Labiausiai privačiajame sektoriuje vidutinis darbuotojų skaičius per metus išaugo </w:t>
      </w:r>
      <w:r w:rsidR="0071705B">
        <w:rPr>
          <w:lang w:val="lt-LT"/>
        </w:rPr>
        <w:t>apdirbamo</w:t>
      </w:r>
      <w:r w:rsidR="00F37A4E">
        <w:rPr>
          <w:lang w:val="lt-LT"/>
        </w:rPr>
        <w:t>joje</w:t>
      </w:r>
      <w:r w:rsidR="0071705B">
        <w:rPr>
          <w:lang w:val="lt-LT"/>
        </w:rPr>
        <w:t xml:space="preserve"> gamybo</w:t>
      </w:r>
      <w:r w:rsidR="00F37A4E">
        <w:rPr>
          <w:lang w:val="lt-LT"/>
        </w:rPr>
        <w:t>je</w:t>
      </w:r>
      <w:r w:rsidRPr="00324116">
        <w:rPr>
          <w:lang w:val="lt-LT"/>
        </w:rPr>
        <w:t xml:space="preserve"> </w:t>
      </w:r>
      <w:r>
        <w:rPr>
          <w:lang w:val="lt-LT"/>
        </w:rPr>
        <w:t>(8,6</w:t>
      </w:r>
      <w:r w:rsidR="00F72758">
        <w:rPr>
          <w:lang w:val="lt-LT"/>
        </w:rPr>
        <w:t> </w:t>
      </w:r>
      <w:r w:rsidRPr="00324116">
        <w:rPr>
          <w:lang w:val="lt-LT"/>
        </w:rPr>
        <w:t>tūkst.).</w:t>
      </w:r>
    </w:p>
    <w:p w:rsidR="00F66C9B" w:rsidRPr="00324116" w:rsidRDefault="00F66C9B" w:rsidP="00F66C9B">
      <w:pPr>
        <w:spacing w:before="120"/>
        <w:ind w:left="284"/>
        <w:jc w:val="both"/>
        <w:rPr>
          <w:lang w:val="lt-LT"/>
        </w:rPr>
      </w:pPr>
      <w:r w:rsidRPr="00324116">
        <w:rPr>
          <w:lang w:val="lt-LT"/>
        </w:rPr>
        <w:t>202</w:t>
      </w:r>
      <w:r>
        <w:rPr>
          <w:lang w:val="lt-LT"/>
        </w:rPr>
        <w:t>2</w:t>
      </w:r>
      <w:r w:rsidRPr="00324116">
        <w:rPr>
          <w:lang w:val="lt-LT"/>
        </w:rPr>
        <w:t xml:space="preserve"> m. </w:t>
      </w:r>
      <w:r>
        <w:rPr>
          <w:lang w:val="lt-LT"/>
        </w:rPr>
        <w:t>pirmojo</w:t>
      </w:r>
      <w:r w:rsidRPr="00324116">
        <w:rPr>
          <w:lang w:val="lt-LT"/>
        </w:rPr>
        <w:t xml:space="preserve"> ketvirčio statistinius darbo užmokesčio rodiklius skelbsime 2022 m. </w:t>
      </w:r>
      <w:r>
        <w:rPr>
          <w:lang w:val="lt-LT"/>
        </w:rPr>
        <w:t>gegužės</w:t>
      </w:r>
      <w:r w:rsidRPr="00324116">
        <w:rPr>
          <w:lang w:val="lt-LT"/>
        </w:rPr>
        <w:t xml:space="preserve"> 2</w:t>
      </w:r>
      <w:r>
        <w:rPr>
          <w:lang w:val="lt-LT"/>
        </w:rPr>
        <w:t>7</w:t>
      </w:r>
      <w:r w:rsidRPr="00324116">
        <w:rPr>
          <w:lang w:val="lt-LT"/>
        </w:rPr>
        <w:t> d.</w:t>
      </w:r>
    </w:p>
    <w:p w:rsidR="00F66C9B" w:rsidRPr="00324116" w:rsidRDefault="00F66C9B" w:rsidP="00F66C9B">
      <w:pPr>
        <w:rPr>
          <w:sz w:val="16"/>
          <w:szCs w:val="16"/>
          <w:lang w:val="lt-LT"/>
        </w:rPr>
      </w:pPr>
    </w:p>
    <w:p w:rsidR="00F66C9B" w:rsidRPr="00324116" w:rsidRDefault="00F66C9B" w:rsidP="00F66C9B">
      <w:pPr>
        <w:spacing w:after="120"/>
        <w:outlineLvl w:val="1"/>
        <w:rPr>
          <w:szCs w:val="19"/>
          <w:u w:val="single"/>
          <w:lang w:val="lt-LT"/>
        </w:rPr>
      </w:pPr>
      <w:r w:rsidRPr="00324116">
        <w:rPr>
          <w:lang w:val="lt-LT"/>
        </w:rPr>
        <w:t xml:space="preserve">Daugiau informacijos šia tema rasite </w:t>
      </w:r>
      <w:hyperlink r:id="rId12" w:history="1">
        <w:proofErr w:type="spellStart"/>
        <w:r w:rsidRPr="00FB6488">
          <w:rPr>
            <w:rStyle w:val="Hyperlink"/>
            <w:szCs w:val="19"/>
          </w:rPr>
          <w:t>Rodiklių</w:t>
        </w:r>
        <w:proofErr w:type="spellEnd"/>
        <w:r w:rsidRPr="00FB6488">
          <w:rPr>
            <w:rStyle w:val="Hyperlink"/>
            <w:szCs w:val="19"/>
          </w:rPr>
          <w:t xml:space="preserve"> </w:t>
        </w:r>
        <w:proofErr w:type="spellStart"/>
        <w:r w:rsidRPr="00FB6488">
          <w:rPr>
            <w:rStyle w:val="Hyperlink"/>
            <w:szCs w:val="19"/>
          </w:rPr>
          <w:t>duomenų</w:t>
        </w:r>
        <w:proofErr w:type="spellEnd"/>
        <w:r w:rsidRPr="00FB6488">
          <w:rPr>
            <w:rStyle w:val="Hyperlink"/>
            <w:szCs w:val="19"/>
          </w:rPr>
          <w:t xml:space="preserve"> </w:t>
        </w:r>
        <w:proofErr w:type="spellStart"/>
        <w:r w:rsidRPr="00FB6488">
          <w:rPr>
            <w:rStyle w:val="Hyperlink"/>
            <w:szCs w:val="19"/>
          </w:rPr>
          <w:t>bazėje</w:t>
        </w:r>
        <w:proofErr w:type="spellEnd"/>
      </w:hyperlink>
      <w:r w:rsidRPr="00324116">
        <w:rPr>
          <w:lang w:val="lt-LT"/>
        </w:rPr>
        <w:t>.</w:t>
      </w:r>
    </w:p>
    <w:p w:rsidR="00F66C9B" w:rsidRPr="00324116" w:rsidRDefault="00F66C9B" w:rsidP="00F66C9B">
      <w:pPr>
        <w:spacing w:after="120"/>
        <w:rPr>
          <w:lang w:val="lt-LT"/>
        </w:rPr>
      </w:pPr>
      <w:r w:rsidRPr="00324116">
        <w:rPr>
          <w:lang w:val="lt-LT"/>
        </w:rPr>
        <w:t>Statistinė informacija rengiama ir skleidžiama vadovaujantis</w:t>
      </w:r>
      <w:r w:rsidRPr="00324116">
        <w:rPr>
          <w:rFonts w:cs="Arial"/>
          <w:lang w:val="lt-LT"/>
        </w:rPr>
        <w:t xml:space="preserve"> </w:t>
      </w:r>
      <w:hyperlink r:id="rId13" w:history="1">
        <w:proofErr w:type="spellStart"/>
        <w:r w:rsidRPr="00FB6488">
          <w:rPr>
            <w:rStyle w:val="Hyperlink"/>
            <w:szCs w:val="19"/>
          </w:rPr>
          <w:t>Europos</w:t>
        </w:r>
        <w:proofErr w:type="spellEnd"/>
        <w:r w:rsidRPr="00FB6488">
          <w:rPr>
            <w:rStyle w:val="Hyperlink"/>
            <w:szCs w:val="19"/>
          </w:rPr>
          <w:t xml:space="preserve"> </w:t>
        </w:r>
        <w:proofErr w:type="spellStart"/>
        <w:r w:rsidRPr="00FB6488">
          <w:rPr>
            <w:rStyle w:val="Hyperlink"/>
            <w:szCs w:val="19"/>
          </w:rPr>
          <w:t>statistikos</w:t>
        </w:r>
        <w:proofErr w:type="spellEnd"/>
        <w:r w:rsidRPr="00FB6488">
          <w:rPr>
            <w:rStyle w:val="Hyperlink"/>
            <w:szCs w:val="19"/>
          </w:rPr>
          <w:t xml:space="preserve"> </w:t>
        </w:r>
        <w:proofErr w:type="spellStart"/>
        <w:r w:rsidRPr="00FB6488">
          <w:rPr>
            <w:rStyle w:val="Hyperlink"/>
            <w:szCs w:val="19"/>
          </w:rPr>
          <w:t>praktikos</w:t>
        </w:r>
        <w:proofErr w:type="spellEnd"/>
        <w:r w:rsidRPr="00FB6488">
          <w:rPr>
            <w:rStyle w:val="Hyperlink"/>
            <w:szCs w:val="19"/>
          </w:rPr>
          <w:t xml:space="preserve"> </w:t>
        </w:r>
        <w:proofErr w:type="spellStart"/>
        <w:r w:rsidRPr="00FB6488">
          <w:rPr>
            <w:rStyle w:val="Hyperlink"/>
            <w:szCs w:val="19"/>
          </w:rPr>
          <w:t>kodeksu</w:t>
        </w:r>
        <w:proofErr w:type="spellEnd"/>
      </w:hyperlink>
      <w:r w:rsidRPr="00324116">
        <w:rPr>
          <w:lang w:val="lt-LT"/>
        </w:rPr>
        <w:t>.</w:t>
      </w:r>
    </w:p>
    <w:p w:rsidR="00F66C9B" w:rsidRDefault="00F66C9B" w:rsidP="00F66C9B">
      <w:pPr>
        <w:jc w:val="both"/>
        <w:rPr>
          <w:lang w:val="lt-LT"/>
        </w:rPr>
      </w:pPr>
      <w:r w:rsidRPr="00324116">
        <w:rPr>
          <w:lang w:val="lt-LT"/>
        </w:rPr>
        <w:t xml:space="preserve">Daugiau susijusių terminų ir paaiškinimų ieškokite </w:t>
      </w:r>
      <w:hyperlink r:id="rId14" w:history="1">
        <w:proofErr w:type="spellStart"/>
        <w:r w:rsidRPr="00FB6488">
          <w:rPr>
            <w:rStyle w:val="Hyperlink"/>
            <w:szCs w:val="19"/>
          </w:rPr>
          <w:t>Statistikos</w:t>
        </w:r>
        <w:proofErr w:type="spellEnd"/>
        <w:r w:rsidRPr="00FB6488">
          <w:rPr>
            <w:rStyle w:val="Hyperlink"/>
            <w:szCs w:val="19"/>
          </w:rPr>
          <w:t xml:space="preserve"> </w:t>
        </w:r>
        <w:proofErr w:type="spellStart"/>
        <w:r w:rsidRPr="00FB6488">
          <w:rPr>
            <w:rStyle w:val="Hyperlink"/>
            <w:szCs w:val="19"/>
          </w:rPr>
          <w:t>terminų</w:t>
        </w:r>
        <w:proofErr w:type="spellEnd"/>
        <w:r w:rsidRPr="00FB6488">
          <w:rPr>
            <w:rStyle w:val="Hyperlink"/>
            <w:szCs w:val="19"/>
          </w:rPr>
          <w:t xml:space="preserve"> </w:t>
        </w:r>
        <w:proofErr w:type="spellStart"/>
        <w:r w:rsidRPr="00FB6488">
          <w:rPr>
            <w:rStyle w:val="Hyperlink"/>
            <w:szCs w:val="19"/>
          </w:rPr>
          <w:t>žodyne</w:t>
        </w:r>
        <w:proofErr w:type="spellEnd"/>
      </w:hyperlink>
      <w:r w:rsidRPr="00324116">
        <w:rPr>
          <w:lang w:val="lt-LT"/>
        </w:rPr>
        <w:t>.</w:t>
      </w:r>
    </w:p>
    <w:p w:rsidR="00F66C9B" w:rsidRPr="00324116" w:rsidRDefault="00F66C9B" w:rsidP="00F66C9B">
      <w:pPr>
        <w:jc w:val="both"/>
        <w:rPr>
          <w:lang w:val="lt-LT"/>
        </w:rPr>
      </w:pPr>
    </w:p>
    <w:p w:rsidR="00F66C9B" w:rsidRPr="00B47EAB" w:rsidRDefault="00F66C9B" w:rsidP="00F66C9B">
      <w:pPr>
        <w:rPr>
          <w:lang w:val="lt-LT"/>
        </w:rPr>
      </w:pPr>
    </w:p>
    <w:p w:rsidR="00F66C9B" w:rsidRPr="00324116" w:rsidRDefault="00F66C9B" w:rsidP="00F66C9B">
      <w:pPr>
        <w:spacing w:after="60"/>
        <w:ind w:firstLine="709"/>
        <w:rPr>
          <w:b/>
          <w:lang w:val="lt-LT"/>
        </w:rPr>
      </w:pPr>
      <w:r w:rsidRPr="00324116">
        <w:rPr>
          <w:b/>
          <w:lang w:val="lt-LT"/>
        </w:rPr>
        <w:t>Paaiškinimai</w:t>
      </w:r>
    </w:p>
    <w:p w:rsidR="00F66C9B" w:rsidRPr="00324116" w:rsidRDefault="00F66C9B" w:rsidP="00F66C9B">
      <w:pPr>
        <w:ind w:firstLine="709"/>
        <w:jc w:val="both"/>
        <w:rPr>
          <w:rFonts w:cs="Arial"/>
          <w:lang w:val="lt-LT"/>
        </w:rPr>
      </w:pPr>
      <w:proofErr w:type="spellStart"/>
      <w:r w:rsidRPr="00324116">
        <w:rPr>
          <w:rFonts w:cs="Arial"/>
          <w:b/>
          <w:lang w:val="lt-LT"/>
        </w:rPr>
        <w:t>Bruto</w:t>
      </w:r>
      <w:proofErr w:type="spellEnd"/>
      <w:r w:rsidRPr="00324116">
        <w:rPr>
          <w:rFonts w:cs="Arial"/>
          <w:b/>
          <w:lang w:val="lt-LT"/>
        </w:rPr>
        <w:t xml:space="preserve"> darbo užmokestis</w:t>
      </w:r>
      <w:r w:rsidRPr="00324116">
        <w:rPr>
          <w:rFonts w:cs="Arial"/>
          <w:lang w:val="lt-LT"/>
        </w:rPr>
        <w:t> – atlyginimas pinigais, apimantis tiesiogiai darbdavio darbuotojui mokamą pagrindinį darbo užmokestį ir papildomą uždarbį, įskaitant darbuotojo mokamas socialinio draudimo įmokas ir gyventojų pajamų mokestį. Įskaitomas darbo užmokestis už viršvalandžius, darbą poilsio ir švenčių dienomis, nedirbtą, bet apmokėtą laiką (kasmetines ir papildomas atostogas, prastovas ne dėl darbuotojo kaltės ir kitą darbdavio apmokėtą laiką, tiesiogiai susijusį su darbu), darbo užmokesčio skirtumas dėl jo indeksavimo, pasikeitus pragyvenimo sąlygoms ir pan. Neįskaitoma materialinė pašalpa, ligos išmoka, mokama neatsižvelgiant į finansavimo šaltinį, kompensacija už nepanaudotas kasmetines atostogas, išeitinė išmoka ir pan.</w:t>
      </w:r>
    </w:p>
    <w:p w:rsidR="00F66C9B" w:rsidRPr="00324116" w:rsidRDefault="00F66C9B" w:rsidP="00F66C9B">
      <w:pPr>
        <w:ind w:firstLine="709"/>
        <w:jc w:val="both"/>
        <w:rPr>
          <w:lang w:val="lt-LT"/>
        </w:rPr>
      </w:pPr>
      <w:proofErr w:type="spellStart"/>
      <w:r w:rsidRPr="00324116">
        <w:rPr>
          <w:b/>
          <w:lang w:val="lt-LT"/>
        </w:rPr>
        <w:t>Neto</w:t>
      </w:r>
      <w:proofErr w:type="spellEnd"/>
      <w:r w:rsidRPr="00324116">
        <w:rPr>
          <w:b/>
          <w:lang w:val="lt-LT"/>
        </w:rPr>
        <w:t xml:space="preserve"> darbo užmokestis</w:t>
      </w:r>
      <w:r w:rsidRPr="00324116">
        <w:rPr>
          <w:lang w:val="lt-LT"/>
        </w:rPr>
        <w:t> – atlyginimas pinigais, apimantis tiesiogiai darbdavio darbuotojui mokamą pagrindinį darbo užmokestį ir papildomą uždarbį, atskaičius darbuotojo mokamas valstybinio socialinio draudimo įmokas ir gyventojų pajamų mokestį.</w:t>
      </w:r>
    </w:p>
    <w:p w:rsidR="00F66C9B" w:rsidRPr="00324116" w:rsidRDefault="00F66C9B" w:rsidP="00F66C9B">
      <w:pPr>
        <w:ind w:firstLine="709"/>
        <w:jc w:val="both"/>
        <w:rPr>
          <w:lang w:val="lt-LT"/>
        </w:rPr>
      </w:pPr>
      <w:r w:rsidRPr="00324116">
        <w:rPr>
          <w:b/>
          <w:lang w:val="lt-LT"/>
        </w:rPr>
        <w:t>Realiojo darbo užmokesčio indeksas</w:t>
      </w:r>
      <w:r w:rsidRPr="00324116">
        <w:rPr>
          <w:lang w:val="lt-LT"/>
        </w:rPr>
        <w:t> – s</w:t>
      </w:r>
      <w:r w:rsidRPr="00324116">
        <w:rPr>
          <w:lang w:val="lt-LT" w:eastAsia="lt-LT"/>
        </w:rPr>
        <w:t xml:space="preserve">antykinis rodiklis, kuriuo išreiškiamas </w:t>
      </w:r>
      <w:proofErr w:type="spellStart"/>
      <w:r w:rsidRPr="00324116">
        <w:rPr>
          <w:lang w:val="lt-LT" w:eastAsia="lt-LT"/>
        </w:rPr>
        <w:t>neto</w:t>
      </w:r>
      <w:proofErr w:type="spellEnd"/>
      <w:r w:rsidRPr="00324116">
        <w:rPr>
          <w:lang w:val="lt-LT" w:eastAsia="lt-LT"/>
        </w:rPr>
        <w:t xml:space="preserve"> darbo užmokesčio pokytis, pašalinus vartotojų </w:t>
      </w:r>
      <w:r w:rsidRPr="00324116">
        <w:rPr>
          <w:lang w:val="lt-LT"/>
        </w:rPr>
        <w:t xml:space="preserve">kainų pasikeitimo įtaką. Apskaičiuojamas </w:t>
      </w:r>
      <w:proofErr w:type="spellStart"/>
      <w:r w:rsidRPr="00324116">
        <w:rPr>
          <w:lang w:val="lt-LT"/>
        </w:rPr>
        <w:t>neto</w:t>
      </w:r>
      <w:proofErr w:type="spellEnd"/>
      <w:r w:rsidRPr="00324116">
        <w:rPr>
          <w:lang w:val="lt-LT"/>
        </w:rPr>
        <w:t xml:space="preserve"> darbo užmokesčio indeksą dalijant iš vartotojų kainų indekso.</w:t>
      </w:r>
    </w:p>
    <w:p w:rsidR="00F66C9B" w:rsidRPr="00324116" w:rsidRDefault="00F66C9B" w:rsidP="00F66C9B">
      <w:pPr>
        <w:ind w:firstLine="709"/>
        <w:jc w:val="both"/>
        <w:rPr>
          <w:lang w:val="lt-LT"/>
        </w:rPr>
      </w:pPr>
      <w:r w:rsidRPr="00324116">
        <w:rPr>
          <w:b/>
          <w:lang w:val="lt-LT"/>
        </w:rPr>
        <w:t>Viešasis sektorius</w:t>
      </w:r>
      <w:r w:rsidRPr="00324116">
        <w:rPr>
          <w:lang w:val="lt-LT"/>
        </w:rPr>
        <w:t xml:space="preserve"> apima biudžetines įstaigas ir organizacijas (švietimo, sveikatos priežiūros, socialinio darbo, kultūros, viešojo valdymo ir kt.), taip pat viešąsias įstaigas, įmones, kurių 50 proc. ar daugiau subjekto įstatinio kapitalo sudaro valstybės ar savivaldybės nuosavybė.</w:t>
      </w:r>
    </w:p>
    <w:p w:rsidR="00F66C9B" w:rsidRPr="00324116" w:rsidRDefault="00F66C9B" w:rsidP="00F66C9B">
      <w:pPr>
        <w:outlineLvl w:val="1"/>
        <w:rPr>
          <w:sz w:val="19"/>
          <w:lang w:val="lt-LT"/>
        </w:rPr>
      </w:pPr>
    </w:p>
    <w:p w:rsidR="00F66C9B" w:rsidRPr="0012218F" w:rsidRDefault="00F66C9B" w:rsidP="00F66C9B">
      <w:pPr>
        <w:spacing w:after="60"/>
        <w:outlineLvl w:val="1"/>
        <w:rPr>
          <w:sz w:val="19"/>
          <w:szCs w:val="19"/>
          <w:lang w:val="lt-LT"/>
        </w:rPr>
      </w:pPr>
      <w:r w:rsidRPr="0012218F">
        <w:rPr>
          <w:sz w:val="19"/>
          <w:szCs w:val="19"/>
          <w:lang w:val="lt-LT"/>
        </w:rPr>
        <w:t xml:space="preserve">Kontaktinė informacija </w:t>
      </w:r>
    </w:p>
    <w:p w:rsidR="00F66C9B" w:rsidRPr="0012218F" w:rsidRDefault="0071705B" w:rsidP="00F66C9B">
      <w:pPr>
        <w:outlineLvl w:val="1"/>
        <w:rPr>
          <w:sz w:val="19"/>
          <w:szCs w:val="19"/>
          <w:lang w:val="lt-LT"/>
        </w:rPr>
      </w:pPr>
      <w:r w:rsidRPr="0012218F">
        <w:rPr>
          <w:sz w:val="19"/>
          <w:szCs w:val="19"/>
          <w:lang w:val="lt-LT"/>
        </w:rPr>
        <w:t>Virginija Bankietienė</w:t>
      </w:r>
    </w:p>
    <w:p w:rsidR="00F66C9B" w:rsidRPr="0012218F" w:rsidRDefault="00F66C9B" w:rsidP="00F66C9B">
      <w:pPr>
        <w:outlineLvl w:val="1"/>
        <w:rPr>
          <w:sz w:val="19"/>
          <w:szCs w:val="19"/>
          <w:lang w:val="lt-LT"/>
        </w:rPr>
      </w:pPr>
      <w:r w:rsidRPr="0012218F">
        <w:rPr>
          <w:sz w:val="19"/>
          <w:szCs w:val="19"/>
          <w:lang w:val="lt-LT"/>
        </w:rPr>
        <w:t xml:space="preserve">Darbo statistikos skyriaus </w:t>
      </w:r>
      <w:r w:rsidR="0071705B" w:rsidRPr="0012218F">
        <w:rPr>
          <w:sz w:val="19"/>
          <w:szCs w:val="19"/>
          <w:lang w:val="lt-LT"/>
        </w:rPr>
        <w:t>vedėja</w:t>
      </w:r>
    </w:p>
    <w:p w:rsidR="00F66C9B" w:rsidRPr="0012218F" w:rsidRDefault="00F66C9B" w:rsidP="00F66C9B">
      <w:pPr>
        <w:outlineLvl w:val="1"/>
        <w:rPr>
          <w:sz w:val="19"/>
          <w:szCs w:val="19"/>
          <w:lang w:val="lt-LT"/>
        </w:rPr>
      </w:pPr>
      <w:r w:rsidRPr="0012218F">
        <w:rPr>
          <w:sz w:val="19"/>
          <w:szCs w:val="19"/>
          <w:lang w:val="lt-LT"/>
        </w:rPr>
        <w:t>Tel. (8 5)  236 48</w:t>
      </w:r>
      <w:r w:rsidR="0071705B" w:rsidRPr="0012218F">
        <w:rPr>
          <w:sz w:val="19"/>
          <w:szCs w:val="19"/>
          <w:lang w:val="lt-LT"/>
        </w:rPr>
        <w:t>36</w:t>
      </w:r>
      <w:r w:rsidRPr="0012218F">
        <w:rPr>
          <w:sz w:val="19"/>
          <w:szCs w:val="19"/>
          <w:lang w:val="lt-LT"/>
        </w:rPr>
        <w:br/>
        <w:t xml:space="preserve">El. p. </w:t>
      </w:r>
      <w:hyperlink r:id="rId15" w:history="1">
        <w:r w:rsidR="00722C45" w:rsidRPr="0012218F">
          <w:rPr>
            <w:rStyle w:val="Hyperlink"/>
            <w:sz w:val="19"/>
            <w:szCs w:val="19"/>
            <w:lang w:val="lt-LT"/>
          </w:rPr>
          <w:t>virginija.bankietiene@stat.gov.lt</w:t>
        </w:r>
      </w:hyperlink>
    </w:p>
    <w:p w:rsidR="00F66C9B" w:rsidRPr="0012218F" w:rsidRDefault="00F66C9B" w:rsidP="00F66C9B">
      <w:pPr>
        <w:rPr>
          <w:sz w:val="19"/>
          <w:szCs w:val="19"/>
          <w:lang w:val="lt-LT"/>
        </w:rPr>
      </w:pPr>
    </w:p>
    <w:p w:rsidR="00F66C9B" w:rsidRPr="0012218F" w:rsidRDefault="00F66C9B" w:rsidP="00F66C9B">
      <w:pPr>
        <w:outlineLvl w:val="1"/>
        <w:rPr>
          <w:sz w:val="19"/>
          <w:szCs w:val="19"/>
          <w:lang w:val="lt-LT"/>
        </w:rPr>
      </w:pPr>
      <w:r w:rsidRPr="0012218F">
        <w:rPr>
          <w:sz w:val="19"/>
          <w:szCs w:val="19"/>
          <w:lang w:val="lt-LT"/>
        </w:rPr>
        <w:t>© Lietuvos statistikos departamentas</w:t>
      </w:r>
    </w:p>
    <w:p w:rsidR="00F66C9B" w:rsidRPr="0012218F" w:rsidRDefault="00F66C9B" w:rsidP="00F66C9B">
      <w:pPr>
        <w:outlineLvl w:val="1"/>
        <w:rPr>
          <w:sz w:val="19"/>
          <w:szCs w:val="19"/>
          <w:lang w:val="lt-LT"/>
        </w:rPr>
      </w:pPr>
      <w:r w:rsidRPr="0012218F">
        <w:rPr>
          <w:sz w:val="19"/>
          <w:szCs w:val="19"/>
          <w:lang w:val="lt-LT"/>
        </w:rPr>
        <w:t>Naudojant Lietuvos statistikos departamento duomenis, būtina nurodyti šaltinį.</w:t>
      </w:r>
    </w:p>
    <w:p w:rsidR="00F66C9B" w:rsidRPr="0012218F" w:rsidRDefault="00F66C9B" w:rsidP="00F66C9B">
      <w:pPr>
        <w:outlineLvl w:val="1"/>
        <w:rPr>
          <w:sz w:val="19"/>
          <w:szCs w:val="19"/>
          <w:lang w:val="lt-LT"/>
        </w:rPr>
      </w:pPr>
    </w:p>
    <w:p w:rsidR="00F66C9B" w:rsidRPr="0012218F" w:rsidRDefault="00F66C9B" w:rsidP="00F66C9B">
      <w:pPr>
        <w:outlineLvl w:val="1"/>
        <w:rPr>
          <w:sz w:val="19"/>
          <w:szCs w:val="19"/>
          <w:lang w:val="lt-LT"/>
        </w:rPr>
      </w:pPr>
      <w:r w:rsidRPr="0012218F">
        <w:rPr>
          <w:sz w:val="19"/>
          <w:szCs w:val="19"/>
          <w:lang w:val="lt-LT"/>
        </w:rPr>
        <w:t xml:space="preserve">Žymos: darbo užmokestis, </w:t>
      </w:r>
      <w:proofErr w:type="spellStart"/>
      <w:r w:rsidRPr="0012218F">
        <w:rPr>
          <w:sz w:val="19"/>
          <w:szCs w:val="19"/>
          <w:lang w:val="lt-LT"/>
        </w:rPr>
        <w:t>bruto</w:t>
      </w:r>
      <w:proofErr w:type="spellEnd"/>
      <w:r w:rsidRPr="0012218F">
        <w:rPr>
          <w:sz w:val="19"/>
          <w:szCs w:val="19"/>
          <w:lang w:val="lt-LT"/>
        </w:rPr>
        <w:t xml:space="preserve">, </w:t>
      </w:r>
      <w:proofErr w:type="spellStart"/>
      <w:r w:rsidRPr="0012218F">
        <w:rPr>
          <w:sz w:val="19"/>
          <w:szCs w:val="19"/>
          <w:lang w:val="lt-LT"/>
        </w:rPr>
        <w:t>neto</w:t>
      </w:r>
      <w:proofErr w:type="spellEnd"/>
      <w:r w:rsidRPr="0012218F">
        <w:rPr>
          <w:sz w:val="19"/>
          <w:szCs w:val="19"/>
          <w:lang w:val="lt-LT"/>
        </w:rPr>
        <w:t>, darbuotojų skaičius, alga, atlyginimas.</w:t>
      </w:r>
      <w:r w:rsidRPr="0012218F">
        <w:rPr>
          <w:rFonts w:ascii="Calibri" w:eastAsia="Calibri" w:hAnsi="Calibri"/>
          <w:sz w:val="19"/>
          <w:szCs w:val="19"/>
          <w:lang w:val="lt-LT"/>
        </w:rPr>
        <w:t xml:space="preserve"> </w:t>
      </w:r>
    </w:p>
    <w:p w:rsidR="00E20766" w:rsidRPr="00F66C9B" w:rsidRDefault="00E20766">
      <w:pPr>
        <w:rPr>
          <w:lang w:val="lt-LT"/>
        </w:rPr>
      </w:pPr>
    </w:p>
    <w:sectPr w:rsidR="00E20766" w:rsidRPr="00F66C9B" w:rsidSect="00CD05BF">
      <w:headerReference w:type="even" r:id="rId16"/>
      <w:headerReference w:type="default" r:id="rId17"/>
      <w:headerReference w:type="first" r:id="rId18"/>
      <w:footerReference w:type="first" r:id="rId19"/>
      <w:pgSz w:w="11906" w:h="16838" w:code="9"/>
      <w:pgMar w:top="851" w:right="851" w:bottom="567" w:left="851" w:header="680"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665" w:rsidRDefault="002C5665">
      <w:r>
        <w:separator/>
      </w:r>
    </w:p>
  </w:endnote>
  <w:endnote w:type="continuationSeparator" w:id="0">
    <w:p w:rsidR="002C5665" w:rsidRDefault="002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2C5665"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665" w:rsidRDefault="002C5665">
      <w:r>
        <w:separator/>
      </w:r>
    </w:p>
  </w:footnote>
  <w:footnote w:type="continuationSeparator" w:id="0">
    <w:p w:rsidR="002C5665" w:rsidRDefault="002C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F66C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58B5" w:rsidRDefault="002C5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Pr="00317478" w:rsidRDefault="00F66C9B">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9F5904">
      <w:rPr>
        <w:rStyle w:val="PageNumber"/>
        <w:noProof/>
        <w:sz w:val="18"/>
        <w:szCs w:val="18"/>
      </w:rPr>
      <w:t>5</w:t>
    </w:r>
    <w:r w:rsidRPr="00317478">
      <w:rPr>
        <w:rStyle w:val="PageNumber"/>
        <w:sz w:val="18"/>
        <w:szCs w:val="18"/>
      </w:rPr>
      <w:fldChar w:fldCharType="end"/>
    </w:r>
  </w:p>
  <w:p w:rsidR="00D758B5" w:rsidRDefault="002C5665">
    <w:pPr>
      <w:pStyle w:val="Header"/>
      <w:ind w:left="-57" w:right="-57"/>
      <w:rPr>
        <w:sz w:val="18"/>
        <w:szCs w:val="18"/>
      </w:rPr>
    </w:pPr>
  </w:p>
  <w:p w:rsidR="003F6150" w:rsidRPr="003F6150" w:rsidRDefault="002C5665">
    <w:pPr>
      <w:pStyle w:val="Header"/>
      <w:ind w:left="-57" w:right="-57"/>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102"/>
      <w:gridCol w:w="5102"/>
    </w:tblGrid>
    <w:tr w:rsidR="00D758B5" w:rsidTr="002B6634">
      <w:tc>
        <w:tcPr>
          <w:tcW w:w="2500" w:type="pct"/>
          <w:vAlign w:val="center"/>
        </w:tcPr>
        <w:p w:rsidR="00D758B5" w:rsidRDefault="00F66C9B" w:rsidP="001825D1">
          <w:pPr>
            <w:pStyle w:val="Header"/>
            <w:ind w:right="-113"/>
          </w:pPr>
          <w:r>
            <w:rPr>
              <w:noProof/>
              <w:lang w:val="lt-LT" w:eastAsia="lt-LT"/>
            </w:rPr>
            <w:drawing>
              <wp:inline distT="0" distB="0" distL="0" distR="0" wp14:anchorId="098ECB3B" wp14:editId="4617579F">
                <wp:extent cx="1358900" cy="429260"/>
                <wp:effectExtent l="0" t="0" r="0" b="8890"/>
                <wp:docPr id="19"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29260"/>
                        </a:xfrm>
                        <a:prstGeom prst="rect">
                          <a:avLst/>
                        </a:prstGeom>
                        <a:noFill/>
                        <a:ln>
                          <a:noFill/>
                        </a:ln>
                      </pic:spPr>
                    </pic:pic>
                  </a:graphicData>
                </a:graphic>
              </wp:inline>
            </w:drawing>
          </w:r>
        </w:p>
      </w:tc>
      <w:tc>
        <w:tcPr>
          <w:tcW w:w="2500" w:type="pct"/>
          <w:vAlign w:val="center"/>
        </w:tcPr>
        <w:p w:rsidR="00795D65" w:rsidRPr="00991C9F" w:rsidRDefault="00F66C9B" w:rsidP="002B6634">
          <w:pPr>
            <w:jc w:val="right"/>
            <w:rPr>
              <w:lang w:val="lt-LT"/>
            </w:rPr>
          </w:pPr>
          <w:r>
            <w:rPr>
              <w:noProof/>
              <w:lang w:val="lt-LT" w:eastAsia="lt-LT"/>
            </w:rPr>
            <w:drawing>
              <wp:inline distT="0" distB="0" distL="0" distR="0" wp14:anchorId="088949A7" wp14:editId="15DB4BCF">
                <wp:extent cx="1338580" cy="434340"/>
                <wp:effectExtent l="0" t="0" r="0" b="3810"/>
                <wp:docPr id="20" name="Picture 2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580" cy="434340"/>
                        </a:xfrm>
                        <a:prstGeom prst="rect">
                          <a:avLst/>
                        </a:prstGeom>
                        <a:noFill/>
                        <a:ln>
                          <a:noFill/>
                        </a:ln>
                      </pic:spPr>
                    </pic:pic>
                  </a:graphicData>
                </a:graphic>
              </wp:inline>
            </w:drawing>
          </w:r>
        </w:p>
      </w:tc>
    </w:tr>
  </w:tbl>
  <w:p w:rsidR="00D758B5" w:rsidRDefault="002C5665">
    <w:pPr>
      <w:pStyle w:val="Header"/>
      <w:pBdr>
        <w:bottom w:val="double" w:sz="6" w:space="1" w:color="auto"/>
      </w:pBdr>
      <w:rPr>
        <w:sz w:val="16"/>
      </w:rPr>
    </w:pPr>
  </w:p>
  <w:p w:rsidR="00D758B5" w:rsidRDefault="002C5665">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F62"/>
    <w:multiLevelType w:val="hybridMultilevel"/>
    <w:tmpl w:val="FF1A446E"/>
    <w:lvl w:ilvl="0" w:tplc="0427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D78E0"/>
    <w:multiLevelType w:val="hybridMultilevel"/>
    <w:tmpl w:val="DD963EA4"/>
    <w:lvl w:ilvl="0" w:tplc="8870BC52">
      <w:start w:val="1"/>
      <w:numFmt w:val="bullet"/>
      <w:lvlText w:val="o"/>
      <w:lvlJc w:val="left"/>
      <w:pPr>
        <w:ind w:left="1004" w:hanging="360"/>
      </w:pPr>
      <w:rPr>
        <w:rFonts w:ascii="Courier New" w:hAnsi="Courier New" w:cs="Courier New" w:hint="default"/>
        <w:sz w:val="20"/>
        <w:szCs w:val="20"/>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750E638B"/>
    <w:multiLevelType w:val="hybridMultilevel"/>
    <w:tmpl w:val="9054634E"/>
    <w:lvl w:ilvl="0" w:tplc="04270003">
      <w:start w:val="1"/>
      <w:numFmt w:val="bullet"/>
      <w:lvlText w:val="o"/>
      <w:lvlJc w:val="left"/>
      <w:pPr>
        <w:ind w:left="644"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7BEE2A3B"/>
    <w:multiLevelType w:val="hybridMultilevel"/>
    <w:tmpl w:val="97761A7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9B"/>
    <w:rsid w:val="00047B6B"/>
    <w:rsid w:val="00096FAC"/>
    <w:rsid w:val="000B05D9"/>
    <w:rsid w:val="000B72C2"/>
    <w:rsid w:val="0012218F"/>
    <w:rsid w:val="00142AA4"/>
    <w:rsid w:val="0016368F"/>
    <w:rsid w:val="001F0F92"/>
    <w:rsid w:val="002C5665"/>
    <w:rsid w:val="002F3710"/>
    <w:rsid w:val="0037310E"/>
    <w:rsid w:val="00486FBB"/>
    <w:rsid w:val="00494C5D"/>
    <w:rsid w:val="005A3D3B"/>
    <w:rsid w:val="00652199"/>
    <w:rsid w:val="006544FB"/>
    <w:rsid w:val="006A67BA"/>
    <w:rsid w:val="0071705B"/>
    <w:rsid w:val="00722C45"/>
    <w:rsid w:val="007A545F"/>
    <w:rsid w:val="00840A1E"/>
    <w:rsid w:val="008D7BC3"/>
    <w:rsid w:val="008E0DA6"/>
    <w:rsid w:val="0090502E"/>
    <w:rsid w:val="009C2127"/>
    <w:rsid w:val="009E6F90"/>
    <w:rsid w:val="009F5904"/>
    <w:rsid w:val="00A262F3"/>
    <w:rsid w:val="00A72135"/>
    <w:rsid w:val="00AB1F52"/>
    <w:rsid w:val="00B47EAB"/>
    <w:rsid w:val="00B7030F"/>
    <w:rsid w:val="00C06BC8"/>
    <w:rsid w:val="00C42C86"/>
    <w:rsid w:val="00CC3F64"/>
    <w:rsid w:val="00E20766"/>
    <w:rsid w:val="00E87537"/>
    <w:rsid w:val="00EF639A"/>
    <w:rsid w:val="00F10811"/>
    <w:rsid w:val="00F37A4E"/>
    <w:rsid w:val="00F66C9B"/>
    <w:rsid w:val="00F72758"/>
    <w:rsid w:val="00F92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C39"/>
  <w15:chartTrackingRefBased/>
  <w15:docId w15:val="{95AFFF10-E4A6-42F5-B4CD-DA844461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9B"/>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C9B"/>
    <w:pPr>
      <w:tabs>
        <w:tab w:val="center" w:pos="4153"/>
        <w:tab w:val="right" w:pos="8306"/>
      </w:tabs>
    </w:pPr>
  </w:style>
  <w:style w:type="character" w:customStyle="1" w:styleId="HeaderChar">
    <w:name w:val="Header Char"/>
    <w:basedOn w:val="DefaultParagraphFont"/>
    <w:link w:val="Header"/>
    <w:rsid w:val="00F66C9B"/>
    <w:rPr>
      <w:rFonts w:ascii="Arial" w:eastAsia="Times New Roman" w:hAnsi="Arial" w:cs="Times New Roman"/>
      <w:sz w:val="20"/>
      <w:szCs w:val="20"/>
      <w:lang w:val="en-GB"/>
    </w:rPr>
  </w:style>
  <w:style w:type="character" w:styleId="PageNumber">
    <w:name w:val="page number"/>
    <w:rsid w:val="00F66C9B"/>
    <w:rPr>
      <w:rFonts w:ascii="Arial" w:hAnsi="Arial"/>
      <w:dstrike w:val="0"/>
      <w:color w:val="auto"/>
      <w:vertAlign w:val="baseline"/>
    </w:rPr>
  </w:style>
  <w:style w:type="character" w:styleId="Hyperlink">
    <w:name w:val="Hyperlink"/>
    <w:rsid w:val="00F66C9B"/>
    <w:rPr>
      <w:color w:val="0000FF"/>
      <w:u w:val="single"/>
    </w:rPr>
  </w:style>
  <w:style w:type="paragraph" w:customStyle="1" w:styleId="Pagrtekstas">
    <w:name w:val="Pagr_tekstas"/>
    <w:basedOn w:val="Normal"/>
    <w:rsid w:val="00F66C9B"/>
    <w:pPr>
      <w:ind w:firstLine="720"/>
      <w:jc w:val="both"/>
    </w:pPr>
  </w:style>
  <w:style w:type="paragraph" w:styleId="ListParagraph">
    <w:name w:val="List Paragraph"/>
    <w:basedOn w:val="Normal"/>
    <w:uiPriority w:val="34"/>
    <w:qFormat/>
    <w:rsid w:val="00F66C9B"/>
    <w:pPr>
      <w:ind w:left="720"/>
      <w:contextualSpacing/>
    </w:pPr>
  </w:style>
  <w:style w:type="character" w:styleId="FollowedHyperlink">
    <w:name w:val="FollowedHyperlink"/>
    <w:basedOn w:val="DefaultParagraphFont"/>
    <w:uiPriority w:val="99"/>
    <w:semiHidden/>
    <w:unhideWhenUsed/>
    <w:rsid w:val="00C42C86"/>
    <w:rPr>
      <w:color w:val="954F72" w:themeColor="followedHyperlink"/>
      <w:u w:val="single"/>
    </w:rPr>
  </w:style>
  <w:style w:type="paragraph" w:styleId="BalloonText">
    <w:name w:val="Balloon Text"/>
    <w:basedOn w:val="Normal"/>
    <w:link w:val="BalloonTextChar"/>
    <w:uiPriority w:val="99"/>
    <w:semiHidden/>
    <w:unhideWhenUsed/>
    <w:rsid w:val="00AB1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F52"/>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2218F"/>
    <w:rPr>
      <w:sz w:val="16"/>
      <w:szCs w:val="16"/>
    </w:rPr>
  </w:style>
  <w:style w:type="paragraph" w:styleId="CommentText">
    <w:name w:val="annotation text"/>
    <w:basedOn w:val="Normal"/>
    <w:link w:val="CommentTextChar"/>
    <w:uiPriority w:val="99"/>
    <w:semiHidden/>
    <w:unhideWhenUsed/>
    <w:rsid w:val="0012218F"/>
  </w:style>
  <w:style w:type="character" w:customStyle="1" w:styleId="CommentTextChar">
    <w:name w:val="Comment Text Char"/>
    <w:basedOn w:val="DefaultParagraphFont"/>
    <w:link w:val="CommentText"/>
    <w:uiPriority w:val="99"/>
    <w:semiHidden/>
    <w:rsid w:val="0012218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2218F"/>
    <w:rPr>
      <w:b/>
      <w:bCs/>
    </w:rPr>
  </w:style>
  <w:style w:type="character" w:customStyle="1" w:styleId="CommentSubjectChar">
    <w:name w:val="Comment Subject Char"/>
    <w:basedOn w:val="CommentTextChar"/>
    <w:link w:val="CommentSubject"/>
    <w:uiPriority w:val="99"/>
    <w:semiHidden/>
    <w:rsid w:val="0012218F"/>
    <w:rPr>
      <w:rFonts w:ascii="Arial" w:eastAsia="Times New Roman" w:hAnsi="Arial" w:cs="Times New Roman"/>
      <w:b/>
      <w:bCs/>
      <w:sz w:val="20"/>
      <w:szCs w:val="20"/>
      <w:lang w:val="en-GB"/>
    </w:rPr>
  </w:style>
  <w:style w:type="paragraph" w:styleId="Revision">
    <w:name w:val="Revision"/>
    <w:hidden/>
    <w:uiPriority w:val="99"/>
    <w:semiHidden/>
    <w:rsid w:val="0012218F"/>
    <w:pPr>
      <w:spacing w:after="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7541">
      <w:bodyDiv w:val="1"/>
      <w:marLeft w:val="0"/>
      <w:marRight w:val="0"/>
      <w:marTop w:val="0"/>
      <w:marBottom w:val="0"/>
      <w:divBdr>
        <w:top w:val="none" w:sz="0" w:space="0" w:color="auto"/>
        <w:left w:val="none" w:sz="0" w:space="0" w:color="auto"/>
        <w:bottom w:val="none" w:sz="0" w:space="0" w:color="auto"/>
        <w:right w:val="none" w:sz="0" w:space="0" w:color="auto"/>
      </w:divBdr>
    </w:div>
    <w:div w:id="97221903">
      <w:bodyDiv w:val="1"/>
      <w:marLeft w:val="0"/>
      <w:marRight w:val="0"/>
      <w:marTop w:val="0"/>
      <w:marBottom w:val="0"/>
      <w:divBdr>
        <w:top w:val="none" w:sz="0" w:space="0" w:color="auto"/>
        <w:left w:val="none" w:sz="0" w:space="0" w:color="auto"/>
        <w:bottom w:val="none" w:sz="0" w:space="0" w:color="auto"/>
        <w:right w:val="none" w:sz="0" w:space="0" w:color="auto"/>
      </w:divBdr>
    </w:div>
    <w:div w:id="273288935">
      <w:bodyDiv w:val="1"/>
      <w:marLeft w:val="0"/>
      <w:marRight w:val="0"/>
      <w:marTop w:val="0"/>
      <w:marBottom w:val="0"/>
      <w:divBdr>
        <w:top w:val="none" w:sz="0" w:space="0" w:color="auto"/>
        <w:left w:val="none" w:sz="0" w:space="0" w:color="auto"/>
        <w:bottom w:val="none" w:sz="0" w:space="0" w:color="auto"/>
        <w:right w:val="none" w:sz="0" w:space="0" w:color="auto"/>
      </w:divBdr>
    </w:div>
    <w:div w:id="881017207">
      <w:bodyDiv w:val="1"/>
      <w:marLeft w:val="0"/>
      <w:marRight w:val="0"/>
      <w:marTop w:val="0"/>
      <w:marBottom w:val="0"/>
      <w:divBdr>
        <w:top w:val="none" w:sz="0" w:space="0" w:color="auto"/>
        <w:left w:val="none" w:sz="0" w:space="0" w:color="auto"/>
        <w:bottom w:val="none" w:sz="0" w:space="0" w:color="auto"/>
        <w:right w:val="none" w:sz="0" w:space="0" w:color="auto"/>
      </w:divBdr>
    </w:div>
    <w:div w:id="13573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ec.europa.eu/eurostat/documents/4031688/9394165/KS-02-18-142-LT-N.pdf/2c6787ed-aaf1-4f30-bad1-aa65bf1e964b"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osp.stat.gov.lt/statistiniu-rodikliu-analiz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mailto:virginija.bankietiene@stat.gov.lt" TargetMode="Externa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osp.stat.gov.lt/statistikos-terminu-zodyna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132192135857621E-2"/>
          <c:y val="0.10358295120302538"/>
          <c:w val="0.89127658291088285"/>
          <c:h val="0.5424308968339514"/>
        </c:manualLayout>
      </c:layout>
      <c:barChart>
        <c:barDir val="col"/>
        <c:grouping val="clustered"/>
        <c:varyColors val="0"/>
        <c:ser>
          <c:idx val="1"/>
          <c:order val="1"/>
          <c:tx>
            <c:strRef>
              <c:f>Sheet1!$C$1</c:f>
              <c:strCache>
                <c:ptCount val="1"/>
                <c:pt idx="0">
                  <c:v>Bruto darbo užmokestis</c:v>
                </c:pt>
              </c:strCache>
            </c:strRef>
          </c:tx>
          <c:spPr>
            <a:solidFill>
              <a:srgbClr val="F06482"/>
            </a:solidFill>
            <a:ln w="12700">
              <a:solidFill>
                <a:sysClr val="window" lastClr="FFFFFF"/>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IV
2020</c:v>
                </c:pt>
                <c:pt idx="1">
                  <c:v>I
2021</c:v>
                </c:pt>
                <c:pt idx="2">
                  <c:v>II</c:v>
                </c:pt>
                <c:pt idx="3">
                  <c:v>III </c:v>
                </c:pt>
                <c:pt idx="4">
                  <c:v>IV</c:v>
                </c:pt>
              </c:strCache>
            </c:strRef>
          </c:cat>
          <c:val>
            <c:numRef>
              <c:f>Sheet1!$C$2:$C$6</c:f>
              <c:numCache>
                <c:formatCode>General</c:formatCode>
                <c:ptCount val="5"/>
                <c:pt idx="0">
                  <c:v>1524.2</c:v>
                </c:pt>
                <c:pt idx="1">
                  <c:v>1517.4</c:v>
                </c:pt>
                <c:pt idx="2">
                  <c:v>1566.4</c:v>
                </c:pt>
                <c:pt idx="3">
                  <c:v>1598.1</c:v>
                </c:pt>
                <c:pt idx="4">
                  <c:v>1679.3</c:v>
                </c:pt>
              </c:numCache>
            </c:numRef>
          </c:val>
          <c:extLst>
            <c:ext xmlns:c16="http://schemas.microsoft.com/office/drawing/2014/chart" uri="{C3380CC4-5D6E-409C-BE32-E72D297353CC}">
              <c16:uniqueId val="{00000000-C45F-44F1-9F85-9171950C717E}"/>
            </c:ext>
          </c:extLst>
        </c:ser>
        <c:ser>
          <c:idx val="2"/>
          <c:order val="2"/>
          <c:tx>
            <c:strRef>
              <c:f>Sheet1!$D$1</c:f>
              <c:strCache>
                <c:ptCount val="1"/>
                <c:pt idx="0">
                  <c:v>Neto darbo užmokestis</c:v>
                </c:pt>
              </c:strCache>
            </c:strRef>
          </c:tx>
          <c:spPr>
            <a:solidFill>
              <a:srgbClr val="FABEC3"/>
            </a:solidFill>
            <a:ln w="9525">
              <a:solidFill>
                <a:sysClr val="window" lastClr="FFFFFF"/>
              </a:solidFill>
            </a:ln>
          </c:spPr>
          <c:invertIfNegative val="0"/>
          <c:dPt>
            <c:idx val="0"/>
            <c:invertIfNegative val="0"/>
            <c:bubble3D val="0"/>
            <c:spPr>
              <a:solidFill>
                <a:srgbClr val="FABEC3"/>
              </a:solidFill>
              <a:ln w="12700">
                <a:solidFill>
                  <a:sysClr val="window" lastClr="FFFFFF"/>
                </a:solidFill>
              </a:ln>
            </c:spPr>
            <c:extLst>
              <c:ext xmlns:c16="http://schemas.microsoft.com/office/drawing/2014/chart" uri="{C3380CC4-5D6E-409C-BE32-E72D297353CC}">
                <c16:uniqueId val="{00000002-C45F-44F1-9F85-9171950C717E}"/>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IV
2020</c:v>
                </c:pt>
                <c:pt idx="1">
                  <c:v>I
2021</c:v>
                </c:pt>
                <c:pt idx="2">
                  <c:v>II</c:v>
                </c:pt>
                <c:pt idx="3">
                  <c:v>III </c:v>
                </c:pt>
                <c:pt idx="4">
                  <c:v>IV</c:v>
                </c:pt>
              </c:strCache>
            </c:strRef>
          </c:cat>
          <c:val>
            <c:numRef>
              <c:f>Sheet1!$D$2:$D$6</c:f>
              <c:numCache>
                <c:formatCode>General</c:formatCode>
                <c:ptCount val="5"/>
                <c:pt idx="0">
                  <c:v>967.3</c:v>
                </c:pt>
                <c:pt idx="1">
                  <c:v>966.5</c:v>
                </c:pt>
                <c:pt idx="2">
                  <c:v>994.4</c:v>
                </c:pt>
                <c:pt idx="3">
                  <c:v>1012.4</c:v>
                </c:pt>
                <c:pt idx="4">
                  <c:v>1058.5999999999999</c:v>
                </c:pt>
              </c:numCache>
            </c:numRef>
          </c:val>
          <c:extLst>
            <c:ext xmlns:c16="http://schemas.microsoft.com/office/drawing/2014/chart" uri="{C3380CC4-5D6E-409C-BE32-E72D297353CC}">
              <c16:uniqueId val="{00000003-C45F-44F1-9F85-9171950C717E}"/>
            </c:ext>
          </c:extLst>
        </c:ser>
        <c:dLbls>
          <c:showLegendKey val="0"/>
          <c:showVal val="0"/>
          <c:showCatName val="0"/>
          <c:showSerName val="0"/>
          <c:showPercent val="0"/>
          <c:showBubbleSize val="0"/>
        </c:dLbls>
        <c:gapWidth val="90"/>
        <c:axId val="333129984"/>
        <c:axId val="375832576"/>
      </c:barChart>
      <c:lineChart>
        <c:grouping val="standard"/>
        <c:varyColors val="0"/>
        <c:ser>
          <c:idx val="0"/>
          <c:order val="0"/>
          <c:tx>
            <c:strRef>
              <c:f>Sheet1!$B$1</c:f>
              <c:strCache>
                <c:ptCount val="1"/>
                <c:pt idx="0">
                  <c:v>Realiojo darbo užmokesčio indeksas, ankstesnis ketvirtis – 100 procentų</c:v>
                </c:pt>
              </c:strCache>
            </c:strRef>
          </c:tx>
          <c:spPr>
            <a:ln w="22220">
              <a:solidFill>
                <a:srgbClr val="28286E"/>
              </a:solidFill>
              <a:prstDash val="solid"/>
            </a:ln>
          </c:spPr>
          <c:marker>
            <c:symbol val="triangle"/>
            <c:size val="6"/>
            <c:spPr>
              <a:solidFill>
                <a:sysClr val="window" lastClr="FFFFFF"/>
              </a:solidFill>
              <a:ln w="15875">
                <a:solidFill>
                  <a:srgbClr val="28286E"/>
                </a:solidFill>
                <a:prstDash val="solid"/>
              </a:ln>
            </c:spPr>
          </c:marker>
          <c:dLbls>
            <c:numFmt formatCode="#,##0.0" sourceLinked="0"/>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IV
2020</c:v>
                </c:pt>
                <c:pt idx="1">
                  <c:v>I
2021</c:v>
                </c:pt>
                <c:pt idx="2">
                  <c:v>II</c:v>
                </c:pt>
                <c:pt idx="3">
                  <c:v>III </c:v>
                </c:pt>
                <c:pt idx="4">
                  <c:v>IV</c:v>
                </c:pt>
              </c:strCache>
            </c:strRef>
          </c:cat>
          <c:val>
            <c:numRef>
              <c:f>Sheet1!$B$2:$B$6</c:f>
              <c:numCache>
                <c:formatCode>General</c:formatCode>
                <c:ptCount val="5"/>
                <c:pt idx="0">
                  <c:v>104</c:v>
                </c:pt>
                <c:pt idx="1">
                  <c:v>99</c:v>
                </c:pt>
                <c:pt idx="2">
                  <c:v>100.7</c:v>
                </c:pt>
                <c:pt idx="3">
                  <c:v>99.8</c:v>
                </c:pt>
                <c:pt idx="4">
                  <c:v>100.8</c:v>
                </c:pt>
              </c:numCache>
            </c:numRef>
          </c:val>
          <c:smooth val="0"/>
          <c:extLst>
            <c:ext xmlns:c16="http://schemas.microsoft.com/office/drawing/2014/chart" uri="{C3380CC4-5D6E-409C-BE32-E72D297353CC}">
              <c16:uniqueId val="{00000004-C45F-44F1-9F85-9171950C717E}"/>
            </c:ext>
          </c:extLst>
        </c:ser>
        <c:dLbls>
          <c:showLegendKey val="0"/>
          <c:showVal val="0"/>
          <c:showCatName val="0"/>
          <c:showSerName val="0"/>
          <c:showPercent val="0"/>
          <c:showBubbleSize val="0"/>
        </c:dLbls>
        <c:marker val="1"/>
        <c:smooth val="0"/>
        <c:axId val="375834112"/>
        <c:axId val="375835648"/>
      </c:lineChart>
      <c:catAx>
        <c:axId val="333129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lt-LT"/>
          </a:p>
        </c:txPr>
        <c:crossAx val="375832576"/>
        <c:crosses val="autoZero"/>
        <c:auto val="1"/>
        <c:lblAlgn val="ctr"/>
        <c:lblOffset val="100"/>
        <c:tickLblSkip val="1"/>
        <c:tickMarkSkip val="1"/>
        <c:noMultiLvlLbl val="0"/>
      </c:catAx>
      <c:valAx>
        <c:axId val="375832576"/>
        <c:scaling>
          <c:orientation val="minMax"/>
          <c:max val="1800"/>
        </c:scaling>
        <c:delete val="0"/>
        <c:axPos val="l"/>
        <c:numFmt formatCode="#,##0;\–#,##0" sourceLinked="0"/>
        <c:majorTickMark val="out"/>
        <c:minorTickMark val="none"/>
        <c:tickLblPos val="nextTo"/>
        <c:spPr>
          <a:ln w="3175">
            <a:solidFill>
              <a:srgbClr val="000000"/>
            </a:solidFill>
            <a:prstDash val="solid"/>
          </a:ln>
        </c:spPr>
        <c:txPr>
          <a:bodyPr rot="0" vert="horz"/>
          <a:lstStyle/>
          <a:p>
            <a:pPr>
              <a:defRPr sz="800"/>
            </a:pPr>
            <a:endParaRPr lang="lt-LT"/>
          </a:p>
        </c:txPr>
        <c:crossAx val="333129984"/>
        <c:crosses val="autoZero"/>
        <c:crossBetween val="between"/>
        <c:majorUnit val="200"/>
      </c:valAx>
      <c:catAx>
        <c:axId val="375834112"/>
        <c:scaling>
          <c:orientation val="minMax"/>
        </c:scaling>
        <c:delete val="1"/>
        <c:axPos val="b"/>
        <c:numFmt formatCode="General" sourceLinked="1"/>
        <c:majorTickMark val="out"/>
        <c:minorTickMark val="none"/>
        <c:tickLblPos val="nextTo"/>
        <c:crossAx val="375835648"/>
        <c:crosses val="autoZero"/>
        <c:auto val="1"/>
        <c:lblAlgn val="ctr"/>
        <c:lblOffset val="100"/>
        <c:noMultiLvlLbl val="0"/>
      </c:catAx>
      <c:valAx>
        <c:axId val="375835648"/>
        <c:scaling>
          <c:orientation val="minMax"/>
          <c:max val="112"/>
          <c:min val="96"/>
        </c:scaling>
        <c:delete val="0"/>
        <c:axPos val="r"/>
        <c:numFmt formatCode="General" sourceLinked="0"/>
        <c:majorTickMark val="out"/>
        <c:minorTickMark val="none"/>
        <c:tickLblPos val="nextTo"/>
        <c:spPr>
          <a:ln w="3175">
            <a:solidFill>
              <a:srgbClr val="000000"/>
            </a:solidFill>
            <a:prstDash val="solid"/>
          </a:ln>
        </c:spPr>
        <c:txPr>
          <a:bodyPr rot="0" vert="horz"/>
          <a:lstStyle/>
          <a:p>
            <a:pPr>
              <a:defRPr sz="800"/>
            </a:pPr>
            <a:endParaRPr lang="lt-LT"/>
          </a:p>
        </c:txPr>
        <c:crossAx val="375834112"/>
        <c:crosses val="max"/>
        <c:crossBetween val="between"/>
        <c:majorUnit val="2"/>
      </c:valAx>
    </c:plotArea>
    <c:legend>
      <c:legendPos val="b"/>
      <c:layout>
        <c:manualLayout>
          <c:xMode val="edge"/>
          <c:yMode val="edge"/>
          <c:x val="6.2837485377048377E-2"/>
          <c:y val="0.75511072504949839"/>
          <c:w val="0.92061555716871235"/>
          <c:h val="0.22231928888284583"/>
        </c:manualLayout>
      </c:layout>
      <c:overlay val="0"/>
      <c:spPr>
        <a:noFill/>
        <a:ln w="22220">
          <a:noFill/>
        </a:ln>
      </c:spPr>
    </c:legend>
    <c:plotVisOnly val="1"/>
    <c:dispBlanksAs val="gap"/>
    <c:showDLblsOverMax val="0"/>
  </c:chart>
  <c:spPr>
    <a:ln>
      <a:noFill/>
    </a:ln>
  </c:spPr>
  <c:txPr>
    <a:bodyPr/>
    <a:lstStyle/>
    <a:p>
      <a:pPr>
        <a:defRPr sz="900" b="0" i="0" u="none" strike="noStrike" baseline="0">
          <a:solidFill>
            <a:srgbClr val="000000"/>
          </a:solidFill>
          <a:latin typeface="Arial"/>
          <a:ea typeface="Arial"/>
          <a:cs typeface="Arial"/>
        </a:defRPr>
      </a:pPr>
      <a:endParaRPr lang="lt-LT"/>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37633968310767E-2"/>
          <c:y val="3.8288209743874077E-2"/>
          <c:w val="0.94901304722248803"/>
          <c:h val="0.82046476056744155"/>
        </c:manualLayout>
      </c:layout>
      <c:lineChart>
        <c:grouping val="standard"/>
        <c:varyColors val="0"/>
        <c:ser>
          <c:idx val="0"/>
          <c:order val="0"/>
          <c:tx>
            <c:strRef>
              <c:f>Sheet1!$B$1</c:f>
              <c:strCache>
                <c:ptCount val="1"/>
                <c:pt idx="0">
                  <c:v>Šalies ūkis </c:v>
                </c:pt>
              </c:strCache>
            </c:strRef>
          </c:tx>
          <c:spPr>
            <a:ln w="19050">
              <a:solidFill>
                <a:srgbClr val="28286E"/>
              </a:solidFill>
              <a:prstDash val="solid"/>
            </a:ln>
          </c:spPr>
          <c:marker>
            <c:symbol val="square"/>
            <c:size val="4"/>
            <c:spPr>
              <a:solidFill>
                <a:srgbClr val="28286E"/>
              </a:solidFill>
              <a:ln>
                <a:solidFill>
                  <a:sysClr val="window" lastClr="FFFFFF"/>
                </a:solidFill>
                <a:prstDash val="solid"/>
              </a:ln>
            </c:spPr>
          </c:marker>
          <c:dLbls>
            <c:dLbl>
              <c:idx val="0"/>
              <c:layout>
                <c:manualLayout>
                  <c:x val="-2.6580523737118798E-2"/>
                  <c:y val="2.9424152203906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D4-48B7-BEF1-4FF0ED306E55}"/>
                </c:ext>
              </c:extLst>
            </c:dLbl>
            <c:dLbl>
              <c:idx val="1"/>
              <c:layout>
                <c:manualLayout>
                  <c:x val="-2.4620672296944344E-2"/>
                  <c:y val="3.9394183232684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D4-48B7-BEF1-4FF0ED306E55}"/>
                </c:ext>
              </c:extLst>
            </c:dLbl>
            <c:dLbl>
              <c:idx val="2"/>
              <c:layout>
                <c:manualLayout>
                  <c:x val="-2.8540375177293253E-2"/>
                  <c:y val="3.9394183232684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D4-48B7-BEF1-4FF0ED306E55}"/>
                </c:ext>
              </c:extLst>
            </c:dLbl>
            <c:dLbl>
              <c:idx val="3"/>
              <c:layout>
                <c:manualLayout>
                  <c:x val="-5.022157895199799E-3"/>
                  <c:y val="9.484090146351419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D4-48B7-BEF1-4FF0ED306E55}"/>
                </c:ext>
              </c:extLst>
            </c:dLbl>
            <c:dLbl>
              <c:idx val="4"/>
              <c:layout>
                <c:manualLayout>
                  <c:x val="-2.6580523737118798E-2"/>
                  <c:y val="-4.0366064997536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D4-48B7-BEF1-4FF0ED306E55}"/>
                </c:ext>
              </c:extLst>
            </c:dLbl>
            <c:dLbl>
              <c:idx val="5"/>
              <c:layout>
                <c:manualLayout>
                  <c:x val="-4.4219186698688927E-2"/>
                  <c:y val="1.9454121175129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D4-48B7-BEF1-4FF0ED306E55}"/>
                </c:ext>
              </c:extLst>
            </c:dLbl>
            <c:dLbl>
              <c:idx val="6"/>
              <c:layout>
                <c:manualLayout>
                  <c:x val="-2.6580523737118798E-2"/>
                  <c:y val="3.9394183232684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D4-48B7-BEF1-4FF0ED306E55}"/>
                </c:ext>
              </c:extLst>
            </c:dLbl>
            <c:dLbl>
              <c:idx val="7"/>
              <c:layout>
                <c:manualLayout>
                  <c:x val="-3.4420587218917456E-2"/>
                  <c:y val="3.44043877923330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D4-48B7-BEF1-4FF0ED306E55}"/>
                </c:ext>
              </c:extLst>
            </c:dLbl>
            <c:dLbl>
              <c:idx val="8"/>
              <c:layout>
                <c:manualLayout>
                  <c:x val="-2.2660820856769889E-2"/>
                  <c:y val="3.4409167718295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D4-48B7-BEF1-4FF0ED306E55}"/>
                </c:ext>
              </c:extLst>
            </c:dLbl>
            <c:dLbl>
              <c:idx val="9"/>
              <c:layout>
                <c:manualLayout>
                  <c:x val="-5.0539784752757028E-2"/>
                  <c:y val="-2.04260029399815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D4-48B7-BEF1-4FF0ED306E55}"/>
                </c:ext>
              </c:extLst>
            </c:dLbl>
            <c:dLbl>
              <c:idx val="10"/>
              <c:layout>
                <c:manualLayout>
                  <c:x val="-3.0941270351012479E-2"/>
                  <c:y val="-4.5351080511925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D4-48B7-BEF1-4FF0ED306E55}"/>
                </c:ext>
              </c:extLst>
            </c:dLbl>
            <c:dLbl>
              <c:idx val="11"/>
              <c:layout>
                <c:manualLayout>
                  <c:x val="-2.6580523737118798E-2"/>
                  <c:y val="-4.0366064997536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D4-48B7-BEF1-4FF0ED306E55}"/>
                </c:ext>
              </c:extLst>
            </c:dLbl>
            <c:dLbl>
              <c:idx val="12"/>
              <c:layout>
                <c:manualLayout>
                  <c:x val="-2.6580523737118798E-2"/>
                  <c:y val="-4.0366064997536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D4-48B7-BEF1-4FF0ED306E55}"/>
                </c:ext>
              </c:extLst>
            </c:dLbl>
            <c:dLbl>
              <c:idx val="16"/>
              <c:layout>
                <c:manualLayout>
                  <c:x val="-5.022157895199799E-3"/>
                  <c:y val="-2.5411018454370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D4-48B7-BEF1-4FF0ED306E55}"/>
                </c:ext>
              </c:extLst>
            </c:dLbl>
            <c:dLbl>
              <c:idx val="17"/>
              <c:layout>
                <c:manualLayout>
                  <c:x val="-2.6580523737118798E-2"/>
                  <c:y val="3.9394183232684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D4-48B7-BEF1-4FF0ED306E55}"/>
                </c:ext>
              </c:extLst>
            </c:dLbl>
            <c:dLbl>
              <c:idx val="18"/>
              <c:layout>
                <c:manualLayout>
                  <c:x val="-4.4660230432233661E-2"/>
                  <c:y val="-4.5351080511925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D4-48B7-BEF1-4FF0ED306E55}"/>
                </c:ext>
              </c:extLst>
            </c:dLbl>
            <c:numFmt formatCode="#,##0.0" sourceLinked="0"/>
            <c:spPr>
              <a:noFill/>
            </c:spPr>
            <c:txPr>
              <a:bodyPr/>
              <a:lstStyle/>
              <a:p>
                <a:pPr>
                  <a:defRPr baseline="0">
                    <a:solidFill>
                      <a:srgbClr val="28286E"/>
                    </a:solidFill>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Sheet1!$A$2:$A$25</c:f>
              <c:strCache>
                <c:ptCount val="24"/>
                <c:pt idx="0">
                  <c:v>I
2016</c:v>
                </c:pt>
                <c:pt idx="1">
                  <c:v>II</c:v>
                </c:pt>
                <c:pt idx="2">
                  <c:v>III</c:v>
                </c:pt>
                <c:pt idx="3">
                  <c:v>IV</c:v>
                </c:pt>
                <c:pt idx="4">
                  <c:v>I
2017</c:v>
                </c:pt>
                <c:pt idx="5">
                  <c:v>II</c:v>
                </c:pt>
                <c:pt idx="6">
                  <c:v>III</c:v>
                </c:pt>
                <c:pt idx="7">
                  <c:v>IV</c:v>
                </c:pt>
                <c:pt idx="8">
                  <c:v>I
2018</c:v>
                </c:pt>
                <c:pt idx="9">
                  <c:v>II</c:v>
                </c:pt>
                <c:pt idx="10">
                  <c:v>III</c:v>
                </c:pt>
                <c:pt idx="11">
                  <c:v>IV</c:v>
                </c:pt>
                <c:pt idx="12">
                  <c:v>I
2019</c:v>
                </c:pt>
                <c:pt idx="13">
                  <c:v>II</c:v>
                </c:pt>
                <c:pt idx="14">
                  <c:v>III</c:v>
                </c:pt>
                <c:pt idx="15">
                  <c:v>IV</c:v>
                </c:pt>
                <c:pt idx="16">
                  <c:v>I
2020</c:v>
                </c:pt>
                <c:pt idx="17">
                  <c:v>II</c:v>
                </c:pt>
                <c:pt idx="18">
                  <c:v>III</c:v>
                </c:pt>
                <c:pt idx="19">
                  <c:v>IV</c:v>
                </c:pt>
                <c:pt idx="20">
                  <c:v>I
2021</c:v>
                </c:pt>
                <c:pt idx="21">
                  <c:v>II</c:v>
                </c:pt>
                <c:pt idx="22">
                  <c:v>III</c:v>
                </c:pt>
                <c:pt idx="23">
                  <c:v>IV</c:v>
                </c:pt>
              </c:strCache>
            </c:strRef>
          </c:cat>
          <c:val>
            <c:numRef>
              <c:f>Sheet1!$B$2:$B$25</c:f>
              <c:numCache>
                <c:formatCode>General</c:formatCode>
                <c:ptCount val="24"/>
                <c:pt idx="0">
                  <c:v>6.9</c:v>
                </c:pt>
                <c:pt idx="1">
                  <c:v>8.1</c:v>
                </c:pt>
                <c:pt idx="2">
                  <c:v>7.9</c:v>
                </c:pt>
                <c:pt idx="3">
                  <c:v>8.6999999999999993</c:v>
                </c:pt>
                <c:pt idx="4">
                  <c:v>9.3000000000000007</c:v>
                </c:pt>
                <c:pt idx="5">
                  <c:v>8.6999999999999993</c:v>
                </c:pt>
                <c:pt idx="6">
                  <c:v>7.2</c:v>
                </c:pt>
                <c:pt idx="7">
                  <c:v>7.5</c:v>
                </c:pt>
                <c:pt idx="8">
                  <c:v>9.5</c:v>
                </c:pt>
                <c:pt idx="9">
                  <c:v>10.5</c:v>
                </c:pt>
                <c:pt idx="10">
                  <c:v>10</c:v>
                </c:pt>
                <c:pt idx="11">
                  <c:v>9.6999999999999993</c:v>
                </c:pt>
                <c:pt idx="12">
                  <c:v>9.4</c:v>
                </c:pt>
                <c:pt idx="13">
                  <c:v>7.9</c:v>
                </c:pt>
                <c:pt idx="14">
                  <c:v>9.1999999999999993</c:v>
                </c:pt>
                <c:pt idx="15">
                  <c:v>8.6</c:v>
                </c:pt>
                <c:pt idx="16">
                  <c:v>9.4</c:v>
                </c:pt>
                <c:pt idx="17">
                  <c:v>8.5</c:v>
                </c:pt>
                <c:pt idx="18">
                  <c:v>10.4</c:v>
                </c:pt>
                <c:pt idx="19">
                  <c:v>12.2</c:v>
                </c:pt>
                <c:pt idx="20">
                  <c:v>9.9</c:v>
                </c:pt>
                <c:pt idx="21">
                  <c:v>12</c:v>
                </c:pt>
                <c:pt idx="22">
                  <c:v>9.9</c:v>
                </c:pt>
                <c:pt idx="23">
                  <c:v>10.199999999999999</c:v>
                </c:pt>
              </c:numCache>
            </c:numRef>
          </c:val>
          <c:smooth val="0"/>
          <c:extLst>
            <c:ext xmlns:c16="http://schemas.microsoft.com/office/drawing/2014/chart" uri="{C3380CC4-5D6E-409C-BE32-E72D297353CC}">
              <c16:uniqueId val="{00000010-44D4-48B7-BEF1-4FF0ED306E55}"/>
            </c:ext>
          </c:extLst>
        </c:ser>
        <c:ser>
          <c:idx val="1"/>
          <c:order val="1"/>
          <c:tx>
            <c:strRef>
              <c:f>Sheet1!$C$1</c:f>
              <c:strCache>
                <c:ptCount val="1"/>
                <c:pt idx="0">
                  <c:v>Viešasis sektorius</c:v>
                </c:pt>
              </c:strCache>
            </c:strRef>
          </c:tx>
          <c:spPr>
            <a:ln w="19050">
              <a:solidFill>
                <a:srgbClr val="F06482"/>
              </a:solidFill>
              <a:prstDash val="solid"/>
            </a:ln>
          </c:spPr>
          <c:marker>
            <c:symbol val="diamond"/>
            <c:size val="6"/>
            <c:spPr>
              <a:solidFill>
                <a:srgbClr val="F06482"/>
              </a:solidFill>
              <a:ln>
                <a:solidFill>
                  <a:sysClr val="window" lastClr="FFFFFF"/>
                </a:solidFill>
                <a:prstDash val="solid"/>
              </a:ln>
            </c:spPr>
          </c:marker>
          <c:dLbls>
            <c:dLbl>
              <c:idx val="0"/>
              <c:layout>
                <c:manualLayout>
                  <c:x val="-2.6580523737118798E-2"/>
                  <c:y val="4.5351473032832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4D4-48B7-BEF1-4FF0ED306E55}"/>
                </c:ext>
              </c:extLst>
            </c:dLbl>
            <c:dLbl>
              <c:idx val="1"/>
              <c:layout>
                <c:manualLayout>
                  <c:x val="-2.8540375177293253E-2"/>
                  <c:y val="5.03364885472212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4D4-48B7-BEF1-4FF0ED306E55}"/>
                </c:ext>
              </c:extLst>
            </c:dLbl>
            <c:dLbl>
              <c:idx val="2"/>
              <c:layout>
                <c:manualLayout>
                  <c:x val="-2.6580523737118798E-2"/>
                  <c:y val="5.03364885472212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4D4-48B7-BEF1-4FF0ED306E55}"/>
                </c:ext>
              </c:extLst>
            </c:dLbl>
            <c:dLbl>
              <c:idx val="6"/>
              <c:layout>
                <c:manualLayout>
                  <c:x val="-2.8540375177293253E-2"/>
                  <c:y val="4.53514730328323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4D4-48B7-BEF1-4FF0ED306E55}"/>
                </c:ext>
              </c:extLst>
            </c:dLbl>
            <c:dLbl>
              <c:idx val="9"/>
              <c:layout>
                <c:manualLayout>
                  <c:x val="-3.4860973231361392E-2"/>
                  <c:y val="-4.4378806226166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4D4-48B7-BEF1-4FF0ED306E55}"/>
                </c:ext>
              </c:extLst>
            </c:dLbl>
            <c:dLbl>
              <c:idx val="10"/>
              <c:layout>
                <c:manualLayout>
                  <c:x val="-4.0740527551884752E-2"/>
                  <c:y val="-4.93638217405554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4D4-48B7-BEF1-4FF0ED306E55}"/>
                </c:ext>
              </c:extLst>
            </c:dLbl>
            <c:dLbl>
              <c:idx val="11"/>
              <c:layout>
                <c:manualLayout>
                  <c:x val="-5.445948763310586E-2"/>
                  <c:y val="-4.43788062261666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4D4-48B7-BEF1-4FF0ED306E55}"/>
                </c:ext>
              </c:extLst>
            </c:dLbl>
            <c:dLbl>
              <c:idx val="12"/>
              <c:layout>
                <c:manualLayout>
                  <c:x val="-3.0941270351012407E-2"/>
                  <c:y val="-4.9363821740555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4D4-48B7-BEF1-4FF0ED306E55}"/>
                </c:ext>
              </c:extLst>
            </c:dLbl>
            <c:dLbl>
              <c:idx val="13"/>
              <c:layout>
                <c:manualLayout>
                  <c:x val="-1.9182161709965753E-2"/>
                  <c:y val="-7.9273914826888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4D4-48B7-BEF1-4FF0ED306E55}"/>
                </c:ext>
              </c:extLst>
            </c:dLbl>
            <c:dLbl>
              <c:idx val="14"/>
              <c:layout>
                <c:manualLayout>
                  <c:x val="-1.1342755949267935E-2"/>
                  <c:y val="-3.44087751973889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4D4-48B7-BEF1-4FF0ED306E55}"/>
                </c:ext>
              </c:extLst>
            </c:dLbl>
            <c:dLbl>
              <c:idx val="15"/>
              <c:layout>
                <c:manualLayout>
                  <c:x val="-5.4632016287445703E-3"/>
                  <c:y val="-1.9453728654222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4D4-48B7-BEF1-4FF0ED306E55}"/>
                </c:ext>
              </c:extLst>
            </c:dLbl>
            <c:dLbl>
              <c:idx val="16"/>
              <c:layout>
                <c:manualLayout>
                  <c:x val="-2.8540375177293253E-2"/>
                  <c:y val="4.03664575184435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4D4-48B7-BEF1-4FF0ED306E55}"/>
                </c:ext>
              </c:extLst>
            </c:dLbl>
            <c:dLbl>
              <c:idx val="1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4D4-48B7-BEF1-4FF0ED306E55}"/>
                </c:ext>
              </c:extLst>
            </c:dLbl>
            <c:dLbl>
              <c:idx val="18"/>
              <c:layout>
                <c:manualLayout>
                  <c:x val="-4.0740527551884752E-2"/>
                  <c:y val="-5.03360960263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4D4-48B7-BEF1-4FF0ED306E55}"/>
                </c:ext>
              </c:extLst>
            </c:dLbl>
            <c:dLbl>
              <c:idx val="19"/>
              <c:layout>
                <c:manualLayout>
                  <c:x val="-1.072316511995294E-2"/>
                  <c:y val="-5.03360960263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4D4-48B7-BEF1-4FF0ED306E55}"/>
                </c:ext>
              </c:extLst>
            </c:dLbl>
            <c:numFmt formatCode="#,##0.0" sourceLinked="0"/>
            <c:spPr>
              <a:noFill/>
              <a:ln>
                <a:noFill/>
              </a:ln>
              <a:effectLst/>
            </c:spPr>
            <c:txPr>
              <a:bodyPr/>
              <a:lstStyle/>
              <a:p>
                <a:pPr>
                  <a:defRPr baseline="0">
                    <a:solidFill>
                      <a:srgbClr val="F06482"/>
                    </a:solidFill>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Sheet1!$A$2:$A$25</c:f>
              <c:strCache>
                <c:ptCount val="24"/>
                <c:pt idx="0">
                  <c:v>I
2016</c:v>
                </c:pt>
                <c:pt idx="1">
                  <c:v>II</c:v>
                </c:pt>
                <c:pt idx="2">
                  <c:v>III</c:v>
                </c:pt>
                <c:pt idx="3">
                  <c:v>IV</c:v>
                </c:pt>
                <c:pt idx="4">
                  <c:v>I
2017</c:v>
                </c:pt>
                <c:pt idx="5">
                  <c:v>II</c:v>
                </c:pt>
                <c:pt idx="6">
                  <c:v>III</c:v>
                </c:pt>
                <c:pt idx="7">
                  <c:v>IV</c:v>
                </c:pt>
                <c:pt idx="8">
                  <c:v>I
2018</c:v>
                </c:pt>
                <c:pt idx="9">
                  <c:v>II</c:v>
                </c:pt>
                <c:pt idx="10">
                  <c:v>III</c:v>
                </c:pt>
                <c:pt idx="11">
                  <c:v>IV</c:v>
                </c:pt>
                <c:pt idx="12">
                  <c:v>I
2019</c:v>
                </c:pt>
                <c:pt idx="13">
                  <c:v>II</c:v>
                </c:pt>
                <c:pt idx="14">
                  <c:v>III</c:v>
                </c:pt>
                <c:pt idx="15">
                  <c:v>IV</c:v>
                </c:pt>
                <c:pt idx="16">
                  <c:v>I
2020</c:v>
                </c:pt>
                <c:pt idx="17">
                  <c:v>II</c:v>
                </c:pt>
                <c:pt idx="18">
                  <c:v>III</c:v>
                </c:pt>
                <c:pt idx="19">
                  <c:v>IV</c:v>
                </c:pt>
                <c:pt idx="20">
                  <c:v>I
2021</c:v>
                </c:pt>
                <c:pt idx="21">
                  <c:v>II</c:v>
                </c:pt>
                <c:pt idx="22">
                  <c:v>III</c:v>
                </c:pt>
                <c:pt idx="23">
                  <c:v>IV</c:v>
                </c:pt>
              </c:strCache>
            </c:strRef>
          </c:cat>
          <c:val>
            <c:numRef>
              <c:f>Sheet1!$C$2:$C$25</c:f>
              <c:numCache>
                <c:formatCode>General</c:formatCode>
                <c:ptCount val="24"/>
                <c:pt idx="0">
                  <c:v>5.7</c:v>
                </c:pt>
                <c:pt idx="1">
                  <c:v>5.9</c:v>
                </c:pt>
                <c:pt idx="2">
                  <c:v>6.8</c:v>
                </c:pt>
                <c:pt idx="3">
                  <c:v>8.5</c:v>
                </c:pt>
                <c:pt idx="4">
                  <c:v>7.2</c:v>
                </c:pt>
                <c:pt idx="5">
                  <c:v>7.5</c:v>
                </c:pt>
                <c:pt idx="6">
                  <c:v>5.6</c:v>
                </c:pt>
                <c:pt idx="7">
                  <c:v>6.7</c:v>
                </c:pt>
                <c:pt idx="8">
                  <c:v>8.1999999999999993</c:v>
                </c:pt>
                <c:pt idx="9">
                  <c:v>10.8</c:v>
                </c:pt>
                <c:pt idx="10">
                  <c:v>11.3</c:v>
                </c:pt>
                <c:pt idx="11">
                  <c:v>12.5</c:v>
                </c:pt>
                <c:pt idx="12">
                  <c:v>14.3</c:v>
                </c:pt>
                <c:pt idx="13">
                  <c:v>11.4</c:v>
                </c:pt>
                <c:pt idx="14">
                  <c:v>12.2</c:v>
                </c:pt>
                <c:pt idx="15">
                  <c:v>11.3</c:v>
                </c:pt>
                <c:pt idx="16">
                  <c:v>9.1</c:v>
                </c:pt>
                <c:pt idx="17">
                  <c:v>13</c:v>
                </c:pt>
                <c:pt idx="18">
                  <c:v>12.7</c:v>
                </c:pt>
                <c:pt idx="19">
                  <c:v>15.2</c:v>
                </c:pt>
                <c:pt idx="20">
                  <c:v>13.6</c:v>
                </c:pt>
                <c:pt idx="21">
                  <c:v>10.1</c:v>
                </c:pt>
                <c:pt idx="22">
                  <c:v>8.3000000000000007</c:v>
                </c:pt>
                <c:pt idx="23">
                  <c:v>7.7</c:v>
                </c:pt>
              </c:numCache>
            </c:numRef>
          </c:val>
          <c:smooth val="0"/>
          <c:extLst>
            <c:ext xmlns:c16="http://schemas.microsoft.com/office/drawing/2014/chart" uri="{C3380CC4-5D6E-409C-BE32-E72D297353CC}">
              <c16:uniqueId val="{00000020-44D4-48B7-BEF1-4FF0ED306E55}"/>
            </c:ext>
          </c:extLst>
        </c:ser>
        <c:ser>
          <c:idx val="3"/>
          <c:order val="2"/>
          <c:tx>
            <c:strRef>
              <c:f>Sheet1!$D$1</c:f>
              <c:strCache>
                <c:ptCount val="1"/>
                <c:pt idx="0">
                  <c:v>Privatusis sektorius</c:v>
                </c:pt>
              </c:strCache>
            </c:strRef>
          </c:tx>
          <c:spPr>
            <a:ln w="19050">
              <a:solidFill>
                <a:srgbClr val="FABEC3"/>
              </a:solidFill>
              <a:prstDash val="solid"/>
            </a:ln>
          </c:spPr>
          <c:marker>
            <c:symbol val="triangle"/>
            <c:size val="6"/>
            <c:spPr>
              <a:solidFill>
                <a:srgbClr val="FABEC3"/>
              </a:solidFill>
              <a:ln>
                <a:solidFill>
                  <a:sysClr val="window" lastClr="FFFFFF"/>
                </a:solidFill>
                <a:prstDash val="solid"/>
              </a:ln>
            </c:spPr>
          </c:marker>
          <c:dLbls>
            <c:dLbl>
              <c:idx val="1"/>
              <c:layout>
                <c:manualLayout>
                  <c:x val="-2.8540375177293253E-2"/>
                  <c:y val="-5.03360960263145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4D4-48B7-BEF1-4FF0ED306E55}"/>
                </c:ext>
              </c:extLst>
            </c:dLbl>
            <c:dLbl>
              <c:idx val="2"/>
              <c:layout>
                <c:manualLayout>
                  <c:x val="-2.8540375177293253E-2"/>
                  <c:y val="-5.03360960263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4D4-48B7-BEF1-4FF0ED306E55}"/>
                </c:ext>
              </c:extLst>
            </c:dLbl>
            <c:dLbl>
              <c:idx val="3"/>
              <c:layout>
                <c:manualLayout>
                  <c:x val="-2.8540375177293253E-2"/>
                  <c:y val="-4.5351080511925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4D4-48B7-BEF1-4FF0ED306E55}"/>
                </c:ext>
              </c:extLst>
            </c:dLbl>
            <c:dLbl>
              <c:idx val="4"/>
              <c:layout>
                <c:manualLayout>
                  <c:x val="-3.2901121791186934E-2"/>
                  <c:y val="-4.0366064997536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D4-48B7-BEF1-4FF0ED306E55}"/>
                </c:ext>
              </c:extLst>
            </c:dLbl>
            <c:dLbl>
              <c:idx val="5"/>
              <c:layout>
                <c:manualLayout>
                  <c:x val="-2.8540375177293291E-2"/>
                  <c:y val="-5.03360960263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4D4-48B7-BEF1-4FF0ED306E55}"/>
                </c:ext>
              </c:extLst>
            </c:dLbl>
            <c:dLbl>
              <c:idx val="6"/>
              <c:layout>
                <c:manualLayout>
                  <c:x val="-2.8540375177293253E-2"/>
                  <c:y val="-5.5321111540703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D4-48B7-BEF1-4FF0ED306E55}"/>
                </c:ext>
              </c:extLst>
            </c:dLbl>
            <c:dLbl>
              <c:idx val="8"/>
              <c:layout>
                <c:manualLayout>
                  <c:x val="-5.4459487633105937E-2"/>
                  <c:y val="-4.0366064997536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D4-48B7-BEF1-4FF0ED306E55}"/>
                </c:ext>
              </c:extLst>
            </c:dLbl>
            <c:dLbl>
              <c:idx val="9"/>
              <c:layout>
                <c:manualLayout>
                  <c:x val="-3.0941270351012479E-2"/>
                  <c:y val="4.9364214261462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4D4-48B7-BEF1-4FF0ED306E55}"/>
                </c:ext>
              </c:extLst>
            </c:dLbl>
            <c:dLbl>
              <c:idx val="10"/>
              <c:layout>
                <c:manualLayout>
                  <c:x val="-3.6379780937990998E-2"/>
                  <c:y val="3.9394183232684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4D4-48B7-BEF1-4FF0ED306E55}"/>
                </c:ext>
              </c:extLst>
            </c:dLbl>
            <c:dLbl>
              <c:idx val="11"/>
              <c:layout>
                <c:manualLayout>
                  <c:x val="-3.8339632378165525E-2"/>
                  <c:y val="4.43791987470732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4D4-48B7-BEF1-4FF0ED306E55}"/>
                </c:ext>
              </c:extLst>
            </c:dLbl>
            <c:dLbl>
              <c:idx val="12"/>
              <c:layout>
                <c:manualLayout>
                  <c:x val="-3.6379780937991074E-2"/>
                  <c:y val="3.4409167718295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4D4-48B7-BEF1-4FF0ED306E55}"/>
                </c:ext>
              </c:extLst>
            </c:dLbl>
            <c:dLbl>
              <c:idx val="13"/>
              <c:layout>
                <c:manualLayout>
                  <c:x val="-3.0500226617467707E-2"/>
                  <c:y val="4.43791987470732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44D4-48B7-BEF1-4FF0ED306E55}"/>
                </c:ext>
              </c:extLst>
            </c:dLbl>
            <c:dLbl>
              <c:idx val="14"/>
              <c:layout>
                <c:manualLayout>
                  <c:x val="-2.8540375177293253E-2"/>
                  <c:y val="4.9364214261462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4D4-48B7-BEF1-4FF0ED306E55}"/>
                </c:ext>
              </c:extLst>
            </c:dLbl>
            <c:dLbl>
              <c:idx val="15"/>
              <c:layout>
                <c:manualLayout>
                  <c:x val="-2.8540375177293253E-2"/>
                  <c:y val="4.4379198747073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44D4-48B7-BEF1-4FF0ED306E55}"/>
                </c:ext>
              </c:extLst>
            </c:dLbl>
            <c:dLbl>
              <c:idx val="16"/>
              <c:layout>
                <c:manualLayout>
                  <c:x val="-3.0500226617467707E-2"/>
                  <c:y val="-5.03360960263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4D4-48B7-BEF1-4FF0ED306E55}"/>
                </c:ext>
              </c:extLst>
            </c:dLbl>
            <c:dLbl>
              <c:idx val="17"/>
              <c:layout>
                <c:manualLayout>
                  <c:x val="-2.8540375177293253E-2"/>
                  <c:y val="4.43791987470733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44D4-48B7-BEF1-4FF0ED306E55}"/>
                </c:ext>
              </c:extLst>
            </c:dLbl>
            <c:dLbl>
              <c:idx val="18"/>
              <c:layout>
                <c:manualLayout>
                  <c:x val="-1.4821415096072071E-2"/>
                  <c:y val="3.4409167718295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4D4-48B7-BEF1-4FF0ED306E55}"/>
                </c:ext>
              </c:extLst>
            </c:dLbl>
            <c:dLbl>
              <c:idx val="19"/>
              <c:layout>
                <c:manualLayout>
                  <c:x val="-2.0522422320825212E-2"/>
                  <c:y val="-4.0366064997536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44D4-48B7-BEF1-4FF0ED306E55}"/>
                </c:ext>
              </c:extLst>
            </c:dLbl>
            <c:dLbl>
              <c:idx val="2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44D4-48B7-BEF1-4FF0ED306E55}"/>
                </c:ext>
              </c:extLst>
            </c:dLbl>
            <c:dLbl>
              <c:idx val="22"/>
              <c:layout>
                <c:manualLayout>
                  <c:x val="-1.9743336623889583E-2"/>
                  <c:y val="-5.02178510376115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44D4-48B7-BEF1-4FF0ED306E55}"/>
                </c:ext>
              </c:extLst>
            </c:dLbl>
            <c:numFmt formatCode="#,##0.0" sourceLinked="0"/>
            <c:spPr>
              <a:noFill/>
              <a:ln>
                <a:noFill/>
              </a:ln>
              <a:effectLst/>
            </c:spPr>
            <c:txPr>
              <a:bodyPr/>
              <a:lstStyle/>
              <a:p>
                <a:pPr>
                  <a:defRPr baseline="0">
                    <a:solidFill>
                      <a:srgbClr val="FABEC3"/>
                    </a:solidFill>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Sheet1!$A$2:$A$25</c:f>
              <c:strCache>
                <c:ptCount val="24"/>
                <c:pt idx="0">
                  <c:v>I
2016</c:v>
                </c:pt>
                <c:pt idx="1">
                  <c:v>II</c:v>
                </c:pt>
                <c:pt idx="2">
                  <c:v>III</c:v>
                </c:pt>
                <c:pt idx="3">
                  <c:v>IV</c:v>
                </c:pt>
                <c:pt idx="4">
                  <c:v>I
2017</c:v>
                </c:pt>
                <c:pt idx="5">
                  <c:v>II</c:v>
                </c:pt>
                <c:pt idx="6">
                  <c:v>III</c:v>
                </c:pt>
                <c:pt idx="7">
                  <c:v>IV</c:v>
                </c:pt>
                <c:pt idx="8">
                  <c:v>I
2018</c:v>
                </c:pt>
                <c:pt idx="9">
                  <c:v>II</c:v>
                </c:pt>
                <c:pt idx="10">
                  <c:v>III</c:v>
                </c:pt>
                <c:pt idx="11">
                  <c:v>IV</c:v>
                </c:pt>
                <c:pt idx="12">
                  <c:v>I
2019</c:v>
                </c:pt>
                <c:pt idx="13">
                  <c:v>II</c:v>
                </c:pt>
                <c:pt idx="14">
                  <c:v>III</c:v>
                </c:pt>
                <c:pt idx="15">
                  <c:v>IV</c:v>
                </c:pt>
                <c:pt idx="16">
                  <c:v>I
2020</c:v>
                </c:pt>
                <c:pt idx="17">
                  <c:v>II</c:v>
                </c:pt>
                <c:pt idx="18">
                  <c:v>III</c:v>
                </c:pt>
                <c:pt idx="19">
                  <c:v>IV</c:v>
                </c:pt>
                <c:pt idx="20">
                  <c:v>I
2021</c:v>
                </c:pt>
                <c:pt idx="21">
                  <c:v>II</c:v>
                </c:pt>
                <c:pt idx="22">
                  <c:v>III</c:v>
                </c:pt>
                <c:pt idx="23">
                  <c:v>IV</c:v>
                </c:pt>
              </c:strCache>
            </c:strRef>
          </c:cat>
          <c:val>
            <c:numRef>
              <c:f>Sheet1!$D$2:$D$25</c:f>
              <c:numCache>
                <c:formatCode>General</c:formatCode>
                <c:ptCount val="24"/>
                <c:pt idx="0">
                  <c:v>7.6</c:v>
                </c:pt>
                <c:pt idx="1">
                  <c:v>9.4</c:v>
                </c:pt>
                <c:pt idx="2">
                  <c:v>8.6</c:v>
                </c:pt>
                <c:pt idx="3">
                  <c:v>8.9</c:v>
                </c:pt>
                <c:pt idx="4">
                  <c:v>10.4</c:v>
                </c:pt>
                <c:pt idx="5">
                  <c:v>9.3000000000000007</c:v>
                </c:pt>
                <c:pt idx="6">
                  <c:v>8.1</c:v>
                </c:pt>
                <c:pt idx="7" formatCode="#,#00">
                  <c:v>8</c:v>
                </c:pt>
                <c:pt idx="8">
                  <c:v>10.1</c:v>
                </c:pt>
                <c:pt idx="9">
                  <c:v>10.4</c:v>
                </c:pt>
                <c:pt idx="10">
                  <c:v>9.3000000000000007</c:v>
                </c:pt>
                <c:pt idx="11">
                  <c:v>8.3000000000000007</c:v>
                </c:pt>
                <c:pt idx="12">
                  <c:v>7.2</c:v>
                </c:pt>
                <c:pt idx="13">
                  <c:v>6.3</c:v>
                </c:pt>
                <c:pt idx="14">
                  <c:v>8</c:v>
                </c:pt>
                <c:pt idx="15">
                  <c:v>7.4</c:v>
                </c:pt>
                <c:pt idx="16">
                  <c:v>9.5</c:v>
                </c:pt>
                <c:pt idx="17">
                  <c:v>6.1</c:v>
                </c:pt>
                <c:pt idx="18">
                  <c:v>9.3000000000000007</c:v>
                </c:pt>
                <c:pt idx="19">
                  <c:v>10.6</c:v>
                </c:pt>
                <c:pt idx="20">
                  <c:v>8.1</c:v>
                </c:pt>
                <c:pt idx="21">
                  <c:v>13.3</c:v>
                </c:pt>
                <c:pt idx="22">
                  <c:v>10.7</c:v>
                </c:pt>
                <c:pt idx="23">
                  <c:v>11.7</c:v>
                </c:pt>
              </c:numCache>
            </c:numRef>
          </c:val>
          <c:smooth val="0"/>
          <c:extLst>
            <c:ext xmlns:c16="http://schemas.microsoft.com/office/drawing/2014/chart" uri="{C3380CC4-5D6E-409C-BE32-E72D297353CC}">
              <c16:uniqueId val="{00000035-44D4-48B7-BEF1-4FF0ED306E55}"/>
            </c:ext>
          </c:extLst>
        </c:ser>
        <c:dLbls>
          <c:showLegendKey val="0"/>
          <c:showVal val="0"/>
          <c:showCatName val="0"/>
          <c:showSerName val="0"/>
          <c:showPercent val="0"/>
          <c:showBubbleSize val="0"/>
        </c:dLbls>
        <c:marker val="1"/>
        <c:smooth val="0"/>
        <c:axId val="375972608"/>
        <c:axId val="375974144"/>
      </c:lineChart>
      <c:catAx>
        <c:axId val="3759726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lt-LT"/>
          </a:p>
        </c:txPr>
        <c:crossAx val="375974144"/>
        <c:crosses val="autoZero"/>
        <c:auto val="1"/>
        <c:lblAlgn val="ctr"/>
        <c:lblOffset val="100"/>
        <c:tickLblSkip val="1"/>
        <c:tickMarkSkip val="1"/>
        <c:noMultiLvlLbl val="0"/>
      </c:catAx>
      <c:valAx>
        <c:axId val="375974144"/>
        <c:scaling>
          <c:orientation val="minMax"/>
          <c:max val="16"/>
          <c:min val="4"/>
        </c:scaling>
        <c:delete val="0"/>
        <c:axPos val="l"/>
        <c:numFmt formatCode="#,##0;\–#,##0" sourceLinked="0"/>
        <c:majorTickMark val="out"/>
        <c:minorTickMark val="none"/>
        <c:tickLblPos val="nextTo"/>
        <c:spPr>
          <a:ln w="3175">
            <a:solidFill>
              <a:srgbClr val="000000"/>
            </a:solidFill>
            <a:prstDash val="solid"/>
          </a:ln>
        </c:spPr>
        <c:txPr>
          <a:bodyPr rot="0" vert="horz"/>
          <a:lstStyle/>
          <a:p>
            <a:pPr>
              <a:defRPr/>
            </a:pPr>
            <a:endParaRPr lang="lt-LT"/>
          </a:p>
        </c:txPr>
        <c:crossAx val="375972608"/>
        <c:crosses val="autoZero"/>
        <c:crossBetween val="between"/>
        <c:majorUnit val="2"/>
      </c:valAx>
      <c:spPr>
        <a:noFill/>
        <a:ln w="21892">
          <a:noFill/>
        </a:ln>
      </c:spPr>
    </c:plotArea>
    <c:legend>
      <c:legendPos val="b"/>
      <c:layout>
        <c:manualLayout>
          <c:xMode val="edge"/>
          <c:yMode val="edge"/>
          <c:x val="4.4493742749240985E-2"/>
          <c:y val="2.982827819168344E-2"/>
          <c:w val="0.30059271098166029"/>
          <c:h val="0.24379318056095012"/>
        </c:manualLayout>
      </c:layout>
      <c:overlay val="0"/>
      <c:spPr>
        <a:noFill/>
        <a:ln w="21887">
          <a:noFill/>
        </a:ln>
      </c:spPr>
      <c:txPr>
        <a:bodyPr/>
        <a:lstStyle/>
        <a:p>
          <a:pPr>
            <a:defRPr sz="900"/>
          </a:pPr>
          <a:endParaRPr lang="lt-LT"/>
        </a:p>
      </c:txPr>
    </c:legend>
    <c:plotVisOnly val="1"/>
    <c:dispBlanksAs val="gap"/>
    <c:showDLblsOverMax val="0"/>
  </c:chart>
  <c:spPr>
    <a:noFill/>
    <a:ln>
      <a:noFill/>
    </a:ln>
  </c:spPr>
  <c:txPr>
    <a:bodyPr/>
    <a:lstStyle/>
    <a:p>
      <a:pPr>
        <a:defRPr sz="800" b="0" i="0" u="none" strike="noStrike" baseline="0">
          <a:solidFill>
            <a:srgbClr val="000000"/>
          </a:solidFill>
          <a:latin typeface="Arial"/>
          <a:ea typeface="Arial"/>
          <a:cs typeface="Arial"/>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035826617321603E-2"/>
          <c:y val="1.8586468721297759E-2"/>
          <c:w val="0.93926358969926882"/>
          <c:h val="0.67108431597946894"/>
        </c:manualLayout>
      </c:layout>
      <c:barChart>
        <c:barDir val="col"/>
        <c:grouping val="clustered"/>
        <c:varyColors val="0"/>
        <c:ser>
          <c:idx val="0"/>
          <c:order val="0"/>
          <c:tx>
            <c:strRef>
              <c:f>Sheet1!$B$1</c:f>
              <c:strCache>
                <c:ptCount val="1"/>
                <c:pt idx="0">
                  <c:v>2020 m. IV ketv.</c:v>
                </c:pt>
              </c:strCache>
            </c:strRef>
          </c:tx>
          <c:spPr>
            <a:solidFill>
              <a:srgbClr val="FABEC3"/>
            </a:solidFill>
            <a:ln>
              <a:solidFill>
                <a:schemeClr val="bg1"/>
              </a:solidFill>
            </a:ln>
          </c:spPr>
          <c:invertIfNegative val="0"/>
          <c:dLbls>
            <c:numFmt formatCode="#,#00" sourceLinked="0"/>
            <c:spPr>
              <a:noFill/>
              <a:ln>
                <a:noFill/>
              </a:ln>
              <a:effectLst/>
            </c:spPr>
            <c:txPr>
              <a:bodyPr rot="-5400000" vert="horz"/>
              <a:lstStyle/>
              <a:p>
                <a:pPr>
                  <a:defRPr sz="800" b="0" baseline="0"/>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J</c:v>
                </c:pt>
                <c:pt idx="1">
                  <c:v>K</c:v>
                </c:pt>
                <c:pt idx="2">
                  <c:v>M</c:v>
                </c:pt>
                <c:pt idx="3">
                  <c:v>Q </c:v>
                </c:pt>
                <c:pt idx="4">
                  <c:v>O </c:v>
                </c:pt>
                <c:pt idx="5">
                  <c:v>D</c:v>
                </c:pt>
                <c:pt idx="6">
                  <c:v>B </c:v>
                </c:pt>
                <c:pt idx="7">
                  <c:v>C </c:v>
                </c:pt>
                <c:pt idx="8">
                  <c:v>P </c:v>
                </c:pt>
                <c:pt idx="9">
                  <c:v>G </c:v>
                </c:pt>
                <c:pt idx="10">
                  <c:v>E </c:v>
                </c:pt>
                <c:pt idx="11">
                  <c:v>F </c:v>
                </c:pt>
                <c:pt idx="12">
                  <c:v>L </c:v>
                </c:pt>
                <c:pt idx="13">
                  <c:v>H</c:v>
                </c:pt>
                <c:pt idx="14">
                  <c:v>A </c:v>
                </c:pt>
                <c:pt idx="15">
                  <c:v>S </c:v>
                </c:pt>
                <c:pt idx="16">
                  <c:v>R</c:v>
                </c:pt>
                <c:pt idx="17">
                  <c:v>N</c:v>
                </c:pt>
                <c:pt idx="18">
                  <c:v>I</c:v>
                </c:pt>
              </c:strCache>
            </c:strRef>
          </c:cat>
          <c:val>
            <c:numRef>
              <c:f>Sheet1!$B$2:$B$20</c:f>
              <c:numCache>
                <c:formatCode>General</c:formatCode>
                <c:ptCount val="19"/>
                <c:pt idx="0">
                  <c:v>2674.9</c:v>
                </c:pt>
                <c:pt idx="1">
                  <c:v>2431.6999999999998</c:v>
                </c:pt>
                <c:pt idx="2">
                  <c:v>1886.6</c:v>
                </c:pt>
                <c:pt idx="3">
                  <c:v>1829.2</c:v>
                </c:pt>
                <c:pt idx="4">
                  <c:v>1853.2</c:v>
                </c:pt>
                <c:pt idx="5">
                  <c:v>1772.9</c:v>
                </c:pt>
                <c:pt idx="6">
                  <c:v>1751.9</c:v>
                </c:pt>
                <c:pt idx="7">
                  <c:v>1485.5</c:v>
                </c:pt>
                <c:pt idx="8">
                  <c:v>1531.9</c:v>
                </c:pt>
                <c:pt idx="9">
                  <c:v>1360.4</c:v>
                </c:pt>
                <c:pt idx="10">
                  <c:v>1390.2</c:v>
                </c:pt>
                <c:pt idx="11">
                  <c:v>1311.8</c:v>
                </c:pt>
                <c:pt idx="12">
                  <c:v>1294.9000000000001</c:v>
                </c:pt>
                <c:pt idx="13">
                  <c:v>1338.6</c:v>
                </c:pt>
                <c:pt idx="14">
                  <c:v>1228</c:v>
                </c:pt>
                <c:pt idx="15">
                  <c:v>1220.7</c:v>
                </c:pt>
                <c:pt idx="16">
                  <c:v>1205.5</c:v>
                </c:pt>
                <c:pt idx="17">
                  <c:v>1212.0999999999999</c:v>
                </c:pt>
                <c:pt idx="18">
                  <c:v>878.8</c:v>
                </c:pt>
              </c:numCache>
            </c:numRef>
          </c:val>
          <c:extLst>
            <c:ext xmlns:c16="http://schemas.microsoft.com/office/drawing/2014/chart" uri="{C3380CC4-5D6E-409C-BE32-E72D297353CC}">
              <c16:uniqueId val="{00000000-C3DA-4416-8EEB-C10035370F49}"/>
            </c:ext>
          </c:extLst>
        </c:ser>
        <c:ser>
          <c:idx val="1"/>
          <c:order val="1"/>
          <c:tx>
            <c:strRef>
              <c:f>Sheet1!$C$1</c:f>
              <c:strCache>
                <c:ptCount val="1"/>
                <c:pt idx="0">
                  <c:v>2021 m. IV ketv.</c:v>
                </c:pt>
              </c:strCache>
            </c:strRef>
          </c:tx>
          <c:spPr>
            <a:solidFill>
              <a:srgbClr val="F06482"/>
            </a:solidFill>
            <a:ln>
              <a:solidFill>
                <a:schemeClr val="bg1"/>
              </a:solidFill>
            </a:ln>
          </c:spPr>
          <c:invertIfNegative val="0"/>
          <c:dLbls>
            <c:numFmt formatCode="#,#00" sourceLinked="0"/>
            <c:spPr>
              <a:noFill/>
              <a:ln>
                <a:noFill/>
              </a:ln>
              <a:effectLst/>
            </c:spPr>
            <c:txPr>
              <a:bodyPr rot="-5400000" vert="horz"/>
              <a:lstStyle/>
              <a:p>
                <a:pPr>
                  <a:defRPr sz="800" b="0" baseline="0"/>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J</c:v>
                </c:pt>
                <c:pt idx="1">
                  <c:v>K</c:v>
                </c:pt>
                <c:pt idx="2">
                  <c:v>M</c:v>
                </c:pt>
                <c:pt idx="3">
                  <c:v>Q </c:v>
                </c:pt>
                <c:pt idx="4">
                  <c:v>O </c:v>
                </c:pt>
                <c:pt idx="5">
                  <c:v>D</c:v>
                </c:pt>
                <c:pt idx="6">
                  <c:v>B </c:v>
                </c:pt>
                <c:pt idx="7">
                  <c:v>C </c:v>
                </c:pt>
                <c:pt idx="8">
                  <c:v>P </c:v>
                </c:pt>
                <c:pt idx="9">
                  <c:v>G </c:v>
                </c:pt>
                <c:pt idx="10">
                  <c:v>E </c:v>
                </c:pt>
                <c:pt idx="11">
                  <c:v>F </c:v>
                </c:pt>
                <c:pt idx="12">
                  <c:v>L </c:v>
                </c:pt>
                <c:pt idx="13">
                  <c:v>H</c:v>
                </c:pt>
                <c:pt idx="14">
                  <c:v>A </c:v>
                </c:pt>
                <c:pt idx="15">
                  <c:v>S </c:v>
                </c:pt>
                <c:pt idx="16">
                  <c:v>R</c:v>
                </c:pt>
                <c:pt idx="17">
                  <c:v>N</c:v>
                </c:pt>
                <c:pt idx="18">
                  <c:v>I</c:v>
                </c:pt>
              </c:strCache>
            </c:strRef>
          </c:cat>
          <c:val>
            <c:numRef>
              <c:f>Sheet1!$C$2:$C$20</c:f>
              <c:numCache>
                <c:formatCode>#,#00</c:formatCode>
                <c:ptCount val="19"/>
                <c:pt idx="0">
                  <c:v>3012.3617211999999</c:v>
                </c:pt>
                <c:pt idx="1">
                  <c:v>2697.9409491000001</c:v>
                </c:pt>
                <c:pt idx="2">
                  <c:v>2073.2706171</c:v>
                </c:pt>
                <c:pt idx="3">
                  <c:v>2037.3585631000001</c:v>
                </c:pt>
                <c:pt idx="4">
                  <c:v>1974.7682189</c:v>
                </c:pt>
                <c:pt idx="5">
                  <c:v>1882.0430341000001</c:v>
                </c:pt>
                <c:pt idx="6">
                  <c:v>1867.6138281000001</c:v>
                </c:pt>
                <c:pt idx="7">
                  <c:v>1640.1306285999999</c:v>
                </c:pt>
                <c:pt idx="8">
                  <c:v>1636.7702641000001</c:v>
                </c:pt>
                <c:pt idx="9">
                  <c:v>1551.6772217</c:v>
                </c:pt>
                <c:pt idx="10">
                  <c:v>1505.3944915</c:v>
                </c:pt>
                <c:pt idx="11">
                  <c:v>1439.8326930000001</c:v>
                </c:pt>
                <c:pt idx="12">
                  <c:v>1429.96262</c:v>
                </c:pt>
                <c:pt idx="13">
                  <c:v>1414.0025866999999</c:v>
                </c:pt>
                <c:pt idx="14">
                  <c:v>1387.0252178999999</c:v>
                </c:pt>
                <c:pt idx="15">
                  <c:v>1359.4638502</c:v>
                </c:pt>
                <c:pt idx="16">
                  <c:v>1356.7676978</c:v>
                </c:pt>
                <c:pt idx="17">
                  <c:v>1317.467236</c:v>
                </c:pt>
                <c:pt idx="18">
                  <c:v>1108.3201773999999</c:v>
                </c:pt>
              </c:numCache>
            </c:numRef>
          </c:val>
          <c:extLst>
            <c:ext xmlns:c16="http://schemas.microsoft.com/office/drawing/2014/chart" uri="{C3380CC4-5D6E-409C-BE32-E72D297353CC}">
              <c16:uniqueId val="{00000001-C3DA-4416-8EEB-C10035370F49}"/>
            </c:ext>
          </c:extLst>
        </c:ser>
        <c:dLbls>
          <c:showLegendKey val="0"/>
          <c:showVal val="0"/>
          <c:showCatName val="0"/>
          <c:showSerName val="0"/>
          <c:showPercent val="0"/>
          <c:showBubbleSize val="0"/>
        </c:dLbls>
        <c:gapWidth val="20"/>
        <c:axId val="376272768"/>
        <c:axId val="376274304"/>
      </c:barChart>
      <c:lineChart>
        <c:grouping val="standard"/>
        <c:varyColors val="0"/>
        <c:ser>
          <c:idx val="2"/>
          <c:order val="2"/>
          <c:tx>
            <c:strRef>
              <c:f>Sheet1!$D$1</c:f>
              <c:strCache>
                <c:ptCount val="1"/>
                <c:pt idx="0">
                  <c:v> Bruto darbo užmokestis šalies ūkyje 2020 m. IV ketv. – 1 524,2 EUR</c:v>
                </c:pt>
              </c:strCache>
            </c:strRef>
          </c:tx>
          <c:spPr>
            <a:ln w="12700">
              <a:solidFill>
                <a:srgbClr val="28286E"/>
              </a:solidFill>
              <a:prstDash val="solid"/>
            </a:ln>
          </c:spPr>
          <c:marker>
            <c:symbol val="none"/>
          </c:marker>
          <c:cat>
            <c:strRef>
              <c:f>Sheet1!$A$2:$A$20</c:f>
              <c:strCache>
                <c:ptCount val="19"/>
                <c:pt idx="0">
                  <c:v>J</c:v>
                </c:pt>
                <c:pt idx="1">
                  <c:v>K</c:v>
                </c:pt>
                <c:pt idx="2">
                  <c:v>M</c:v>
                </c:pt>
                <c:pt idx="3">
                  <c:v>Q </c:v>
                </c:pt>
                <c:pt idx="4">
                  <c:v>O </c:v>
                </c:pt>
                <c:pt idx="5">
                  <c:v>D</c:v>
                </c:pt>
                <c:pt idx="6">
                  <c:v>B </c:v>
                </c:pt>
                <c:pt idx="7">
                  <c:v>C </c:v>
                </c:pt>
                <c:pt idx="8">
                  <c:v>P </c:v>
                </c:pt>
                <c:pt idx="9">
                  <c:v>G </c:v>
                </c:pt>
                <c:pt idx="10">
                  <c:v>E </c:v>
                </c:pt>
                <c:pt idx="11">
                  <c:v>F </c:v>
                </c:pt>
                <c:pt idx="12">
                  <c:v>L </c:v>
                </c:pt>
                <c:pt idx="13">
                  <c:v>H</c:v>
                </c:pt>
                <c:pt idx="14">
                  <c:v>A </c:v>
                </c:pt>
                <c:pt idx="15">
                  <c:v>S </c:v>
                </c:pt>
                <c:pt idx="16">
                  <c:v>R</c:v>
                </c:pt>
                <c:pt idx="17">
                  <c:v>N</c:v>
                </c:pt>
                <c:pt idx="18">
                  <c:v>I</c:v>
                </c:pt>
              </c:strCache>
            </c:strRef>
          </c:cat>
          <c:val>
            <c:numRef>
              <c:f>Sheet1!$D$2:$D$20</c:f>
              <c:numCache>
                <c:formatCode>General</c:formatCode>
                <c:ptCount val="19"/>
                <c:pt idx="0">
                  <c:v>1524.2</c:v>
                </c:pt>
                <c:pt idx="1">
                  <c:v>1524.2</c:v>
                </c:pt>
                <c:pt idx="2">
                  <c:v>1524.2</c:v>
                </c:pt>
                <c:pt idx="3">
                  <c:v>1524.2</c:v>
                </c:pt>
                <c:pt idx="4">
                  <c:v>1524.2</c:v>
                </c:pt>
                <c:pt idx="5">
                  <c:v>1524.2</c:v>
                </c:pt>
                <c:pt idx="6">
                  <c:v>1524.2</c:v>
                </c:pt>
                <c:pt idx="7">
                  <c:v>1524.2</c:v>
                </c:pt>
                <c:pt idx="8">
                  <c:v>1524.2</c:v>
                </c:pt>
                <c:pt idx="9">
                  <c:v>1524.2</c:v>
                </c:pt>
                <c:pt idx="10">
                  <c:v>1524.2</c:v>
                </c:pt>
                <c:pt idx="11">
                  <c:v>1524.2</c:v>
                </c:pt>
                <c:pt idx="12">
                  <c:v>1524.2</c:v>
                </c:pt>
                <c:pt idx="13">
                  <c:v>1524.2</c:v>
                </c:pt>
                <c:pt idx="14">
                  <c:v>1524.2</c:v>
                </c:pt>
                <c:pt idx="15">
                  <c:v>1524.2</c:v>
                </c:pt>
                <c:pt idx="16">
                  <c:v>1524.2</c:v>
                </c:pt>
                <c:pt idx="17">
                  <c:v>1524.2</c:v>
                </c:pt>
                <c:pt idx="18">
                  <c:v>1524.2</c:v>
                </c:pt>
              </c:numCache>
            </c:numRef>
          </c:val>
          <c:smooth val="0"/>
          <c:extLst>
            <c:ext xmlns:c16="http://schemas.microsoft.com/office/drawing/2014/chart" uri="{C3380CC4-5D6E-409C-BE32-E72D297353CC}">
              <c16:uniqueId val="{00000002-C3DA-4416-8EEB-C10035370F49}"/>
            </c:ext>
          </c:extLst>
        </c:ser>
        <c:ser>
          <c:idx val="3"/>
          <c:order val="3"/>
          <c:tx>
            <c:strRef>
              <c:f>Sheet1!$E$1</c:f>
              <c:strCache>
                <c:ptCount val="1"/>
                <c:pt idx="0">
                  <c:v> Bruto darbo užmokestis šalies ūkyje 2021 m. IV ketv. – 1 679,3 EUR</c:v>
                </c:pt>
              </c:strCache>
            </c:strRef>
          </c:tx>
          <c:spPr>
            <a:ln w="25400">
              <a:solidFill>
                <a:srgbClr val="788CC8"/>
              </a:solidFill>
            </a:ln>
          </c:spPr>
          <c:marker>
            <c:symbol val="none"/>
          </c:marker>
          <c:cat>
            <c:strRef>
              <c:f>Sheet1!$A$2:$A$20</c:f>
              <c:strCache>
                <c:ptCount val="19"/>
                <c:pt idx="0">
                  <c:v>J</c:v>
                </c:pt>
                <c:pt idx="1">
                  <c:v>K</c:v>
                </c:pt>
                <c:pt idx="2">
                  <c:v>M</c:v>
                </c:pt>
                <c:pt idx="3">
                  <c:v>Q </c:v>
                </c:pt>
                <c:pt idx="4">
                  <c:v>O </c:v>
                </c:pt>
                <c:pt idx="5">
                  <c:v>D</c:v>
                </c:pt>
                <c:pt idx="6">
                  <c:v>B </c:v>
                </c:pt>
                <c:pt idx="7">
                  <c:v>C </c:v>
                </c:pt>
                <c:pt idx="8">
                  <c:v>P </c:v>
                </c:pt>
                <c:pt idx="9">
                  <c:v>G </c:v>
                </c:pt>
                <c:pt idx="10">
                  <c:v>E </c:v>
                </c:pt>
                <c:pt idx="11">
                  <c:v>F </c:v>
                </c:pt>
                <c:pt idx="12">
                  <c:v>L </c:v>
                </c:pt>
                <c:pt idx="13">
                  <c:v>H</c:v>
                </c:pt>
                <c:pt idx="14">
                  <c:v>A </c:v>
                </c:pt>
                <c:pt idx="15">
                  <c:v>S </c:v>
                </c:pt>
                <c:pt idx="16">
                  <c:v>R</c:v>
                </c:pt>
                <c:pt idx="17">
                  <c:v>N</c:v>
                </c:pt>
                <c:pt idx="18">
                  <c:v>I</c:v>
                </c:pt>
              </c:strCache>
            </c:strRef>
          </c:cat>
          <c:val>
            <c:numRef>
              <c:f>Sheet1!$E$2:$E$20</c:f>
              <c:numCache>
                <c:formatCode>General</c:formatCode>
                <c:ptCount val="19"/>
                <c:pt idx="0">
                  <c:v>1679.3</c:v>
                </c:pt>
                <c:pt idx="1">
                  <c:v>1679.3</c:v>
                </c:pt>
                <c:pt idx="2">
                  <c:v>1679.3</c:v>
                </c:pt>
                <c:pt idx="3">
                  <c:v>1679.3</c:v>
                </c:pt>
                <c:pt idx="4">
                  <c:v>1679.3</c:v>
                </c:pt>
                <c:pt idx="5">
                  <c:v>1679.3</c:v>
                </c:pt>
                <c:pt idx="6">
                  <c:v>1679.3</c:v>
                </c:pt>
                <c:pt idx="7">
                  <c:v>1679.3</c:v>
                </c:pt>
                <c:pt idx="8">
                  <c:v>1679.3</c:v>
                </c:pt>
                <c:pt idx="9">
                  <c:v>1679.3</c:v>
                </c:pt>
                <c:pt idx="10">
                  <c:v>1679.3</c:v>
                </c:pt>
                <c:pt idx="11">
                  <c:v>1679.3</c:v>
                </c:pt>
                <c:pt idx="12">
                  <c:v>1679.3</c:v>
                </c:pt>
                <c:pt idx="13">
                  <c:v>1679.3</c:v>
                </c:pt>
                <c:pt idx="14">
                  <c:v>1679.3</c:v>
                </c:pt>
                <c:pt idx="15">
                  <c:v>1679.3</c:v>
                </c:pt>
                <c:pt idx="16">
                  <c:v>1679.3</c:v>
                </c:pt>
                <c:pt idx="17">
                  <c:v>1679.3</c:v>
                </c:pt>
                <c:pt idx="18">
                  <c:v>1679.3</c:v>
                </c:pt>
              </c:numCache>
            </c:numRef>
          </c:val>
          <c:smooth val="0"/>
          <c:extLst>
            <c:ext xmlns:c16="http://schemas.microsoft.com/office/drawing/2014/chart" uri="{C3380CC4-5D6E-409C-BE32-E72D297353CC}">
              <c16:uniqueId val="{00000003-C3DA-4416-8EEB-C10035370F49}"/>
            </c:ext>
          </c:extLst>
        </c:ser>
        <c:dLbls>
          <c:showLegendKey val="0"/>
          <c:showVal val="0"/>
          <c:showCatName val="0"/>
          <c:showSerName val="0"/>
          <c:showPercent val="0"/>
          <c:showBubbleSize val="0"/>
        </c:dLbls>
        <c:marker val="1"/>
        <c:smooth val="0"/>
        <c:axId val="376272768"/>
        <c:axId val="376274304"/>
      </c:lineChart>
      <c:catAx>
        <c:axId val="376272768"/>
        <c:scaling>
          <c:orientation val="minMax"/>
        </c:scaling>
        <c:delete val="0"/>
        <c:axPos val="b"/>
        <c:numFmt formatCode="General" sourceLinked="0"/>
        <c:majorTickMark val="out"/>
        <c:minorTickMark val="none"/>
        <c:tickLblPos val="nextTo"/>
        <c:spPr>
          <a:ln w="3175">
            <a:solidFill>
              <a:srgbClr val="000000"/>
            </a:solidFill>
          </a:ln>
        </c:spPr>
        <c:txPr>
          <a:bodyPr/>
          <a:lstStyle/>
          <a:p>
            <a:pPr>
              <a:defRPr sz="800"/>
            </a:pPr>
            <a:endParaRPr lang="lt-LT"/>
          </a:p>
        </c:txPr>
        <c:crossAx val="376274304"/>
        <c:crossesAt val="0"/>
        <c:auto val="1"/>
        <c:lblAlgn val="ctr"/>
        <c:lblOffset val="100"/>
        <c:noMultiLvlLbl val="0"/>
      </c:catAx>
      <c:valAx>
        <c:axId val="376274304"/>
        <c:scaling>
          <c:orientation val="minMax"/>
          <c:min val="0"/>
        </c:scaling>
        <c:delete val="0"/>
        <c:axPos val="l"/>
        <c:majorGridlines>
          <c:spPr>
            <a:ln>
              <a:noFill/>
            </a:ln>
          </c:spPr>
        </c:majorGridlines>
        <c:numFmt formatCode="#,##0" sourceLinked="0"/>
        <c:majorTickMark val="out"/>
        <c:minorTickMark val="none"/>
        <c:tickLblPos val="nextTo"/>
        <c:spPr>
          <a:ln w="3175">
            <a:solidFill>
              <a:srgbClr val="000000"/>
            </a:solidFill>
          </a:ln>
        </c:spPr>
        <c:txPr>
          <a:bodyPr/>
          <a:lstStyle/>
          <a:p>
            <a:pPr>
              <a:defRPr sz="800"/>
            </a:pPr>
            <a:endParaRPr lang="lt-LT"/>
          </a:p>
        </c:txPr>
        <c:crossAx val="376272768"/>
        <c:crosses val="autoZero"/>
        <c:crossBetween val="between"/>
        <c:majorUnit val="300"/>
      </c:valAx>
      <c:spPr>
        <a:ln>
          <a:noFill/>
        </a:ln>
      </c:spPr>
    </c:plotArea>
    <c:legend>
      <c:legendPos val="b"/>
      <c:layout>
        <c:manualLayout>
          <c:xMode val="edge"/>
          <c:yMode val="edge"/>
          <c:x val="2.4944517666377553E-2"/>
          <c:y val="0.7724057427370935"/>
          <c:w val="0.65064387286751835"/>
          <c:h val="0.2069619855800674"/>
        </c:manualLayout>
      </c:layout>
      <c:overlay val="0"/>
      <c:txPr>
        <a:bodyPr/>
        <a:lstStyle/>
        <a:p>
          <a:pPr>
            <a:defRPr sz="900"/>
          </a:pPr>
          <a:endParaRPr lang="lt-LT"/>
        </a:p>
      </c:txPr>
    </c:legend>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231430008920394E-2"/>
          <c:y val="5.5346389551938172E-2"/>
          <c:w val="0.94563797631466107"/>
          <c:h val="0.87749556057968003"/>
        </c:manualLayout>
      </c:layout>
      <c:barChart>
        <c:barDir val="col"/>
        <c:grouping val="clustered"/>
        <c:varyColors val="0"/>
        <c:ser>
          <c:idx val="0"/>
          <c:order val="0"/>
          <c:tx>
            <c:strRef>
              <c:f>Sheet1!$A$2</c:f>
              <c:strCache>
                <c:ptCount val="1"/>
                <c:pt idx="0">
                  <c:v>Bruto darbo užmokesčio pokytis</c:v>
                </c:pt>
              </c:strCache>
            </c:strRef>
          </c:tx>
          <c:spPr>
            <a:solidFill>
              <a:srgbClr val="F06482"/>
            </a:solidFill>
            <a:ln w="20544">
              <a:noFill/>
            </a:ln>
          </c:spPr>
          <c:invertIfNegative val="0"/>
          <c:dLbls>
            <c:dLbl>
              <c:idx val="0"/>
              <c:layout>
                <c:manualLayout>
                  <c:x val="0"/>
                  <c:y val="1.13247859437112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23-4B89-A25F-0036251DD7E6}"/>
                </c:ext>
              </c:extLst>
            </c:dLbl>
            <c:numFmt formatCode="#,##0.0_ ;\–#,##0.0\ "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Sheet1!$B$1:$T$1</c:f>
              <c:strCache>
                <c:ptCount val="19"/>
                <c:pt idx="0">
                  <c:v>H</c:v>
                </c:pt>
                <c:pt idx="1">
                  <c:v>I</c:v>
                </c:pt>
                <c:pt idx="2">
                  <c:v>D</c:v>
                </c:pt>
                <c:pt idx="3">
                  <c:v>N</c:v>
                </c:pt>
                <c:pt idx="4">
                  <c:v>F</c:v>
                </c:pt>
                <c:pt idx="5">
                  <c:v>A</c:v>
                </c:pt>
                <c:pt idx="6">
                  <c:v>K</c:v>
                </c:pt>
                <c:pt idx="7">
                  <c:v>C</c:v>
                </c:pt>
                <c:pt idx="8">
                  <c:v>M</c:v>
                </c:pt>
                <c:pt idx="9">
                  <c:v>G</c:v>
                </c:pt>
                <c:pt idx="10">
                  <c:v>E</c:v>
                </c:pt>
                <c:pt idx="11">
                  <c:v>L</c:v>
                </c:pt>
                <c:pt idx="12">
                  <c:v>S</c:v>
                </c:pt>
                <c:pt idx="13">
                  <c:v>O</c:v>
                </c:pt>
                <c:pt idx="14">
                  <c:v>R</c:v>
                </c:pt>
                <c:pt idx="15">
                  <c:v>J</c:v>
                </c:pt>
                <c:pt idx="16">
                  <c:v>Q</c:v>
                </c:pt>
                <c:pt idx="17">
                  <c:v>P</c:v>
                </c:pt>
                <c:pt idx="18">
                  <c:v>B</c:v>
                </c:pt>
              </c:strCache>
            </c:strRef>
          </c:cat>
          <c:val>
            <c:numRef>
              <c:f>Sheet1!$B$2:$T$2</c:f>
              <c:numCache>
                <c:formatCode>#,#00</c:formatCode>
                <c:ptCount val="19"/>
                <c:pt idx="0">
                  <c:v>0.59999999999999432</c:v>
                </c:pt>
                <c:pt idx="1">
                  <c:v>1.2000000000000028</c:v>
                </c:pt>
                <c:pt idx="2">
                  <c:v>1.9000000000000057</c:v>
                </c:pt>
                <c:pt idx="3">
                  <c:v>2.0999999999999943</c:v>
                </c:pt>
                <c:pt idx="4">
                  <c:v>2.2999999999999972</c:v>
                </c:pt>
                <c:pt idx="5">
                  <c:v>2.5</c:v>
                </c:pt>
                <c:pt idx="6">
                  <c:v>2.7999999999999972</c:v>
                </c:pt>
                <c:pt idx="7">
                  <c:v>3.4000000000000057</c:v>
                </c:pt>
                <c:pt idx="8">
                  <c:v>4.2000000000000028</c:v>
                </c:pt>
                <c:pt idx="9">
                  <c:v>4.4000000000000057</c:v>
                </c:pt>
                <c:pt idx="10">
                  <c:v>4.7000000000000028</c:v>
                </c:pt>
                <c:pt idx="11">
                  <c:v>4.9000000000000057</c:v>
                </c:pt>
                <c:pt idx="12">
                  <c:v>5.0999999999999943</c:v>
                </c:pt>
                <c:pt idx="13">
                  <c:v>6.5</c:v>
                </c:pt>
                <c:pt idx="14">
                  <c:v>6.7000000000000028</c:v>
                </c:pt>
                <c:pt idx="15">
                  <c:v>7.2999999999999972</c:v>
                </c:pt>
                <c:pt idx="16">
                  <c:v>8.0999999999999943</c:v>
                </c:pt>
                <c:pt idx="17">
                  <c:v>11.099999999999994</c:v>
                </c:pt>
                <c:pt idx="18">
                  <c:v>11.200000000000003</c:v>
                </c:pt>
              </c:numCache>
            </c:numRef>
          </c:val>
          <c:extLst>
            <c:ext xmlns:c16="http://schemas.microsoft.com/office/drawing/2014/chart" uri="{C3380CC4-5D6E-409C-BE32-E72D297353CC}">
              <c16:uniqueId val="{00000001-B223-4B89-A25F-0036251DD7E6}"/>
            </c:ext>
          </c:extLst>
        </c:ser>
        <c:dLbls>
          <c:showLegendKey val="0"/>
          <c:showVal val="0"/>
          <c:showCatName val="0"/>
          <c:showSerName val="0"/>
          <c:showPercent val="0"/>
          <c:showBubbleSize val="0"/>
        </c:dLbls>
        <c:gapWidth val="30"/>
        <c:axId val="375965184"/>
        <c:axId val="375966720"/>
      </c:barChart>
      <c:lineChart>
        <c:grouping val="standard"/>
        <c:varyColors val="0"/>
        <c:ser>
          <c:idx val="1"/>
          <c:order val="1"/>
          <c:tx>
            <c:strRef>
              <c:f>Sheet1!$A$3</c:f>
              <c:strCache>
                <c:ptCount val="1"/>
                <c:pt idx="0">
                  <c:v>Šalies ūkyje padidėjo 5,1 proc.                            </c:v>
                </c:pt>
              </c:strCache>
            </c:strRef>
          </c:tx>
          <c:spPr>
            <a:ln w="25400">
              <a:solidFill>
                <a:srgbClr val="788CC8"/>
              </a:solidFill>
              <a:prstDash val="solid"/>
            </a:ln>
          </c:spPr>
          <c:marker>
            <c:symbol val="none"/>
          </c:marker>
          <c:cat>
            <c:strRef>
              <c:f>Sheet1!$B$1:$T$1</c:f>
              <c:strCache>
                <c:ptCount val="19"/>
                <c:pt idx="0">
                  <c:v>H</c:v>
                </c:pt>
                <c:pt idx="1">
                  <c:v>I</c:v>
                </c:pt>
                <c:pt idx="2">
                  <c:v>D</c:v>
                </c:pt>
                <c:pt idx="3">
                  <c:v>N</c:v>
                </c:pt>
                <c:pt idx="4">
                  <c:v>F</c:v>
                </c:pt>
                <c:pt idx="5">
                  <c:v>A</c:v>
                </c:pt>
                <c:pt idx="6">
                  <c:v>K</c:v>
                </c:pt>
                <c:pt idx="7">
                  <c:v>C</c:v>
                </c:pt>
                <c:pt idx="8">
                  <c:v>M</c:v>
                </c:pt>
                <c:pt idx="9">
                  <c:v>G</c:v>
                </c:pt>
                <c:pt idx="10">
                  <c:v>E</c:v>
                </c:pt>
                <c:pt idx="11">
                  <c:v>L</c:v>
                </c:pt>
                <c:pt idx="12">
                  <c:v>S</c:v>
                </c:pt>
                <c:pt idx="13">
                  <c:v>O</c:v>
                </c:pt>
                <c:pt idx="14">
                  <c:v>R</c:v>
                </c:pt>
                <c:pt idx="15">
                  <c:v>J</c:v>
                </c:pt>
                <c:pt idx="16">
                  <c:v>Q</c:v>
                </c:pt>
                <c:pt idx="17">
                  <c:v>P</c:v>
                </c:pt>
                <c:pt idx="18">
                  <c:v>B</c:v>
                </c:pt>
              </c:strCache>
            </c:strRef>
          </c:cat>
          <c:val>
            <c:numRef>
              <c:f>Sheet1!$B$3:$T$3</c:f>
              <c:numCache>
                <c:formatCode>General</c:formatCode>
                <c:ptCount val="19"/>
                <c:pt idx="0">
                  <c:v>5.0999999999999996</c:v>
                </c:pt>
                <c:pt idx="1">
                  <c:v>5.0999999999999996</c:v>
                </c:pt>
                <c:pt idx="2">
                  <c:v>5.0999999999999996</c:v>
                </c:pt>
                <c:pt idx="3">
                  <c:v>5.0999999999999996</c:v>
                </c:pt>
                <c:pt idx="4">
                  <c:v>5.0999999999999996</c:v>
                </c:pt>
                <c:pt idx="5">
                  <c:v>5.0999999999999996</c:v>
                </c:pt>
                <c:pt idx="6">
                  <c:v>5.0999999999999996</c:v>
                </c:pt>
                <c:pt idx="7">
                  <c:v>5.0999999999999996</c:v>
                </c:pt>
                <c:pt idx="8">
                  <c:v>5.0999999999999996</c:v>
                </c:pt>
                <c:pt idx="9">
                  <c:v>5.0999999999999996</c:v>
                </c:pt>
                <c:pt idx="10">
                  <c:v>5.0999999999999996</c:v>
                </c:pt>
                <c:pt idx="11">
                  <c:v>5.0999999999999996</c:v>
                </c:pt>
                <c:pt idx="12">
                  <c:v>5.0999999999999996</c:v>
                </c:pt>
                <c:pt idx="13">
                  <c:v>5.0999999999999996</c:v>
                </c:pt>
                <c:pt idx="14">
                  <c:v>5.0999999999999996</c:v>
                </c:pt>
                <c:pt idx="15">
                  <c:v>5.0999999999999996</c:v>
                </c:pt>
                <c:pt idx="16">
                  <c:v>5.0999999999999996</c:v>
                </c:pt>
                <c:pt idx="17">
                  <c:v>5.0999999999999996</c:v>
                </c:pt>
                <c:pt idx="18">
                  <c:v>5.0999999999999996</c:v>
                </c:pt>
              </c:numCache>
            </c:numRef>
          </c:val>
          <c:smooth val="0"/>
          <c:extLst>
            <c:ext xmlns:c16="http://schemas.microsoft.com/office/drawing/2014/chart" uri="{C3380CC4-5D6E-409C-BE32-E72D297353CC}">
              <c16:uniqueId val="{00000002-B223-4B89-A25F-0036251DD7E6}"/>
            </c:ext>
          </c:extLst>
        </c:ser>
        <c:dLbls>
          <c:showLegendKey val="0"/>
          <c:showVal val="0"/>
          <c:showCatName val="0"/>
          <c:showSerName val="0"/>
          <c:showPercent val="0"/>
          <c:showBubbleSize val="0"/>
        </c:dLbls>
        <c:marker val="1"/>
        <c:smooth val="0"/>
        <c:axId val="375965184"/>
        <c:axId val="375966720"/>
      </c:lineChart>
      <c:catAx>
        <c:axId val="375965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lt-LT"/>
          </a:p>
        </c:txPr>
        <c:crossAx val="375966720"/>
        <c:crosses val="autoZero"/>
        <c:auto val="1"/>
        <c:lblAlgn val="ctr"/>
        <c:lblOffset val="100"/>
        <c:tickLblSkip val="1"/>
        <c:tickMarkSkip val="1"/>
        <c:noMultiLvlLbl val="0"/>
      </c:catAx>
      <c:valAx>
        <c:axId val="375966720"/>
        <c:scaling>
          <c:orientation val="minMax"/>
          <c:max val="12"/>
          <c:min val="0"/>
        </c:scaling>
        <c:delete val="0"/>
        <c:axPos val="l"/>
        <c:numFmt formatCode="#,##0;\–#,##0" sourceLinked="0"/>
        <c:majorTickMark val="out"/>
        <c:minorTickMark val="none"/>
        <c:tickLblPos val="nextTo"/>
        <c:spPr>
          <a:ln w="3175">
            <a:solidFill>
              <a:srgbClr val="000000"/>
            </a:solidFill>
            <a:prstDash val="solid"/>
          </a:ln>
        </c:spPr>
        <c:txPr>
          <a:bodyPr rot="0" vert="horz"/>
          <a:lstStyle/>
          <a:p>
            <a:pPr>
              <a:defRPr kern="1400" baseline="0"/>
            </a:pPr>
            <a:endParaRPr lang="lt-LT"/>
          </a:p>
        </c:txPr>
        <c:crossAx val="375965184"/>
        <c:crosses val="autoZero"/>
        <c:crossBetween val="between"/>
        <c:majorUnit val="2"/>
      </c:valAx>
      <c:spPr>
        <a:noFill/>
        <a:ln w="22129">
          <a:noFill/>
        </a:ln>
      </c:spPr>
    </c:plotArea>
    <c:legend>
      <c:legendPos val="r"/>
      <c:legendEntry>
        <c:idx val="0"/>
        <c:delete val="1"/>
      </c:legendEntry>
      <c:layout>
        <c:manualLayout>
          <c:xMode val="edge"/>
          <c:yMode val="edge"/>
          <c:x val="0.12672025093118996"/>
          <c:y val="0.23640067379637253"/>
          <c:w val="0.33287343688978693"/>
          <c:h val="0.10644938039461488"/>
        </c:manualLayout>
      </c:layout>
      <c:overlay val="0"/>
      <c:spPr>
        <a:noFill/>
        <a:ln w="20534">
          <a:noFill/>
        </a:ln>
      </c:spPr>
      <c:txPr>
        <a:bodyPr/>
        <a:lstStyle/>
        <a:p>
          <a:pPr>
            <a:defRPr sz="900"/>
          </a:pPr>
          <a:endParaRPr lang="lt-LT"/>
        </a:p>
      </c:txPr>
    </c:legend>
    <c:plotVisOnly val="1"/>
    <c:dispBlanksAs val="gap"/>
    <c:showDLblsOverMax val="0"/>
  </c:chart>
  <c:spPr>
    <a:noFill/>
    <a:ln>
      <a:noFill/>
    </a:ln>
  </c:spPr>
  <c:txPr>
    <a:bodyPr/>
    <a:lstStyle/>
    <a:p>
      <a:pPr>
        <a:defRPr sz="800" b="0" i="0" u="none" strike="noStrike" baseline="0">
          <a:solidFill>
            <a:srgbClr val="000000"/>
          </a:solidFill>
          <a:latin typeface="Arial"/>
          <a:ea typeface="Arial"/>
          <a:cs typeface="Arial"/>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776365987565408E-2"/>
          <c:y val="1.6994024415808325E-2"/>
          <c:w val="0.95403562598579539"/>
          <c:h val="0.7469643671238736"/>
        </c:manualLayout>
      </c:layout>
      <c:barChart>
        <c:barDir val="col"/>
        <c:grouping val="clustered"/>
        <c:varyColors val="0"/>
        <c:ser>
          <c:idx val="0"/>
          <c:order val="0"/>
          <c:tx>
            <c:strRef>
              <c:f>Sheet1!$A$2</c:f>
              <c:strCache>
                <c:ptCount val="1"/>
                <c:pt idx="0">
                  <c:v>2020 m. IV ketv.</c:v>
                </c:pt>
              </c:strCache>
            </c:strRef>
          </c:tx>
          <c:spPr>
            <a:solidFill>
              <a:srgbClr val="FABEC3"/>
            </a:solidFill>
            <a:ln>
              <a:solidFill>
                <a:schemeClr val="bg1"/>
              </a:solidFill>
            </a:ln>
          </c:spPr>
          <c:invertIfNegative val="0"/>
          <c:dLbls>
            <c:dLbl>
              <c:idx val="0"/>
              <c:layout>
                <c:manualLayout>
                  <c:x val="1.9481784531463073E-2"/>
                  <c:y val="-9.7040630821790576E-3"/>
                </c:manualLayout>
              </c:layout>
              <c:numFmt formatCode="#,##0.0_ ;\–#,##0.0\ " sourceLinked="0"/>
              <c:spPr>
                <a:noFill/>
                <a:ln>
                  <a:noFill/>
                </a:ln>
                <a:effectLst/>
              </c:spPr>
              <c:txPr>
                <a:bodyPr wrap="none" lIns="38100" tIns="0" rIns="38100" bIns="0" anchor="ctr">
                  <a:noAutofit/>
                </a:bodyPr>
                <a:lstStyle/>
                <a:p>
                  <a:pPr>
                    <a:defRPr sz="800"/>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6366647184882134E-2"/>
                      <c:h val="2.2140955575692425E-2"/>
                    </c:manualLayout>
                  </c15:layout>
                </c:ext>
                <c:ext xmlns:c16="http://schemas.microsoft.com/office/drawing/2014/chart" uri="{C3380CC4-5D6E-409C-BE32-E72D297353CC}">
                  <c16:uniqueId val="{00000000-343C-4F56-AABE-E02C5A8E2CE4}"/>
                </c:ext>
              </c:extLst>
            </c:dLbl>
            <c:dLbl>
              <c:idx val="6"/>
              <c:layout>
                <c:manualLayout>
                  <c:x val="-3.4694469519536142E-18"/>
                  <c:y val="-3.7313570053395459E-2"/>
                </c:manualLayout>
              </c:layout>
              <c:numFmt formatCode="#,##0.0_ ;\–#,##0.0\ " sourceLinked="0"/>
              <c:spPr>
                <a:noFill/>
                <a:ln>
                  <a:noFill/>
                </a:ln>
                <a:effectLst/>
              </c:spPr>
              <c:txPr>
                <a:bodyPr wrap="none" lIns="38100" tIns="0" rIns="38100" bIns="0" anchor="ctr">
                  <a:noAutofit/>
                </a:bodyPr>
                <a:lstStyle/>
                <a:p>
                  <a:pPr>
                    <a:defRPr sz="800"/>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8065412776062249E-2"/>
                      <c:h val="3.0036202100522654E-2"/>
                    </c:manualLayout>
                  </c15:layout>
                </c:ext>
                <c:ext xmlns:c16="http://schemas.microsoft.com/office/drawing/2014/chart" uri="{C3380CC4-5D6E-409C-BE32-E72D297353CC}">
                  <c16:uniqueId val="{00000001-343C-4F56-AABE-E02C5A8E2CE4}"/>
                </c:ext>
              </c:extLst>
            </c:dLbl>
            <c:dLbl>
              <c:idx val="9"/>
              <c:numFmt formatCode="#,##0.0_ ;\–#,##0.0\ " sourceLinked="0"/>
              <c:spPr>
                <a:noFill/>
                <a:ln>
                  <a:noFill/>
                </a:ln>
                <a:effectLst/>
              </c:spPr>
              <c:txPr>
                <a:bodyPr wrap="none" lIns="38100" tIns="0" rIns="38100" bIns="0" anchor="ctr">
                  <a:noAutofit/>
                </a:bodyPr>
                <a:lstStyle/>
                <a:p>
                  <a:pPr>
                    <a:defRPr sz="800"/>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343C-4F56-AABE-E02C5A8E2CE4}"/>
                </c:ext>
              </c:extLst>
            </c:dLbl>
            <c:dLbl>
              <c:idx val="11"/>
              <c:layout>
                <c:manualLayout>
                  <c:x val="1.9600156801254411E-3"/>
                  <c:y val="-3.4744842562432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3C-4F56-AABE-E02C5A8E2CE4}"/>
                </c:ext>
              </c:extLst>
            </c:dLbl>
            <c:dLbl>
              <c:idx val="14"/>
              <c:numFmt formatCode="#,##0.0_ ;\–#,##0.0\ " sourceLinked="0"/>
              <c:spPr>
                <a:noFill/>
                <a:ln>
                  <a:noFill/>
                </a:ln>
                <a:effectLst/>
              </c:spPr>
              <c:txPr>
                <a:bodyPr wrap="none" lIns="38100" tIns="0" rIns="38100" bIns="0" anchor="ctr">
                  <a:noAutofit/>
                </a:bodyPr>
                <a:lstStyle/>
                <a:p>
                  <a:pPr>
                    <a:defRPr sz="800"/>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343C-4F56-AABE-E02C5A8E2CE4}"/>
                </c:ext>
              </c:extLst>
            </c:dLbl>
            <c:dLbl>
              <c:idx val="17"/>
              <c:layout>
                <c:manualLayout>
                  <c:x val="1.9600928460970996E-3"/>
                  <c:y val="-2.6579024387498446E-2"/>
                </c:manualLayout>
              </c:layout>
              <c:numFmt formatCode="#,##0.0_ ;\–#,##0.0\ " sourceLinked="0"/>
              <c:spPr>
                <a:noFill/>
                <a:ln>
                  <a:noFill/>
                </a:ln>
                <a:effectLst/>
              </c:spPr>
              <c:txPr>
                <a:bodyPr wrap="none" lIns="38100" tIns="0" rIns="38100" bIns="0" anchor="ctr">
                  <a:noAutofit/>
                </a:bodyPr>
                <a:lstStyle/>
                <a:p>
                  <a:pPr>
                    <a:defRPr sz="800"/>
                  </a:pPr>
                  <a:endParaRPr lang="lt-LT"/>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8296700074387985E-2"/>
                      <c:h val="4.3905658147270536E-2"/>
                    </c:manualLayout>
                  </c15:layout>
                </c:ext>
                <c:ext xmlns:c16="http://schemas.microsoft.com/office/drawing/2014/chart" uri="{C3380CC4-5D6E-409C-BE32-E72D297353CC}">
                  <c16:uniqueId val="{00000005-343C-4F56-AABE-E02C5A8E2CE4}"/>
                </c:ext>
              </c:extLst>
            </c:dLbl>
            <c:numFmt formatCode="#,##0.0_ ;\–#,##0.0\ " sourceLinked="0"/>
            <c:spPr>
              <a:noFill/>
              <a:ln>
                <a:noFill/>
              </a:ln>
              <a:effectLst/>
            </c:spPr>
            <c:txPr>
              <a:bodyPr wrap="none" lIns="38100" tIns="0" rIns="38100" bIns="0" anchor="ctr">
                <a:spAutoFit/>
              </a:bodyPr>
              <a:lstStyle/>
              <a:p>
                <a:pPr>
                  <a:defRPr sz="8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Sheet1!$B$1:$T$1</c:f>
              <c:strCache>
                <c:ptCount val="19"/>
                <c:pt idx="0">
                  <c:v>H</c:v>
                </c:pt>
                <c:pt idx="1">
                  <c:v>D</c:v>
                </c:pt>
                <c:pt idx="2">
                  <c:v>B</c:v>
                </c:pt>
                <c:pt idx="3">
                  <c:v>O</c:v>
                </c:pt>
                <c:pt idx="4">
                  <c:v>P</c:v>
                </c:pt>
                <c:pt idx="5">
                  <c:v>E</c:v>
                </c:pt>
                <c:pt idx="6">
                  <c:v>N</c:v>
                </c:pt>
                <c:pt idx="7">
                  <c:v>F</c:v>
                </c:pt>
                <c:pt idx="8">
                  <c:v>M</c:v>
                </c:pt>
                <c:pt idx="9">
                  <c:v>C</c:v>
                </c:pt>
                <c:pt idx="10">
                  <c:v>L</c:v>
                </c:pt>
                <c:pt idx="11">
                  <c:v>K</c:v>
                </c:pt>
                <c:pt idx="12">
                  <c:v>Q</c:v>
                </c:pt>
                <c:pt idx="13">
                  <c:v>S</c:v>
                </c:pt>
                <c:pt idx="14">
                  <c:v>J</c:v>
                </c:pt>
                <c:pt idx="15">
                  <c:v>R</c:v>
                </c:pt>
                <c:pt idx="16">
                  <c:v>A</c:v>
                </c:pt>
                <c:pt idx="17">
                  <c:v>G</c:v>
                </c:pt>
                <c:pt idx="18">
                  <c:v>I</c:v>
                </c:pt>
              </c:strCache>
            </c:strRef>
          </c:cat>
          <c:val>
            <c:numRef>
              <c:f>Sheet1!$B$2:$T$2</c:f>
              <c:numCache>
                <c:formatCode>General</c:formatCode>
                <c:ptCount val="19"/>
                <c:pt idx="0">
                  <c:v>17.899999999999999</c:v>
                </c:pt>
                <c:pt idx="1">
                  <c:v>10.8</c:v>
                </c:pt>
                <c:pt idx="2">
                  <c:v>6.5</c:v>
                </c:pt>
                <c:pt idx="3">
                  <c:v>10.9</c:v>
                </c:pt>
                <c:pt idx="4">
                  <c:v>19.100000000000001</c:v>
                </c:pt>
                <c:pt idx="5">
                  <c:v>10.1</c:v>
                </c:pt>
                <c:pt idx="6">
                  <c:v>8.6</c:v>
                </c:pt>
                <c:pt idx="7">
                  <c:v>9.5</c:v>
                </c:pt>
                <c:pt idx="8">
                  <c:v>8.1</c:v>
                </c:pt>
                <c:pt idx="9">
                  <c:v>8.5</c:v>
                </c:pt>
                <c:pt idx="10">
                  <c:v>6.7</c:v>
                </c:pt>
                <c:pt idx="11">
                  <c:v>5.4</c:v>
                </c:pt>
                <c:pt idx="12">
                  <c:v>18.8</c:v>
                </c:pt>
                <c:pt idx="13">
                  <c:v>8.9</c:v>
                </c:pt>
                <c:pt idx="14">
                  <c:v>10.199999999999999</c:v>
                </c:pt>
                <c:pt idx="15">
                  <c:v>8.4</c:v>
                </c:pt>
                <c:pt idx="16">
                  <c:v>7.6</c:v>
                </c:pt>
                <c:pt idx="17">
                  <c:v>9.9</c:v>
                </c:pt>
                <c:pt idx="18">
                  <c:v>-5.8</c:v>
                </c:pt>
              </c:numCache>
            </c:numRef>
          </c:val>
          <c:extLst>
            <c:ext xmlns:c16="http://schemas.microsoft.com/office/drawing/2014/chart" uri="{C3380CC4-5D6E-409C-BE32-E72D297353CC}">
              <c16:uniqueId val="{00000006-343C-4F56-AABE-E02C5A8E2CE4}"/>
            </c:ext>
          </c:extLst>
        </c:ser>
        <c:ser>
          <c:idx val="2"/>
          <c:order val="2"/>
          <c:tx>
            <c:strRef>
              <c:f>Sheet1!$A$4</c:f>
              <c:strCache>
                <c:ptCount val="1"/>
                <c:pt idx="0">
                  <c:v>2021 m. IV ketv.</c:v>
                </c:pt>
              </c:strCache>
            </c:strRef>
          </c:tx>
          <c:spPr>
            <a:solidFill>
              <a:srgbClr val="F06482"/>
            </a:solidFill>
            <a:ln>
              <a:solidFill>
                <a:schemeClr val="bg1"/>
              </a:solidFill>
            </a:ln>
          </c:spPr>
          <c:invertIfNegative val="0"/>
          <c:dLbls>
            <c:dLbl>
              <c:idx val="4"/>
              <c:layout>
                <c:manualLayout>
                  <c:x val="-5.8800470403763232E-3"/>
                  <c:y val="-4.34310532030401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3C-4F56-AABE-E02C5A8E2CE4}"/>
                </c:ext>
              </c:extLst>
            </c:dLbl>
            <c:dLbl>
              <c:idx val="5"/>
              <c:layout>
                <c:manualLayout>
                  <c:x val="4.740056236395348E-5"/>
                  <c:y val="2.80487187135918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43C-4F56-AABE-E02C5A8E2CE4}"/>
                </c:ext>
              </c:extLst>
            </c:dLbl>
            <c:dLbl>
              <c:idx val="6"/>
              <c:layout>
                <c:manualLayout>
                  <c:x val="0"/>
                  <c:y val="-7.8627591136526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3C-4F56-AABE-E02C5A8E2CE4}"/>
                </c:ext>
              </c:extLst>
            </c:dLbl>
            <c:dLbl>
              <c:idx val="9"/>
              <c:layout>
                <c:manualLayout>
                  <c:x val="9.9778950775513092E-4"/>
                  <c:y val="1.6674282376384075E-2"/>
                </c:manualLayout>
              </c:layout>
              <c:numFmt formatCode="#,##0.0" sourceLinked="0"/>
              <c:spPr>
                <a:noFill/>
                <a:ln>
                  <a:noFill/>
                </a:ln>
                <a:effectLst/>
              </c:spPr>
              <c:txPr>
                <a:bodyPr wrap="square" lIns="38100" tIns="0" rIns="0" bIns="0" anchor="ctr" anchorCtr="0">
                  <a:noAutofit/>
                </a:bodyPr>
                <a:lstStyle/>
                <a:p>
                  <a:pPr>
                    <a:defRPr sz="800"/>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9409180369110781E-2"/>
                      <c:h val="4.996643591851347E-2"/>
                    </c:manualLayout>
                  </c15:layout>
                </c:ext>
                <c:ext xmlns:c16="http://schemas.microsoft.com/office/drawing/2014/chart" uri="{C3380CC4-5D6E-409C-BE32-E72D297353CC}">
                  <c16:uniqueId val="{0000000A-343C-4F56-AABE-E02C5A8E2CE4}"/>
                </c:ext>
              </c:extLst>
            </c:dLbl>
            <c:dLbl>
              <c:idx val="10"/>
              <c:layout>
                <c:manualLayout>
                  <c:x val="-6.8396964445728829E-17"/>
                  <c:y val="-5.5742563862867765E-3"/>
                </c:manualLayout>
              </c:layout>
              <c:numFmt formatCode="#,##0.0" sourceLinked="0"/>
              <c:spPr>
                <a:noFill/>
                <a:ln>
                  <a:noFill/>
                </a:ln>
                <a:effectLst/>
              </c:spPr>
              <c:txPr>
                <a:bodyPr wrap="square" lIns="38100" tIns="0" rIns="0" bIns="0" anchor="ctr" anchorCtr="0">
                  <a:noAutofit/>
                </a:bodyPr>
                <a:lstStyle/>
                <a:p>
                  <a:pPr>
                    <a:defRPr sz="800"/>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6540924786505724E-2"/>
                      <c:h val="6.6661092281203399E-2"/>
                    </c:manualLayout>
                  </c15:layout>
                </c:ext>
                <c:ext xmlns:c16="http://schemas.microsoft.com/office/drawing/2014/chart" uri="{C3380CC4-5D6E-409C-BE32-E72D297353CC}">
                  <c16:uniqueId val="{0000000B-343C-4F56-AABE-E02C5A8E2CE4}"/>
                </c:ext>
              </c:extLst>
            </c:dLbl>
            <c:numFmt formatCode="#,##0.0" sourceLinked="0"/>
            <c:spPr>
              <a:noFill/>
              <a:ln>
                <a:noFill/>
              </a:ln>
              <a:effectLst/>
            </c:spPr>
            <c:txPr>
              <a:bodyPr wrap="square" lIns="38100" tIns="0" rIns="0" bIns="0" anchor="ctr" anchorCtr="0">
                <a:spAutoFit/>
              </a:bodyPr>
              <a:lstStyle/>
              <a:p>
                <a:pPr>
                  <a:defRPr sz="800"/>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Sheet1!$B$1:$T$1</c:f>
              <c:strCache>
                <c:ptCount val="19"/>
                <c:pt idx="0">
                  <c:v>H</c:v>
                </c:pt>
                <c:pt idx="1">
                  <c:v>D</c:v>
                </c:pt>
                <c:pt idx="2">
                  <c:v>B</c:v>
                </c:pt>
                <c:pt idx="3">
                  <c:v>O</c:v>
                </c:pt>
                <c:pt idx="4">
                  <c:v>P</c:v>
                </c:pt>
                <c:pt idx="5">
                  <c:v>E</c:v>
                </c:pt>
                <c:pt idx="6">
                  <c:v>N</c:v>
                </c:pt>
                <c:pt idx="7">
                  <c:v>F</c:v>
                </c:pt>
                <c:pt idx="8">
                  <c:v>M</c:v>
                </c:pt>
                <c:pt idx="9">
                  <c:v>C</c:v>
                </c:pt>
                <c:pt idx="10">
                  <c:v>L</c:v>
                </c:pt>
                <c:pt idx="11">
                  <c:v>K</c:v>
                </c:pt>
                <c:pt idx="12">
                  <c:v>Q</c:v>
                </c:pt>
                <c:pt idx="13">
                  <c:v>S</c:v>
                </c:pt>
                <c:pt idx="14">
                  <c:v>J</c:v>
                </c:pt>
                <c:pt idx="15">
                  <c:v>R</c:v>
                </c:pt>
                <c:pt idx="16">
                  <c:v>A</c:v>
                </c:pt>
                <c:pt idx="17">
                  <c:v>G</c:v>
                </c:pt>
                <c:pt idx="18">
                  <c:v>I</c:v>
                </c:pt>
              </c:strCache>
            </c:strRef>
          </c:cat>
          <c:val>
            <c:numRef>
              <c:f>Sheet1!$B$4:$T$4</c:f>
              <c:numCache>
                <c:formatCode>#,#00</c:formatCode>
                <c:ptCount val="19"/>
                <c:pt idx="0">
                  <c:v>5.5999999999999943</c:v>
                </c:pt>
                <c:pt idx="1">
                  <c:v>6.2000000000000028</c:v>
                </c:pt>
                <c:pt idx="2">
                  <c:v>6.5999999999999943</c:v>
                </c:pt>
                <c:pt idx="3">
                  <c:v>6.5999999999999943</c:v>
                </c:pt>
                <c:pt idx="4">
                  <c:v>6.7999999999999972</c:v>
                </c:pt>
                <c:pt idx="5">
                  <c:v>8.2999999999999972</c:v>
                </c:pt>
                <c:pt idx="6">
                  <c:v>8.7000000000000028</c:v>
                </c:pt>
                <c:pt idx="7">
                  <c:v>9.7999999999999972</c:v>
                </c:pt>
                <c:pt idx="8">
                  <c:v>9.9000000000000057</c:v>
                </c:pt>
                <c:pt idx="9">
                  <c:v>10.400000000000006</c:v>
                </c:pt>
                <c:pt idx="10">
                  <c:v>10.400000000000006</c:v>
                </c:pt>
                <c:pt idx="11">
                  <c:v>10.900000000000006</c:v>
                </c:pt>
                <c:pt idx="12">
                  <c:v>11.400000000000006</c:v>
                </c:pt>
                <c:pt idx="13">
                  <c:v>11.400000000000006</c:v>
                </c:pt>
                <c:pt idx="14">
                  <c:v>12.599999999999994</c:v>
                </c:pt>
                <c:pt idx="15">
                  <c:v>12.599999999999994</c:v>
                </c:pt>
                <c:pt idx="16">
                  <c:v>12.900000000000006</c:v>
                </c:pt>
                <c:pt idx="17">
                  <c:v>14.099999999999994</c:v>
                </c:pt>
                <c:pt idx="18">
                  <c:v>26.1</c:v>
                </c:pt>
              </c:numCache>
            </c:numRef>
          </c:val>
          <c:extLst>
            <c:ext xmlns:c16="http://schemas.microsoft.com/office/drawing/2014/chart" uri="{C3380CC4-5D6E-409C-BE32-E72D297353CC}">
              <c16:uniqueId val="{0000000C-343C-4F56-AABE-E02C5A8E2CE4}"/>
            </c:ext>
          </c:extLst>
        </c:ser>
        <c:dLbls>
          <c:showLegendKey val="0"/>
          <c:showVal val="0"/>
          <c:showCatName val="0"/>
          <c:showSerName val="0"/>
          <c:showPercent val="0"/>
          <c:showBubbleSize val="0"/>
        </c:dLbls>
        <c:gapWidth val="20"/>
        <c:axId val="377663872"/>
        <c:axId val="377665408"/>
      </c:barChart>
      <c:lineChart>
        <c:grouping val="standard"/>
        <c:varyColors val="0"/>
        <c:ser>
          <c:idx val="1"/>
          <c:order val="1"/>
          <c:tx>
            <c:strRef>
              <c:f>Sheet1!$A$3</c:f>
              <c:strCache>
                <c:ptCount val="1"/>
                <c:pt idx="0">
                  <c:v>2020 m. IV ketv. šalies ūkyje padidėjo 12,2 proc.</c:v>
                </c:pt>
              </c:strCache>
            </c:strRef>
          </c:tx>
          <c:spPr>
            <a:ln w="19050">
              <a:solidFill>
                <a:srgbClr val="28286E"/>
              </a:solidFill>
            </a:ln>
          </c:spPr>
          <c:marker>
            <c:symbol val="none"/>
          </c:marker>
          <c:cat>
            <c:strRef>
              <c:f>Sheet1!$B$1:$T$1</c:f>
              <c:strCache>
                <c:ptCount val="19"/>
                <c:pt idx="0">
                  <c:v>H</c:v>
                </c:pt>
                <c:pt idx="1">
                  <c:v>D</c:v>
                </c:pt>
                <c:pt idx="2">
                  <c:v>B</c:v>
                </c:pt>
                <c:pt idx="3">
                  <c:v>O</c:v>
                </c:pt>
                <c:pt idx="4">
                  <c:v>P</c:v>
                </c:pt>
                <c:pt idx="5">
                  <c:v>E</c:v>
                </c:pt>
                <c:pt idx="6">
                  <c:v>N</c:v>
                </c:pt>
                <c:pt idx="7">
                  <c:v>F</c:v>
                </c:pt>
                <c:pt idx="8">
                  <c:v>M</c:v>
                </c:pt>
                <c:pt idx="9">
                  <c:v>C</c:v>
                </c:pt>
                <c:pt idx="10">
                  <c:v>L</c:v>
                </c:pt>
                <c:pt idx="11">
                  <c:v>K</c:v>
                </c:pt>
                <c:pt idx="12">
                  <c:v>Q</c:v>
                </c:pt>
                <c:pt idx="13">
                  <c:v>S</c:v>
                </c:pt>
                <c:pt idx="14">
                  <c:v>J</c:v>
                </c:pt>
                <c:pt idx="15">
                  <c:v>R</c:v>
                </c:pt>
                <c:pt idx="16">
                  <c:v>A</c:v>
                </c:pt>
                <c:pt idx="17">
                  <c:v>G</c:v>
                </c:pt>
                <c:pt idx="18">
                  <c:v>I</c:v>
                </c:pt>
              </c:strCache>
            </c:strRef>
          </c:cat>
          <c:val>
            <c:numRef>
              <c:f>Sheet1!$B$3:$T$3</c:f>
              <c:numCache>
                <c:formatCode>General</c:formatCode>
                <c:ptCount val="19"/>
                <c:pt idx="0">
                  <c:v>12.2</c:v>
                </c:pt>
                <c:pt idx="1">
                  <c:v>12.2</c:v>
                </c:pt>
                <c:pt idx="2">
                  <c:v>12.2</c:v>
                </c:pt>
                <c:pt idx="3">
                  <c:v>12.2</c:v>
                </c:pt>
                <c:pt idx="4">
                  <c:v>12.2</c:v>
                </c:pt>
                <c:pt idx="5">
                  <c:v>12.2</c:v>
                </c:pt>
                <c:pt idx="6">
                  <c:v>12.2</c:v>
                </c:pt>
                <c:pt idx="7">
                  <c:v>12.2</c:v>
                </c:pt>
                <c:pt idx="8">
                  <c:v>12.2</c:v>
                </c:pt>
                <c:pt idx="9">
                  <c:v>12.2</c:v>
                </c:pt>
                <c:pt idx="10">
                  <c:v>12.2</c:v>
                </c:pt>
                <c:pt idx="11">
                  <c:v>12.2</c:v>
                </c:pt>
                <c:pt idx="12">
                  <c:v>12.2</c:v>
                </c:pt>
                <c:pt idx="13">
                  <c:v>12.2</c:v>
                </c:pt>
                <c:pt idx="14">
                  <c:v>12.2</c:v>
                </c:pt>
                <c:pt idx="15">
                  <c:v>12.2</c:v>
                </c:pt>
                <c:pt idx="16">
                  <c:v>12.2</c:v>
                </c:pt>
                <c:pt idx="17">
                  <c:v>12.2</c:v>
                </c:pt>
                <c:pt idx="18">
                  <c:v>12.2</c:v>
                </c:pt>
              </c:numCache>
            </c:numRef>
          </c:val>
          <c:smooth val="0"/>
          <c:extLst>
            <c:ext xmlns:c16="http://schemas.microsoft.com/office/drawing/2014/chart" uri="{C3380CC4-5D6E-409C-BE32-E72D297353CC}">
              <c16:uniqueId val="{0000000D-343C-4F56-AABE-E02C5A8E2CE4}"/>
            </c:ext>
          </c:extLst>
        </c:ser>
        <c:ser>
          <c:idx val="3"/>
          <c:order val="3"/>
          <c:tx>
            <c:strRef>
              <c:f>Sheet1!$A$5</c:f>
              <c:strCache>
                <c:ptCount val="1"/>
                <c:pt idx="0">
                  <c:v>2021 m. IV ketv. šalies ūkyje padidėjo 10,2 proc.</c:v>
                </c:pt>
              </c:strCache>
            </c:strRef>
          </c:tx>
          <c:spPr>
            <a:ln w="25400">
              <a:solidFill>
                <a:srgbClr val="788CC8"/>
              </a:solidFill>
            </a:ln>
          </c:spPr>
          <c:marker>
            <c:symbol val="none"/>
          </c:marker>
          <c:cat>
            <c:strRef>
              <c:f>Sheet1!$B$1:$T$1</c:f>
              <c:strCache>
                <c:ptCount val="19"/>
                <c:pt idx="0">
                  <c:v>H</c:v>
                </c:pt>
                <c:pt idx="1">
                  <c:v>D</c:v>
                </c:pt>
                <c:pt idx="2">
                  <c:v>B</c:v>
                </c:pt>
                <c:pt idx="3">
                  <c:v>O</c:v>
                </c:pt>
                <c:pt idx="4">
                  <c:v>P</c:v>
                </c:pt>
                <c:pt idx="5">
                  <c:v>E</c:v>
                </c:pt>
                <c:pt idx="6">
                  <c:v>N</c:v>
                </c:pt>
                <c:pt idx="7">
                  <c:v>F</c:v>
                </c:pt>
                <c:pt idx="8">
                  <c:v>M</c:v>
                </c:pt>
                <c:pt idx="9">
                  <c:v>C</c:v>
                </c:pt>
                <c:pt idx="10">
                  <c:v>L</c:v>
                </c:pt>
                <c:pt idx="11">
                  <c:v>K</c:v>
                </c:pt>
                <c:pt idx="12">
                  <c:v>Q</c:v>
                </c:pt>
                <c:pt idx="13">
                  <c:v>S</c:v>
                </c:pt>
                <c:pt idx="14">
                  <c:v>J</c:v>
                </c:pt>
                <c:pt idx="15">
                  <c:v>R</c:v>
                </c:pt>
                <c:pt idx="16">
                  <c:v>A</c:v>
                </c:pt>
                <c:pt idx="17">
                  <c:v>G</c:v>
                </c:pt>
                <c:pt idx="18">
                  <c:v>I</c:v>
                </c:pt>
              </c:strCache>
            </c:strRef>
          </c:cat>
          <c:val>
            <c:numRef>
              <c:f>Sheet1!$B$5:$T$5</c:f>
              <c:numCache>
                <c:formatCode>General</c:formatCode>
                <c:ptCount val="19"/>
                <c:pt idx="0">
                  <c:v>10.199999999999999</c:v>
                </c:pt>
                <c:pt idx="1">
                  <c:v>10.199999999999999</c:v>
                </c:pt>
                <c:pt idx="2">
                  <c:v>10.199999999999999</c:v>
                </c:pt>
                <c:pt idx="3">
                  <c:v>10.199999999999999</c:v>
                </c:pt>
                <c:pt idx="4">
                  <c:v>10.199999999999999</c:v>
                </c:pt>
                <c:pt idx="5">
                  <c:v>10.199999999999999</c:v>
                </c:pt>
                <c:pt idx="6">
                  <c:v>10.199999999999999</c:v>
                </c:pt>
                <c:pt idx="7">
                  <c:v>10.199999999999999</c:v>
                </c:pt>
                <c:pt idx="8">
                  <c:v>10.199999999999999</c:v>
                </c:pt>
                <c:pt idx="9">
                  <c:v>10.199999999999999</c:v>
                </c:pt>
                <c:pt idx="10">
                  <c:v>10.199999999999999</c:v>
                </c:pt>
                <c:pt idx="11">
                  <c:v>10.199999999999999</c:v>
                </c:pt>
                <c:pt idx="12">
                  <c:v>10.199999999999999</c:v>
                </c:pt>
                <c:pt idx="13">
                  <c:v>10.199999999999999</c:v>
                </c:pt>
                <c:pt idx="14">
                  <c:v>10.199999999999999</c:v>
                </c:pt>
                <c:pt idx="15">
                  <c:v>10.199999999999999</c:v>
                </c:pt>
                <c:pt idx="16">
                  <c:v>10.199999999999999</c:v>
                </c:pt>
                <c:pt idx="17">
                  <c:v>10.199999999999999</c:v>
                </c:pt>
                <c:pt idx="18">
                  <c:v>10.199999999999999</c:v>
                </c:pt>
              </c:numCache>
            </c:numRef>
          </c:val>
          <c:smooth val="0"/>
          <c:extLst>
            <c:ext xmlns:c16="http://schemas.microsoft.com/office/drawing/2014/chart" uri="{C3380CC4-5D6E-409C-BE32-E72D297353CC}">
              <c16:uniqueId val="{0000000E-343C-4F56-AABE-E02C5A8E2CE4}"/>
            </c:ext>
          </c:extLst>
        </c:ser>
        <c:dLbls>
          <c:showLegendKey val="0"/>
          <c:showVal val="0"/>
          <c:showCatName val="0"/>
          <c:showSerName val="0"/>
          <c:showPercent val="0"/>
          <c:showBubbleSize val="0"/>
        </c:dLbls>
        <c:marker val="1"/>
        <c:smooth val="0"/>
        <c:axId val="377663872"/>
        <c:axId val="377665408"/>
      </c:lineChart>
      <c:catAx>
        <c:axId val="377663872"/>
        <c:scaling>
          <c:orientation val="minMax"/>
        </c:scaling>
        <c:delete val="0"/>
        <c:axPos val="b"/>
        <c:numFmt formatCode="General" sourceLinked="0"/>
        <c:majorTickMark val="out"/>
        <c:minorTickMark val="none"/>
        <c:tickLblPos val="nextTo"/>
        <c:spPr>
          <a:ln w="3175">
            <a:solidFill>
              <a:srgbClr val="000000"/>
            </a:solidFill>
          </a:ln>
        </c:spPr>
        <c:crossAx val="377665408"/>
        <c:crosses val="autoZero"/>
        <c:auto val="1"/>
        <c:lblAlgn val="ctr"/>
        <c:lblOffset val="100"/>
        <c:tickLblSkip val="1"/>
        <c:noMultiLvlLbl val="0"/>
      </c:catAx>
      <c:valAx>
        <c:axId val="377665408"/>
        <c:scaling>
          <c:orientation val="minMax"/>
          <c:max val="28"/>
          <c:min val="-6"/>
        </c:scaling>
        <c:delete val="0"/>
        <c:axPos val="l"/>
        <c:numFmt formatCode="#,##0;\–#,##0" sourceLinked="0"/>
        <c:majorTickMark val="out"/>
        <c:minorTickMark val="none"/>
        <c:tickLblPos val="nextTo"/>
        <c:spPr>
          <a:ln w="3175">
            <a:solidFill>
              <a:srgbClr val="000000"/>
            </a:solidFill>
          </a:ln>
        </c:spPr>
        <c:crossAx val="377663872"/>
        <c:crosses val="autoZero"/>
        <c:crossBetween val="between"/>
        <c:majorUnit val="3"/>
      </c:valAx>
      <c:spPr>
        <a:noFill/>
        <a:ln>
          <a:noFill/>
        </a:ln>
      </c:spPr>
    </c:plotArea>
    <c:legend>
      <c:legendPos val="r"/>
      <c:layout>
        <c:manualLayout>
          <c:xMode val="edge"/>
          <c:yMode val="edge"/>
          <c:x val="5.6728718396676328E-2"/>
          <c:y val="0.7610064377132012"/>
          <c:w val="0.50977445929803666"/>
          <c:h val="0.17693195516684196"/>
        </c:manualLayout>
      </c:layout>
      <c:overlay val="0"/>
      <c:spPr>
        <a:ln w="3175">
          <a:noFill/>
        </a:ln>
      </c:spPr>
      <c:txPr>
        <a:bodyPr/>
        <a:lstStyle/>
        <a:p>
          <a:pPr>
            <a:defRPr sz="900"/>
          </a:pPr>
          <a:endParaRPr lang="lt-LT"/>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0.00558</cdr:x>
      <cdr:y>0.01552</cdr:y>
    </cdr:from>
    <cdr:to>
      <cdr:x>0.06809</cdr:x>
      <cdr:y>0.09599</cdr:y>
    </cdr:to>
    <cdr:sp macro="" textlink="">
      <cdr:nvSpPr>
        <cdr:cNvPr id="1025" name="Text Box 1"/>
        <cdr:cNvSpPr txBox="1">
          <a:spLocks xmlns:a="http://schemas.openxmlformats.org/drawingml/2006/main" noChangeArrowheads="1"/>
        </cdr:cNvSpPr>
      </cdr:nvSpPr>
      <cdr:spPr bwMode="auto">
        <a:xfrm xmlns:a="http://schemas.openxmlformats.org/drawingml/2006/main">
          <a:off x="34119" y="39606"/>
          <a:ext cx="382138" cy="20536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0" tIns="36000" rIns="36000" bIns="36000" anchor="t" upright="1">
          <a:spAutoFit/>
        </a:bodyPr>
        <a:lstStyle xmlns:a="http://schemas.openxmlformats.org/drawingml/2006/main"/>
        <a:p xmlns:a="http://schemas.openxmlformats.org/drawingml/2006/main">
          <a:pPr algn="l" rtl="0">
            <a:defRPr sz="1000"/>
          </a:pPr>
          <a:r>
            <a:rPr lang="lt-LT" sz="900" b="0" i="0" u="none" strike="noStrike" baseline="0">
              <a:solidFill>
                <a:srgbClr val="000000"/>
              </a:solidFill>
              <a:latin typeface="Arial"/>
              <a:cs typeface="Arial"/>
            </a:rPr>
            <a:t>EUR</a:t>
          </a:r>
        </a:p>
      </cdr:txBody>
    </cdr:sp>
  </cdr:relSizeAnchor>
  <cdr:relSizeAnchor xmlns:cdr="http://schemas.openxmlformats.org/drawingml/2006/chartDrawing">
    <cdr:from>
      <cdr:x>0.91403</cdr:x>
      <cdr:y>0.01552</cdr:y>
    </cdr:from>
    <cdr:to>
      <cdr:x>0.99976</cdr:x>
      <cdr:y>0.08792</cdr:y>
    </cdr:to>
    <cdr:sp macro="" textlink="">
      <cdr:nvSpPr>
        <cdr:cNvPr id="1026" name="Text Box 2"/>
        <cdr:cNvSpPr txBox="1">
          <a:spLocks xmlns:a="http://schemas.openxmlformats.org/drawingml/2006/main" noChangeArrowheads="1"/>
        </cdr:cNvSpPr>
      </cdr:nvSpPr>
      <cdr:spPr bwMode="auto">
        <a:xfrm xmlns:a="http://schemas.openxmlformats.org/drawingml/2006/main">
          <a:off x="5924810" y="44023"/>
          <a:ext cx="555713" cy="20536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000" tIns="36000" rIns="0" bIns="36000" anchor="t" upright="1">
          <a:spAutoFit/>
        </a:bodyPr>
        <a:lstStyle xmlns:a="http://schemas.openxmlformats.org/drawingml/2006/main"/>
        <a:p xmlns:a="http://schemas.openxmlformats.org/drawingml/2006/main">
          <a:pPr algn="l" rtl="0">
            <a:defRPr sz="1000"/>
          </a:pPr>
          <a:r>
            <a:rPr lang="lt-LT" sz="900" b="0" i="0" u="none" strike="noStrike" baseline="0">
              <a:solidFill>
                <a:srgbClr val="000000"/>
              </a:solidFill>
              <a:latin typeface="Arial"/>
              <a:cs typeface="Arial"/>
            </a:rPr>
            <a:t>Procentai</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TotalTime>
  <Pages>1</Pages>
  <Words>5836</Words>
  <Characters>3328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Ilekyte</dc:creator>
  <cp:keywords/>
  <dc:description/>
  <cp:lastModifiedBy>Dalia Ilekyte</cp:lastModifiedBy>
  <cp:revision>6</cp:revision>
  <dcterms:created xsi:type="dcterms:W3CDTF">2022-02-23T13:36:00Z</dcterms:created>
  <dcterms:modified xsi:type="dcterms:W3CDTF">2022-02-24T08:34:00Z</dcterms:modified>
</cp:coreProperties>
</file>