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C9B" w:rsidRPr="00324116" w:rsidRDefault="00F66C9B" w:rsidP="00F66C9B">
      <w:pPr>
        <w:spacing w:before="120"/>
        <w:jc w:val="right"/>
        <w:rPr>
          <w:sz w:val="22"/>
          <w:lang w:val="lt-LT"/>
        </w:rPr>
      </w:pPr>
      <w:r w:rsidRPr="00324116">
        <w:rPr>
          <w:sz w:val="22"/>
          <w:lang w:val="lt-LT"/>
        </w:rPr>
        <w:t>202</w:t>
      </w:r>
      <w:r>
        <w:rPr>
          <w:sz w:val="22"/>
          <w:lang w:val="lt-LT"/>
        </w:rPr>
        <w:t>2</w:t>
      </w:r>
      <w:r w:rsidRPr="00324116">
        <w:rPr>
          <w:sz w:val="22"/>
          <w:lang w:val="lt-LT"/>
        </w:rPr>
        <w:t xml:space="preserve"> m. </w:t>
      </w:r>
      <w:r>
        <w:rPr>
          <w:sz w:val="22"/>
          <w:lang w:val="lt-LT"/>
        </w:rPr>
        <w:t>vasario</w:t>
      </w:r>
      <w:r w:rsidRPr="00324116">
        <w:rPr>
          <w:sz w:val="22"/>
          <w:lang w:val="lt-LT"/>
        </w:rPr>
        <w:t xml:space="preserve"> 2</w:t>
      </w:r>
      <w:r>
        <w:rPr>
          <w:sz w:val="22"/>
          <w:lang w:val="lt-LT"/>
        </w:rPr>
        <w:t>5</w:t>
      </w:r>
      <w:r w:rsidRPr="00324116">
        <w:rPr>
          <w:sz w:val="22"/>
          <w:lang w:val="lt-LT"/>
        </w:rPr>
        <w:t xml:space="preserve"> d., Vilnius</w:t>
      </w:r>
    </w:p>
    <w:p w:rsidR="00F66C9B" w:rsidRPr="00324116" w:rsidRDefault="00F66C9B" w:rsidP="00F66C9B">
      <w:pPr>
        <w:rPr>
          <w:lang w:val="lt-LT"/>
        </w:rPr>
      </w:pPr>
    </w:p>
    <w:p w:rsidR="00C42C86" w:rsidRPr="00324116" w:rsidRDefault="00C42C86" w:rsidP="00F66C9B">
      <w:pPr>
        <w:rPr>
          <w:lang w:val="lt-LT"/>
        </w:rPr>
      </w:pPr>
    </w:p>
    <w:p w:rsidR="00F66C9B" w:rsidRPr="00324116" w:rsidRDefault="00F66C9B" w:rsidP="00B47EAB">
      <w:pPr>
        <w:tabs>
          <w:tab w:val="center" w:pos="4487"/>
        </w:tabs>
        <w:rPr>
          <w:lang w:val="lt-LT"/>
        </w:rPr>
      </w:pPr>
    </w:p>
    <w:p w:rsidR="00F66C9B" w:rsidRPr="00324116" w:rsidRDefault="00F66C9B" w:rsidP="00F66C9B">
      <w:pPr>
        <w:outlineLvl w:val="1"/>
        <w:rPr>
          <w:b/>
          <w:caps/>
          <w:sz w:val="24"/>
          <w:lang w:val="lt-LT"/>
        </w:rPr>
      </w:pPr>
      <w:r w:rsidRPr="00324116">
        <w:rPr>
          <w:b/>
          <w:caps/>
          <w:sz w:val="24"/>
          <w:lang w:val="lt-LT"/>
        </w:rPr>
        <w:t xml:space="preserve">DARBO UŽMOKESTIS ŠALYJE </w:t>
      </w:r>
    </w:p>
    <w:p w:rsidR="00F66C9B" w:rsidRPr="00324116" w:rsidRDefault="00F66C9B" w:rsidP="00F66C9B">
      <w:pPr>
        <w:outlineLvl w:val="1"/>
        <w:rPr>
          <w:caps/>
          <w:lang w:val="lt-LT"/>
        </w:rPr>
      </w:pPr>
    </w:p>
    <w:p w:rsidR="00F66C9B" w:rsidRPr="00324116" w:rsidRDefault="00F66C9B" w:rsidP="00F66C9B">
      <w:pPr>
        <w:outlineLvl w:val="1"/>
        <w:rPr>
          <w:b/>
          <w:lang w:val="lt-LT"/>
        </w:rPr>
      </w:pPr>
      <w:proofErr w:type="spellStart"/>
      <w:r w:rsidRPr="00B47EAB">
        <w:rPr>
          <w:b/>
          <w:color w:val="70AD47" w:themeColor="accent6"/>
          <w:lang w:val="lt-LT"/>
        </w:rPr>
        <w:t>Bruto</w:t>
      </w:r>
      <w:proofErr w:type="spellEnd"/>
      <w:r w:rsidRPr="00B47EAB">
        <w:rPr>
          <w:b/>
          <w:color w:val="70AD47" w:themeColor="accent6"/>
          <w:lang w:val="lt-LT"/>
        </w:rPr>
        <w:t xml:space="preserve"> darbo užmokestis </w:t>
      </w:r>
      <w:r w:rsidRPr="00324116">
        <w:rPr>
          <w:b/>
          <w:lang w:val="lt-LT"/>
        </w:rPr>
        <w:t xml:space="preserve">šalies ūkyje per 2021 m. </w:t>
      </w:r>
      <w:r>
        <w:rPr>
          <w:b/>
          <w:lang w:val="lt-LT"/>
        </w:rPr>
        <w:t>ketvirtąjį</w:t>
      </w:r>
      <w:r w:rsidRPr="00324116">
        <w:rPr>
          <w:b/>
          <w:lang w:val="lt-LT"/>
        </w:rPr>
        <w:t xml:space="preserve"> ketvirtį išaugo </w:t>
      </w:r>
      <w:r>
        <w:rPr>
          <w:b/>
          <w:lang w:val="lt-LT"/>
        </w:rPr>
        <w:t>5,1</w:t>
      </w:r>
      <w:r w:rsidRPr="00324116">
        <w:rPr>
          <w:b/>
          <w:lang w:val="lt-LT"/>
        </w:rPr>
        <w:t> proc.</w:t>
      </w:r>
    </w:p>
    <w:p w:rsidR="00F66C9B" w:rsidRPr="00F66C9B" w:rsidRDefault="00F66C9B" w:rsidP="006544FB">
      <w:pPr>
        <w:pStyle w:val="ListParagraph"/>
        <w:numPr>
          <w:ilvl w:val="0"/>
          <w:numId w:val="4"/>
        </w:numPr>
        <w:spacing w:before="120" w:after="120"/>
        <w:ind w:left="568" w:hanging="284"/>
        <w:contextualSpacing w:val="0"/>
        <w:jc w:val="both"/>
        <w:rPr>
          <w:rFonts w:cs="Arial"/>
          <w:color w:val="000000" w:themeColor="text1"/>
          <w:lang w:val="lt-LT" w:eastAsia="lt-LT"/>
        </w:rPr>
      </w:pPr>
      <w:r w:rsidRPr="00F66C9B">
        <w:rPr>
          <w:color w:val="000000" w:themeColor="text1"/>
          <w:lang w:val="lt-LT"/>
        </w:rPr>
        <w:t xml:space="preserve">Vidutinis mėnesinis </w:t>
      </w:r>
      <w:proofErr w:type="spellStart"/>
      <w:r w:rsidRPr="00F66C9B">
        <w:rPr>
          <w:color w:val="000000" w:themeColor="text1"/>
          <w:lang w:val="lt-LT"/>
        </w:rPr>
        <w:t>bruto</w:t>
      </w:r>
      <w:proofErr w:type="spellEnd"/>
      <w:r w:rsidRPr="00F66C9B">
        <w:rPr>
          <w:color w:val="000000" w:themeColor="text1"/>
          <w:lang w:val="lt-LT"/>
        </w:rPr>
        <w:t xml:space="preserve"> (neatskaičius darbuotojo mokesčių) darbo </w:t>
      </w:r>
      <w:r w:rsidRPr="00F66C9B">
        <w:rPr>
          <w:rFonts w:cs="Arial"/>
          <w:color w:val="000000" w:themeColor="text1"/>
          <w:lang w:val="lt-LT"/>
        </w:rPr>
        <w:t>užmokestis</w:t>
      </w:r>
      <w:r w:rsidRPr="00F66C9B">
        <w:rPr>
          <w:rFonts w:eastAsia="Calibri" w:cs="Arial"/>
          <w:color w:val="000000" w:themeColor="text1"/>
          <w:lang w:val="lt-LT"/>
        </w:rPr>
        <w:t xml:space="preserve"> </w:t>
      </w:r>
      <w:r w:rsidRPr="00F66C9B">
        <w:rPr>
          <w:color w:val="000000" w:themeColor="text1"/>
          <w:lang w:val="lt-LT"/>
        </w:rPr>
        <w:t xml:space="preserve">šalies ūkyje </w:t>
      </w:r>
      <w:r w:rsidRPr="00F66C9B">
        <w:rPr>
          <w:rFonts w:eastAsia="Calibri" w:cs="Arial"/>
          <w:color w:val="000000" w:themeColor="text1"/>
          <w:lang w:val="lt-LT"/>
        </w:rPr>
        <w:t>(</w:t>
      </w:r>
      <w:r w:rsidRPr="00F66C9B">
        <w:rPr>
          <w:rFonts w:cs="Arial"/>
          <w:color w:val="000000" w:themeColor="text1"/>
          <w:lang w:val="lt-LT"/>
        </w:rPr>
        <w:t>be individualiųjų</w:t>
      </w:r>
      <w:r w:rsidRPr="00F66C9B">
        <w:rPr>
          <w:color w:val="000000" w:themeColor="text1"/>
          <w:lang w:val="lt-LT"/>
        </w:rPr>
        <w:t xml:space="preserve"> įmonių) 2021 m. ketvirtąjį</w:t>
      </w:r>
      <w:r w:rsidRPr="00B47EAB">
        <w:rPr>
          <w:color w:val="000000" w:themeColor="text1"/>
          <w:lang w:val="lt-LT"/>
        </w:rPr>
        <w:t xml:space="preserve"> </w:t>
      </w:r>
      <w:r w:rsidRPr="00F66C9B">
        <w:rPr>
          <w:color w:val="000000" w:themeColor="text1"/>
          <w:lang w:val="lt-LT"/>
        </w:rPr>
        <w:t xml:space="preserve">ketvirtį sudarė 1 679,3 EUR ir, palyginti su 2021 m. trečiuoju ketvirčiu, išaugo 5,1 proc.: </w:t>
      </w:r>
      <w:r w:rsidRPr="00B47EAB">
        <w:rPr>
          <w:color w:val="70AD47" w:themeColor="accent6"/>
          <w:lang w:val="lt-LT"/>
        </w:rPr>
        <w:t xml:space="preserve">viešajame sektoriuje </w:t>
      </w:r>
      <w:r w:rsidRPr="00F66C9B">
        <w:rPr>
          <w:color w:val="000000" w:themeColor="text1"/>
          <w:lang w:val="lt-LT"/>
        </w:rPr>
        <w:t xml:space="preserve">vidutinis mėnesinis </w:t>
      </w:r>
      <w:proofErr w:type="spellStart"/>
      <w:r w:rsidRPr="00F66C9B">
        <w:rPr>
          <w:color w:val="000000" w:themeColor="text1"/>
          <w:lang w:val="lt-LT"/>
        </w:rPr>
        <w:t>bruto</w:t>
      </w:r>
      <w:proofErr w:type="spellEnd"/>
      <w:r w:rsidRPr="00F66C9B">
        <w:rPr>
          <w:color w:val="000000" w:themeColor="text1"/>
          <w:lang w:val="lt-LT"/>
        </w:rPr>
        <w:t xml:space="preserve"> darbo užmokestis sudarė 1 816,6 EUR ir buvo 8,5 proc. didesnis, privačiajame – 1 620,1 EUR ir buvo 3,5 proc. didesnis.</w:t>
      </w:r>
    </w:p>
    <w:p w:rsidR="00F66C9B" w:rsidRPr="00F66C9B" w:rsidRDefault="00F66C9B" w:rsidP="006544FB">
      <w:pPr>
        <w:pStyle w:val="ListParagraph"/>
        <w:numPr>
          <w:ilvl w:val="0"/>
          <w:numId w:val="4"/>
        </w:numPr>
        <w:spacing w:before="120" w:after="120"/>
        <w:ind w:left="568" w:hanging="284"/>
        <w:contextualSpacing w:val="0"/>
        <w:jc w:val="both"/>
        <w:rPr>
          <w:rFonts w:cs="Arial"/>
          <w:color w:val="000000" w:themeColor="text1"/>
          <w:lang w:val="lt-LT"/>
        </w:rPr>
      </w:pPr>
      <w:r w:rsidRPr="00F66C9B">
        <w:rPr>
          <w:color w:val="000000" w:themeColor="text1"/>
          <w:lang w:val="lt-LT"/>
        </w:rPr>
        <w:t xml:space="preserve">Vidutinis mėnesinis </w:t>
      </w:r>
      <w:proofErr w:type="spellStart"/>
      <w:r w:rsidRPr="00F66C9B">
        <w:rPr>
          <w:color w:val="000000" w:themeColor="text1"/>
          <w:lang w:val="lt-LT"/>
        </w:rPr>
        <w:t>bruto</w:t>
      </w:r>
      <w:proofErr w:type="spellEnd"/>
      <w:r w:rsidRPr="00F66C9B">
        <w:rPr>
          <w:color w:val="000000" w:themeColor="text1"/>
          <w:lang w:val="lt-LT"/>
        </w:rPr>
        <w:t xml:space="preserve"> darbo užmokestis šalies ūkyje 2021 m. ketvirtąjį</w:t>
      </w:r>
      <w:r w:rsidRPr="00F66C9B" w:rsidDel="0011170A">
        <w:rPr>
          <w:color w:val="000000" w:themeColor="text1"/>
          <w:lang w:val="lt-LT"/>
        </w:rPr>
        <w:t xml:space="preserve"> </w:t>
      </w:r>
      <w:r w:rsidRPr="00F66C9B">
        <w:rPr>
          <w:color w:val="000000" w:themeColor="text1"/>
          <w:lang w:val="lt-LT"/>
        </w:rPr>
        <w:t>ketvirtį išaugo visose veiklose, labiausiai kasybos ir karjerų eksploatavimo (11,2 proc.) veikloje, kitose veiklose padidėjo nuo 0,6 iki 11,1 proc.</w:t>
      </w:r>
    </w:p>
    <w:p w:rsidR="00F66C9B" w:rsidRPr="00F66C9B" w:rsidRDefault="00F66C9B" w:rsidP="006544FB">
      <w:pPr>
        <w:pStyle w:val="ListParagraph"/>
        <w:numPr>
          <w:ilvl w:val="0"/>
          <w:numId w:val="4"/>
        </w:numPr>
        <w:spacing w:before="120" w:after="120"/>
        <w:ind w:left="568" w:hanging="284"/>
        <w:contextualSpacing w:val="0"/>
        <w:jc w:val="both"/>
        <w:rPr>
          <w:rFonts w:cs="Arial"/>
          <w:color w:val="000000" w:themeColor="text1"/>
          <w:lang w:val="lt-LT"/>
        </w:rPr>
      </w:pPr>
      <w:r w:rsidRPr="00F66C9B">
        <w:rPr>
          <w:color w:val="000000" w:themeColor="text1"/>
          <w:lang w:val="lt-LT"/>
        </w:rPr>
        <w:t xml:space="preserve">Vidutinis mėnesinis </w:t>
      </w:r>
      <w:proofErr w:type="spellStart"/>
      <w:r w:rsidRPr="00B47EAB">
        <w:rPr>
          <w:color w:val="70AD47" w:themeColor="accent6"/>
          <w:lang w:val="lt-LT"/>
        </w:rPr>
        <w:t>neto</w:t>
      </w:r>
      <w:proofErr w:type="spellEnd"/>
      <w:r w:rsidRPr="00F66C9B">
        <w:rPr>
          <w:color w:val="000000" w:themeColor="text1"/>
          <w:lang w:val="lt-LT"/>
        </w:rPr>
        <w:t xml:space="preserve"> (atskaičius darbuotojo mokesčius) </w:t>
      </w:r>
      <w:r w:rsidRPr="00B47EAB">
        <w:rPr>
          <w:color w:val="70AD47" w:themeColor="accent6"/>
          <w:lang w:val="lt-LT"/>
        </w:rPr>
        <w:t xml:space="preserve">darbo užmokestis </w:t>
      </w:r>
      <w:r w:rsidRPr="00F66C9B">
        <w:rPr>
          <w:color w:val="000000" w:themeColor="text1"/>
          <w:lang w:val="lt-LT"/>
        </w:rPr>
        <w:t xml:space="preserve">šalies ūkyje sudarė 1 058,6 EUR ir, palyginti su 2021 m. trečiuoju ketvirčiu, padidėjo 4,6 proc.: viešajame sektoriuje jis sudarė 1 136,8 EUR ir buvo 7,7 proc. didesnis, privačiajame – 1 024,9 EUR ir buvo 3,1 proc. didesnis. </w:t>
      </w:r>
    </w:p>
    <w:p w:rsidR="00F66C9B" w:rsidRPr="00F66C9B" w:rsidRDefault="00F66C9B" w:rsidP="006544FB">
      <w:pPr>
        <w:pStyle w:val="ListParagraph"/>
        <w:numPr>
          <w:ilvl w:val="0"/>
          <w:numId w:val="4"/>
        </w:numPr>
        <w:spacing w:before="120" w:after="120"/>
        <w:ind w:left="568" w:hanging="284"/>
        <w:contextualSpacing w:val="0"/>
        <w:jc w:val="both"/>
        <w:rPr>
          <w:color w:val="000000" w:themeColor="text1"/>
          <w:sz w:val="28"/>
          <w:szCs w:val="28"/>
          <w:lang w:val="lt-LT"/>
        </w:rPr>
      </w:pPr>
      <w:r w:rsidRPr="00F66C9B">
        <w:rPr>
          <w:color w:val="000000" w:themeColor="text1"/>
          <w:lang w:val="lt-LT"/>
        </w:rPr>
        <w:t>Realusis darbo užmokestis 2021 m. ketvirtąjį</w:t>
      </w:r>
      <w:r w:rsidRPr="00F66C9B" w:rsidDel="0011170A">
        <w:rPr>
          <w:color w:val="000000" w:themeColor="text1"/>
          <w:lang w:val="lt-LT"/>
        </w:rPr>
        <w:t xml:space="preserve"> </w:t>
      </w:r>
      <w:r w:rsidRPr="00F66C9B">
        <w:rPr>
          <w:color w:val="000000" w:themeColor="text1"/>
          <w:lang w:val="lt-LT"/>
        </w:rPr>
        <w:t xml:space="preserve">ketvirtį, palyginti su 2021 m. trečiuoju ketvirčiu, šalies </w:t>
      </w:r>
      <w:r w:rsidRPr="00F66C9B">
        <w:rPr>
          <w:rFonts w:cs="Arial"/>
          <w:color w:val="000000" w:themeColor="text1"/>
          <w:lang w:val="lt-LT"/>
        </w:rPr>
        <w:t>ūkyje padidėjo 0,8</w:t>
      </w:r>
      <w:r w:rsidR="008E0DA6">
        <w:rPr>
          <w:rFonts w:cs="Arial"/>
          <w:color w:val="000000" w:themeColor="text1"/>
          <w:lang w:val="lt-LT"/>
        </w:rPr>
        <w:t> </w:t>
      </w:r>
      <w:r w:rsidRPr="00F66C9B">
        <w:rPr>
          <w:rFonts w:cs="Arial"/>
          <w:color w:val="000000" w:themeColor="text1"/>
          <w:lang w:val="lt-LT"/>
        </w:rPr>
        <w:t>proc.: viešajame sektoriuje buvo 3,8 proc. didesnis, privačiajame</w:t>
      </w:r>
      <w:r w:rsidR="0012218F">
        <w:rPr>
          <w:rFonts w:cs="Arial"/>
          <w:color w:val="000000" w:themeColor="text1"/>
          <w:lang w:val="lt-LT"/>
        </w:rPr>
        <w:t> </w:t>
      </w:r>
      <w:r w:rsidRPr="00F66C9B">
        <w:rPr>
          <w:rFonts w:cs="Arial"/>
          <w:color w:val="000000" w:themeColor="text1"/>
          <w:lang w:val="lt-LT"/>
        </w:rPr>
        <w:t>– sumažėjo 0,7 proc.</w:t>
      </w:r>
    </w:p>
    <w:p w:rsidR="00F66C9B" w:rsidRPr="00596419" w:rsidRDefault="00F66C9B" w:rsidP="006544FB">
      <w:pPr>
        <w:pStyle w:val="Pagrtekstas"/>
        <w:numPr>
          <w:ilvl w:val="0"/>
          <w:numId w:val="1"/>
        </w:numPr>
        <w:spacing w:before="120" w:after="120"/>
        <w:ind w:left="568" w:hanging="284"/>
        <w:rPr>
          <w:lang w:val="lt-LT"/>
        </w:rPr>
      </w:pPr>
      <w:r w:rsidRPr="00F66C9B">
        <w:rPr>
          <w:color w:val="000000" w:themeColor="text1"/>
          <w:lang w:val="lt-LT"/>
        </w:rPr>
        <w:t>Darbo užmokesčio pokyčiams 2021 m. ketvirtąjį</w:t>
      </w:r>
      <w:r w:rsidRPr="00F66C9B" w:rsidDel="0011170A">
        <w:rPr>
          <w:color w:val="000000" w:themeColor="text1"/>
          <w:lang w:val="lt-LT"/>
        </w:rPr>
        <w:t xml:space="preserve"> </w:t>
      </w:r>
      <w:r w:rsidRPr="00F66C9B">
        <w:rPr>
          <w:color w:val="000000" w:themeColor="text1"/>
          <w:lang w:val="lt-LT"/>
        </w:rPr>
        <w:t xml:space="preserve">ketvirtį įtakos turėjo </w:t>
      </w:r>
      <w:r w:rsidRPr="00F66C9B">
        <w:rPr>
          <w:color w:val="000000" w:themeColor="text1"/>
          <w:spacing w:val="-2"/>
          <w:lang w:val="lt-LT"/>
        </w:rPr>
        <w:t>sezoniniai svyravimai,</w:t>
      </w:r>
      <w:r w:rsidRPr="00F66C9B">
        <w:rPr>
          <w:color w:val="000000" w:themeColor="text1"/>
          <w:lang w:val="lt-LT"/>
        </w:rPr>
        <w:t xml:space="preserve"> išmokėtos didesnės </w:t>
      </w:r>
      <w:r w:rsidRPr="00596419">
        <w:rPr>
          <w:color w:val="000000" w:themeColor="text1"/>
          <w:lang w:val="lt-LT"/>
        </w:rPr>
        <w:t xml:space="preserve">vienkartinės premijos, priedai ir piniginės </w:t>
      </w:r>
      <w:r w:rsidRPr="00596419">
        <w:rPr>
          <w:lang w:val="lt-LT"/>
        </w:rPr>
        <w:t xml:space="preserve">išmokos </w:t>
      </w:r>
      <w:r>
        <w:rPr>
          <w:lang w:val="lt-LT"/>
        </w:rPr>
        <w:t>bei</w:t>
      </w:r>
      <w:r w:rsidRPr="00596419">
        <w:rPr>
          <w:lang w:val="lt-LT"/>
        </w:rPr>
        <w:t xml:space="preserve"> kitos priežastys. </w:t>
      </w:r>
    </w:p>
    <w:p w:rsidR="00F66C9B" w:rsidRPr="00F66C9B" w:rsidRDefault="00F66C9B" w:rsidP="006544FB">
      <w:pPr>
        <w:spacing w:before="120" w:after="120"/>
        <w:ind w:left="568" w:hanging="284"/>
        <w:jc w:val="both"/>
        <w:rPr>
          <w:lang w:val="lt-LT"/>
        </w:rPr>
      </w:pPr>
    </w:p>
    <w:p w:rsidR="00F66C9B" w:rsidRPr="00324116" w:rsidRDefault="00F66C9B" w:rsidP="00F66C9B">
      <w:pPr>
        <w:ind w:right="-113"/>
        <w:rPr>
          <w:b/>
          <w:lang w:val="lt-LT" w:eastAsia="lt-LT"/>
        </w:rPr>
      </w:pPr>
      <w:r w:rsidRPr="00324116">
        <w:rPr>
          <w:b/>
          <w:lang w:val="lt-LT" w:eastAsia="lt-LT"/>
        </w:rPr>
        <w:t>1 pav. Vidutinis mėnesinis darbo užmokestis</w:t>
      </w:r>
      <w:r w:rsidRPr="00324116">
        <w:rPr>
          <w:b/>
          <w:vertAlign w:val="superscript"/>
          <w:lang w:val="lt-LT" w:eastAsia="lt-LT"/>
        </w:rPr>
        <w:t xml:space="preserve">1 </w:t>
      </w:r>
      <w:r w:rsidRPr="00324116">
        <w:rPr>
          <w:b/>
          <w:lang w:val="lt-LT" w:eastAsia="lt-LT"/>
        </w:rPr>
        <w:t xml:space="preserve">ir </w:t>
      </w:r>
      <w:r w:rsidRPr="00B47EAB">
        <w:rPr>
          <w:b/>
          <w:color w:val="70AD47" w:themeColor="accent6"/>
          <w:lang w:val="lt-LT"/>
        </w:rPr>
        <w:t>realiojo darbo užmokesčio</w:t>
      </w:r>
      <w:r w:rsidRPr="00B47EAB">
        <w:rPr>
          <w:b/>
          <w:color w:val="70AD47" w:themeColor="accent6"/>
          <w:lang w:val="lt-LT" w:eastAsia="lt-LT"/>
        </w:rPr>
        <w:t xml:space="preserve"> indeksai </w:t>
      </w:r>
      <w:r w:rsidRPr="00324116">
        <w:rPr>
          <w:b/>
          <w:lang w:val="lt-LT" w:eastAsia="lt-LT"/>
        </w:rPr>
        <w:t>šalies ūkyje ketvirčiais</w:t>
      </w:r>
    </w:p>
    <w:p w:rsidR="00F66C9B" w:rsidRPr="00324116" w:rsidRDefault="00F66C9B" w:rsidP="00F66C9B">
      <w:pPr>
        <w:rPr>
          <w:sz w:val="18"/>
          <w:szCs w:val="18"/>
          <w:lang w:val="lt-LT"/>
        </w:rPr>
      </w:pPr>
      <w:r w:rsidRPr="00324116">
        <w:rPr>
          <w:noProof/>
          <w:sz w:val="16"/>
          <w:szCs w:val="16"/>
          <w:lang w:val="lt-LT" w:eastAsia="lt-LT"/>
        </w:rPr>
        <w:drawing>
          <wp:inline distT="0" distB="0" distL="0" distR="0" wp14:anchorId="177C51BB" wp14:editId="17583074">
            <wp:extent cx="6480000" cy="2844000"/>
            <wp:effectExtent l="0" t="0" r="0" b="0"/>
            <wp:docPr id="2" name="Objec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324116">
        <w:rPr>
          <w:sz w:val="18"/>
          <w:szCs w:val="18"/>
          <w:lang w:val="lt-LT"/>
        </w:rPr>
        <w:t>______________________</w:t>
      </w:r>
    </w:p>
    <w:p w:rsidR="00F66C9B" w:rsidRPr="00324116" w:rsidRDefault="00F66C9B" w:rsidP="00F66C9B">
      <w:pPr>
        <w:jc w:val="both"/>
        <w:rPr>
          <w:rFonts w:cs="Arial"/>
          <w:sz w:val="18"/>
          <w:szCs w:val="18"/>
          <w:lang w:val="lt-LT"/>
        </w:rPr>
      </w:pPr>
      <w:r w:rsidRPr="00324116">
        <w:rPr>
          <w:sz w:val="18"/>
          <w:szCs w:val="18"/>
          <w:vertAlign w:val="superscript"/>
          <w:lang w:val="lt-LT"/>
        </w:rPr>
        <w:t>1</w:t>
      </w:r>
      <w:r w:rsidRPr="00324116">
        <w:rPr>
          <w:sz w:val="18"/>
          <w:szCs w:val="18"/>
          <w:lang w:val="lt-LT"/>
        </w:rPr>
        <w:t> </w:t>
      </w:r>
      <w:r w:rsidRPr="00324116">
        <w:rPr>
          <w:rFonts w:cs="Arial"/>
          <w:sz w:val="18"/>
          <w:szCs w:val="18"/>
          <w:lang w:val="lt-LT"/>
        </w:rPr>
        <w:t xml:space="preserve">Be individualiųjų įmonių. </w:t>
      </w:r>
    </w:p>
    <w:p w:rsidR="00F66C9B" w:rsidRPr="00324116" w:rsidRDefault="00F66C9B" w:rsidP="00F66C9B">
      <w:pPr>
        <w:rPr>
          <w:lang w:val="lt-LT" w:eastAsia="lt-LT"/>
        </w:rPr>
      </w:pPr>
    </w:p>
    <w:p w:rsidR="00F66C9B" w:rsidRPr="00324116" w:rsidRDefault="00F66C9B" w:rsidP="00F66C9B">
      <w:pPr>
        <w:spacing w:after="120"/>
        <w:outlineLvl w:val="1"/>
        <w:rPr>
          <w:b/>
          <w:lang w:val="lt-LT"/>
        </w:rPr>
      </w:pPr>
      <w:r w:rsidRPr="00324116">
        <w:rPr>
          <w:b/>
          <w:lang w:val="lt-LT"/>
        </w:rPr>
        <w:t xml:space="preserve">Per metus </w:t>
      </w:r>
      <w:proofErr w:type="spellStart"/>
      <w:r w:rsidRPr="00324116">
        <w:rPr>
          <w:b/>
          <w:lang w:val="lt-LT"/>
        </w:rPr>
        <w:t>bruto</w:t>
      </w:r>
      <w:proofErr w:type="spellEnd"/>
      <w:r w:rsidRPr="00324116">
        <w:rPr>
          <w:b/>
          <w:lang w:val="lt-LT"/>
        </w:rPr>
        <w:t xml:space="preserve"> darbo užmokestis šalies ūkyje išaugo </w:t>
      </w:r>
      <w:r>
        <w:rPr>
          <w:b/>
          <w:lang w:val="lt-LT"/>
        </w:rPr>
        <w:t>10,2</w:t>
      </w:r>
      <w:r w:rsidRPr="00324116">
        <w:rPr>
          <w:b/>
          <w:lang w:val="lt-LT"/>
        </w:rPr>
        <w:t> proc.</w:t>
      </w:r>
    </w:p>
    <w:p w:rsidR="00F66C9B" w:rsidRPr="00324116" w:rsidRDefault="00F66C9B" w:rsidP="00F66C9B">
      <w:pPr>
        <w:numPr>
          <w:ilvl w:val="0"/>
          <w:numId w:val="2"/>
        </w:numPr>
        <w:spacing w:after="120"/>
        <w:ind w:left="568" w:hanging="284"/>
        <w:jc w:val="both"/>
        <w:rPr>
          <w:lang w:val="lt-LT"/>
        </w:rPr>
      </w:pPr>
      <w:r w:rsidRPr="00324116">
        <w:rPr>
          <w:lang w:val="lt-LT"/>
        </w:rPr>
        <w:t xml:space="preserve">Vidutinis mėnesinis </w:t>
      </w:r>
      <w:proofErr w:type="spellStart"/>
      <w:r w:rsidRPr="00324116">
        <w:rPr>
          <w:lang w:val="lt-LT"/>
        </w:rPr>
        <w:t>bruto</w:t>
      </w:r>
      <w:proofErr w:type="spellEnd"/>
      <w:r w:rsidRPr="00324116">
        <w:rPr>
          <w:lang w:val="lt-LT"/>
        </w:rPr>
        <w:t xml:space="preserve"> darbo užmokestis 2021 m. </w:t>
      </w:r>
      <w:r>
        <w:rPr>
          <w:lang w:val="lt-LT"/>
        </w:rPr>
        <w:t>ketvirtąjį</w:t>
      </w:r>
      <w:r w:rsidRPr="00324116">
        <w:rPr>
          <w:lang w:val="lt-LT"/>
        </w:rPr>
        <w:t xml:space="preserve"> ketvirtį, palyginti su 2020 m. </w:t>
      </w:r>
      <w:r>
        <w:rPr>
          <w:lang w:val="lt-LT"/>
        </w:rPr>
        <w:t>ketvirtuoju</w:t>
      </w:r>
      <w:r w:rsidRPr="00324116">
        <w:rPr>
          <w:lang w:val="lt-LT"/>
        </w:rPr>
        <w:t xml:space="preserve"> ketvirčiu, šalies ūkyje padidėjo </w:t>
      </w:r>
      <w:r>
        <w:rPr>
          <w:lang w:val="lt-LT"/>
        </w:rPr>
        <w:t>10,2</w:t>
      </w:r>
      <w:r w:rsidRPr="00324116">
        <w:rPr>
          <w:lang w:val="lt-LT"/>
        </w:rPr>
        <w:t xml:space="preserve"> proc.: viešajame sektoriuje – </w:t>
      </w:r>
      <w:r>
        <w:rPr>
          <w:lang w:val="lt-LT"/>
        </w:rPr>
        <w:t>7,7</w:t>
      </w:r>
      <w:r w:rsidRPr="00324116">
        <w:rPr>
          <w:lang w:val="lt-LT"/>
        </w:rPr>
        <w:t> proc., privačiajame – 1</w:t>
      </w:r>
      <w:r>
        <w:rPr>
          <w:lang w:val="lt-LT"/>
        </w:rPr>
        <w:t>1,7</w:t>
      </w:r>
      <w:r w:rsidRPr="00324116">
        <w:rPr>
          <w:lang w:val="lt-LT"/>
        </w:rPr>
        <w:t> proc.</w:t>
      </w:r>
    </w:p>
    <w:p w:rsidR="00F66C9B" w:rsidRPr="00096FAC" w:rsidRDefault="00F66C9B" w:rsidP="00F66C9B">
      <w:pPr>
        <w:pStyle w:val="ListParagraph"/>
        <w:numPr>
          <w:ilvl w:val="0"/>
          <w:numId w:val="2"/>
        </w:numPr>
        <w:spacing w:after="120"/>
        <w:ind w:left="568" w:hanging="284"/>
        <w:jc w:val="both"/>
        <w:rPr>
          <w:lang w:val="lt-LT"/>
        </w:rPr>
      </w:pPr>
      <w:r w:rsidRPr="00096FAC">
        <w:rPr>
          <w:lang w:val="lt-LT"/>
        </w:rPr>
        <w:t xml:space="preserve">Vidutinis mėnesinis </w:t>
      </w:r>
      <w:proofErr w:type="spellStart"/>
      <w:r w:rsidRPr="00096FAC">
        <w:rPr>
          <w:lang w:val="lt-LT"/>
        </w:rPr>
        <w:t>bruto</w:t>
      </w:r>
      <w:proofErr w:type="spellEnd"/>
      <w:r w:rsidRPr="00096FAC">
        <w:rPr>
          <w:lang w:val="lt-LT"/>
        </w:rPr>
        <w:t xml:space="preserve"> darbo užmokestis per metus padidėjo visose ekonominės veiklos rūšių įmonėse,</w:t>
      </w:r>
      <w:r w:rsidRPr="00096FAC">
        <w:rPr>
          <w:rFonts w:eastAsia="Arial Unicode MS" w:cs="Arial"/>
          <w:bCs/>
          <w:lang w:val="lt-LT" w:eastAsia="en-GB"/>
        </w:rPr>
        <w:t xml:space="preserve"> </w:t>
      </w:r>
      <w:r w:rsidRPr="00096FAC">
        <w:rPr>
          <w:lang w:val="lt-LT"/>
        </w:rPr>
        <w:t>įstaigose ir organizacijose nuo 5,6 proc. (</w:t>
      </w:r>
      <w:r w:rsidR="00096FAC" w:rsidRPr="00096FAC">
        <w:rPr>
          <w:lang w:val="lt-LT"/>
        </w:rPr>
        <w:t>transporto ir saugojimo</w:t>
      </w:r>
      <w:r w:rsidRPr="00096FAC">
        <w:rPr>
          <w:rFonts w:cs="Arial"/>
          <w:bCs/>
          <w:lang w:val="lt-LT" w:eastAsia="en-GB"/>
        </w:rPr>
        <w:t xml:space="preserve">) iki </w:t>
      </w:r>
      <w:r w:rsidR="00096FAC" w:rsidRPr="00096FAC">
        <w:rPr>
          <w:rFonts w:cs="Arial"/>
          <w:bCs/>
          <w:lang w:val="lt-LT" w:eastAsia="en-GB"/>
        </w:rPr>
        <w:t>26,1</w:t>
      </w:r>
      <w:r w:rsidRPr="00096FAC">
        <w:rPr>
          <w:rFonts w:cs="Arial"/>
          <w:bCs/>
          <w:lang w:val="lt-LT" w:eastAsia="en-GB"/>
        </w:rPr>
        <w:t> proc. (apgyvendinimo ir maitinimo paslaugų veiklos).</w:t>
      </w:r>
    </w:p>
    <w:p w:rsidR="00F66C9B" w:rsidRPr="00324116" w:rsidRDefault="00F66C9B" w:rsidP="00F66C9B">
      <w:pPr>
        <w:numPr>
          <w:ilvl w:val="0"/>
          <w:numId w:val="2"/>
        </w:numPr>
        <w:spacing w:after="120"/>
        <w:ind w:left="568" w:hanging="284"/>
        <w:jc w:val="both"/>
        <w:rPr>
          <w:lang w:val="lt-LT"/>
        </w:rPr>
      </w:pPr>
      <w:r w:rsidRPr="00324116">
        <w:rPr>
          <w:lang w:val="lt-LT"/>
        </w:rPr>
        <w:t xml:space="preserve">Vidutinis mėnesinis </w:t>
      </w:r>
      <w:proofErr w:type="spellStart"/>
      <w:r w:rsidRPr="00324116">
        <w:rPr>
          <w:lang w:val="lt-LT"/>
        </w:rPr>
        <w:t>neto</w:t>
      </w:r>
      <w:proofErr w:type="spellEnd"/>
      <w:r w:rsidRPr="00324116">
        <w:rPr>
          <w:lang w:val="lt-LT"/>
        </w:rPr>
        <w:t xml:space="preserve"> darbo užmokestis per metus šalies ūkyje padidėjo 9,</w:t>
      </w:r>
      <w:r>
        <w:rPr>
          <w:lang w:val="lt-LT"/>
        </w:rPr>
        <w:t>4</w:t>
      </w:r>
      <w:r w:rsidRPr="00324116">
        <w:rPr>
          <w:lang w:val="lt-LT"/>
        </w:rPr>
        <w:t> proc.: viešajame sektoriuje – 7,</w:t>
      </w:r>
      <w:r>
        <w:rPr>
          <w:lang w:val="lt-LT"/>
        </w:rPr>
        <w:t>3</w:t>
      </w:r>
      <w:r w:rsidRPr="00324116">
        <w:rPr>
          <w:lang w:val="lt-LT"/>
        </w:rPr>
        <w:t xml:space="preserve"> proc., privačiajame – </w:t>
      </w:r>
      <w:r>
        <w:rPr>
          <w:lang w:val="lt-LT"/>
        </w:rPr>
        <w:t>10,7</w:t>
      </w:r>
      <w:r w:rsidRPr="00324116">
        <w:rPr>
          <w:lang w:val="lt-LT"/>
        </w:rPr>
        <w:t xml:space="preserve"> proc. </w:t>
      </w:r>
    </w:p>
    <w:p w:rsidR="00F66C9B" w:rsidRPr="00096FAC" w:rsidRDefault="00F66C9B" w:rsidP="00F66C9B">
      <w:pPr>
        <w:numPr>
          <w:ilvl w:val="0"/>
          <w:numId w:val="2"/>
        </w:numPr>
        <w:spacing w:after="120"/>
        <w:ind w:left="568" w:hanging="284"/>
        <w:jc w:val="both"/>
        <w:rPr>
          <w:lang w:val="lt-LT"/>
        </w:rPr>
      </w:pPr>
      <w:r w:rsidRPr="00096FAC">
        <w:rPr>
          <w:lang w:val="lt-LT"/>
        </w:rPr>
        <w:t>Realusis darbo užmokestis 2021 m. ketvirtąjį ketvirtį, palyginti su 2020 m. ketvirtuoju ketvirčiu, šalies ūkyje padidėjo 0,1 proc.: viešajame sektoriuje sumažėjo 1,8 proc., privačiajame išaugo 1,3 proc.</w:t>
      </w:r>
    </w:p>
    <w:p w:rsidR="00F66C9B" w:rsidRPr="00096FAC" w:rsidRDefault="00F66C9B" w:rsidP="00F66C9B">
      <w:pPr>
        <w:pStyle w:val="Pagrtekstas"/>
        <w:numPr>
          <w:ilvl w:val="0"/>
          <w:numId w:val="2"/>
        </w:numPr>
        <w:spacing w:before="120"/>
        <w:ind w:left="568" w:hanging="284"/>
        <w:rPr>
          <w:rFonts w:cs="Arial"/>
          <w:bCs/>
          <w:lang w:val="lt-LT" w:eastAsia="lt-LT"/>
        </w:rPr>
      </w:pPr>
      <w:r w:rsidRPr="00096FAC">
        <w:rPr>
          <w:rFonts w:cs="Arial"/>
          <w:lang w:val="lt-LT"/>
        </w:rPr>
        <w:t xml:space="preserve">Darbo užmokesčio pokyčiams įtakos turėjo </w:t>
      </w:r>
      <w:r w:rsidRPr="00096FAC">
        <w:rPr>
          <w:lang w:val="lt-LT"/>
        </w:rPr>
        <w:t xml:space="preserve">nuo 2021 m. sausio 1 d. </w:t>
      </w:r>
      <w:r w:rsidRPr="00096FAC">
        <w:rPr>
          <w:rFonts w:cs="Arial"/>
          <w:lang w:val="lt-LT"/>
        </w:rPr>
        <w:t>padidinta minimalioji mėnesinė alga, padidintas valstybės politikų, teisėjų, valstybės pareigūnų, valstybės tarnautojų ir biudžetinių įstaigų darbuotojų pareiginės algos bazinis dydis,</w:t>
      </w:r>
      <w:r w:rsidRPr="00096FAC">
        <w:rPr>
          <w:lang w:val="lt-LT"/>
        </w:rPr>
        <w:t xml:space="preserve"> pasikeitusi neapmokestinamojo pajamų dydžio skaičiavimo tvarka ir kitos priežastys. </w:t>
      </w:r>
    </w:p>
    <w:p w:rsidR="00F66C9B" w:rsidRPr="00324116" w:rsidRDefault="00F66C9B" w:rsidP="00F66C9B">
      <w:pPr>
        <w:rPr>
          <w:lang w:val="lt-LT"/>
        </w:rPr>
      </w:pPr>
    </w:p>
    <w:p w:rsidR="00F66C9B" w:rsidRPr="00324116" w:rsidRDefault="00F66C9B" w:rsidP="00F66C9B">
      <w:pPr>
        <w:spacing w:after="60"/>
        <w:rPr>
          <w:rFonts w:cs="Arial"/>
          <w:b/>
          <w:bCs/>
          <w:lang w:val="lt-LT" w:eastAsia="lt-LT"/>
        </w:rPr>
      </w:pPr>
      <w:r w:rsidRPr="00324116">
        <w:rPr>
          <w:rFonts w:cs="Arial"/>
          <w:b/>
          <w:bCs/>
          <w:lang w:val="lt-LT" w:eastAsia="lt-LT"/>
        </w:rPr>
        <w:t xml:space="preserve">2 pav. Vidutinio mėnesinio </w:t>
      </w:r>
      <w:proofErr w:type="spellStart"/>
      <w:r w:rsidRPr="00324116">
        <w:rPr>
          <w:rFonts w:cs="Arial"/>
          <w:b/>
          <w:bCs/>
          <w:lang w:val="lt-LT" w:eastAsia="lt-LT"/>
        </w:rPr>
        <w:t>bruto</w:t>
      </w:r>
      <w:proofErr w:type="spellEnd"/>
      <w:r w:rsidRPr="00324116">
        <w:rPr>
          <w:rFonts w:cs="Arial"/>
          <w:b/>
          <w:bCs/>
          <w:lang w:val="lt-LT" w:eastAsia="lt-LT"/>
        </w:rPr>
        <w:t xml:space="preserve"> darbo užmokesčio</w:t>
      </w:r>
      <w:r w:rsidRPr="00324116">
        <w:rPr>
          <w:rFonts w:cs="Arial"/>
          <w:b/>
          <w:bCs/>
          <w:vertAlign w:val="superscript"/>
          <w:lang w:val="lt-LT" w:eastAsia="lt-LT"/>
        </w:rPr>
        <w:t>2</w:t>
      </w:r>
      <w:r w:rsidRPr="00324116">
        <w:rPr>
          <w:rFonts w:cs="Arial"/>
          <w:b/>
          <w:bCs/>
          <w:lang w:val="lt-LT" w:eastAsia="lt-LT"/>
        </w:rPr>
        <w:t xml:space="preserve"> pokytis pagal sektorius ketvirčiais</w:t>
      </w:r>
    </w:p>
    <w:p w:rsidR="00F66C9B" w:rsidRPr="00324116" w:rsidRDefault="00F66C9B" w:rsidP="00F66C9B">
      <w:pPr>
        <w:spacing w:after="60"/>
        <w:rPr>
          <w:rFonts w:cs="Arial"/>
          <w:lang w:val="lt-LT" w:eastAsia="lt-LT"/>
        </w:rPr>
      </w:pPr>
      <w:r w:rsidRPr="00324116">
        <w:rPr>
          <w:rFonts w:cs="Arial"/>
          <w:lang w:val="lt-LT" w:eastAsia="lt-LT"/>
        </w:rPr>
        <w:t>Palyginti su atitinkamu praėjusių metų ketvirčiu, procentais</w:t>
      </w:r>
    </w:p>
    <w:p w:rsidR="00F66C9B" w:rsidRPr="00324116" w:rsidRDefault="00F66C9B" w:rsidP="00F66C9B">
      <w:pPr>
        <w:spacing w:after="60"/>
        <w:rPr>
          <w:rFonts w:cs="Arial"/>
          <w:lang w:val="lt-LT" w:eastAsia="lt-LT"/>
        </w:rPr>
      </w:pPr>
      <w:r w:rsidRPr="00324116">
        <w:rPr>
          <w:noProof/>
          <w:sz w:val="18"/>
          <w:szCs w:val="18"/>
          <w:lang w:val="lt-LT" w:eastAsia="lt-LT"/>
        </w:rPr>
        <w:drawing>
          <wp:inline distT="0" distB="0" distL="0" distR="0" wp14:anchorId="2D478A7D" wp14:editId="2C98A7AA">
            <wp:extent cx="6432605" cy="3059430"/>
            <wp:effectExtent l="0" t="0" r="6350" b="0"/>
            <wp:docPr id="1"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66C9B" w:rsidRPr="00324116" w:rsidRDefault="00F66C9B" w:rsidP="00F66C9B">
      <w:pPr>
        <w:rPr>
          <w:sz w:val="18"/>
          <w:szCs w:val="18"/>
          <w:lang w:val="lt-LT"/>
        </w:rPr>
      </w:pPr>
      <w:r w:rsidRPr="00324116">
        <w:rPr>
          <w:sz w:val="18"/>
          <w:szCs w:val="18"/>
          <w:lang w:val="lt-LT"/>
        </w:rPr>
        <w:t>______________________</w:t>
      </w:r>
    </w:p>
    <w:p w:rsidR="00F66C9B" w:rsidRPr="00324116" w:rsidRDefault="00F66C9B" w:rsidP="00F66C9B">
      <w:pPr>
        <w:rPr>
          <w:spacing w:val="-2"/>
          <w:sz w:val="18"/>
          <w:szCs w:val="18"/>
          <w:lang w:val="lt-LT"/>
        </w:rPr>
      </w:pPr>
      <w:r w:rsidRPr="00324116">
        <w:rPr>
          <w:sz w:val="18"/>
          <w:szCs w:val="18"/>
          <w:vertAlign w:val="superscript"/>
          <w:lang w:val="lt-LT"/>
        </w:rPr>
        <w:t>2</w:t>
      </w:r>
      <w:r w:rsidRPr="00324116">
        <w:rPr>
          <w:sz w:val="18"/>
          <w:szCs w:val="18"/>
          <w:lang w:val="lt-LT"/>
        </w:rPr>
        <w:t> </w:t>
      </w:r>
      <w:r w:rsidRPr="00324116">
        <w:rPr>
          <w:spacing w:val="-2"/>
          <w:sz w:val="18"/>
          <w:szCs w:val="18"/>
          <w:lang w:val="lt-LT"/>
        </w:rPr>
        <w:t xml:space="preserve">Be individualiųjų įmonių, </w:t>
      </w:r>
      <w:r w:rsidRPr="00324116">
        <w:rPr>
          <w:noProof/>
          <w:spacing w:val="-2"/>
          <w:sz w:val="18"/>
          <w:szCs w:val="18"/>
          <w:lang w:val="lt-LT" w:eastAsia="lt-LT"/>
        </w:rPr>
        <w:t>p</w:t>
      </w:r>
      <w:r w:rsidRPr="00324116">
        <w:rPr>
          <w:spacing w:val="-2"/>
          <w:sz w:val="18"/>
          <w:szCs w:val="18"/>
          <w:lang w:val="lt-LT"/>
        </w:rPr>
        <w:t xml:space="preserve">ašalinus nuo 2019 m. </w:t>
      </w:r>
      <w:proofErr w:type="spellStart"/>
      <w:r w:rsidRPr="00324116">
        <w:rPr>
          <w:spacing w:val="-2"/>
          <w:sz w:val="18"/>
          <w:szCs w:val="18"/>
          <w:lang w:val="lt-LT"/>
        </w:rPr>
        <w:t>bruto</w:t>
      </w:r>
      <w:proofErr w:type="spellEnd"/>
      <w:r w:rsidRPr="00324116">
        <w:rPr>
          <w:spacing w:val="-2"/>
          <w:sz w:val="18"/>
          <w:szCs w:val="18"/>
          <w:lang w:val="lt-LT"/>
        </w:rPr>
        <w:t xml:space="preserve"> darbo užmokesčio indeksavimo dėl įsigaliojusių mokesčių pasikeitimo įtaką.</w:t>
      </w:r>
    </w:p>
    <w:p w:rsidR="00F66C9B" w:rsidRPr="00324116" w:rsidRDefault="00F66C9B" w:rsidP="00F66C9B">
      <w:pPr>
        <w:rPr>
          <w:lang w:val="lt-LT"/>
        </w:rPr>
      </w:pPr>
    </w:p>
    <w:p w:rsidR="00F66C9B" w:rsidRPr="00096FAC" w:rsidRDefault="00F66C9B" w:rsidP="00F66C9B">
      <w:pPr>
        <w:spacing w:after="60"/>
        <w:rPr>
          <w:b/>
          <w:color w:val="000000" w:themeColor="text1"/>
          <w:lang w:val="lt-LT"/>
        </w:rPr>
      </w:pPr>
      <w:r w:rsidRPr="00096FAC">
        <w:rPr>
          <w:b/>
          <w:color w:val="000000" w:themeColor="text1"/>
          <w:lang w:val="lt-LT"/>
        </w:rPr>
        <w:t xml:space="preserve">3 pav. Vidutinis mėnesinis </w:t>
      </w:r>
      <w:proofErr w:type="spellStart"/>
      <w:r w:rsidRPr="00096FAC">
        <w:rPr>
          <w:b/>
          <w:color w:val="000000" w:themeColor="text1"/>
          <w:lang w:val="lt-LT"/>
        </w:rPr>
        <w:t>bruto</w:t>
      </w:r>
      <w:proofErr w:type="spellEnd"/>
      <w:r w:rsidRPr="00096FAC">
        <w:rPr>
          <w:b/>
          <w:color w:val="000000" w:themeColor="text1"/>
          <w:lang w:val="lt-LT"/>
        </w:rPr>
        <w:t xml:space="preserve"> darbo užmokestis</w:t>
      </w:r>
      <w:r w:rsidRPr="00096FAC">
        <w:rPr>
          <w:b/>
          <w:color w:val="000000" w:themeColor="text1"/>
          <w:vertAlign w:val="superscript"/>
          <w:lang w:val="lt-LT"/>
        </w:rPr>
        <w:t xml:space="preserve">3 </w:t>
      </w:r>
      <w:r w:rsidRPr="00096FAC">
        <w:rPr>
          <w:b/>
          <w:color w:val="000000" w:themeColor="text1"/>
          <w:lang w:val="lt-LT"/>
        </w:rPr>
        <w:t>šalies ūkyje pagal ekonominės veiklos rūšis</w:t>
      </w:r>
    </w:p>
    <w:p w:rsidR="00F66C9B" w:rsidRPr="00096FAC" w:rsidRDefault="00F66C9B" w:rsidP="00F66C9B">
      <w:pPr>
        <w:spacing w:after="60"/>
        <w:rPr>
          <w:color w:val="000000" w:themeColor="text1"/>
          <w:lang w:val="lt-LT"/>
        </w:rPr>
      </w:pPr>
      <w:r w:rsidRPr="00096FAC">
        <w:rPr>
          <w:color w:val="000000" w:themeColor="text1"/>
          <w:lang w:val="lt-LT"/>
        </w:rPr>
        <w:t>EUR</w:t>
      </w:r>
    </w:p>
    <w:p w:rsidR="00F66C9B" w:rsidRPr="00324116" w:rsidRDefault="00F66C9B" w:rsidP="00F66C9B">
      <w:pPr>
        <w:rPr>
          <w:b/>
          <w:lang w:val="lt-LT"/>
        </w:rPr>
      </w:pPr>
      <w:r w:rsidRPr="00324116">
        <w:rPr>
          <w:b/>
          <w:noProof/>
          <w:lang w:val="lt-LT" w:eastAsia="lt-LT"/>
        </w:rPr>
        <w:drawing>
          <wp:inline distT="0" distB="0" distL="0" distR="0" wp14:anchorId="7764FED2" wp14:editId="3977A7BF">
            <wp:extent cx="6480000" cy="30600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66C9B" w:rsidRPr="00324116" w:rsidRDefault="00F66C9B" w:rsidP="00F66C9B">
      <w:pPr>
        <w:rPr>
          <w:sz w:val="18"/>
          <w:szCs w:val="18"/>
          <w:lang w:val="lt-LT"/>
        </w:rPr>
      </w:pPr>
      <w:r w:rsidRPr="00324116">
        <w:rPr>
          <w:sz w:val="18"/>
          <w:szCs w:val="18"/>
          <w:lang w:val="lt-LT"/>
        </w:rPr>
        <w:t>______________________</w:t>
      </w:r>
    </w:p>
    <w:p w:rsidR="00F66C9B" w:rsidRPr="00324116" w:rsidRDefault="00F66C9B" w:rsidP="00F66C9B">
      <w:pPr>
        <w:jc w:val="both"/>
        <w:rPr>
          <w:rFonts w:cs="Arial"/>
          <w:i/>
          <w:sz w:val="18"/>
          <w:szCs w:val="18"/>
          <w:lang w:val="lt-LT" w:eastAsia="en-GB"/>
        </w:rPr>
      </w:pPr>
      <w:r w:rsidRPr="00324116">
        <w:rPr>
          <w:sz w:val="18"/>
          <w:szCs w:val="18"/>
          <w:vertAlign w:val="superscript"/>
          <w:lang w:val="lt-LT"/>
        </w:rPr>
        <w:t>3</w:t>
      </w:r>
      <w:r w:rsidRPr="00324116">
        <w:rPr>
          <w:sz w:val="18"/>
          <w:szCs w:val="18"/>
          <w:lang w:val="lt-LT"/>
        </w:rPr>
        <w:t> </w:t>
      </w:r>
      <w:r w:rsidRPr="00324116">
        <w:rPr>
          <w:rFonts w:cs="Arial"/>
          <w:sz w:val="18"/>
          <w:szCs w:val="18"/>
          <w:lang w:val="lt-LT"/>
        </w:rPr>
        <w:t>Be individualiųjų įmonių.</w:t>
      </w:r>
    </w:p>
    <w:p w:rsidR="00F66C9B" w:rsidRPr="00324116" w:rsidRDefault="00F66C9B" w:rsidP="00F66C9B">
      <w:pPr>
        <w:rPr>
          <w:lang w:val="lt-LT"/>
        </w:rPr>
      </w:pPr>
    </w:p>
    <w:p w:rsidR="00F66C9B" w:rsidRPr="00324116" w:rsidRDefault="00F66C9B" w:rsidP="00F66C9B">
      <w:pPr>
        <w:keepNext/>
        <w:keepLines/>
        <w:rPr>
          <w:rFonts w:cs="Arial"/>
          <w:b/>
          <w:bCs/>
          <w:lang w:val="lt-LT" w:eastAsia="lt-LT"/>
        </w:rPr>
      </w:pPr>
      <w:r w:rsidRPr="00324116">
        <w:rPr>
          <w:rFonts w:cs="Arial"/>
          <w:b/>
          <w:bCs/>
          <w:lang w:val="lt-LT" w:eastAsia="lt-LT"/>
        </w:rPr>
        <w:t xml:space="preserve">4 pav. Vidutinio mėnesinio </w:t>
      </w:r>
      <w:proofErr w:type="spellStart"/>
      <w:r w:rsidRPr="00324116">
        <w:rPr>
          <w:rFonts w:cs="Arial"/>
          <w:b/>
          <w:bCs/>
          <w:lang w:val="lt-LT" w:eastAsia="lt-LT"/>
        </w:rPr>
        <w:t>bruto</w:t>
      </w:r>
      <w:proofErr w:type="spellEnd"/>
      <w:r w:rsidRPr="00324116">
        <w:rPr>
          <w:rFonts w:cs="Arial"/>
          <w:b/>
          <w:bCs/>
          <w:lang w:val="lt-LT" w:eastAsia="lt-LT"/>
        </w:rPr>
        <w:t xml:space="preserve"> darbo užmokesčio</w:t>
      </w:r>
      <w:r w:rsidRPr="00324116">
        <w:rPr>
          <w:rFonts w:cs="Arial"/>
          <w:b/>
          <w:bCs/>
          <w:vertAlign w:val="superscript"/>
          <w:lang w:val="lt-LT" w:eastAsia="lt-LT"/>
        </w:rPr>
        <w:t xml:space="preserve">4 </w:t>
      </w:r>
      <w:r w:rsidRPr="00324116">
        <w:rPr>
          <w:rFonts w:cs="Arial"/>
          <w:b/>
          <w:bCs/>
          <w:lang w:val="lt-LT" w:eastAsia="lt-LT"/>
        </w:rPr>
        <w:t xml:space="preserve">pokytis šalies ūkyje pagal ekonominės veiklos rūšis </w:t>
      </w:r>
    </w:p>
    <w:p w:rsidR="00F66C9B" w:rsidRPr="00324116" w:rsidRDefault="00F66C9B" w:rsidP="00F66C9B">
      <w:pPr>
        <w:keepNext/>
        <w:keepLines/>
        <w:rPr>
          <w:rFonts w:cs="Arial"/>
          <w:lang w:val="lt-LT" w:eastAsia="lt-LT"/>
        </w:rPr>
      </w:pPr>
      <w:r w:rsidRPr="00324116">
        <w:rPr>
          <w:rFonts w:cs="Arial"/>
          <w:lang w:val="lt-LT" w:eastAsia="lt-LT"/>
        </w:rPr>
        <w:t>2021 m. I</w:t>
      </w:r>
      <w:r>
        <w:rPr>
          <w:rFonts w:cs="Arial"/>
          <w:lang w:val="lt-LT" w:eastAsia="lt-LT"/>
        </w:rPr>
        <w:t>V</w:t>
      </w:r>
      <w:r w:rsidRPr="00324116">
        <w:rPr>
          <w:rFonts w:cs="Arial"/>
          <w:lang w:val="lt-LT" w:eastAsia="lt-LT"/>
        </w:rPr>
        <w:t xml:space="preserve"> ketvirtis, palyginti su ankstesniu ketvirčiu, procentais</w:t>
      </w:r>
    </w:p>
    <w:p w:rsidR="00F66C9B" w:rsidRPr="00324116" w:rsidRDefault="00F66C9B" w:rsidP="00F66C9B">
      <w:pPr>
        <w:keepNext/>
        <w:keepLines/>
        <w:spacing w:after="120"/>
        <w:rPr>
          <w:lang w:val="lt-LT"/>
        </w:rPr>
      </w:pPr>
      <w:r w:rsidRPr="00324116">
        <w:rPr>
          <w:noProof/>
          <w:lang w:val="lt-LT" w:eastAsia="lt-LT"/>
        </w:rPr>
        <w:drawing>
          <wp:inline distT="0" distB="0" distL="0" distR="0" wp14:anchorId="6011A5BF" wp14:editId="20108D25">
            <wp:extent cx="6478270" cy="2584174"/>
            <wp:effectExtent l="0" t="0" r="0" b="6985"/>
            <wp:docPr id="5" name="Objec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66C9B" w:rsidRPr="00324116" w:rsidRDefault="00F66C9B" w:rsidP="00F66C9B">
      <w:pPr>
        <w:rPr>
          <w:sz w:val="18"/>
          <w:szCs w:val="18"/>
          <w:lang w:val="lt-LT"/>
        </w:rPr>
      </w:pPr>
      <w:r w:rsidRPr="00324116">
        <w:rPr>
          <w:sz w:val="18"/>
          <w:szCs w:val="18"/>
          <w:lang w:val="lt-LT"/>
        </w:rPr>
        <w:t>______________________</w:t>
      </w:r>
    </w:p>
    <w:p w:rsidR="00F66C9B" w:rsidRPr="00324116" w:rsidRDefault="00F66C9B" w:rsidP="00F66C9B">
      <w:pPr>
        <w:rPr>
          <w:sz w:val="18"/>
          <w:szCs w:val="18"/>
          <w:lang w:val="lt-LT"/>
        </w:rPr>
      </w:pPr>
      <w:r w:rsidRPr="00324116">
        <w:rPr>
          <w:sz w:val="18"/>
          <w:szCs w:val="18"/>
          <w:vertAlign w:val="superscript"/>
          <w:lang w:val="lt-LT"/>
        </w:rPr>
        <w:t>4</w:t>
      </w:r>
      <w:r w:rsidRPr="00324116">
        <w:rPr>
          <w:sz w:val="18"/>
          <w:szCs w:val="18"/>
          <w:lang w:val="lt-LT"/>
        </w:rPr>
        <w:t> Be individualiųjų įmonių.</w:t>
      </w:r>
    </w:p>
    <w:p w:rsidR="00F66C9B" w:rsidRPr="00324116" w:rsidRDefault="00F66C9B" w:rsidP="00F66C9B">
      <w:pPr>
        <w:rPr>
          <w:sz w:val="16"/>
          <w:szCs w:val="16"/>
          <w:lang w:val="lt-LT"/>
        </w:rPr>
      </w:pPr>
    </w:p>
    <w:p w:rsidR="00F66C9B" w:rsidRPr="00324116" w:rsidRDefault="00F66C9B" w:rsidP="00F66C9B">
      <w:pPr>
        <w:spacing w:after="120"/>
        <w:rPr>
          <w:rFonts w:cs="Arial"/>
          <w:lang w:val="lt-LT" w:eastAsia="lt-LT"/>
        </w:rPr>
      </w:pPr>
      <w:r w:rsidRPr="00324116">
        <w:rPr>
          <w:rFonts w:cs="Arial"/>
          <w:lang w:val="lt-LT" w:eastAsia="lt-LT"/>
        </w:rPr>
        <w:t>Palyginti su ankstesnių metų atitinkamu ketvirčiu</w:t>
      </w:r>
      <w:r w:rsidRPr="00324116">
        <w:rPr>
          <w:rFonts w:cs="Arial"/>
          <w:vertAlign w:val="superscript"/>
          <w:lang w:val="lt-LT" w:eastAsia="lt-LT"/>
        </w:rPr>
        <w:t>5</w:t>
      </w:r>
      <w:r w:rsidRPr="00324116">
        <w:rPr>
          <w:rFonts w:cs="Arial"/>
          <w:lang w:val="lt-LT" w:eastAsia="lt-LT"/>
        </w:rPr>
        <w:t>, procentais</w:t>
      </w:r>
    </w:p>
    <w:p w:rsidR="00F66C9B" w:rsidRPr="00324116" w:rsidRDefault="00F66C9B" w:rsidP="00F66C9B">
      <w:pPr>
        <w:spacing w:after="60"/>
        <w:rPr>
          <w:rFonts w:cs="Arial"/>
          <w:bCs/>
          <w:lang w:val="lt-LT" w:eastAsia="lt-LT"/>
        </w:rPr>
      </w:pPr>
      <w:r w:rsidRPr="00324116">
        <w:rPr>
          <w:noProof/>
          <w:sz w:val="18"/>
          <w:szCs w:val="18"/>
          <w:lang w:val="lt-LT" w:eastAsia="lt-LT"/>
        </w:rPr>
        <w:drawing>
          <wp:inline distT="0" distB="0" distL="0" distR="0" wp14:anchorId="3603887A" wp14:editId="40978776">
            <wp:extent cx="6518910" cy="3896139"/>
            <wp:effectExtent l="0" t="0" r="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66C9B" w:rsidRPr="00324116" w:rsidRDefault="00F66C9B" w:rsidP="00F66C9B">
      <w:pPr>
        <w:rPr>
          <w:sz w:val="18"/>
          <w:szCs w:val="18"/>
          <w:lang w:val="lt-LT"/>
        </w:rPr>
      </w:pPr>
      <w:r w:rsidRPr="00324116">
        <w:rPr>
          <w:sz w:val="18"/>
          <w:szCs w:val="18"/>
          <w:lang w:val="lt-LT"/>
        </w:rPr>
        <w:t>______________________</w:t>
      </w:r>
    </w:p>
    <w:p w:rsidR="00F66C9B" w:rsidRDefault="00F66C9B" w:rsidP="00F66C9B">
      <w:pPr>
        <w:rPr>
          <w:sz w:val="16"/>
          <w:szCs w:val="16"/>
          <w:lang w:val="lt-LT"/>
        </w:rPr>
      </w:pPr>
      <w:r w:rsidRPr="00324116">
        <w:rPr>
          <w:sz w:val="18"/>
          <w:szCs w:val="18"/>
          <w:vertAlign w:val="superscript"/>
          <w:lang w:val="lt-LT"/>
        </w:rPr>
        <w:t>5</w:t>
      </w:r>
      <w:r w:rsidRPr="00324116">
        <w:rPr>
          <w:sz w:val="18"/>
          <w:szCs w:val="18"/>
          <w:lang w:val="lt-LT"/>
        </w:rPr>
        <w:t> </w:t>
      </w:r>
      <w:r w:rsidRPr="00324116">
        <w:rPr>
          <w:spacing w:val="-2"/>
          <w:sz w:val="18"/>
          <w:szCs w:val="18"/>
          <w:lang w:val="lt-LT"/>
        </w:rPr>
        <w:t>Be individualiųjų įmonių.</w:t>
      </w:r>
    </w:p>
    <w:p w:rsidR="00F66C9B" w:rsidRPr="00324116" w:rsidRDefault="00F66C9B" w:rsidP="00F66C9B">
      <w:pPr>
        <w:rPr>
          <w:sz w:val="16"/>
          <w:szCs w:val="16"/>
          <w:lang w:val="lt-LT"/>
        </w:rPr>
      </w:pPr>
    </w:p>
    <w:p w:rsidR="00F66C9B" w:rsidRPr="00324116" w:rsidRDefault="00F66C9B" w:rsidP="00F66C9B">
      <w:pPr>
        <w:spacing w:after="60"/>
        <w:rPr>
          <w:rFonts w:cs="Arial"/>
          <w:bCs/>
          <w:lang w:val="lt-LT" w:eastAsia="lt-LT"/>
        </w:rPr>
      </w:pPr>
      <w:r w:rsidRPr="00324116">
        <w:rPr>
          <w:rFonts w:cs="Arial"/>
          <w:bCs/>
          <w:lang w:val="lt-LT" w:eastAsia="lt-LT"/>
        </w:rPr>
        <w:t>Ekonominės veiklos rūšys pagal Ekonominės veiklos rūšių klasifikatorių:</w:t>
      </w:r>
    </w:p>
    <w:tbl>
      <w:tblPr>
        <w:tblW w:w="5000" w:type="pct"/>
        <w:tblLayout w:type="fixed"/>
        <w:tblLook w:val="04A0" w:firstRow="1" w:lastRow="0" w:firstColumn="1" w:lastColumn="0" w:noHBand="0" w:noVBand="1"/>
      </w:tblPr>
      <w:tblGrid>
        <w:gridCol w:w="5102"/>
        <w:gridCol w:w="5102"/>
      </w:tblGrid>
      <w:tr w:rsidR="00F66C9B" w:rsidRPr="00324116" w:rsidTr="0053149A">
        <w:trPr>
          <w:trHeight w:val="2154"/>
        </w:trPr>
        <w:tc>
          <w:tcPr>
            <w:tcW w:w="2500" w:type="pct"/>
            <w:hideMark/>
          </w:tcPr>
          <w:p w:rsidR="00F66C9B" w:rsidRPr="00324116" w:rsidRDefault="00F66C9B" w:rsidP="0053149A">
            <w:pPr>
              <w:rPr>
                <w:rFonts w:cs="Arial"/>
                <w:bCs/>
                <w:sz w:val="18"/>
                <w:szCs w:val="18"/>
                <w:lang w:val="lt-LT" w:eastAsia="en-GB"/>
              </w:rPr>
            </w:pPr>
            <w:r w:rsidRPr="00324116">
              <w:rPr>
                <w:rFonts w:cs="Arial"/>
                <w:sz w:val="18"/>
                <w:szCs w:val="18"/>
                <w:lang w:val="lt-LT" w:eastAsia="en-GB"/>
              </w:rPr>
              <w:t>A – žemės ūkis, miškininkystė ir žuvininkystė</w:t>
            </w:r>
          </w:p>
          <w:p w:rsidR="00F66C9B" w:rsidRPr="00324116" w:rsidRDefault="00F66C9B" w:rsidP="0053149A">
            <w:pPr>
              <w:rPr>
                <w:snapToGrid w:val="0"/>
                <w:sz w:val="18"/>
                <w:szCs w:val="18"/>
                <w:lang w:val="lt-LT"/>
              </w:rPr>
            </w:pPr>
            <w:r w:rsidRPr="00324116">
              <w:rPr>
                <w:rFonts w:cs="Arial"/>
                <w:sz w:val="18"/>
                <w:szCs w:val="18"/>
                <w:lang w:val="lt-LT" w:eastAsia="en-GB"/>
              </w:rPr>
              <w:t>B – kasyba ir karjerų eksploatavimas</w:t>
            </w:r>
          </w:p>
          <w:p w:rsidR="00F66C9B" w:rsidRPr="00324116" w:rsidRDefault="00F66C9B" w:rsidP="0053149A">
            <w:pPr>
              <w:rPr>
                <w:snapToGrid w:val="0"/>
                <w:sz w:val="18"/>
                <w:szCs w:val="18"/>
                <w:lang w:val="lt-LT"/>
              </w:rPr>
            </w:pPr>
            <w:r w:rsidRPr="00324116">
              <w:rPr>
                <w:rFonts w:cs="Arial"/>
                <w:bCs/>
                <w:sz w:val="18"/>
                <w:szCs w:val="18"/>
                <w:lang w:val="lt-LT" w:eastAsia="en-GB"/>
              </w:rPr>
              <w:t xml:space="preserve">C – apdirbamoji gamyba </w:t>
            </w:r>
          </w:p>
          <w:p w:rsidR="00F66C9B" w:rsidRPr="00324116" w:rsidRDefault="00F66C9B" w:rsidP="0053149A">
            <w:pPr>
              <w:rPr>
                <w:snapToGrid w:val="0"/>
                <w:sz w:val="18"/>
                <w:szCs w:val="18"/>
                <w:lang w:val="lt-LT"/>
              </w:rPr>
            </w:pPr>
            <w:r w:rsidRPr="00324116">
              <w:rPr>
                <w:rFonts w:eastAsia="Arial Unicode MS" w:cs="Arial"/>
                <w:bCs/>
                <w:sz w:val="18"/>
                <w:szCs w:val="18"/>
                <w:lang w:val="lt-LT" w:eastAsia="en-GB"/>
              </w:rPr>
              <w:t>D – elektros, dujų, garo tiekimas ir oro kondicionavimas</w:t>
            </w:r>
            <w:r w:rsidRPr="00324116">
              <w:rPr>
                <w:rFonts w:cs="Arial"/>
                <w:bCs/>
                <w:sz w:val="18"/>
                <w:szCs w:val="18"/>
                <w:lang w:val="lt-LT" w:eastAsia="en-GB"/>
              </w:rPr>
              <w:t xml:space="preserve"> </w:t>
            </w:r>
          </w:p>
          <w:p w:rsidR="00F66C9B" w:rsidRPr="00324116" w:rsidRDefault="00F66C9B" w:rsidP="0053149A">
            <w:pPr>
              <w:rPr>
                <w:snapToGrid w:val="0"/>
                <w:sz w:val="18"/>
                <w:szCs w:val="18"/>
                <w:lang w:val="lt-LT"/>
              </w:rPr>
            </w:pPr>
            <w:r w:rsidRPr="00324116">
              <w:rPr>
                <w:rFonts w:cs="Arial"/>
                <w:bCs/>
                <w:sz w:val="18"/>
                <w:szCs w:val="18"/>
                <w:lang w:val="lt-LT" w:eastAsia="en-GB"/>
              </w:rPr>
              <w:t>E – vandens tiekimas, nuotekų valymas, atliekų tvarkymas ir regeneravimas</w:t>
            </w:r>
          </w:p>
          <w:p w:rsidR="00F66C9B" w:rsidRPr="00324116" w:rsidRDefault="00F66C9B" w:rsidP="0053149A">
            <w:pPr>
              <w:rPr>
                <w:rFonts w:cs="Arial"/>
                <w:bCs/>
                <w:sz w:val="18"/>
                <w:szCs w:val="18"/>
                <w:lang w:val="lt-LT" w:eastAsia="en-GB"/>
              </w:rPr>
            </w:pPr>
            <w:r w:rsidRPr="00324116">
              <w:rPr>
                <w:rFonts w:cs="Arial"/>
                <w:bCs/>
                <w:sz w:val="18"/>
                <w:szCs w:val="18"/>
                <w:lang w:val="lt-LT" w:eastAsia="en-GB"/>
              </w:rPr>
              <w:t>F – statyba</w:t>
            </w:r>
          </w:p>
          <w:p w:rsidR="00F66C9B" w:rsidRPr="00324116" w:rsidRDefault="00F66C9B" w:rsidP="0053149A">
            <w:pPr>
              <w:rPr>
                <w:snapToGrid w:val="0"/>
                <w:sz w:val="18"/>
                <w:szCs w:val="18"/>
                <w:lang w:val="lt-LT"/>
              </w:rPr>
            </w:pPr>
            <w:r w:rsidRPr="00324116">
              <w:rPr>
                <w:rFonts w:cs="Arial"/>
                <w:bCs/>
                <w:sz w:val="18"/>
                <w:szCs w:val="18"/>
                <w:lang w:val="lt-LT" w:eastAsia="en-GB"/>
              </w:rPr>
              <w:t>G – didmeninė ir mažmeninė prekyba; variklinių transporto priemonių ir motociklų remontas</w:t>
            </w:r>
          </w:p>
          <w:p w:rsidR="00F66C9B" w:rsidRPr="00324116" w:rsidRDefault="00F66C9B" w:rsidP="0053149A">
            <w:pPr>
              <w:rPr>
                <w:snapToGrid w:val="0"/>
                <w:sz w:val="18"/>
                <w:szCs w:val="18"/>
                <w:lang w:val="lt-LT"/>
              </w:rPr>
            </w:pPr>
            <w:r w:rsidRPr="00324116">
              <w:rPr>
                <w:rFonts w:cs="Arial"/>
                <w:bCs/>
                <w:sz w:val="18"/>
                <w:szCs w:val="18"/>
                <w:lang w:val="lt-LT" w:eastAsia="en-GB"/>
              </w:rPr>
              <w:t>H – transportas ir saugojimas</w:t>
            </w:r>
          </w:p>
          <w:p w:rsidR="00F66C9B" w:rsidRPr="00324116" w:rsidRDefault="00F66C9B" w:rsidP="0053149A">
            <w:pPr>
              <w:rPr>
                <w:snapToGrid w:val="0"/>
                <w:sz w:val="18"/>
                <w:szCs w:val="18"/>
                <w:lang w:val="lt-LT"/>
              </w:rPr>
            </w:pPr>
            <w:r w:rsidRPr="00324116">
              <w:rPr>
                <w:snapToGrid w:val="0"/>
                <w:sz w:val="18"/>
                <w:szCs w:val="18"/>
                <w:lang w:val="lt-LT"/>
              </w:rPr>
              <w:t>I – apgyvendinimo ir maitinimo paslaugų veikla</w:t>
            </w:r>
          </w:p>
        </w:tc>
        <w:tc>
          <w:tcPr>
            <w:tcW w:w="2500" w:type="pct"/>
            <w:hideMark/>
          </w:tcPr>
          <w:p w:rsidR="00F66C9B" w:rsidRPr="00324116" w:rsidRDefault="00F66C9B" w:rsidP="0053149A">
            <w:pPr>
              <w:rPr>
                <w:snapToGrid w:val="0"/>
                <w:sz w:val="18"/>
                <w:szCs w:val="18"/>
                <w:lang w:val="lt-LT"/>
              </w:rPr>
            </w:pPr>
            <w:r w:rsidRPr="00324116">
              <w:rPr>
                <w:rFonts w:cs="Arial"/>
                <w:bCs/>
                <w:sz w:val="18"/>
                <w:szCs w:val="18"/>
                <w:lang w:val="lt-LT" w:eastAsia="en-GB"/>
              </w:rPr>
              <w:t>J – informacija ir ryšiai</w:t>
            </w:r>
          </w:p>
          <w:p w:rsidR="00F66C9B" w:rsidRPr="00324116" w:rsidRDefault="00F66C9B" w:rsidP="0053149A">
            <w:pPr>
              <w:rPr>
                <w:rFonts w:cs="Arial"/>
                <w:bCs/>
                <w:sz w:val="18"/>
                <w:szCs w:val="18"/>
                <w:lang w:val="lt-LT" w:eastAsia="en-GB"/>
              </w:rPr>
            </w:pPr>
            <w:r w:rsidRPr="00324116">
              <w:rPr>
                <w:rFonts w:cs="Arial"/>
                <w:bCs/>
                <w:sz w:val="18"/>
                <w:szCs w:val="18"/>
                <w:lang w:val="lt-LT" w:eastAsia="en-GB"/>
              </w:rPr>
              <w:t>K – finansinė ir draudimo veikla</w:t>
            </w:r>
          </w:p>
          <w:p w:rsidR="00F66C9B" w:rsidRPr="00324116" w:rsidRDefault="00F66C9B" w:rsidP="0053149A">
            <w:pPr>
              <w:rPr>
                <w:rFonts w:cs="Arial"/>
                <w:bCs/>
                <w:sz w:val="18"/>
                <w:szCs w:val="18"/>
                <w:lang w:val="lt-LT" w:eastAsia="en-GB"/>
              </w:rPr>
            </w:pPr>
            <w:r w:rsidRPr="00324116">
              <w:rPr>
                <w:rFonts w:cs="Arial"/>
                <w:bCs/>
                <w:sz w:val="18"/>
                <w:szCs w:val="18"/>
                <w:lang w:val="lt-LT" w:eastAsia="en-GB"/>
              </w:rPr>
              <w:t>L – nekilnojamojo turto operacijos</w:t>
            </w:r>
          </w:p>
          <w:p w:rsidR="00F66C9B" w:rsidRPr="00324116" w:rsidRDefault="00F66C9B" w:rsidP="0053149A">
            <w:pPr>
              <w:rPr>
                <w:snapToGrid w:val="0"/>
                <w:sz w:val="18"/>
                <w:szCs w:val="18"/>
                <w:lang w:val="lt-LT"/>
              </w:rPr>
            </w:pPr>
            <w:r w:rsidRPr="00324116">
              <w:rPr>
                <w:rFonts w:cs="Arial"/>
                <w:bCs/>
                <w:sz w:val="18"/>
                <w:szCs w:val="18"/>
                <w:lang w:val="lt-LT" w:eastAsia="en-GB"/>
              </w:rPr>
              <w:t>M – profesinė, mokslinė ir techninė veikla</w:t>
            </w:r>
          </w:p>
          <w:p w:rsidR="00F66C9B" w:rsidRPr="00324116" w:rsidRDefault="00F66C9B" w:rsidP="0053149A">
            <w:pPr>
              <w:rPr>
                <w:snapToGrid w:val="0"/>
                <w:sz w:val="18"/>
                <w:szCs w:val="18"/>
                <w:lang w:val="lt-LT"/>
              </w:rPr>
            </w:pPr>
            <w:r w:rsidRPr="00324116">
              <w:rPr>
                <w:rFonts w:cs="Arial"/>
                <w:bCs/>
                <w:sz w:val="18"/>
                <w:szCs w:val="18"/>
                <w:lang w:val="lt-LT" w:eastAsia="en-GB"/>
              </w:rPr>
              <w:t>N – administracinė ir aptarnavimo veikla</w:t>
            </w:r>
          </w:p>
          <w:p w:rsidR="00F66C9B" w:rsidRPr="00324116" w:rsidRDefault="00F66C9B" w:rsidP="0053149A">
            <w:pPr>
              <w:rPr>
                <w:rFonts w:cs="Arial"/>
                <w:bCs/>
                <w:sz w:val="18"/>
                <w:szCs w:val="18"/>
                <w:lang w:val="lt-LT" w:eastAsia="en-GB"/>
              </w:rPr>
            </w:pPr>
            <w:r w:rsidRPr="00324116">
              <w:rPr>
                <w:rFonts w:cs="Arial"/>
                <w:bCs/>
                <w:sz w:val="18"/>
                <w:szCs w:val="18"/>
                <w:lang w:val="lt-LT" w:eastAsia="en-GB"/>
              </w:rPr>
              <w:t>O – viešasis valdymas ir gynyba; privalomasis socialinis draudimas</w:t>
            </w:r>
          </w:p>
          <w:p w:rsidR="00F66C9B" w:rsidRPr="00324116" w:rsidRDefault="00F66C9B" w:rsidP="0053149A">
            <w:pPr>
              <w:rPr>
                <w:rFonts w:cs="Arial"/>
                <w:bCs/>
                <w:sz w:val="18"/>
                <w:szCs w:val="18"/>
                <w:lang w:val="lt-LT" w:eastAsia="en-GB"/>
              </w:rPr>
            </w:pPr>
            <w:r w:rsidRPr="00324116">
              <w:rPr>
                <w:rFonts w:cs="Arial"/>
                <w:bCs/>
                <w:sz w:val="18"/>
                <w:szCs w:val="18"/>
                <w:lang w:val="lt-LT" w:eastAsia="en-GB"/>
              </w:rPr>
              <w:t>P – švietimas</w:t>
            </w:r>
          </w:p>
          <w:p w:rsidR="00F66C9B" w:rsidRPr="00324116" w:rsidRDefault="00F66C9B" w:rsidP="0053149A">
            <w:pPr>
              <w:rPr>
                <w:snapToGrid w:val="0"/>
                <w:sz w:val="18"/>
                <w:szCs w:val="18"/>
                <w:lang w:val="lt-LT"/>
              </w:rPr>
            </w:pPr>
            <w:r w:rsidRPr="00324116">
              <w:rPr>
                <w:rFonts w:cs="Arial"/>
                <w:bCs/>
                <w:sz w:val="18"/>
                <w:szCs w:val="18"/>
                <w:lang w:val="lt-LT" w:eastAsia="en-GB"/>
              </w:rPr>
              <w:t>Q – žmonių sveikatos priežiūra ir socialinis darbas</w:t>
            </w:r>
          </w:p>
          <w:p w:rsidR="00F66C9B" w:rsidRPr="00324116" w:rsidRDefault="00F66C9B" w:rsidP="0053149A">
            <w:pPr>
              <w:rPr>
                <w:snapToGrid w:val="0"/>
                <w:sz w:val="18"/>
                <w:szCs w:val="18"/>
                <w:lang w:val="lt-LT"/>
              </w:rPr>
            </w:pPr>
            <w:r w:rsidRPr="00324116">
              <w:rPr>
                <w:snapToGrid w:val="0"/>
                <w:sz w:val="18"/>
                <w:szCs w:val="18"/>
                <w:lang w:val="lt-LT"/>
              </w:rPr>
              <w:t>R – meninė, pramoginė ir poilsio organizavimo veikla</w:t>
            </w:r>
          </w:p>
          <w:p w:rsidR="00F66C9B" w:rsidRPr="00324116" w:rsidRDefault="00F66C9B" w:rsidP="0053149A">
            <w:pPr>
              <w:rPr>
                <w:rFonts w:cs="Arial"/>
                <w:bCs/>
                <w:sz w:val="18"/>
                <w:szCs w:val="18"/>
                <w:lang w:val="lt-LT" w:eastAsia="en-GB"/>
              </w:rPr>
            </w:pPr>
            <w:r w:rsidRPr="00324116">
              <w:rPr>
                <w:rFonts w:cs="Arial"/>
                <w:sz w:val="18"/>
                <w:szCs w:val="18"/>
                <w:lang w:val="lt-LT" w:eastAsia="en-GB"/>
              </w:rPr>
              <w:t>S – kita aptarnavimo veikla</w:t>
            </w:r>
          </w:p>
        </w:tc>
      </w:tr>
    </w:tbl>
    <w:p w:rsidR="00F66C9B" w:rsidRPr="00324116" w:rsidRDefault="00F66C9B" w:rsidP="00F66C9B"/>
    <w:p w:rsidR="00F66C9B" w:rsidRPr="009E6F90" w:rsidRDefault="00F66C9B" w:rsidP="00F66C9B">
      <w:pPr>
        <w:rPr>
          <w:color w:val="000000" w:themeColor="text1"/>
        </w:rPr>
      </w:pPr>
    </w:p>
    <w:p w:rsidR="00F66C9B" w:rsidRPr="009E6F90" w:rsidRDefault="00F66C9B" w:rsidP="00F66C9B">
      <w:pPr>
        <w:spacing w:after="40"/>
        <w:rPr>
          <w:rFonts w:cs="Arial"/>
          <w:b/>
          <w:bCs/>
          <w:color w:val="000000" w:themeColor="text1"/>
          <w:lang w:val="lt-LT" w:eastAsia="lt-LT"/>
        </w:rPr>
      </w:pPr>
      <w:r w:rsidRPr="009E6F90">
        <w:rPr>
          <w:rFonts w:cs="Arial"/>
          <w:b/>
          <w:bCs/>
          <w:color w:val="000000" w:themeColor="text1"/>
          <w:lang w:val="lt-LT" w:eastAsia="lt-LT"/>
        </w:rPr>
        <w:t>1 lentelė. Vidutinis mėnesinis darbo užmokestis</w:t>
      </w:r>
      <w:r w:rsidRPr="009E6F90">
        <w:rPr>
          <w:rFonts w:cs="Arial"/>
          <w:b/>
          <w:bCs/>
          <w:color w:val="000000" w:themeColor="text1"/>
          <w:vertAlign w:val="superscript"/>
          <w:lang w:val="lt-LT" w:eastAsia="lt-LT"/>
        </w:rPr>
        <w:t xml:space="preserve">6 </w:t>
      </w:r>
      <w:r w:rsidRPr="009E6F90">
        <w:rPr>
          <w:rFonts w:cs="Arial"/>
          <w:b/>
          <w:bCs/>
          <w:color w:val="000000" w:themeColor="text1"/>
          <w:lang w:val="lt-LT" w:eastAsia="lt-LT"/>
        </w:rPr>
        <w:t>pagal sektorius ir lytį 2021 m. ketvirtąjį ketvirtį</w:t>
      </w:r>
    </w:p>
    <w:p w:rsidR="00F66C9B" w:rsidRPr="009E6F90" w:rsidRDefault="00F66C9B" w:rsidP="00F66C9B">
      <w:pPr>
        <w:spacing w:before="40" w:after="40"/>
        <w:rPr>
          <w:rFonts w:cs="Arial"/>
          <w:bCs/>
          <w:color w:val="000000" w:themeColor="text1"/>
          <w:lang w:val="lt-LT" w:eastAsia="lt-LT"/>
        </w:rPr>
      </w:pPr>
      <w:r w:rsidRPr="009E6F90">
        <w:rPr>
          <w:rFonts w:cs="Arial"/>
          <w:bCs/>
          <w:color w:val="000000" w:themeColor="text1"/>
          <w:lang w:val="lt-LT" w:eastAsia="lt-LT"/>
        </w:rPr>
        <w:t>Eurais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311"/>
        <w:gridCol w:w="1274"/>
        <w:gridCol w:w="1419"/>
        <w:gridCol w:w="1562"/>
        <w:gridCol w:w="1274"/>
        <w:gridCol w:w="1266"/>
      </w:tblGrid>
      <w:tr w:rsidR="009E6F90" w:rsidRPr="009E6F90" w:rsidTr="006544FB">
        <w:trPr>
          <w:tblHeader/>
        </w:trPr>
        <w:tc>
          <w:tcPr>
            <w:tcW w:w="1024" w:type="pct"/>
            <w:vMerge w:val="restart"/>
            <w:tcBorders>
              <w:top w:val="single" w:sz="4" w:space="0" w:color="auto"/>
              <w:left w:val="single" w:sz="4" w:space="0" w:color="auto"/>
              <w:bottom w:val="single" w:sz="4" w:space="0" w:color="auto"/>
              <w:right w:val="single" w:sz="4" w:space="0" w:color="auto"/>
            </w:tcBorders>
            <w:shd w:val="clear" w:color="auto" w:fill="FBD9E0"/>
          </w:tcPr>
          <w:p w:rsidR="00F66C9B" w:rsidRPr="009E6F90" w:rsidRDefault="00F66C9B" w:rsidP="0053149A">
            <w:pPr>
              <w:spacing w:before="40" w:after="40"/>
              <w:outlineLvl w:val="1"/>
              <w:rPr>
                <w:color w:val="000000" w:themeColor="text1"/>
                <w:sz w:val="19"/>
                <w:szCs w:val="19"/>
                <w:lang w:val="lt-LT"/>
              </w:rPr>
            </w:pPr>
          </w:p>
        </w:tc>
        <w:tc>
          <w:tcPr>
            <w:tcW w:w="1963" w:type="pct"/>
            <w:gridSpan w:val="3"/>
            <w:tcBorders>
              <w:top w:val="single" w:sz="4" w:space="0" w:color="auto"/>
              <w:left w:val="single" w:sz="4" w:space="0" w:color="auto"/>
              <w:bottom w:val="single" w:sz="4" w:space="0" w:color="auto"/>
              <w:right w:val="single" w:sz="4" w:space="0" w:color="auto"/>
            </w:tcBorders>
            <w:shd w:val="clear" w:color="auto" w:fill="FBD9E0"/>
            <w:hideMark/>
          </w:tcPr>
          <w:p w:rsidR="00F66C9B" w:rsidRPr="009E6F90" w:rsidRDefault="00F66C9B" w:rsidP="0053149A">
            <w:pPr>
              <w:keepNext/>
              <w:keepLines/>
              <w:spacing w:before="40" w:after="40"/>
              <w:outlineLvl w:val="1"/>
              <w:rPr>
                <w:color w:val="000000" w:themeColor="text1"/>
                <w:sz w:val="19"/>
                <w:szCs w:val="19"/>
                <w:lang w:val="lt-LT"/>
              </w:rPr>
            </w:pPr>
            <w:proofErr w:type="spellStart"/>
            <w:r w:rsidRPr="009E6F90">
              <w:rPr>
                <w:rFonts w:cs="Arial"/>
                <w:color w:val="000000" w:themeColor="text1"/>
                <w:sz w:val="19"/>
                <w:szCs w:val="19"/>
                <w:lang w:val="lt-LT"/>
              </w:rPr>
              <w:t>Bruto</w:t>
            </w:r>
            <w:proofErr w:type="spellEnd"/>
          </w:p>
        </w:tc>
        <w:tc>
          <w:tcPr>
            <w:tcW w:w="2012" w:type="pct"/>
            <w:gridSpan w:val="3"/>
            <w:tcBorders>
              <w:top w:val="single" w:sz="4" w:space="0" w:color="auto"/>
              <w:left w:val="single" w:sz="4" w:space="0" w:color="auto"/>
              <w:bottom w:val="single" w:sz="4" w:space="0" w:color="auto"/>
              <w:right w:val="single" w:sz="4" w:space="0" w:color="auto"/>
            </w:tcBorders>
            <w:shd w:val="clear" w:color="auto" w:fill="FBD9E0"/>
            <w:hideMark/>
          </w:tcPr>
          <w:p w:rsidR="00F66C9B" w:rsidRPr="009E6F90" w:rsidRDefault="00F66C9B" w:rsidP="0053149A">
            <w:pPr>
              <w:keepNext/>
              <w:keepLines/>
              <w:spacing w:before="40" w:after="40"/>
              <w:outlineLvl w:val="1"/>
              <w:rPr>
                <w:color w:val="000000" w:themeColor="text1"/>
                <w:sz w:val="19"/>
                <w:szCs w:val="19"/>
                <w:lang w:val="lt-LT"/>
              </w:rPr>
            </w:pPr>
            <w:proofErr w:type="spellStart"/>
            <w:r w:rsidRPr="009E6F90">
              <w:rPr>
                <w:rFonts w:cs="Arial"/>
                <w:color w:val="000000" w:themeColor="text1"/>
                <w:sz w:val="19"/>
                <w:szCs w:val="19"/>
                <w:lang w:val="lt-LT"/>
              </w:rPr>
              <w:t>Neto</w:t>
            </w:r>
            <w:proofErr w:type="spellEnd"/>
          </w:p>
        </w:tc>
      </w:tr>
      <w:tr w:rsidR="009E6F90" w:rsidRPr="009E6F90" w:rsidTr="006544FB">
        <w:trPr>
          <w:tblHeader/>
        </w:trPr>
        <w:tc>
          <w:tcPr>
            <w:tcW w:w="1024" w:type="pct"/>
            <w:vMerge/>
            <w:tcBorders>
              <w:top w:val="single" w:sz="4" w:space="0" w:color="auto"/>
              <w:left w:val="single" w:sz="4" w:space="0" w:color="auto"/>
              <w:bottom w:val="single" w:sz="4" w:space="0" w:color="auto"/>
              <w:right w:val="single" w:sz="4" w:space="0" w:color="auto"/>
            </w:tcBorders>
            <w:shd w:val="clear" w:color="auto" w:fill="FBD9E0"/>
            <w:vAlign w:val="center"/>
            <w:hideMark/>
          </w:tcPr>
          <w:p w:rsidR="00F66C9B" w:rsidRPr="009E6F90" w:rsidRDefault="00F66C9B" w:rsidP="0053149A">
            <w:pPr>
              <w:spacing w:before="40" w:after="40"/>
              <w:rPr>
                <w:color w:val="000000" w:themeColor="text1"/>
                <w:sz w:val="19"/>
                <w:szCs w:val="19"/>
                <w:lang w:val="lt-LT"/>
              </w:rPr>
            </w:pPr>
          </w:p>
        </w:tc>
        <w:tc>
          <w:tcPr>
            <w:tcW w:w="643" w:type="pct"/>
            <w:tcBorders>
              <w:top w:val="single" w:sz="4" w:space="0" w:color="auto"/>
              <w:left w:val="single" w:sz="4" w:space="0" w:color="auto"/>
              <w:bottom w:val="single" w:sz="4" w:space="0" w:color="auto"/>
              <w:right w:val="single" w:sz="4" w:space="0" w:color="auto"/>
            </w:tcBorders>
            <w:shd w:val="clear" w:color="auto" w:fill="FBD9E0"/>
            <w:hideMark/>
          </w:tcPr>
          <w:p w:rsidR="00F66C9B" w:rsidRPr="009E6F90" w:rsidRDefault="00F66C9B" w:rsidP="0053149A">
            <w:pPr>
              <w:keepNext/>
              <w:keepLines/>
              <w:spacing w:before="40" w:after="40"/>
              <w:rPr>
                <w:rFonts w:cs="Arial"/>
                <w:color w:val="000000" w:themeColor="text1"/>
                <w:sz w:val="19"/>
                <w:szCs w:val="19"/>
                <w:lang w:val="lt-LT"/>
              </w:rPr>
            </w:pPr>
            <w:r w:rsidRPr="009E6F90">
              <w:rPr>
                <w:rFonts w:cs="Arial"/>
                <w:color w:val="000000" w:themeColor="text1"/>
                <w:sz w:val="19"/>
                <w:szCs w:val="19"/>
                <w:lang w:val="lt-LT"/>
              </w:rPr>
              <w:t>iš viso</w:t>
            </w:r>
          </w:p>
        </w:tc>
        <w:tc>
          <w:tcPr>
            <w:tcW w:w="625" w:type="pct"/>
            <w:tcBorders>
              <w:top w:val="single" w:sz="4" w:space="0" w:color="auto"/>
              <w:left w:val="single" w:sz="4" w:space="0" w:color="auto"/>
              <w:bottom w:val="single" w:sz="4" w:space="0" w:color="auto"/>
              <w:right w:val="single" w:sz="4" w:space="0" w:color="auto"/>
            </w:tcBorders>
            <w:shd w:val="clear" w:color="auto" w:fill="FBD9E0"/>
            <w:hideMark/>
          </w:tcPr>
          <w:p w:rsidR="00F66C9B" w:rsidRPr="009E6F90" w:rsidRDefault="00F66C9B" w:rsidP="0053149A">
            <w:pPr>
              <w:keepNext/>
              <w:keepLines/>
              <w:spacing w:before="40" w:after="40"/>
              <w:ind w:right="-57"/>
              <w:rPr>
                <w:rFonts w:cs="Arial"/>
                <w:color w:val="000000" w:themeColor="text1"/>
                <w:sz w:val="19"/>
                <w:szCs w:val="19"/>
                <w:lang w:val="lt-LT"/>
              </w:rPr>
            </w:pPr>
            <w:r w:rsidRPr="009E6F90">
              <w:rPr>
                <w:rFonts w:cs="Arial"/>
                <w:color w:val="000000" w:themeColor="text1"/>
                <w:sz w:val="19"/>
                <w:szCs w:val="19"/>
                <w:lang w:val="lt-LT"/>
              </w:rPr>
              <w:t>vyrai</w:t>
            </w:r>
          </w:p>
        </w:tc>
        <w:tc>
          <w:tcPr>
            <w:tcW w:w="696" w:type="pct"/>
            <w:tcBorders>
              <w:top w:val="single" w:sz="4" w:space="0" w:color="auto"/>
              <w:left w:val="single" w:sz="4" w:space="0" w:color="auto"/>
              <w:bottom w:val="single" w:sz="4" w:space="0" w:color="auto"/>
              <w:right w:val="single" w:sz="4" w:space="0" w:color="auto"/>
            </w:tcBorders>
            <w:shd w:val="clear" w:color="auto" w:fill="FBD9E0"/>
            <w:hideMark/>
          </w:tcPr>
          <w:p w:rsidR="00F66C9B" w:rsidRPr="009E6F90" w:rsidRDefault="00F66C9B" w:rsidP="0053149A">
            <w:pPr>
              <w:keepNext/>
              <w:keepLines/>
              <w:spacing w:before="40" w:after="40"/>
              <w:ind w:right="-57"/>
              <w:rPr>
                <w:rFonts w:cs="Arial"/>
                <w:color w:val="000000" w:themeColor="text1"/>
                <w:sz w:val="19"/>
                <w:szCs w:val="19"/>
                <w:lang w:val="lt-LT"/>
              </w:rPr>
            </w:pPr>
            <w:r w:rsidRPr="009E6F90">
              <w:rPr>
                <w:rFonts w:cs="Arial"/>
                <w:color w:val="000000" w:themeColor="text1"/>
                <w:sz w:val="19"/>
                <w:szCs w:val="19"/>
                <w:lang w:val="lt-LT"/>
              </w:rPr>
              <w:t>moterys</w:t>
            </w:r>
          </w:p>
        </w:tc>
        <w:tc>
          <w:tcPr>
            <w:tcW w:w="766" w:type="pct"/>
            <w:tcBorders>
              <w:top w:val="single" w:sz="4" w:space="0" w:color="auto"/>
              <w:left w:val="single" w:sz="4" w:space="0" w:color="auto"/>
              <w:bottom w:val="single" w:sz="4" w:space="0" w:color="auto"/>
              <w:right w:val="single" w:sz="4" w:space="0" w:color="auto"/>
            </w:tcBorders>
            <w:shd w:val="clear" w:color="auto" w:fill="FBD9E0"/>
            <w:hideMark/>
          </w:tcPr>
          <w:p w:rsidR="00F66C9B" w:rsidRPr="009E6F90" w:rsidRDefault="00F66C9B" w:rsidP="0053149A">
            <w:pPr>
              <w:keepNext/>
              <w:keepLines/>
              <w:spacing w:before="40" w:after="40"/>
              <w:rPr>
                <w:rFonts w:cs="Arial"/>
                <w:color w:val="000000" w:themeColor="text1"/>
                <w:sz w:val="19"/>
                <w:szCs w:val="19"/>
                <w:lang w:val="lt-LT"/>
              </w:rPr>
            </w:pPr>
            <w:r w:rsidRPr="009E6F90">
              <w:rPr>
                <w:rFonts w:cs="Arial"/>
                <w:color w:val="000000" w:themeColor="text1"/>
                <w:sz w:val="19"/>
                <w:szCs w:val="19"/>
                <w:lang w:val="lt-LT"/>
              </w:rPr>
              <w:t>iš viso</w:t>
            </w:r>
          </w:p>
        </w:tc>
        <w:tc>
          <w:tcPr>
            <w:tcW w:w="625" w:type="pct"/>
            <w:tcBorders>
              <w:top w:val="single" w:sz="4" w:space="0" w:color="auto"/>
              <w:left w:val="single" w:sz="4" w:space="0" w:color="auto"/>
              <w:bottom w:val="single" w:sz="4" w:space="0" w:color="auto"/>
              <w:right w:val="single" w:sz="4" w:space="0" w:color="auto"/>
            </w:tcBorders>
            <w:shd w:val="clear" w:color="auto" w:fill="FBD9E0"/>
            <w:hideMark/>
          </w:tcPr>
          <w:p w:rsidR="00F66C9B" w:rsidRPr="009E6F90" w:rsidRDefault="00F66C9B" w:rsidP="0053149A">
            <w:pPr>
              <w:keepNext/>
              <w:keepLines/>
              <w:spacing w:before="40" w:after="40"/>
              <w:ind w:right="-57"/>
              <w:rPr>
                <w:rFonts w:cs="Arial"/>
                <w:color w:val="000000" w:themeColor="text1"/>
                <w:sz w:val="19"/>
                <w:szCs w:val="19"/>
                <w:lang w:val="lt-LT"/>
              </w:rPr>
            </w:pPr>
            <w:r w:rsidRPr="009E6F90">
              <w:rPr>
                <w:rFonts w:cs="Arial"/>
                <w:color w:val="000000" w:themeColor="text1"/>
                <w:sz w:val="19"/>
                <w:szCs w:val="19"/>
                <w:lang w:val="lt-LT"/>
              </w:rPr>
              <w:t>vyrai</w:t>
            </w:r>
          </w:p>
        </w:tc>
        <w:tc>
          <w:tcPr>
            <w:tcW w:w="622" w:type="pct"/>
            <w:tcBorders>
              <w:top w:val="single" w:sz="4" w:space="0" w:color="auto"/>
              <w:left w:val="single" w:sz="4" w:space="0" w:color="auto"/>
              <w:bottom w:val="single" w:sz="4" w:space="0" w:color="auto"/>
              <w:right w:val="single" w:sz="4" w:space="0" w:color="auto"/>
            </w:tcBorders>
            <w:shd w:val="clear" w:color="auto" w:fill="FBD9E0"/>
            <w:hideMark/>
          </w:tcPr>
          <w:p w:rsidR="00F66C9B" w:rsidRPr="009E6F90" w:rsidRDefault="00F66C9B" w:rsidP="0053149A">
            <w:pPr>
              <w:keepNext/>
              <w:keepLines/>
              <w:spacing w:before="40" w:after="40"/>
              <w:ind w:right="-57"/>
              <w:rPr>
                <w:rFonts w:cs="Arial"/>
                <w:color w:val="000000" w:themeColor="text1"/>
                <w:sz w:val="19"/>
                <w:szCs w:val="19"/>
                <w:lang w:val="lt-LT"/>
              </w:rPr>
            </w:pPr>
            <w:r w:rsidRPr="009E6F90">
              <w:rPr>
                <w:rFonts w:cs="Arial"/>
                <w:color w:val="000000" w:themeColor="text1"/>
                <w:sz w:val="19"/>
                <w:szCs w:val="19"/>
                <w:lang w:val="lt-LT"/>
              </w:rPr>
              <w:t>moterys</w:t>
            </w:r>
          </w:p>
        </w:tc>
      </w:tr>
      <w:tr w:rsidR="009E6F90" w:rsidRPr="009E6F90" w:rsidTr="006544FB">
        <w:trPr>
          <w:trHeight w:val="81"/>
        </w:trPr>
        <w:tc>
          <w:tcPr>
            <w:tcW w:w="1024" w:type="pct"/>
            <w:tcBorders>
              <w:top w:val="single" w:sz="4" w:space="0" w:color="auto"/>
              <w:left w:val="single" w:sz="4" w:space="0" w:color="auto"/>
              <w:bottom w:val="nil"/>
              <w:right w:val="single" w:sz="4" w:space="0" w:color="auto"/>
            </w:tcBorders>
            <w:vAlign w:val="bottom"/>
            <w:hideMark/>
          </w:tcPr>
          <w:p w:rsidR="00F66C9B" w:rsidRPr="009E6F90" w:rsidRDefault="00F66C9B" w:rsidP="0053149A">
            <w:pPr>
              <w:spacing w:before="40" w:after="40"/>
              <w:rPr>
                <w:b/>
                <w:color w:val="000000" w:themeColor="text1"/>
                <w:sz w:val="19"/>
                <w:szCs w:val="19"/>
                <w:lang w:val="lt-LT"/>
              </w:rPr>
            </w:pPr>
            <w:r w:rsidRPr="009E6F90">
              <w:rPr>
                <w:b/>
                <w:color w:val="000000" w:themeColor="text1"/>
                <w:sz w:val="19"/>
                <w:szCs w:val="19"/>
                <w:lang w:val="lt-LT"/>
              </w:rPr>
              <w:t>Šalies ūkis</w:t>
            </w:r>
          </w:p>
        </w:tc>
        <w:tc>
          <w:tcPr>
            <w:tcW w:w="643" w:type="pct"/>
            <w:tcBorders>
              <w:top w:val="nil"/>
              <w:left w:val="nil"/>
              <w:bottom w:val="nil"/>
              <w:right w:val="nil"/>
            </w:tcBorders>
            <w:shd w:val="clear" w:color="auto" w:fill="auto"/>
            <w:vAlign w:val="bottom"/>
          </w:tcPr>
          <w:p w:rsidR="00F66C9B" w:rsidRPr="009E6F90" w:rsidRDefault="00F66C9B" w:rsidP="0053149A">
            <w:pPr>
              <w:spacing w:before="40" w:after="40"/>
              <w:jc w:val="right"/>
              <w:rPr>
                <w:rFonts w:cs="Arial"/>
                <w:b/>
                <w:color w:val="000000" w:themeColor="text1"/>
                <w:sz w:val="19"/>
                <w:szCs w:val="19"/>
                <w:lang w:val="lt-LT"/>
              </w:rPr>
            </w:pPr>
            <w:r w:rsidRPr="009E6F90">
              <w:rPr>
                <w:rFonts w:cs="Arial"/>
                <w:color w:val="000000" w:themeColor="text1"/>
              </w:rPr>
              <w:t>1679</w:t>
            </w:r>
            <w:r w:rsidR="00142AA4">
              <w:rPr>
                <w:rFonts w:cs="Arial"/>
                <w:color w:val="000000" w:themeColor="text1"/>
              </w:rPr>
              <w:t>,</w:t>
            </w:r>
            <w:r w:rsidRPr="009E6F90">
              <w:rPr>
                <w:rFonts w:cs="Arial"/>
                <w:color w:val="000000" w:themeColor="text1"/>
              </w:rPr>
              <w:t>3</w:t>
            </w:r>
          </w:p>
        </w:tc>
        <w:tc>
          <w:tcPr>
            <w:tcW w:w="625" w:type="pct"/>
            <w:tcBorders>
              <w:top w:val="nil"/>
              <w:left w:val="nil"/>
              <w:bottom w:val="nil"/>
              <w:right w:val="nil"/>
            </w:tcBorders>
            <w:shd w:val="clear" w:color="auto" w:fill="auto"/>
            <w:vAlign w:val="bottom"/>
          </w:tcPr>
          <w:p w:rsidR="00F66C9B" w:rsidRPr="009E6F90" w:rsidRDefault="00F66C9B" w:rsidP="0053149A">
            <w:pPr>
              <w:spacing w:before="40" w:after="40"/>
              <w:jc w:val="right"/>
              <w:rPr>
                <w:rFonts w:cs="Arial"/>
                <w:b/>
                <w:color w:val="000000" w:themeColor="text1"/>
                <w:sz w:val="19"/>
                <w:szCs w:val="19"/>
                <w:lang w:val="lt-LT"/>
              </w:rPr>
            </w:pPr>
            <w:r w:rsidRPr="009E6F90">
              <w:rPr>
                <w:rFonts w:cs="Arial"/>
                <w:color w:val="000000" w:themeColor="text1"/>
              </w:rPr>
              <w:t>1748</w:t>
            </w:r>
            <w:r w:rsidR="00142AA4">
              <w:rPr>
                <w:rFonts w:cs="Arial"/>
                <w:color w:val="000000" w:themeColor="text1"/>
              </w:rPr>
              <w:t>,</w:t>
            </w:r>
            <w:r w:rsidRPr="009E6F90">
              <w:rPr>
                <w:rFonts w:cs="Arial"/>
                <w:color w:val="000000" w:themeColor="text1"/>
              </w:rPr>
              <w:t>4</w:t>
            </w:r>
          </w:p>
        </w:tc>
        <w:tc>
          <w:tcPr>
            <w:tcW w:w="696" w:type="pct"/>
            <w:tcBorders>
              <w:top w:val="nil"/>
              <w:left w:val="nil"/>
              <w:bottom w:val="nil"/>
              <w:right w:val="nil"/>
            </w:tcBorders>
            <w:shd w:val="clear" w:color="auto" w:fill="auto"/>
            <w:vAlign w:val="bottom"/>
          </w:tcPr>
          <w:p w:rsidR="00F66C9B" w:rsidRPr="009E6F90" w:rsidRDefault="00F66C9B" w:rsidP="0053149A">
            <w:pPr>
              <w:spacing w:before="40" w:after="40"/>
              <w:jc w:val="right"/>
              <w:rPr>
                <w:rFonts w:cs="Arial"/>
                <w:b/>
                <w:color w:val="000000" w:themeColor="text1"/>
                <w:sz w:val="19"/>
                <w:szCs w:val="19"/>
                <w:lang w:val="lt-LT"/>
              </w:rPr>
            </w:pPr>
            <w:r w:rsidRPr="009E6F90">
              <w:rPr>
                <w:rFonts w:cs="Arial"/>
                <w:color w:val="000000" w:themeColor="text1"/>
              </w:rPr>
              <w:t>1608</w:t>
            </w:r>
            <w:r w:rsidR="00142AA4">
              <w:rPr>
                <w:rFonts w:cs="Arial"/>
                <w:color w:val="000000" w:themeColor="text1"/>
              </w:rPr>
              <w:t>,</w:t>
            </w:r>
            <w:r w:rsidRPr="009E6F90">
              <w:rPr>
                <w:rFonts w:cs="Arial"/>
                <w:color w:val="000000" w:themeColor="text1"/>
              </w:rPr>
              <w:t>6</w:t>
            </w:r>
          </w:p>
        </w:tc>
        <w:tc>
          <w:tcPr>
            <w:tcW w:w="766" w:type="pct"/>
            <w:tcBorders>
              <w:top w:val="single" w:sz="4" w:space="0" w:color="auto"/>
              <w:left w:val="nil"/>
              <w:bottom w:val="nil"/>
              <w:right w:val="nil"/>
            </w:tcBorders>
            <w:shd w:val="clear" w:color="auto" w:fill="auto"/>
            <w:vAlign w:val="bottom"/>
          </w:tcPr>
          <w:p w:rsidR="00F66C9B" w:rsidRPr="009E6F90" w:rsidRDefault="00F66C9B" w:rsidP="0053149A">
            <w:pPr>
              <w:spacing w:before="40" w:after="40"/>
              <w:jc w:val="right"/>
              <w:rPr>
                <w:rFonts w:cs="Arial"/>
                <w:b/>
                <w:color w:val="000000" w:themeColor="text1"/>
                <w:sz w:val="19"/>
                <w:szCs w:val="19"/>
                <w:lang w:val="lt-LT"/>
              </w:rPr>
            </w:pPr>
            <w:r w:rsidRPr="009E6F90">
              <w:rPr>
                <w:rFonts w:cs="Arial"/>
                <w:color w:val="000000" w:themeColor="text1"/>
              </w:rPr>
              <w:t>1058</w:t>
            </w:r>
            <w:r w:rsidR="00142AA4">
              <w:rPr>
                <w:rFonts w:cs="Arial"/>
                <w:color w:val="000000" w:themeColor="text1"/>
              </w:rPr>
              <w:t>,</w:t>
            </w:r>
            <w:r w:rsidRPr="009E6F90">
              <w:rPr>
                <w:rFonts w:cs="Arial"/>
                <w:color w:val="000000" w:themeColor="text1"/>
              </w:rPr>
              <w:t>6</w:t>
            </w:r>
          </w:p>
        </w:tc>
        <w:tc>
          <w:tcPr>
            <w:tcW w:w="625" w:type="pct"/>
            <w:tcBorders>
              <w:top w:val="single" w:sz="4" w:space="0" w:color="auto"/>
              <w:left w:val="nil"/>
              <w:bottom w:val="nil"/>
              <w:right w:val="nil"/>
            </w:tcBorders>
            <w:shd w:val="clear" w:color="auto" w:fill="auto"/>
            <w:vAlign w:val="bottom"/>
          </w:tcPr>
          <w:p w:rsidR="00F66C9B" w:rsidRPr="009E6F90" w:rsidRDefault="00F66C9B" w:rsidP="0053149A">
            <w:pPr>
              <w:spacing w:before="40" w:after="40"/>
              <w:jc w:val="right"/>
              <w:rPr>
                <w:rFonts w:cs="Arial"/>
                <w:b/>
                <w:color w:val="000000" w:themeColor="text1"/>
                <w:sz w:val="19"/>
                <w:szCs w:val="19"/>
                <w:lang w:val="lt-LT"/>
              </w:rPr>
            </w:pPr>
            <w:r w:rsidRPr="009E6F90">
              <w:rPr>
                <w:rFonts w:cs="Arial"/>
                <w:color w:val="000000" w:themeColor="text1"/>
              </w:rPr>
              <w:t>1098</w:t>
            </w:r>
            <w:r w:rsidR="00142AA4">
              <w:rPr>
                <w:rFonts w:cs="Arial"/>
                <w:color w:val="000000" w:themeColor="text1"/>
              </w:rPr>
              <w:t>,</w:t>
            </w:r>
            <w:r w:rsidRPr="009E6F90">
              <w:rPr>
                <w:rFonts w:cs="Arial"/>
                <w:color w:val="000000" w:themeColor="text1"/>
              </w:rPr>
              <w:t>0</w:t>
            </w:r>
          </w:p>
        </w:tc>
        <w:tc>
          <w:tcPr>
            <w:tcW w:w="622" w:type="pct"/>
            <w:tcBorders>
              <w:top w:val="single" w:sz="4" w:space="0" w:color="auto"/>
              <w:left w:val="nil"/>
              <w:bottom w:val="nil"/>
              <w:right w:val="single" w:sz="4" w:space="0" w:color="auto"/>
            </w:tcBorders>
            <w:shd w:val="clear" w:color="auto" w:fill="auto"/>
            <w:vAlign w:val="bottom"/>
          </w:tcPr>
          <w:p w:rsidR="00F66C9B" w:rsidRPr="009E6F90" w:rsidRDefault="00F66C9B" w:rsidP="0053149A">
            <w:pPr>
              <w:spacing w:before="40" w:after="40"/>
              <w:jc w:val="right"/>
              <w:rPr>
                <w:rFonts w:cs="Arial"/>
                <w:b/>
                <w:color w:val="000000" w:themeColor="text1"/>
                <w:sz w:val="19"/>
                <w:szCs w:val="19"/>
                <w:lang w:val="lt-LT"/>
              </w:rPr>
            </w:pPr>
            <w:r w:rsidRPr="009E6F90">
              <w:rPr>
                <w:rFonts w:cs="Arial"/>
                <w:color w:val="000000" w:themeColor="text1"/>
              </w:rPr>
              <w:t>1018</w:t>
            </w:r>
            <w:r w:rsidR="00142AA4">
              <w:rPr>
                <w:rFonts w:cs="Arial"/>
                <w:color w:val="000000" w:themeColor="text1"/>
              </w:rPr>
              <w:t>,</w:t>
            </w:r>
            <w:r w:rsidRPr="009E6F90">
              <w:rPr>
                <w:rFonts w:cs="Arial"/>
                <w:color w:val="000000" w:themeColor="text1"/>
              </w:rPr>
              <w:t>4</w:t>
            </w:r>
          </w:p>
        </w:tc>
      </w:tr>
      <w:tr w:rsidR="009E6F90" w:rsidRPr="009E6F90" w:rsidTr="006544FB">
        <w:tc>
          <w:tcPr>
            <w:tcW w:w="1024" w:type="pct"/>
            <w:tcBorders>
              <w:top w:val="nil"/>
              <w:left w:val="single" w:sz="4" w:space="0" w:color="auto"/>
              <w:bottom w:val="nil"/>
              <w:right w:val="single" w:sz="4" w:space="0" w:color="auto"/>
            </w:tcBorders>
            <w:vAlign w:val="bottom"/>
            <w:hideMark/>
          </w:tcPr>
          <w:p w:rsidR="00F66C9B" w:rsidRPr="009E6F90" w:rsidRDefault="00F66C9B" w:rsidP="0053149A">
            <w:pPr>
              <w:spacing w:before="40" w:after="40"/>
              <w:rPr>
                <w:color w:val="000000" w:themeColor="text1"/>
                <w:sz w:val="19"/>
                <w:szCs w:val="19"/>
                <w:lang w:val="lt-LT"/>
              </w:rPr>
            </w:pPr>
            <w:r w:rsidRPr="009E6F90">
              <w:rPr>
                <w:color w:val="000000" w:themeColor="text1"/>
                <w:sz w:val="19"/>
                <w:szCs w:val="19"/>
                <w:lang w:val="lt-LT"/>
              </w:rPr>
              <w:t>Viešasis sektorius</w:t>
            </w:r>
          </w:p>
        </w:tc>
        <w:tc>
          <w:tcPr>
            <w:tcW w:w="643" w:type="pct"/>
            <w:tcBorders>
              <w:top w:val="nil"/>
              <w:left w:val="nil"/>
              <w:bottom w:val="nil"/>
              <w:right w:val="nil"/>
            </w:tcBorders>
            <w:shd w:val="clear" w:color="auto" w:fill="auto"/>
            <w:vAlign w:val="bottom"/>
          </w:tcPr>
          <w:p w:rsidR="00F66C9B" w:rsidRPr="009E6F90" w:rsidRDefault="00F66C9B" w:rsidP="0053149A">
            <w:pPr>
              <w:spacing w:before="40" w:after="40"/>
              <w:jc w:val="right"/>
              <w:rPr>
                <w:rFonts w:cs="Arial"/>
                <w:color w:val="000000" w:themeColor="text1"/>
                <w:sz w:val="19"/>
                <w:szCs w:val="19"/>
                <w:lang w:val="lt-LT"/>
              </w:rPr>
            </w:pPr>
            <w:r w:rsidRPr="009E6F90">
              <w:rPr>
                <w:rFonts w:cs="Arial"/>
                <w:color w:val="000000" w:themeColor="text1"/>
              </w:rPr>
              <w:t>1816</w:t>
            </w:r>
            <w:r w:rsidR="00142AA4">
              <w:rPr>
                <w:rFonts w:cs="Arial"/>
                <w:color w:val="000000" w:themeColor="text1"/>
              </w:rPr>
              <w:t>,</w:t>
            </w:r>
            <w:r w:rsidRPr="009E6F90">
              <w:rPr>
                <w:rFonts w:cs="Arial"/>
                <w:color w:val="000000" w:themeColor="text1"/>
              </w:rPr>
              <w:t>6</w:t>
            </w:r>
          </w:p>
        </w:tc>
        <w:tc>
          <w:tcPr>
            <w:tcW w:w="625" w:type="pct"/>
            <w:tcBorders>
              <w:top w:val="nil"/>
              <w:left w:val="nil"/>
              <w:bottom w:val="nil"/>
              <w:right w:val="nil"/>
            </w:tcBorders>
            <w:shd w:val="clear" w:color="auto" w:fill="auto"/>
            <w:vAlign w:val="bottom"/>
          </w:tcPr>
          <w:p w:rsidR="00F66C9B" w:rsidRPr="009E6F90" w:rsidRDefault="00F66C9B" w:rsidP="0053149A">
            <w:pPr>
              <w:spacing w:before="40" w:after="40"/>
              <w:jc w:val="right"/>
              <w:rPr>
                <w:rFonts w:cs="Arial"/>
                <w:color w:val="000000" w:themeColor="text1"/>
                <w:sz w:val="19"/>
                <w:szCs w:val="19"/>
                <w:lang w:val="lt-LT"/>
              </w:rPr>
            </w:pPr>
            <w:r w:rsidRPr="009E6F90">
              <w:rPr>
                <w:rFonts w:cs="Arial"/>
                <w:color w:val="000000" w:themeColor="text1"/>
              </w:rPr>
              <w:t>1908</w:t>
            </w:r>
            <w:r w:rsidR="00142AA4">
              <w:rPr>
                <w:rFonts w:cs="Arial"/>
                <w:color w:val="000000" w:themeColor="text1"/>
              </w:rPr>
              <w:t>,</w:t>
            </w:r>
            <w:r w:rsidRPr="009E6F90">
              <w:rPr>
                <w:rFonts w:cs="Arial"/>
                <w:color w:val="000000" w:themeColor="text1"/>
              </w:rPr>
              <w:t>8</w:t>
            </w:r>
          </w:p>
        </w:tc>
        <w:tc>
          <w:tcPr>
            <w:tcW w:w="696" w:type="pct"/>
            <w:tcBorders>
              <w:top w:val="nil"/>
              <w:left w:val="nil"/>
              <w:bottom w:val="nil"/>
              <w:right w:val="nil"/>
            </w:tcBorders>
            <w:shd w:val="clear" w:color="auto" w:fill="auto"/>
            <w:vAlign w:val="bottom"/>
          </w:tcPr>
          <w:p w:rsidR="00F66C9B" w:rsidRPr="009E6F90" w:rsidRDefault="00F66C9B" w:rsidP="0053149A">
            <w:pPr>
              <w:spacing w:before="40" w:after="40"/>
              <w:jc w:val="right"/>
              <w:rPr>
                <w:rFonts w:cs="Arial"/>
                <w:color w:val="000000" w:themeColor="text1"/>
                <w:sz w:val="19"/>
                <w:szCs w:val="19"/>
                <w:lang w:val="lt-LT"/>
              </w:rPr>
            </w:pPr>
            <w:r w:rsidRPr="009E6F90">
              <w:rPr>
                <w:rFonts w:cs="Arial"/>
                <w:color w:val="000000" w:themeColor="text1"/>
              </w:rPr>
              <w:t>1771</w:t>
            </w:r>
            <w:r w:rsidR="00142AA4">
              <w:rPr>
                <w:rFonts w:cs="Arial"/>
                <w:color w:val="000000" w:themeColor="text1"/>
              </w:rPr>
              <w:t>,</w:t>
            </w:r>
            <w:r w:rsidRPr="009E6F90">
              <w:rPr>
                <w:rFonts w:cs="Arial"/>
                <w:color w:val="000000" w:themeColor="text1"/>
              </w:rPr>
              <w:t>2</w:t>
            </w:r>
          </w:p>
        </w:tc>
        <w:tc>
          <w:tcPr>
            <w:tcW w:w="766" w:type="pct"/>
            <w:tcBorders>
              <w:top w:val="nil"/>
              <w:left w:val="nil"/>
              <w:bottom w:val="nil"/>
              <w:right w:val="nil"/>
            </w:tcBorders>
            <w:shd w:val="clear" w:color="auto" w:fill="auto"/>
            <w:vAlign w:val="bottom"/>
          </w:tcPr>
          <w:p w:rsidR="00F66C9B" w:rsidRPr="009E6F90" w:rsidRDefault="00F66C9B" w:rsidP="0053149A">
            <w:pPr>
              <w:spacing w:before="40" w:after="40"/>
              <w:jc w:val="right"/>
              <w:rPr>
                <w:rFonts w:cs="Arial"/>
                <w:color w:val="000000" w:themeColor="text1"/>
                <w:sz w:val="19"/>
                <w:szCs w:val="19"/>
                <w:lang w:val="lt-LT"/>
              </w:rPr>
            </w:pPr>
            <w:r w:rsidRPr="009E6F90">
              <w:rPr>
                <w:rFonts w:cs="Arial"/>
                <w:color w:val="000000" w:themeColor="text1"/>
              </w:rPr>
              <w:t>1136</w:t>
            </w:r>
            <w:r w:rsidR="00142AA4">
              <w:rPr>
                <w:rFonts w:cs="Arial"/>
                <w:color w:val="000000" w:themeColor="text1"/>
              </w:rPr>
              <w:t>,</w:t>
            </w:r>
            <w:r w:rsidRPr="009E6F90">
              <w:rPr>
                <w:rFonts w:cs="Arial"/>
                <w:color w:val="000000" w:themeColor="text1"/>
              </w:rPr>
              <w:t>8</w:t>
            </w:r>
          </w:p>
        </w:tc>
        <w:tc>
          <w:tcPr>
            <w:tcW w:w="625" w:type="pct"/>
            <w:tcBorders>
              <w:top w:val="nil"/>
              <w:left w:val="nil"/>
              <w:bottom w:val="nil"/>
              <w:right w:val="nil"/>
            </w:tcBorders>
            <w:shd w:val="clear" w:color="auto" w:fill="auto"/>
            <w:vAlign w:val="bottom"/>
          </w:tcPr>
          <w:p w:rsidR="00F66C9B" w:rsidRPr="009E6F90" w:rsidRDefault="00F66C9B" w:rsidP="0053149A">
            <w:pPr>
              <w:spacing w:before="40" w:after="40"/>
              <w:jc w:val="right"/>
              <w:rPr>
                <w:rFonts w:cs="Arial"/>
                <w:color w:val="000000" w:themeColor="text1"/>
                <w:sz w:val="19"/>
                <w:szCs w:val="19"/>
                <w:lang w:val="lt-LT"/>
              </w:rPr>
            </w:pPr>
            <w:r w:rsidRPr="009E6F90">
              <w:rPr>
                <w:rFonts w:cs="Arial"/>
                <w:color w:val="000000" w:themeColor="text1"/>
              </w:rPr>
              <w:t>1189</w:t>
            </w:r>
            <w:r w:rsidR="00142AA4">
              <w:rPr>
                <w:rFonts w:cs="Arial"/>
                <w:color w:val="000000" w:themeColor="text1"/>
              </w:rPr>
              <w:t>,</w:t>
            </w:r>
            <w:r w:rsidRPr="009E6F90">
              <w:rPr>
                <w:rFonts w:cs="Arial"/>
                <w:color w:val="000000" w:themeColor="text1"/>
              </w:rPr>
              <w:t>2</w:t>
            </w:r>
          </w:p>
        </w:tc>
        <w:tc>
          <w:tcPr>
            <w:tcW w:w="622" w:type="pct"/>
            <w:tcBorders>
              <w:top w:val="nil"/>
              <w:left w:val="nil"/>
              <w:bottom w:val="nil"/>
              <w:right w:val="single" w:sz="4" w:space="0" w:color="auto"/>
            </w:tcBorders>
            <w:shd w:val="clear" w:color="auto" w:fill="auto"/>
            <w:vAlign w:val="bottom"/>
          </w:tcPr>
          <w:p w:rsidR="00F66C9B" w:rsidRPr="009E6F90" w:rsidRDefault="00F66C9B" w:rsidP="0053149A">
            <w:pPr>
              <w:spacing w:before="40" w:after="40"/>
              <w:jc w:val="right"/>
              <w:rPr>
                <w:rFonts w:cs="Arial"/>
                <w:color w:val="000000" w:themeColor="text1"/>
                <w:sz w:val="19"/>
                <w:szCs w:val="19"/>
                <w:lang w:val="lt-LT"/>
              </w:rPr>
            </w:pPr>
            <w:r w:rsidRPr="009E6F90">
              <w:rPr>
                <w:rFonts w:cs="Arial"/>
                <w:color w:val="000000" w:themeColor="text1"/>
              </w:rPr>
              <w:t>1110</w:t>
            </w:r>
            <w:r w:rsidR="00142AA4">
              <w:rPr>
                <w:rFonts w:cs="Arial"/>
                <w:color w:val="000000" w:themeColor="text1"/>
              </w:rPr>
              <w:t>,</w:t>
            </w:r>
            <w:r w:rsidRPr="009E6F90">
              <w:rPr>
                <w:rFonts w:cs="Arial"/>
                <w:color w:val="000000" w:themeColor="text1"/>
              </w:rPr>
              <w:t>9</w:t>
            </w:r>
          </w:p>
        </w:tc>
      </w:tr>
      <w:tr w:rsidR="009E6F90" w:rsidRPr="009E6F90" w:rsidTr="006544FB">
        <w:tc>
          <w:tcPr>
            <w:tcW w:w="1024" w:type="pct"/>
            <w:tcBorders>
              <w:top w:val="nil"/>
              <w:left w:val="single" w:sz="4" w:space="0" w:color="auto"/>
              <w:bottom w:val="single" w:sz="4" w:space="0" w:color="auto"/>
              <w:right w:val="single" w:sz="4" w:space="0" w:color="auto"/>
            </w:tcBorders>
            <w:vAlign w:val="bottom"/>
            <w:hideMark/>
          </w:tcPr>
          <w:p w:rsidR="00F66C9B" w:rsidRPr="009E6F90" w:rsidRDefault="00F66C9B" w:rsidP="0053149A">
            <w:pPr>
              <w:spacing w:before="40" w:after="40"/>
              <w:rPr>
                <w:color w:val="000000" w:themeColor="text1"/>
                <w:sz w:val="19"/>
                <w:szCs w:val="19"/>
                <w:lang w:val="lt-LT"/>
              </w:rPr>
            </w:pPr>
            <w:r w:rsidRPr="009E6F90">
              <w:rPr>
                <w:color w:val="000000" w:themeColor="text1"/>
                <w:sz w:val="19"/>
                <w:szCs w:val="19"/>
                <w:lang w:val="lt-LT"/>
              </w:rPr>
              <w:t>Privatusis sektorius</w:t>
            </w:r>
          </w:p>
        </w:tc>
        <w:tc>
          <w:tcPr>
            <w:tcW w:w="643" w:type="pct"/>
            <w:tcBorders>
              <w:top w:val="nil"/>
              <w:left w:val="nil"/>
              <w:bottom w:val="single" w:sz="4" w:space="0" w:color="auto"/>
              <w:right w:val="nil"/>
            </w:tcBorders>
            <w:shd w:val="clear" w:color="auto" w:fill="auto"/>
            <w:vAlign w:val="bottom"/>
          </w:tcPr>
          <w:p w:rsidR="00F66C9B" w:rsidRPr="009E6F90" w:rsidRDefault="00F66C9B" w:rsidP="0053149A">
            <w:pPr>
              <w:spacing w:before="40" w:after="40"/>
              <w:jc w:val="right"/>
              <w:rPr>
                <w:rFonts w:cs="Arial"/>
                <w:color w:val="000000" w:themeColor="text1"/>
                <w:sz w:val="19"/>
                <w:szCs w:val="19"/>
                <w:lang w:val="lt-LT"/>
              </w:rPr>
            </w:pPr>
            <w:r w:rsidRPr="009E6F90">
              <w:rPr>
                <w:rFonts w:cs="Arial"/>
                <w:color w:val="000000" w:themeColor="text1"/>
              </w:rPr>
              <w:t>1620</w:t>
            </w:r>
            <w:r w:rsidR="00142AA4">
              <w:rPr>
                <w:rFonts w:cs="Arial"/>
                <w:color w:val="000000" w:themeColor="text1"/>
              </w:rPr>
              <w:t>,</w:t>
            </w:r>
            <w:r w:rsidRPr="009E6F90">
              <w:rPr>
                <w:rFonts w:cs="Arial"/>
                <w:color w:val="000000" w:themeColor="text1"/>
              </w:rPr>
              <w:t>1</w:t>
            </w:r>
          </w:p>
        </w:tc>
        <w:tc>
          <w:tcPr>
            <w:tcW w:w="625" w:type="pct"/>
            <w:tcBorders>
              <w:top w:val="nil"/>
              <w:left w:val="nil"/>
              <w:bottom w:val="single" w:sz="4" w:space="0" w:color="auto"/>
              <w:right w:val="nil"/>
            </w:tcBorders>
            <w:shd w:val="clear" w:color="auto" w:fill="auto"/>
            <w:vAlign w:val="bottom"/>
          </w:tcPr>
          <w:p w:rsidR="00F66C9B" w:rsidRPr="009E6F90" w:rsidRDefault="00F66C9B" w:rsidP="0053149A">
            <w:pPr>
              <w:spacing w:before="40" w:after="40"/>
              <w:jc w:val="right"/>
              <w:rPr>
                <w:rFonts w:cs="Arial"/>
                <w:color w:val="000000" w:themeColor="text1"/>
                <w:sz w:val="19"/>
                <w:szCs w:val="19"/>
                <w:lang w:val="lt-LT"/>
              </w:rPr>
            </w:pPr>
            <w:r w:rsidRPr="009E6F90">
              <w:rPr>
                <w:rFonts w:cs="Arial"/>
                <w:color w:val="000000" w:themeColor="text1"/>
              </w:rPr>
              <w:t>1709</w:t>
            </w:r>
            <w:r w:rsidR="00142AA4">
              <w:rPr>
                <w:rFonts w:cs="Arial"/>
                <w:color w:val="000000" w:themeColor="text1"/>
              </w:rPr>
              <w:t>,</w:t>
            </w:r>
            <w:r w:rsidRPr="009E6F90">
              <w:rPr>
                <w:rFonts w:cs="Arial"/>
                <w:color w:val="000000" w:themeColor="text1"/>
              </w:rPr>
              <w:t>1</w:t>
            </w:r>
          </w:p>
        </w:tc>
        <w:tc>
          <w:tcPr>
            <w:tcW w:w="696" w:type="pct"/>
            <w:tcBorders>
              <w:top w:val="nil"/>
              <w:left w:val="nil"/>
              <w:bottom w:val="single" w:sz="4" w:space="0" w:color="auto"/>
              <w:right w:val="nil"/>
            </w:tcBorders>
            <w:shd w:val="clear" w:color="auto" w:fill="auto"/>
            <w:vAlign w:val="bottom"/>
          </w:tcPr>
          <w:p w:rsidR="00F66C9B" w:rsidRPr="009E6F90" w:rsidRDefault="00F66C9B" w:rsidP="0053149A">
            <w:pPr>
              <w:spacing w:before="40" w:after="40"/>
              <w:jc w:val="right"/>
              <w:rPr>
                <w:rFonts w:cs="Arial"/>
                <w:color w:val="000000" w:themeColor="text1"/>
                <w:sz w:val="19"/>
                <w:szCs w:val="19"/>
                <w:lang w:val="lt-LT"/>
              </w:rPr>
            </w:pPr>
            <w:r w:rsidRPr="009E6F90">
              <w:rPr>
                <w:rFonts w:cs="Arial"/>
                <w:color w:val="000000" w:themeColor="text1"/>
              </w:rPr>
              <w:t>1496</w:t>
            </w:r>
            <w:r w:rsidR="00142AA4">
              <w:rPr>
                <w:rFonts w:cs="Arial"/>
                <w:color w:val="000000" w:themeColor="text1"/>
              </w:rPr>
              <w:t>,</w:t>
            </w:r>
            <w:r w:rsidRPr="009E6F90">
              <w:rPr>
                <w:rFonts w:cs="Arial"/>
                <w:color w:val="000000" w:themeColor="text1"/>
              </w:rPr>
              <w:t>6</w:t>
            </w:r>
          </w:p>
        </w:tc>
        <w:tc>
          <w:tcPr>
            <w:tcW w:w="766" w:type="pct"/>
            <w:tcBorders>
              <w:top w:val="nil"/>
              <w:left w:val="nil"/>
              <w:bottom w:val="single" w:sz="4" w:space="0" w:color="auto"/>
              <w:right w:val="nil"/>
            </w:tcBorders>
            <w:shd w:val="clear" w:color="auto" w:fill="auto"/>
            <w:vAlign w:val="bottom"/>
          </w:tcPr>
          <w:p w:rsidR="00F66C9B" w:rsidRPr="009E6F90" w:rsidRDefault="00F66C9B" w:rsidP="0053149A">
            <w:pPr>
              <w:spacing w:before="40" w:after="40"/>
              <w:jc w:val="right"/>
              <w:rPr>
                <w:rFonts w:cs="Arial"/>
                <w:color w:val="000000" w:themeColor="text1"/>
                <w:sz w:val="19"/>
                <w:szCs w:val="19"/>
                <w:lang w:val="lt-LT"/>
              </w:rPr>
            </w:pPr>
            <w:r w:rsidRPr="009E6F90">
              <w:rPr>
                <w:rFonts w:cs="Arial"/>
                <w:color w:val="000000" w:themeColor="text1"/>
              </w:rPr>
              <w:t>1024</w:t>
            </w:r>
            <w:r w:rsidR="00142AA4">
              <w:rPr>
                <w:rFonts w:cs="Arial"/>
                <w:color w:val="000000" w:themeColor="text1"/>
              </w:rPr>
              <w:t>,</w:t>
            </w:r>
            <w:r w:rsidRPr="009E6F90">
              <w:rPr>
                <w:rFonts w:cs="Arial"/>
                <w:color w:val="000000" w:themeColor="text1"/>
              </w:rPr>
              <w:t>9</w:t>
            </w:r>
          </w:p>
        </w:tc>
        <w:tc>
          <w:tcPr>
            <w:tcW w:w="625" w:type="pct"/>
            <w:tcBorders>
              <w:top w:val="nil"/>
              <w:left w:val="nil"/>
              <w:bottom w:val="single" w:sz="4" w:space="0" w:color="auto"/>
              <w:right w:val="nil"/>
            </w:tcBorders>
            <w:shd w:val="clear" w:color="auto" w:fill="auto"/>
            <w:vAlign w:val="bottom"/>
          </w:tcPr>
          <w:p w:rsidR="00F66C9B" w:rsidRPr="009E6F90" w:rsidRDefault="00F66C9B" w:rsidP="0053149A">
            <w:pPr>
              <w:spacing w:before="40" w:after="40"/>
              <w:jc w:val="right"/>
              <w:rPr>
                <w:rFonts w:cs="Arial"/>
                <w:color w:val="000000" w:themeColor="text1"/>
                <w:sz w:val="19"/>
                <w:szCs w:val="19"/>
                <w:lang w:val="lt-LT"/>
              </w:rPr>
            </w:pPr>
            <w:r w:rsidRPr="009E6F90">
              <w:rPr>
                <w:rFonts w:cs="Arial"/>
                <w:color w:val="000000" w:themeColor="text1"/>
              </w:rPr>
              <w:t>1075</w:t>
            </w:r>
            <w:r w:rsidR="00142AA4">
              <w:rPr>
                <w:rFonts w:cs="Arial"/>
                <w:color w:val="000000" w:themeColor="text1"/>
              </w:rPr>
              <w:t>,</w:t>
            </w:r>
            <w:r w:rsidRPr="009E6F90">
              <w:rPr>
                <w:rFonts w:cs="Arial"/>
                <w:color w:val="000000" w:themeColor="text1"/>
              </w:rPr>
              <w:t>6</w:t>
            </w:r>
          </w:p>
        </w:tc>
        <w:tc>
          <w:tcPr>
            <w:tcW w:w="622" w:type="pct"/>
            <w:tcBorders>
              <w:top w:val="nil"/>
              <w:left w:val="nil"/>
              <w:bottom w:val="single" w:sz="4" w:space="0" w:color="auto"/>
              <w:right w:val="single" w:sz="4" w:space="0" w:color="auto"/>
            </w:tcBorders>
            <w:shd w:val="clear" w:color="auto" w:fill="auto"/>
            <w:vAlign w:val="bottom"/>
          </w:tcPr>
          <w:p w:rsidR="00F66C9B" w:rsidRPr="009E6F90" w:rsidRDefault="00F66C9B" w:rsidP="0053149A">
            <w:pPr>
              <w:spacing w:before="40" w:after="40"/>
              <w:jc w:val="right"/>
              <w:rPr>
                <w:rFonts w:cs="Arial"/>
                <w:color w:val="000000" w:themeColor="text1"/>
                <w:sz w:val="19"/>
                <w:szCs w:val="19"/>
                <w:lang w:val="lt-LT"/>
              </w:rPr>
            </w:pPr>
            <w:r w:rsidRPr="009E6F90">
              <w:rPr>
                <w:rFonts w:cs="Arial"/>
                <w:color w:val="000000" w:themeColor="text1"/>
              </w:rPr>
              <w:t>954</w:t>
            </w:r>
            <w:r w:rsidR="00142AA4">
              <w:rPr>
                <w:rFonts w:cs="Arial"/>
                <w:color w:val="000000" w:themeColor="text1"/>
              </w:rPr>
              <w:t>,</w:t>
            </w:r>
            <w:r w:rsidRPr="009E6F90">
              <w:rPr>
                <w:rFonts w:cs="Arial"/>
                <w:color w:val="000000" w:themeColor="text1"/>
              </w:rPr>
              <w:t>7</w:t>
            </w:r>
          </w:p>
        </w:tc>
      </w:tr>
    </w:tbl>
    <w:p w:rsidR="00F66C9B" w:rsidRPr="009E6F90" w:rsidRDefault="00F66C9B" w:rsidP="00F66C9B">
      <w:pPr>
        <w:rPr>
          <w:color w:val="000000" w:themeColor="text1"/>
          <w:sz w:val="18"/>
          <w:szCs w:val="18"/>
          <w:lang w:val="lt-LT"/>
        </w:rPr>
      </w:pPr>
      <w:r w:rsidRPr="009E6F90">
        <w:rPr>
          <w:color w:val="000000" w:themeColor="text1"/>
          <w:sz w:val="18"/>
          <w:szCs w:val="18"/>
          <w:lang w:val="lt-LT"/>
        </w:rPr>
        <w:t>______________________</w:t>
      </w:r>
    </w:p>
    <w:p w:rsidR="00F66C9B" w:rsidRPr="009E6F90" w:rsidRDefault="00F66C9B" w:rsidP="00F66C9B">
      <w:pPr>
        <w:rPr>
          <w:color w:val="000000" w:themeColor="text1"/>
          <w:sz w:val="18"/>
          <w:szCs w:val="18"/>
          <w:lang w:val="lt-LT"/>
        </w:rPr>
      </w:pPr>
      <w:r w:rsidRPr="009E6F90">
        <w:rPr>
          <w:color w:val="000000" w:themeColor="text1"/>
          <w:sz w:val="18"/>
          <w:szCs w:val="18"/>
          <w:vertAlign w:val="superscript"/>
          <w:lang w:val="lt-LT"/>
        </w:rPr>
        <w:t>6</w:t>
      </w:r>
      <w:r w:rsidRPr="009E6F90">
        <w:rPr>
          <w:color w:val="000000" w:themeColor="text1"/>
          <w:sz w:val="18"/>
          <w:szCs w:val="18"/>
          <w:lang w:val="lt-LT"/>
        </w:rPr>
        <w:t xml:space="preserve"> </w:t>
      </w:r>
      <w:r w:rsidRPr="009E6F90">
        <w:rPr>
          <w:rFonts w:cs="Arial"/>
          <w:bCs/>
          <w:color w:val="000000" w:themeColor="text1"/>
          <w:sz w:val="18"/>
          <w:szCs w:val="18"/>
          <w:lang w:val="lt-LT"/>
        </w:rPr>
        <w:t>Be individualiųjų įmonių.</w:t>
      </w:r>
      <w:r w:rsidRPr="009E6F90">
        <w:rPr>
          <w:color w:val="000000" w:themeColor="text1"/>
          <w:sz w:val="18"/>
          <w:szCs w:val="18"/>
          <w:lang w:val="lt-LT"/>
        </w:rPr>
        <w:t xml:space="preserve"> </w:t>
      </w:r>
    </w:p>
    <w:p w:rsidR="00F66C9B" w:rsidRPr="009E6F90" w:rsidRDefault="00F66C9B" w:rsidP="00F66C9B">
      <w:pPr>
        <w:rPr>
          <w:color w:val="000000" w:themeColor="text1"/>
        </w:rPr>
      </w:pPr>
    </w:p>
    <w:p w:rsidR="00F66C9B" w:rsidRPr="009E6F90" w:rsidRDefault="00F66C9B" w:rsidP="00F66C9B">
      <w:pPr>
        <w:spacing w:after="60"/>
        <w:ind w:right="-170"/>
        <w:outlineLvl w:val="1"/>
        <w:rPr>
          <w:b/>
          <w:color w:val="000000" w:themeColor="text1"/>
          <w:lang w:val="lt-LT"/>
        </w:rPr>
      </w:pPr>
      <w:r w:rsidRPr="009E6F90">
        <w:rPr>
          <w:b/>
          <w:color w:val="000000" w:themeColor="text1"/>
          <w:lang w:val="lt-LT"/>
        </w:rPr>
        <w:t>2 lentelė. Vidutinio mėnesinio darbo užmokesčio</w:t>
      </w:r>
      <w:r w:rsidRPr="009E6F90">
        <w:rPr>
          <w:b/>
          <w:color w:val="000000" w:themeColor="text1"/>
          <w:vertAlign w:val="superscript"/>
          <w:lang w:val="lt-LT"/>
        </w:rPr>
        <w:t xml:space="preserve">7 </w:t>
      </w:r>
      <w:r w:rsidRPr="009E6F90">
        <w:rPr>
          <w:b/>
          <w:color w:val="000000" w:themeColor="text1"/>
          <w:lang w:val="lt-LT"/>
        </w:rPr>
        <w:t>indeksai pagal sektorius ir lytį 2021 m. ketvirtąjį ketvirtį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3"/>
        <w:gridCol w:w="1352"/>
        <w:gridCol w:w="1303"/>
        <w:gridCol w:w="1413"/>
        <w:gridCol w:w="1403"/>
        <w:gridCol w:w="1403"/>
        <w:gridCol w:w="1217"/>
      </w:tblGrid>
      <w:tr w:rsidR="009E6F90" w:rsidRPr="009E6F90" w:rsidTr="0053149A">
        <w:trPr>
          <w:tblHeader/>
        </w:trPr>
        <w:tc>
          <w:tcPr>
            <w:tcW w:w="1032" w:type="pct"/>
            <w:vMerge w:val="restart"/>
            <w:tcBorders>
              <w:top w:val="single" w:sz="4" w:space="0" w:color="auto"/>
              <w:left w:val="single" w:sz="4" w:space="0" w:color="auto"/>
              <w:bottom w:val="single" w:sz="4" w:space="0" w:color="auto"/>
              <w:right w:val="single" w:sz="4" w:space="0" w:color="auto"/>
            </w:tcBorders>
            <w:shd w:val="clear" w:color="auto" w:fill="FBD9E0"/>
          </w:tcPr>
          <w:p w:rsidR="00F66C9B" w:rsidRPr="009E6F90" w:rsidRDefault="00F66C9B" w:rsidP="0053149A">
            <w:pPr>
              <w:spacing w:before="40" w:after="40"/>
              <w:ind w:right="-57"/>
              <w:jc w:val="center"/>
              <w:rPr>
                <w:rFonts w:cs="Arial"/>
                <w:color w:val="000000" w:themeColor="text1"/>
                <w:sz w:val="19"/>
                <w:szCs w:val="19"/>
                <w:lang w:val="lt-LT"/>
              </w:rPr>
            </w:pPr>
          </w:p>
        </w:tc>
        <w:tc>
          <w:tcPr>
            <w:tcW w:w="1994" w:type="pct"/>
            <w:gridSpan w:val="3"/>
            <w:tcBorders>
              <w:top w:val="single" w:sz="4" w:space="0" w:color="auto"/>
              <w:left w:val="single" w:sz="4" w:space="0" w:color="auto"/>
              <w:bottom w:val="single" w:sz="4" w:space="0" w:color="auto"/>
              <w:right w:val="single" w:sz="4" w:space="0" w:color="auto"/>
            </w:tcBorders>
            <w:shd w:val="clear" w:color="auto" w:fill="FBD9E0"/>
            <w:hideMark/>
          </w:tcPr>
          <w:p w:rsidR="00F66C9B" w:rsidRPr="009E6F90" w:rsidRDefault="00F66C9B" w:rsidP="0053149A">
            <w:pPr>
              <w:spacing w:before="40" w:after="40"/>
              <w:rPr>
                <w:rFonts w:cs="Arial"/>
                <w:color w:val="000000" w:themeColor="text1"/>
                <w:sz w:val="19"/>
                <w:szCs w:val="19"/>
                <w:lang w:val="lt-LT"/>
              </w:rPr>
            </w:pPr>
            <w:r w:rsidRPr="009E6F90">
              <w:rPr>
                <w:rFonts w:cs="Arial"/>
                <w:bCs/>
                <w:color w:val="000000" w:themeColor="text1"/>
                <w:sz w:val="19"/>
                <w:szCs w:val="19"/>
                <w:lang w:val="lt-LT"/>
              </w:rPr>
              <w:t>Ankstesnis ketvirtis – 100 proc.</w:t>
            </w:r>
          </w:p>
        </w:tc>
        <w:tc>
          <w:tcPr>
            <w:tcW w:w="1973" w:type="pct"/>
            <w:gridSpan w:val="3"/>
            <w:tcBorders>
              <w:top w:val="single" w:sz="4" w:space="0" w:color="auto"/>
              <w:left w:val="single" w:sz="4" w:space="0" w:color="auto"/>
              <w:bottom w:val="single" w:sz="4" w:space="0" w:color="auto"/>
              <w:right w:val="single" w:sz="4" w:space="0" w:color="auto"/>
            </w:tcBorders>
            <w:shd w:val="clear" w:color="auto" w:fill="FBD9E0"/>
            <w:hideMark/>
          </w:tcPr>
          <w:p w:rsidR="00F66C9B" w:rsidRPr="009E6F90" w:rsidRDefault="00F66C9B" w:rsidP="0053149A">
            <w:pPr>
              <w:spacing w:before="40" w:after="40"/>
              <w:rPr>
                <w:rFonts w:cs="Arial"/>
                <w:color w:val="000000" w:themeColor="text1"/>
                <w:sz w:val="19"/>
                <w:szCs w:val="19"/>
                <w:lang w:val="lt-LT"/>
              </w:rPr>
            </w:pPr>
            <w:r w:rsidRPr="009E6F90">
              <w:rPr>
                <w:rFonts w:cs="Arial"/>
                <w:bCs/>
                <w:color w:val="000000" w:themeColor="text1"/>
                <w:sz w:val="19"/>
                <w:szCs w:val="19"/>
                <w:lang w:val="lt-LT"/>
              </w:rPr>
              <w:t>2020 m. ketvirtasis ketvirtis – 100 proc.</w:t>
            </w:r>
          </w:p>
        </w:tc>
      </w:tr>
      <w:tr w:rsidR="00F66C9B" w:rsidRPr="00324116" w:rsidTr="0053149A">
        <w:trPr>
          <w:tblHeader/>
        </w:trPr>
        <w:tc>
          <w:tcPr>
            <w:tcW w:w="1032" w:type="pct"/>
            <w:vMerge/>
            <w:tcBorders>
              <w:top w:val="single" w:sz="4" w:space="0" w:color="auto"/>
              <w:left w:val="single" w:sz="4" w:space="0" w:color="auto"/>
              <w:bottom w:val="single" w:sz="4" w:space="0" w:color="auto"/>
              <w:right w:val="single" w:sz="4" w:space="0" w:color="auto"/>
            </w:tcBorders>
            <w:shd w:val="clear" w:color="auto" w:fill="FBD9E0"/>
            <w:vAlign w:val="center"/>
            <w:hideMark/>
          </w:tcPr>
          <w:p w:rsidR="00F66C9B" w:rsidRPr="00324116" w:rsidRDefault="00F66C9B" w:rsidP="0053149A">
            <w:pPr>
              <w:spacing w:before="40" w:after="40"/>
              <w:rPr>
                <w:rFonts w:cs="Arial"/>
                <w:sz w:val="19"/>
                <w:szCs w:val="19"/>
                <w:lang w:val="lt-LT"/>
              </w:rPr>
            </w:pPr>
          </w:p>
        </w:tc>
        <w:tc>
          <w:tcPr>
            <w:tcW w:w="663" w:type="pct"/>
            <w:tcBorders>
              <w:top w:val="single" w:sz="4" w:space="0" w:color="auto"/>
              <w:left w:val="single" w:sz="4" w:space="0" w:color="auto"/>
              <w:bottom w:val="single" w:sz="4" w:space="0" w:color="auto"/>
              <w:right w:val="single" w:sz="4" w:space="0" w:color="auto"/>
            </w:tcBorders>
            <w:shd w:val="clear" w:color="auto" w:fill="FBD9E0"/>
            <w:hideMark/>
          </w:tcPr>
          <w:p w:rsidR="00F66C9B" w:rsidRPr="00324116" w:rsidRDefault="00F66C9B" w:rsidP="0053149A">
            <w:pPr>
              <w:spacing w:before="40" w:after="40"/>
              <w:ind w:right="-57"/>
              <w:rPr>
                <w:rFonts w:cs="Arial"/>
                <w:sz w:val="19"/>
                <w:szCs w:val="19"/>
                <w:lang w:val="lt-LT"/>
              </w:rPr>
            </w:pPr>
            <w:r w:rsidRPr="00324116">
              <w:rPr>
                <w:rFonts w:cs="Arial"/>
                <w:sz w:val="19"/>
                <w:szCs w:val="19"/>
                <w:lang w:val="lt-LT"/>
              </w:rPr>
              <w:t xml:space="preserve">iš viso </w:t>
            </w:r>
          </w:p>
        </w:tc>
        <w:tc>
          <w:tcPr>
            <w:tcW w:w="639" w:type="pct"/>
            <w:tcBorders>
              <w:top w:val="single" w:sz="4" w:space="0" w:color="auto"/>
              <w:left w:val="single" w:sz="4" w:space="0" w:color="auto"/>
              <w:bottom w:val="single" w:sz="4" w:space="0" w:color="auto"/>
              <w:right w:val="single" w:sz="4" w:space="0" w:color="auto"/>
            </w:tcBorders>
            <w:shd w:val="clear" w:color="auto" w:fill="FBD9E0"/>
            <w:hideMark/>
          </w:tcPr>
          <w:p w:rsidR="00F66C9B" w:rsidRPr="00324116" w:rsidRDefault="00F66C9B" w:rsidP="0053149A">
            <w:pPr>
              <w:spacing w:before="40" w:after="40"/>
              <w:ind w:right="-57"/>
              <w:rPr>
                <w:rFonts w:cs="Arial"/>
                <w:sz w:val="19"/>
                <w:szCs w:val="19"/>
                <w:lang w:val="lt-LT"/>
              </w:rPr>
            </w:pPr>
            <w:r w:rsidRPr="00324116">
              <w:rPr>
                <w:rFonts w:cs="Arial"/>
                <w:sz w:val="19"/>
                <w:szCs w:val="19"/>
                <w:lang w:val="lt-LT"/>
              </w:rPr>
              <w:t>vyrai</w:t>
            </w:r>
          </w:p>
        </w:tc>
        <w:tc>
          <w:tcPr>
            <w:tcW w:w="693" w:type="pct"/>
            <w:tcBorders>
              <w:top w:val="single" w:sz="4" w:space="0" w:color="auto"/>
              <w:left w:val="single" w:sz="4" w:space="0" w:color="auto"/>
              <w:bottom w:val="single" w:sz="4" w:space="0" w:color="auto"/>
              <w:right w:val="single" w:sz="4" w:space="0" w:color="auto"/>
            </w:tcBorders>
            <w:shd w:val="clear" w:color="auto" w:fill="FBD9E0"/>
            <w:hideMark/>
          </w:tcPr>
          <w:p w:rsidR="00F66C9B" w:rsidRPr="00324116" w:rsidRDefault="00F66C9B" w:rsidP="0053149A">
            <w:pPr>
              <w:spacing w:before="40" w:after="40"/>
              <w:ind w:right="-57"/>
              <w:rPr>
                <w:rFonts w:cs="Arial"/>
                <w:sz w:val="19"/>
                <w:szCs w:val="19"/>
                <w:lang w:val="lt-LT"/>
              </w:rPr>
            </w:pPr>
            <w:r w:rsidRPr="00324116">
              <w:rPr>
                <w:rFonts w:cs="Arial"/>
                <w:sz w:val="19"/>
                <w:szCs w:val="19"/>
                <w:lang w:val="lt-LT"/>
              </w:rPr>
              <w:t>moterys</w:t>
            </w:r>
          </w:p>
        </w:tc>
        <w:tc>
          <w:tcPr>
            <w:tcW w:w="688" w:type="pct"/>
            <w:tcBorders>
              <w:top w:val="single" w:sz="4" w:space="0" w:color="auto"/>
              <w:left w:val="single" w:sz="4" w:space="0" w:color="auto"/>
              <w:bottom w:val="single" w:sz="4" w:space="0" w:color="auto"/>
              <w:right w:val="single" w:sz="4" w:space="0" w:color="auto"/>
            </w:tcBorders>
            <w:shd w:val="clear" w:color="auto" w:fill="FBD9E0"/>
            <w:hideMark/>
          </w:tcPr>
          <w:p w:rsidR="00F66C9B" w:rsidRPr="00324116" w:rsidRDefault="00F66C9B" w:rsidP="0053149A">
            <w:pPr>
              <w:spacing w:before="40" w:after="40"/>
              <w:rPr>
                <w:rFonts w:cs="Arial"/>
                <w:sz w:val="19"/>
                <w:szCs w:val="19"/>
                <w:lang w:val="lt-LT"/>
              </w:rPr>
            </w:pPr>
            <w:r w:rsidRPr="00324116">
              <w:rPr>
                <w:rFonts w:cs="Arial"/>
                <w:sz w:val="19"/>
                <w:szCs w:val="19"/>
                <w:lang w:val="lt-LT"/>
              </w:rPr>
              <w:t>iš viso</w:t>
            </w:r>
          </w:p>
        </w:tc>
        <w:tc>
          <w:tcPr>
            <w:tcW w:w="688" w:type="pct"/>
            <w:tcBorders>
              <w:top w:val="single" w:sz="4" w:space="0" w:color="auto"/>
              <w:left w:val="single" w:sz="4" w:space="0" w:color="auto"/>
              <w:bottom w:val="single" w:sz="4" w:space="0" w:color="auto"/>
              <w:right w:val="single" w:sz="4" w:space="0" w:color="auto"/>
            </w:tcBorders>
            <w:shd w:val="clear" w:color="auto" w:fill="FBD9E0"/>
            <w:hideMark/>
          </w:tcPr>
          <w:p w:rsidR="00F66C9B" w:rsidRPr="00324116" w:rsidRDefault="00F66C9B" w:rsidP="0053149A">
            <w:pPr>
              <w:spacing w:before="40" w:after="40"/>
              <w:ind w:right="-57"/>
              <w:rPr>
                <w:rFonts w:cs="Arial"/>
                <w:sz w:val="19"/>
                <w:szCs w:val="19"/>
                <w:lang w:val="lt-LT"/>
              </w:rPr>
            </w:pPr>
            <w:r w:rsidRPr="00324116">
              <w:rPr>
                <w:rFonts w:cs="Arial"/>
                <w:sz w:val="19"/>
                <w:szCs w:val="19"/>
                <w:lang w:val="lt-LT"/>
              </w:rPr>
              <w:t>vyrai</w:t>
            </w:r>
          </w:p>
        </w:tc>
        <w:tc>
          <w:tcPr>
            <w:tcW w:w="597" w:type="pct"/>
            <w:tcBorders>
              <w:top w:val="single" w:sz="4" w:space="0" w:color="auto"/>
              <w:left w:val="single" w:sz="4" w:space="0" w:color="auto"/>
              <w:bottom w:val="single" w:sz="4" w:space="0" w:color="auto"/>
              <w:right w:val="single" w:sz="4" w:space="0" w:color="auto"/>
            </w:tcBorders>
            <w:shd w:val="clear" w:color="auto" w:fill="FBD9E0"/>
            <w:hideMark/>
          </w:tcPr>
          <w:p w:rsidR="00F66C9B" w:rsidRPr="00324116" w:rsidRDefault="00F66C9B" w:rsidP="0053149A">
            <w:pPr>
              <w:spacing w:before="40" w:after="40"/>
              <w:ind w:right="-57"/>
              <w:rPr>
                <w:rFonts w:cs="Arial"/>
                <w:sz w:val="19"/>
                <w:szCs w:val="19"/>
                <w:lang w:val="lt-LT"/>
              </w:rPr>
            </w:pPr>
            <w:r w:rsidRPr="00324116">
              <w:rPr>
                <w:rFonts w:cs="Arial"/>
                <w:sz w:val="19"/>
                <w:szCs w:val="19"/>
                <w:lang w:val="lt-LT"/>
              </w:rPr>
              <w:t>moterys</w:t>
            </w:r>
          </w:p>
        </w:tc>
      </w:tr>
      <w:tr w:rsidR="00F66C9B" w:rsidRPr="00324116" w:rsidTr="0053149A">
        <w:tc>
          <w:tcPr>
            <w:tcW w:w="1032" w:type="pct"/>
            <w:tcBorders>
              <w:top w:val="single" w:sz="4" w:space="0" w:color="auto"/>
              <w:left w:val="single" w:sz="4" w:space="0" w:color="auto"/>
              <w:bottom w:val="nil"/>
              <w:right w:val="single" w:sz="4" w:space="0" w:color="auto"/>
            </w:tcBorders>
            <w:shd w:val="clear" w:color="auto" w:fill="F595AA"/>
            <w:vAlign w:val="bottom"/>
            <w:hideMark/>
          </w:tcPr>
          <w:p w:rsidR="00F66C9B" w:rsidRPr="00324116" w:rsidRDefault="00F66C9B" w:rsidP="0053149A">
            <w:pPr>
              <w:spacing w:before="40" w:after="40"/>
              <w:rPr>
                <w:rFonts w:cs="Arial"/>
                <w:b/>
                <w:iCs/>
                <w:sz w:val="19"/>
                <w:szCs w:val="19"/>
                <w:lang w:val="lt-LT"/>
              </w:rPr>
            </w:pPr>
            <w:proofErr w:type="spellStart"/>
            <w:r w:rsidRPr="00324116">
              <w:rPr>
                <w:rFonts w:cs="Arial"/>
                <w:b/>
                <w:bCs/>
                <w:iCs/>
                <w:sz w:val="19"/>
                <w:szCs w:val="19"/>
                <w:lang w:val="lt-LT"/>
              </w:rPr>
              <w:t>Bruto</w:t>
            </w:r>
            <w:proofErr w:type="spellEnd"/>
          </w:p>
        </w:tc>
        <w:tc>
          <w:tcPr>
            <w:tcW w:w="663" w:type="pct"/>
            <w:tcBorders>
              <w:top w:val="single" w:sz="4" w:space="0" w:color="auto"/>
              <w:left w:val="single" w:sz="4" w:space="0" w:color="auto"/>
              <w:bottom w:val="nil"/>
              <w:right w:val="nil"/>
            </w:tcBorders>
            <w:shd w:val="clear" w:color="auto" w:fill="F595AA"/>
            <w:vAlign w:val="bottom"/>
          </w:tcPr>
          <w:p w:rsidR="00F66C9B" w:rsidRPr="00324116" w:rsidRDefault="00F66C9B" w:rsidP="0053149A">
            <w:pPr>
              <w:spacing w:before="40" w:after="40"/>
              <w:jc w:val="right"/>
              <w:outlineLvl w:val="5"/>
              <w:rPr>
                <w:rFonts w:cs="Arial"/>
                <w:b/>
                <w:iCs/>
                <w:sz w:val="19"/>
                <w:szCs w:val="19"/>
                <w:lang w:val="lt-LT"/>
              </w:rPr>
            </w:pPr>
          </w:p>
        </w:tc>
        <w:tc>
          <w:tcPr>
            <w:tcW w:w="639" w:type="pct"/>
            <w:tcBorders>
              <w:top w:val="single" w:sz="4" w:space="0" w:color="auto"/>
              <w:left w:val="nil"/>
              <w:bottom w:val="nil"/>
              <w:right w:val="nil"/>
            </w:tcBorders>
            <w:shd w:val="clear" w:color="auto" w:fill="F595AA"/>
            <w:vAlign w:val="bottom"/>
          </w:tcPr>
          <w:p w:rsidR="00F66C9B" w:rsidRPr="00324116" w:rsidRDefault="00F66C9B" w:rsidP="0053149A">
            <w:pPr>
              <w:spacing w:before="40" w:after="40"/>
              <w:jc w:val="right"/>
              <w:rPr>
                <w:rFonts w:cs="Arial"/>
                <w:b/>
                <w:sz w:val="19"/>
                <w:szCs w:val="19"/>
                <w:lang w:val="lt-LT"/>
              </w:rPr>
            </w:pPr>
          </w:p>
        </w:tc>
        <w:tc>
          <w:tcPr>
            <w:tcW w:w="693" w:type="pct"/>
            <w:tcBorders>
              <w:top w:val="single" w:sz="4" w:space="0" w:color="auto"/>
              <w:left w:val="nil"/>
              <w:bottom w:val="nil"/>
              <w:right w:val="single" w:sz="4" w:space="0" w:color="auto"/>
            </w:tcBorders>
            <w:shd w:val="clear" w:color="auto" w:fill="F595AA"/>
            <w:vAlign w:val="bottom"/>
          </w:tcPr>
          <w:p w:rsidR="00F66C9B" w:rsidRPr="00324116" w:rsidRDefault="00F66C9B" w:rsidP="0053149A">
            <w:pPr>
              <w:spacing w:before="40" w:after="40"/>
              <w:jc w:val="right"/>
              <w:rPr>
                <w:rFonts w:cs="Arial"/>
                <w:b/>
                <w:sz w:val="19"/>
                <w:szCs w:val="19"/>
                <w:lang w:val="lt-LT"/>
              </w:rPr>
            </w:pPr>
          </w:p>
        </w:tc>
        <w:tc>
          <w:tcPr>
            <w:tcW w:w="688" w:type="pct"/>
            <w:tcBorders>
              <w:top w:val="single" w:sz="4" w:space="0" w:color="auto"/>
              <w:left w:val="single" w:sz="4" w:space="0" w:color="auto"/>
              <w:bottom w:val="nil"/>
              <w:right w:val="nil"/>
            </w:tcBorders>
            <w:shd w:val="clear" w:color="auto" w:fill="F595AA"/>
            <w:vAlign w:val="bottom"/>
          </w:tcPr>
          <w:p w:rsidR="00F66C9B" w:rsidRPr="00324116" w:rsidRDefault="00F66C9B" w:rsidP="0053149A">
            <w:pPr>
              <w:spacing w:before="40" w:after="40"/>
              <w:jc w:val="right"/>
              <w:rPr>
                <w:rFonts w:cs="Arial"/>
                <w:b/>
                <w:sz w:val="19"/>
                <w:szCs w:val="19"/>
                <w:lang w:val="lt-LT"/>
              </w:rPr>
            </w:pPr>
          </w:p>
        </w:tc>
        <w:tc>
          <w:tcPr>
            <w:tcW w:w="688" w:type="pct"/>
            <w:tcBorders>
              <w:top w:val="single" w:sz="4" w:space="0" w:color="auto"/>
              <w:left w:val="nil"/>
              <w:bottom w:val="nil"/>
              <w:right w:val="nil"/>
            </w:tcBorders>
            <w:shd w:val="clear" w:color="auto" w:fill="F595AA"/>
            <w:vAlign w:val="bottom"/>
          </w:tcPr>
          <w:p w:rsidR="00F66C9B" w:rsidRPr="00324116" w:rsidRDefault="00F66C9B" w:rsidP="0053149A">
            <w:pPr>
              <w:spacing w:before="40" w:after="40"/>
              <w:jc w:val="right"/>
              <w:rPr>
                <w:rFonts w:cs="Arial"/>
                <w:b/>
                <w:sz w:val="19"/>
                <w:szCs w:val="19"/>
                <w:lang w:val="lt-LT"/>
              </w:rPr>
            </w:pPr>
          </w:p>
        </w:tc>
        <w:tc>
          <w:tcPr>
            <w:tcW w:w="597" w:type="pct"/>
            <w:tcBorders>
              <w:top w:val="single" w:sz="4" w:space="0" w:color="auto"/>
              <w:left w:val="nil"/>
              <w:bottom w:val="nil"/>
              <w:right w:val="single" w:sz="4" w:space="0" w:color="auto"/>
            </w:tcBorders>
            <w:shd w:val="clear" w:color="auto" w:fill="F595AA"/>
            <w:vAlign w:val="bottom"/>
          </w:tcPr>
          <w:p w:rsidR="00F66C9B" w:rsidRPr="00324116" w:rsidRDefault="00F66C9B" w:rsidP="0053149A">
            <w:pPr>
              <w:spacing w:before="40" w:after="40"/>
              <w:jc w:val="right"/>
              <w:rPr>
                <w:rFonts w:cs="Arial"/>
                <w:b/>
                <w:sz w:val="19"/>
                <w:szCs w:val="19"/>
                <w:lang w:val="lt-LT"/>
              </w:rPr>
            </w:pPr>
          </w:p>
        </w:tc>
      </w:tr>
      <w:tr w:rsidR="00F66C9B" w:rsidRPr="00324116" w:rsidTr="0053149A">
        <w:tc>
          <w:tcPr>
            <w:tcW w:w="1032" w:type="pct"/>
            <w:tcBorders>
              <w:top w:val="nil"/>
              <w:left w:val="single" w:sz="4" w:space="0" w:color="auto"/>
              <w:bottom w:val="nil"/>
              <w:right w:val="single" w:sz="4" w:space="0" w:color="auto"/>
            </w:tcBorders>
            <w:vAlign w:val="bottom"/>
            <w:hideMark/>
          </w:tcPr>
          <w:p w:rsidR="00F66C9B" w:rsidRPr="00324116" w:rsidRDefault="00F66C9B" w:rsidP="0053149A">
            <w:pPr>
              <w:spacing w:before="40" w:after="40"/>
              <w:rPr>
                <w:rFonts w:cs="Arial"/>
                <w:b/>
                <w:sz w:val="19"/>
                <w:szCs w:val="19"/>
                <w:lang w:val="lt-LT"/>
              </w:rPr>
            </w:pPr>
            <w:r w:rsidRPr="00324116">
              <w:rPr>
                <w:rFonts w:cs="Arial"/>
                <w:b/>
                <w:sz w:val="19"/>
                <w:szCs w:val="19"/>
                <w:lang w:val="lt-LT"/>
              </w:rPr>
              <w:t>Šalies ūkis</w:t>
            </w:r>
          </w:p>
        </w:tc>
        <w:tc>
          <w:tcPr>
            <w:tcW w:w="663" w:type="pct"/>
            <w:tcBorders>
              <w:top w:val="nil"/>
              <w:left w:val="nil"/>
              <w:bottom w:val="nil"/>
              <w:right w:val="nil"/>
            </w:tcBorders>
            <w:shd w:val="clear" w:color="auto" w:fill="auto"/>
            <w:vAlign w:val="bottom"/>
          </w:tcPr>
          <w:p w:rsidR="00F66C9B" w:rsidRPr="00324116" w:rsidRDefault="00F66C9B" w:rsidP="0053149A">
            <w:pPr>
              <w:spacing w:before="40" w:after="40"/>
              <w:jc w:val="right"/>
              <w:rPr>
                <w:rFonts w:cs="Arial"/>
                <w:b/>
                <w:sz w:val="19"/>
                <w:szCs w:val="19"/>
                <w:lang w:val="lt-LT"/>
              </w:rPr>
            </w:pPr>
            <w:r>
              <w:rPr>
                <w:rFonts w:cs="Arial"/>
              </w:rPr>
              <w:t>105</w:t>
            </w:r>
            <w:r w:rsidR="00142AA4">
              <w:rPr>
                <w:rFonts w:cs="Arial"/>
              </w:rPr>
              <w:t>,</w:t>
            </w:r>
            <w:r>
              <w:rPr>
                <w:rFonts w:cs="Arial"/>
              </w:rPr>
              <w:t>1</w:t>
            </w:r>
          </w:p>
        </w:tc>
        <w:tc>
          <w:tcPr>
            <w:tcW w:w="639" w:type="pct"/>
            <w:tcBorders>
              <w:top w:val="nil"/>
              <w:left w:val="nil"/>
              <w:bottom w:val="nil"/>
              <w:right w:val="nil"/>
            </w:tcBorders>
            <w:shd w:val="clear" w:color="auto" w:fill="auto"/>
            <w:vAlign w:val="bottom"/>
          </w:tcPr>
          <w:p w:rsidR="00F66C9B" w:rsidRPr="00324116" w:rsidRDefault="00F66C9B" w:rsidP="0053149A">
            <w:pPr>
              <w:spacing w:before="40" w:after="40"/>
              <w:jc w:val="right"/>
              <w:rPr>
                <w:rFonts w:cs="Arial"/>
                <w:b/>
                <w:sz w:val="19"/>
                <w:szCs w:val="19"/>
                <w:lang w:val="lt-LT"/>
              </w:rPr>
            </w:pPr>
            <w:r>
              <w:rPr>
                <w:rFonts w:cs="Arial"/>
              </w:rPr>
              <w:t>104</w:t>
            </w:r>
            <w:r w:rsidR="00142AA4">
              <w:rPr>
                <w:rFonts w:cs="Arial"/>
              </w:rPr>
              <w:t>,</w:t>
            </w:r>
            <w:r>
              <w:rPr>
                <w:rFonts w:cs="Arial"/>
              </w:rPr>
              <w:t>0</w:t>
            </w:r>
          </w:p>
        </w:tc>
        <w:tc>
          <w:tcPr>
            <w:tcW w:w="693" w:type="pct"/>
            <w:tcBorders>
              <w:top w:val="nil"/>
              <w:left w:val="nil"/>
              <w:bottom w:val="nil"/>
              <w:right w:val="nil"/>
            </w:tcBorders>
            <w:shd w:val="clear" w:color="auto" w:fill="auto"/>
            <w:vAlign w:val="bottom"/>
          </w:tcPr>
          <w:p w:rsidR="00F66C9B" w:rsidRPr="00324116" w:rsidRDefault="00F66C9B" w:rsidP="0053149A">
            <w:pPr>
              <w:spacing w:before="40" w:after="40"/>
              <w:jc w:val="right"/>
              <w:rPr>
                <w:rFonts w:cs="Arial"/>
                <w:b/>
                <w:sz w:val="19"/>
                <w:szCs w:val="19"/>
                <w:lang w:val="lt-LT"/>
              </w:rPr>
            </w:pPr>
            <w:r>
              <w:rPr>
                <w:rFonts w:cs="Arial"/>
              </w:rPr>
              <w:t>106</w:t>
            </w:r>
            <w:r w:rsidR="00142AA4">
              <w:rPr>
                <w:rFonts w:cs="Arial"/>
              </w:rPr>
              <w:t>,</w:t>
            </w:r>
            <w:r>
              <w:rPr>
                <w:rFonts w:cs="Arial"/>
              </w:rPr>
              <w:t>3</w:t>
            </w:r>
          </w:p>
        </w:tc>
        <w:tc>
          <w:tcPr>
            <w:tcW w:w="688" w:type="pct"/>
            <w:tcBorders>
              <w:top w:val="nil"/>
              <w:left w:val="single" w:sz="4" w:space="0" w:color="auto"/>
              <w:bottom w:val="nil"/>
              <w:right w:val="nil"/>
            </w:tcBorders>
            <w:shd w:val="clear" w:color="auto" w:fill="auto"/>
            <w:vAlign w:val="bottom"/>
          </w:tcPr>
          <w:p w:rsidR="00F66C9B" w:rsidRPr="00324116" w:rsidRDefault="00F66C9B" w:rsidP="0053149A">
            <w:pPr>
              <w:spacing w:before="40" w:after="40"/>
              <w:jc w:val="right"/>
              <w:rPr>
                <w:rFonts w:cs="Arial"/>
                <w:b/>
                <w:sz w:val="19"/>
                <w:szCs w:val="19"/>
                <w:lang w:val="lt-LT"/>
              </w:rPr>
            </w:pPr>
            <w:r>
              <w:rPr>
                <w:rFonts w:cs="Arial"/>
              </w:rPr>
              <w:t>110</w:t>
            </w:r>
            <w:r w:rsidR="00142AA4">
              <w:rPr>
                <w:rFonts w:cs="Arial"/>
              </w:rPr>
              <w:t>,</w:t>
            </w:r>
            <w:r>
              <w:rPr>
                <w:rFonts w:cs="Arial"/>
              </w:rPr>
              <w:t>2</w:t>
            </w:r>
          </w:p>
        </w:tc>
        <w:tc>
          <w:tcPr>
            <w:tcW w:w="688" w:type="pct"/>
            <w:tcBorders>
              <w:top w:val="nil"/>
              <w:left w:val="nil"/>
              <w:bottom w:val="nil"/>
              <w:right w:val="nil"/>
            </w:tcBorders>
            <w:shd w:val="clear" w:color="auto" w:fill="auto"/>
            <w:vAlign w:val="bottom"/>
          </w:tcPr>
          <w:p w:rsidR="00F66C9B" w:rsidRPr="00324116" w:rsidRDefault="00F66C9B" w:rsidP="0053149A">
            <w:pPr>
              <w:spacing w:before="40" w:after="40"/>
              <w:jc w:val="right"/>
              <w:rPr>
                <w:rFonts w:cs="Arial"/>
                <w:b/>
                <w:sz w:val="19"/>
                <w:szCs w:val="19"/>
                <w:lang w:val="lt-LT"/>
              </w:rPr>
            </w:pPr>
            <w:r>
              <w:rPr>
                <w:rFonts w:cs="Arial"/>
              </w:rPr>
              <w:t>109</w:t>
            </w:r>
            <w:r w:rsidR="00142AA4">
              <w:rPr>
                <w:rFonts w:cs="Arial"/>
              </w:rPr>
              <w:t>,</w:t>
            </w:r>
            <w:r>
              <w:rPr>
                <w:rFonts w:cs="Arial"/>
              </w:rPr>
              <w:t>6</w:t>
            </w:r>
          </w:p>
        </w:tc>
        <w:tc>
          <w:tcPr>
            <w:tcW w:w="597" w:type="pct"/>
            <w:tcBorders>
              <w:top w:val="nil"/>
              <w:left w:val="nil"/>
              <w:bottom w:val="nil"/>
              <w:right w:val="single" w:sz="4" w:space="0" w:color="auto"/>
            </w:tcBorders>
            <w:shd w:val="clear" w:color="auto" w:fill="auto"/>
            <w:vAlign w:val="bottom"/>
          </w:tcPr>
          <w:p w:rsidR="00F66C9B" w:rsidRPr="00324116" w:rsidRDefault="00F66C9B" w:rsidP="0053149A">
            <w:pPr>
              <w:spacing w:before="40" w:after="40"/>
              <w:jc w:val="right"/>
              <w:rPr>
                <w:rFonts w:cs="Arial"/>
                <w:b/>
                <w:sz w:val="19"/>
                <w:szCs w:val="19"/>
                <w:lang w:val="lt-LT"/>
              </w:rPr>
            </w:pPr>
            <w:r>
              <w:rPr>
                <w:rFonts w:cs="Arial"/>
              </w:rPr>
              <w:t>110</w:t>
            </w:r>
            <w:r w:rsidR="00142AA4">
              <w:rPr>
                <w:rFonts w:cs="Arial"/>
              </w:rPr>
              <w:t>,</w:t>
            </w:r>
            <w:r>
              <w:rPr>
                <w:rFonts w:cs="Arial"/>
              </w:rPr>
              <w:t>8</w:t>
            </w:r>
          </w:p>
        </w:tc>
      </w:tr>
      <w:tr w:rsidR="00F66C9B" w:rsidRPr="00324116" w:rsidTr="0053149A">
        <w:tc>
          <w:tcPr>
            <w:tcW w:w="1032" w:type="pct"/>
            <w:tcBorders>
              <w:top w:val="nil"/>
              <w:left w:val="single" w:sz="4" w:space="0" w:color="auto"/>
              <w:bottom w:val="nil"/>
              <w:right w:val="single" w:sz="4" w:space="0" w:color="auto"/>
            </w:tcBorders>
            <w:vAlign w:val="bottom"/>
            <w:hideMark/>
          </w:tcPr>
          <w:p w:rsidR="00F66C9B" w:rsidRPr="00324116" w:rsidRDefault="00F66C9B" w:rsidP="0053149A">
            <w:pPr>
              <w:spacing w:before="40" w:after="40"/>
              <w:rPr>
                <w:rFonts w:cs="Arial"/>
                <w:sz w:val="19"/>
                <w:szCs w:val="19"/>
                <w:lang w:val="lt-LT"/>
              </w:rPr>
            </w:pPr>
            <w:r w:rsidRPr="00324116">
              <w:rPr>
                <w:rFonts w:cs="Arial"/>
                <w:sz w:val="19"/>
                <w:szCs w:val="19"/>
                <w:lang w:val="lt-LT"/>
              </w:rPr>
              <w:t>Viešasis sektorius</w:t>
            </w:r>
          </w:p>
        </w:tc>
        <w:tc>
          <w:tcPr>
            <w:tcW w:w="663" w:type="pct"/>
            <w:tcBorders>
              <w:top w:val="nil"/>
              <w:left w:val="nil"/>
              <w:bottom w:val="nil"/>
              <w:right w:val="nil"/>
            </w:tcBorders>
            <w:shd w:val="clear" w:color="auto" w:fill="auto"/>
            <w:vAlign w:val="bottom"/>
          </w:tcPr>
          <w:p w:rsidR="00F66C9B" w:rsidRPr="00324116" w:rsidRDefault="00F66C9B" w:rsidP="0053149A">
            <w:pPr>
              <w:spacing w:before="40" w:after="40"/>
              <w:jc w:val="right"/>
              <w:rPr>
                <w:rFonts w:cs="Arial"/>
                <w:sz w:val="19"/>
                <w:szCs w:val="19"/>
                <w:lang w:val="lt-LT"/>
              </w:rPr>
            </w:pPr>
            <w:r>
              <w:rPr>
                <w:rFonts w:cs="Arial"/>
              </w:rPr>
              <w:t>108</w:t>
            </w:r>
            <w:r w:rsidR="00142AA4">
              <w:rPr>
                <w:rFonts w:cs="Arial"/>
              </w:rPr>
              <w:t>,</w:t>
            </w:r>
            <w:r>
              <w:rPr>
                <w:rFonts w:cs="Arial"/>
              </w:rPr>
              <w:t>5</w:t>
            </w:r>
          </w:p>
        </w:tc>
        <w:tc>
          <w:tcPr>
            <w:tcW w:w="639" w:type="pct"/>
            <w:tcBorders>
              <w:top w:val="nil"/>
              <w:left w:val="nil"/>
              <w:bottom w:val="nil"/>
              <w:right w:val="nil"/>
            </w:tcBorders>
            <w:shd w:val="clear" w:color="auto" w:fill="auto"/>
            <w:vAlign w:val="bottom"/>
          </w:tcPr>
          <w:p w:rsidR="00F66C9B" w:rsidRPr="00324116" w:rsidRDefault="00F66C9B" w:rsidP="0053149A">
            <w:pPr>
              <w:spacing w:before="40" w:after="40"/>
              <w:jc w:val="right"/>
              <w:rPr>
                <w:rFonts w:cs="Arial"/>
                <w:sz w:val="19"/>
                <w:szCs w:val="19"/>
                <w:lang w:val="lt-LT"/>
              </w:rPr>
            </w:pPr>
            <w:r>
              <w:rPr>
                <w:rFonts w:cs="Arial"/>
              </w:rPr>
              <w:t>106</w:t>
            </w:r>
            <w:r w:rsidR="00142AA4">
              <w:rPr>
                <w:rFonts w:cs="Arial"/>
              </w:rPr>
              <w:t>,</w:t>
            </w:r>
            <w:r>
              <w:rPr>
                <w:rFonts w:cs="Arial"/>
              </w:rPr>
              <w:t>2</w:t>
            </w:r>
          </w:p>
        </w:tc>
        <w:tc>
          <w:tcPr>
            <w:tcW w:w="693" w:type="pct"/>
            <w:tcBorders>
              <w:top w:val="nil"/>
              <w:left w:val="nil"/>
              <w:bottom w:val="nil"/>
              <w:right w:val="nil"/>
            </w:tcBorders>
            <w:shd w:val="clear" w:color="auto" w:fill="auto"/>
            <w:vAlign w:val="bottom"/>
          </w:tcPr>
          <w:p w:rsidR="00F66C9B" w:rsidRPr="00324116" w:rsidRDefault="00F66C9B" w:rsidP="0053149A">
            <w:pPr>
              <w:spacing w:before="40" w:after="40"/>
              <w:jc w:val="right"/>
              <w:rPr>
                <w:rFonts w:cs="Arial"/>
                <w:sz w:val="19"/>
                <w:szCs w:val="19"/>
                <w:lang w:val="lt-LT"/>
              </w:rPr>
            </w:pPr>
            <w:r>
              <w:rPr>
                <w:rFonts w:cs="Arial"/>
              </w:rPr>
              <w:t>109</w:t>
            </w:r>
            <w:r w:rsidR="00142AA4">
              <w:rPr>
                <w:rFonts w:cs="Arial"/>
              </w:rPr>
              <w:t>,</w:t>
            </w:r>
            <w:r>
              <w:rPr>
                <w:rFonts w:cs="Arial"/>
              </w:rPr>
              <w:t>8</w:t>
            </w:r>
          </w:p>
        </w:tc>
        <w:tc>
          <w:tcPr>
            <w:tcW w:w="688" w:type="pct"/>
            <w:tcBorders>
              <w:top w:val="nil"/>
              <w:left w:val="single" w:sz="4" w:space="0" w:color="auto"/>
              <w:bottom w:val="nil"/>
              <w:right w:val="nil"/>
            </w:tcBorders>
            <w:shd w:val="clear" w:color="auto" w:fill="auto"/>
            <w:vAlign w:val="bottom"/>
          </w:tcPr>
          <w:p w:rsidR="00F66C9B" w:rsidRPr="00324116" w:rsidRDefault="00F66C9B" w:rsidP="0053149A">
            <w:pPr>
              <w:spacing w:before="40" w:after="40"/>
              <w:jc w:val="right"/>
              <w:rPr>
                <w:rFonts w:cs="Arial"/>
                <w:sz w:val="19"/>
                <w:szCs w:val="19"/>
                <w:lang w:val="lt-LT"/>
              </w:rPr>
            </w:pPr>
            <w:r>
              <w:rPr>
                <w:rFonts w:cs="Arial"/>
              </w:rPr>
              <w:t>107</w:t>
            </w:r>
            <w:r w:rsidR="00142AA4">
              <w:rPr>
                <w:rFonts w:cs="Arial"/>
              </w:rPr>
              <w:t>,</w:t>
            </w:r>
            <w:r>
              <w:rPr>
                <w:rFonts w:cs="Arial"/>
              </w:rPr>
              <w:t>7</w:t>
            </w:r>
          </w:p>
        </w:tc>
        <w:tc>
          <w:tcPr>
            <w:tcW w:w="688" w:type="pct"/>
            <w:tcBorders>
              <w:top w:val="nil"/>
              <w:left w:val="nil"/>
              <w:bottom w:val="nil"/>
              <w:right w:val="nil"/>
            </w:tcBorders>
            <w:shd w:val="clear" w:color="auto" w:fill="auto"/>
            <w:vAlign w:val="bottom"/>
          </w:tcPr>
          <w:p w:rsidR="00F66C9B" w:rsidRPr="00324116" w:rsidRDefault="00F66C9B" w:rsidP="0053149A">
            <w:pPr>
              <w:spacing w:before="40" w:after="40"/>
              <w:jc w:val="right"/>
              <w:rPr>
                <w:rFonts w:cs="Arial"/>
                <w:sz w:val="19"/>
                <w:szCs w:val="19"/>
                <w:lang w:val="lt-LT"/>
              </w:rPr>
            </w:pPr>
            <w:r>
              <w:rPr>
                <w:rFonts w:cs="Arial"/>
              </w:rPr>
              <w:t>106</w:t>
            </w:r>
            <w:r w:rsidR="00142AA4">
              <w:rPr>
                <w:rFonts w:cs="Arial"/>
              </w:rPr>
              <w:t>,</w:t>
            </w:r>
            <w:r>
              <w:rPr>
                <w:rFonts w:cs="Arial"/>
              </w:rPr>
              <w:t>4</w:t>
            </w:r>
          </w:p>
        </w:tc>
        <w:tc>
          <w:tcPr>
            <w:tcW w:w="597" w:type="pct"/>
            <w:tcBorders>
              <w:top w:val="nil"/>
              <w:left w:val="nil"/>
              <w:bottom w:val="nil"/>
              <w:right w:val="single" w:sz="4" w:space="0" w:color="auto"/>
            </w:tcBorders>
            <w:shd w:val="clear" w:color="auto" w:fill="auto"/>
            <w:vAlign w:val="bottom"/>
          </w:tcPr>
          <w:p w:rsidR="00F66C9B" w:rsidRPr="00324116" w:rsidRDefault="00F66C9B" w:rsidP="0053149A">
            <w:pPr>
              <w:spacing w:before="40" w:after="40"/>
              <w:jc w:val="right"/>
              <w:rPr>
                <w:rFonts w:cs="Arial"/>
                <w:sz w:val="19"/>
                <w:szCs w:val="19"/>
                <w:lang w:val="lt-LT"/>
              </w:rPr>
            </w:pPr>
            <w:r>
              <w:rPr>
                <w:rFonts w:cs="Arial"/>
              </w:rPr>
              <w:t>108</w:t>
            </w:r>
            <w:r w:rsidR="00142AA4">
              <w:rPr>
                <w:rFonts w:cs="Arial"/>
              </w:rPr>
              <w:t>,</w:t>
            </w:r>
            <w:r>
              <w:rPr>
                <w:rFonts w:cs="Arial"/>
              </w:rPr>
              <w:t>4</w:t>
            </w:r>
          </w:p>
        </w:tc>
      </w:tr>
      <w:tr w:rsidR="00F66C9B" w:rsidRPr="00324116" w:rsidTr="0053149A">
        <w:tc>
          <w:tcPr>
            <w:tcW w:w="1032" w:type="pct"/>
            <w:tcBorders>
              <w:top w:val="nil"/>
              <w:left w:val="single" w:sz="4" w:space="0" w:color="auto"/>
              <w:bottom w:val="nil"/>
              <w:right w:val="single" w:sz="4" w:space="0" w:color="auto"/>
            </w:tcBorders>
            <w:vAlign w:val="bottom"/>
            <w:hideMark/>
          </w:tcPr>
          <w:p w:rsidR="00F66C9B" w:rsidRPr="00324116" w:rsidRDefault="00F66C9B" w:rsidP="0053149A">
            <w:pPr>
              <w:spacing w:before="40" w:after="40"/>
              <w:rPr>
                <w:rFonts w:cs="Arial"/>
                <w:sz w:val="19"/>
                <w:szCs w:val="19"/>
                <w:lang w:val="lt-LT"/>
              </w:rPr>
            </w:pPr>
            <w:r w:rsidRPr="00324116">
              <w:rPr>
                <w:rFonts w:cs="Arial"/>
                <w:sz w:val="19"/>
                <w:szCs w:val="19"/>
                <w:lang w:val="lt-LT"/>
              </w:rPr>
              <w:t>Privatusis sektorius</w:t>
            </w:r>
          </w:p>
        </w:tc>
        <w:tc>
          <w:tcPr>
            <w:tcW w:w="663" w:type="pct"/>
            <w:tcBorders>
              <w:top w:val="nil"/>
              <w:left w:val="nil"/>
              <w:bottom w:val="nil"/>
              <w:right w:val="nil"/>
            </w:tcBorders>
            <w:shd w:val="clear" w:color="auto" w:fill="auto"/>
            <w:vAlign w:val="bottom"/>
          </w:tcPr>
          <w:p w:rsidR="00F66C9B" w:rsidRPr="00324116" w:rsidRDefault="00F66C9B" w:rsidP="0053149A">
            <w:pPr>
              <w:spacing w:before="40" w:after="40"/>
              <w:jc w:val="right"/>
              <w:rPr>
                <w:rFonts w:cs="Arial"/>
                <w:sz w:val="19"/>
                <w:szCs w:val="19"/>
                <w:lang w:val="lt-LT"/>
              </w:rPr>
            </w:pPr>
            <w:r>
              <w:rPr>
                <w:rFonts w:cs="Arial"/>
              </w:rPr>
              <w:t>103</w:t>
            </w:r>
            <w:r w:rsidR="00142AA4">
              <w:rPr>
                <w:rFonts w:cs="Arial"/>
              </w:rPr>
              <w:t>,</w:t>
            </w:r>
            <w:r>
              <w:rPr>
                <w:rFonts w:cs="Arial"/>
              </w:rPr>
              <w:t>5</w:t>
            </w:r>
          </w:p>
        </w:tc>
        <w:tc>
          <w:tcPr>
            <w:tcW w:w="639" w:type="pct"/>
            <w:tcBorders>
              <w:top w:val="nil"/>
              <w:left w:val="nil"/>
              <w:bottom w:val="nil"/>
              <w:right w:val="nil"/>
            </w:tcBorders>
            <w:shd w:val="clear" w:color="auto" w:fill="auto"/>
            <w:vAlign w:val="bottom"/>
          </w:tcPr>
          <w:p w:rsidR="00F66C9B" w:rsidRPr="00324116" w:rsidRDefault="00F66C9B" w:rsidP="0053149A">
            <w:pPr>
              <w:spacing w:before="40" w:after="40"/>
              <w:jc w:val="right"/>
              <w:rPr>
                <w:rFonts w:cs="Arial"/>
                <w:sz w:val="19"/>
                <w:szCs w:val="19"/>
                <w:lang w:val="lt-LT"/>
              </w:rPr>
            </w:pPr>
            <w:r>
              <w:rPr>
                <w:rFonts w:cs="Arial"/>
              </w:rPr>
              <w:t>103</w:t>
            </w:r>
            <w:r w:rsidR="00142AA4">
              <w:rPr>
                <w:rFonts w:cs="Arial"/>
              </w:rPr>
              <w:t>,</w:t>
            </w:r>
            <w:r>
              <w:rPr>
                <w:rFonts w:cs="Arial"/>
              </w:rPr>
              <w:t>4</w:t>
            </w:r>
          </w:p>
        </w:tc>
        <w:tc>
          <w:tcPr>
            <w:tcW w:w="693" w:type="pct"/>
            <w:tcBorders>
              <w:top w:val="nil"/>
              <w:left w:val="nil"/>
              <w:bottom w:val="nil"/>
              <w:right w:val="nil"/>
            </w:tcBorders>
            <w:shd w:val="clear" w:color="auto" w:fill="auto"/>
            <w:vAlign w:val="bottom"/>
          </w:tcPr>
          <w:p w:rsidR="00F66C9B" w:rsidRPr="00324116" w:rsidRDefault="00F66C9B" w:rsidP="0053149A">
            <w:pPr>
              <w:spacing w:before="40" w:after="40"/>
              <w:jc w:val="right"/>
              <w:rPr>
                <w:rFonts w:cs="Arial"/>
                <w:sz w:val="19"/>
                <w:szCs w:val="19"/>
                <w:lang w:val="lt-LT"/>
              </w:rPr>
            </w:pPr>
            <w:r>
              <w:rPr>
                <w:rFonts w:cs="Arial"/>
              </w:rPr>
              <w:t>103</w:t>
            </w:r>
            <w:r w:rsidR="00142AA4">
              <w:rPr>
                <w:rFonts w:cs="Arial"/>
              </w:rPr>
              <w:t>,</w:t>
            </w:r>
            <w:r>
              <w:rPr>
                <w:rFonts w:cs="Arial"/>
              </w:rPr>
              <w:t>6</w:t>
            </w:r>
          </w:p>
        </w:tc>
        <w:tc>
          <w:tcPr>
            <w:tcW w:w="688" w:type="pct"/>
            <w:tcBorders>
              <w:top w:val="nil"/>
              <w:left w:val="single" w:sz="4" w:space="0" w:color="auto"/>
              <w:bottom w:val="nil"/>
              <w:right w:val="nil"/>
            </w:tcBorders>
            <w:shd w:val="clear" w:color="auto" w:fill="auto"/>
            <w:vAlign w:val="bottom"/>
          </w:tcPr>
          <w:p w:rsidR="00F66C9B" w:rsidRPr="00324116" w:rsidRDefault="00F66C9B" w:rsidP="0053149A">
            <w:pPr>
              <w:spacing w:before="40" w:after="40"/>
              <w:jc w:val="right"/>
              <w:rPr>
                <w:rFonts w:cs="Arial"/>
                <w:sz w:val="19"/>
                <w:szCs w:val="19"/>
                <w:lang w:val="lt-LT"/>
              </w:rPr>
            </w:pPr>
            <w:r>
              <w:rPr>
                <w:rFonts w:cs="Arial"/>
              </w:rPr>
              <w:t>111</w:t>
            </w:r>
            <w:r w:rsidR="00142AA4">
              <w:rPr>
                <w:rFonts w:cs="Arial"/>
              </w:rPr>
              <w:t>,</w:t>
            </w:r>
            <w:r>
              <w:rPr>
                <w:rFonts w:cs="Arial"/>
              </w:rPr>
              <w:t>7</w:t>
            </w:r>
          </w:p>
        </w:tc>
        <w:tc>
          <w:tcPr>
            <w:tcW w:w="688" w:type="pct"/>
            <w:tcBorders>
              <w:top w:val="nil"/>
              <w:left w:val="nil"/>
              <w:bottom w:val="nil"/>
              <w:right w:val="nil"/>
            </w:tcBorders>
            <w:shd w:val="clear" w:color="auto" w:fill="auto"/>
            <w:vAlign w:val="bottom"/>
          </w:tcPr>
          <w:p w:rsidR="00F66C9B" w:rsidRPr="00324116" w:rsidRDefault="00F66C9B" w:rsidP="0053149A">
            <w:pPr>
              <w:spacing w:before="40" w:after="40"/>
              <w:jc w:val="right"/>
              <w:rPr>
                <w:rFonts w:cs="Arial"/>
                <w:sz w:val="19"/>
                <w:szCs w:val="19"/>
                <w:lang w:val="lt-LT"/>
              </w:rPr>
            </w:pPr>
            <w:r>
              <w:rPr>
                <w:rFonts w:cs="Arial"/>
              </w:rPr>
              <w:t>110</w:t>
            </w:r>
            <w:r w:rsidR="00142AA4">
              <w:rPr>
                <w:rFonts w:cs="Arial"/>
              </w:rPr>
              <w:t>,</w:t>
            </w:r>
            <w:r>
              <w:rPr>
                <w:rFonts w:cs="Arial"/>
              </w:rPr>
              <w:t>7</w:t>
            </w:r>
          </w:p>
        </w:tc>
        <w:tc>
          <w:tcPr>
            <w:tcW w:w="597" w:type="pct"/>
            <w:tcBorders>
              <w:top w:val="nil"/>
              <w:left w:val="nil"/>
              <w:bottom w:val="nil"/>
              <w:right w:val="single" w:sz="4" w:space="0" w:color="auto"/>
            </w:tcBorders>
            <w:shd w:val="clear" w:color="auto" w:fill="auto"/>
            <w:vAlign w:val="bottom"/>
          </w:tcPr>
          <w:p w:rsidR="00F66C9B" w:rsidRPr="00324116" w:rsidRDefault="00F66C9B" w:rsidP="0053149A">
            <w:pPr>
              <w:spacing w:before="40" w:after="40"/>
              <w:jc w:val="right"/>
              <w:rPr>
                <w:rFonts w:cs="Arial"/>
                <w:sz w:val="19"/>
                <w:szCs w:val="19"/>
                <w:lang w:val="lt-LT"/>
              </w:rPr>
            </w:pPr>
            <w:r>
              <w:rPr>
                <w:rFonts w:cs="Arial"/>
              </w:rPr>
              <w:t>113</w:t>
            </w:r>
            <w:r w:rsidR="00142AA4">
              <w:rPr>
                <w:rFonts w:cs="Arial"/>
              </w:rPr>
              <w:t>,</w:t>
            </w:r>
            <w:r>
              <w:rPr>
                <w:rFonts w:cs="Arial"/>
              </w:rPr>
              <w:t>3</w:t>
            </w:r>
          </w:p>
        </w:tc>
      </w:tr>
      <w:tr w:rsidR="00F66C9B" w:rsidRPr="00324116" w:rsidTr="0053149A">
        <w:tc>
          <w:tcPr>
            <w:tcW w:w="1032" w:type="pct"/>
            <w:tcBorders>
              <w:top w:val="nil"/>
              <w:left w:val="single" w:sz="4" w:space="0" w:color="auto"/>
              <w:bottom w:val="nil"/>
              <w:right w:val="single" w:sz="4" w:space="0" w:color="auto"/>
            </w:tcBorders>
            <w:shd w:val="clear" w:color="auto" w:fill="F595AA"/>
            <w:vAlign w:val="bottom"/>
            <w:hideMark/>
          </w:tcPr>
          <w:p w:rsidR="00F66C9B" w:rsidRPr="00324116" w:rsidRDefault="00F66C9B" w:rsidP="0053149A">
            <w:pPr>
              <w:spacing w:before="40" w:after="40"/>
              <w:rPr>
                <w:rFonts w:cs="Arial"/>
                <w:b/>
                <w:iCs/>
                <w:sz w:val="19"/>
                <w:szCs w:val="19"/>
                <w:lang w:val="lt-LT"/>
              </w:rPr>
            </w:pPr>
            <w:proofErr w:type="spellStart"/>
            <w:r w:rsidRPr="00324116">
              <w:rPr>
                <w:rFonts w:cs="Arial"/>
                <w:b/>
                <w:sz w:val="19"/>
                <w:szCs w:val="19"/>
                <w:lang w:val="lt-LT"/>
              </w:rPr>
              <w:t>Neto</w:t>
            </w:r>
            <w:proofErr w:type="spellEnd"/>
          </w:p>
        </w:tc>
        <w:tc>
          <w:tcPr>
            <w:tcW w:w="663" w:type="pct"/>
            <w:tcBorders>
              <w:top w:val="nil"/>
              <w:left w:val="single" w:sz="4" w:space="0" w:color="auto"/>
              <w:bottom w:val="nil"/>
              <w:right w:val="nil"/>
            </w:tcBorders>
            <w:shd w:val="clear" w:color="auto" w:fill="F595AA"/>
            <w:vAlign w:val="bottom"/>
          </w:tcPr>
          <w:p w:rsidR="00F66C9B" w:rsidRPr="00324116" w:rsidRDefault="00F66C9B" w:rsidP="0053149A">
            <w:pPr>
              <w:spacing w:before="40" w:after="40"/>
              <w:jc w:val="right"/>
              <w:rPr>
                <w:rFonts w:cs="Arial"/>
                <w:sz w:val="19"/>
                <w:szCs w:val="19"/>
                <w:lang w:val="lt-LT"/>
              </w:rPr>
            </w:pPr>
          </w:p>
        </w:tc>
        <w:tc>
          <w:tcPr>
            <w:tcW w:w="639" w:type="pct"/>
            <w:tcBorders>
              <w:top w:val="nil"/>
              <w:left w:val="nil"/>
              <w:bottom w:val="nil"/>
              <w:right w:val="nil"/>
            </w:tcBorders>
            <w:shd w:val="clear" w:color="auto" w:fill="F595AA"/>
            <w:vAlign w:val="bottom"/>
          </w:tcPr>
          <w:p w:rsidR="00F66C9B" w:rsidRPr="00324116" w:rsidRDefault="00F66C9B" w:rsidP="0053149A">
            <w:pPr>
              <w:spacing w:before="40" w:after="40"/>
              <w:jc w:val="right"/>
              <w:rPr>
                <w:rFonts w:cs="Arial"/>
                <w:sz w:val="19"/>
                <w:szCs w:val="19"/>
                <w:lang w:val="lt-LT"/>
              </w:rPr>
            </w:pPr>
          </w:p>
        </w:tc>
        <w:tc>
          <w:tcPr>
            <w:tcW w:w="693" w:type="pct"/>
            <w:tcBorders>
              <w:top w:val="nil"/>
              <w:left w:val="nil"/>
              <w:bottom w:val="nil"/>
              <w:right w:val="single" w:sz="4" w:space="0" w:color="auto"/>
            </w:tcBorders>
            <w:shd w:val="clear" w:color="auto" w:fill="F595AA"/>
            <w:vAlign w:val="bottom"/>
          </w:tcPr>
          <w:p w:rsidR="00F66C9B" w:rsidRPr="00324116" w:rsidRDefault="00F66C9B" w:rsidP="0053149A">
            <w:pPr>
              <w:spacing w:before="40" w:after="40"/>
              <w:jc w:val="right"/>
              <w:rPr>
                <w:rFonts w:cs="Arial"/>
                <w:sz w:val="19"/>
                <w:szCs w:val="19"/>
                <w:lang w:val="lt-LT"/>
              </w:rPr>
            </w:pPr>
          </w:p>
        </w:tc>
        <w:tc>
          <w:tcPr>
            <w:tcW w:w="688" w:type="pct"/>
            <w:tcBorders>
              <w:top w:val="nil"/>
              <w:left w:val="single" w:sz="4" w:space="0" w:color="auto"/>
              <w:bottom w:val="nil"/>
              <w:right w:val="nil"/>
            </w:tcBorders>
            <w:shd w:val="clear" w:color="auto" w:fill="F595AA"/>
            <w:vAlign w:val="bottom"/>
          </w:tcPr>
          <w:p w:rsidR="00F66C9B" w:rsidRPr="00324116" w:rsidRDefault="00F66C9B" w:rsidP="0053149A">
            <w:pPr>
              <w:spacing w:before="40" w:after="40"/>
              <w:jc w:val="right"/>
              <w:rPr>
                <w:rFonts w:cs="Arial"/>
                <w:sz w:val="19"/>
                <w:szCs w:val="19"/>
                <w:lang w:val="lt-LT"/>
              </w:rPr>
            </w:pPr>
          </w:p>
        </w:tc>
        <w:tc>
          <w:tcPr>
            <w:tcW w:w="688" w:type="pct"/>
            <w:tcBorders>
              <w:top w:val="nil"/>
              <w:left w:val="nil"/>
              <w:bottom w:val="nil"/>
              <w:right w:val="nil"/>
            </w:tcBorders>
            <w:shd w:val="clear" w:color="auto" w:fill="F595AA"/>
            <w:vAlign w:val="bottom"/>
          </w:tcPr>
          <w:p w:rsidR="00F66C9B" w:rsidRPr="00324116" w:rsidRDefault="00F66C9B" w:rsidP="0053149A">
            <w:pPr>
              <w:spacing w:before="40" w:after="40"/>
              <w:jc w:val="right"/>
              <w:rPr>
                <w:rFonts w:cs="Arial"/>
                <w:sz w:val="19"/>
                <w:szCs w:val="19"/>
                <w:lang w:val="lt-LT"/>
              </w:rPr>
            </w:pPr>
          </w:p>
        </w:tc>
        <w:tc>
          <w:tcPr>
            <w:tcW w:w="597" w:type="pct"/>
            <w:tcBorders>
              <w:top w:val="nil"/>
              <w:left w:val="nil"/>
              <w:bottom w:val="nil"/>
              <w:right w:val="single" w:sz="4" w:space="0" w:color="auto"/>
            </w:tcBorders>
            <w:shd w:val="clear" w:color="auto" w:fill="F595AA"/>
            <w:vAlign w:val="bottom"/>
          </w:tcPr>
          <w:p w:rsidR="00F66C9B" w:rsidRPr="00324116" w:rsidRDefault="00F66C9B" w:rsidP="0053149A">
            <w:pPr>
              <w:spacing w:before="40" w:after="40"/>
              <w:jc w:val="right"/>
              <w:rPr>
                <w:rFonts w:cs="Arial"/>
                <w:sz w:val="19"/>
                <w:szCs w:val="19"/>
                <w:lang w:val="lt-LT"/>
              </w:rPr>
            </w:pPr>
          </w:p>
        </w:tc>
      </w:tr>
      <w:tr w:rsidR="00F66C9B" w:rsidRPr="00324116" w:rsidTr="0053149A">
        <w:tc>
          <w:tcPr>
            <w:tcW w:w="1032" w:type="pct"/>
            <w:tcBorders>
              <w:top w:val="nil"/>
              <w:left w:val="single" w:sz="4" w:space="0" w:color="auto"/>
              <w:bottom w:val="nil"/>
              <w:right w:val="single" w:sz="4" w:space="0" w:color="auto"/>
            </w:tcBorders>
            <w:vAlign w:val="bottom"/>
            <w:hideMark/>
          </w:tcPr>
          <w:p w:rsidR="00F66C9B" w:rsidRPr="00324116" w:rsidRDefault="00F66C9B" w:rsidP="0053149A">
            <w:pPr>
              <w:spacing w:before="40" w:after="40"/>
              <w:rPr>
                <w:rFonts w:cs="Arial"/>
                <w:b/>
                <w:sz w:val="19"/>
                <w:szCs w:val="19"/>
                <w:lang w:val="lt-LT"/>
              </w:rPr>
            </w:pPr>
            <w:r w:rsidRPr="00324116">
              <w:rPr>
                <w:rFonts w:cs="Arial"/>
                <w:b/>
                <w:sz w:val="19"/>
                <w:szCs w:val="19"/>
                <w:lang w:val="lt-LT"/>
              </w:rPr>
              <w:t>Šalies ūkis</w:t>
            </w:r>
          </w:p>
        </w:tc>
        <w:tc>
          <w:tcPr>
            <w:tcW w:w="663" w:type="pct"/>
            <w:tcBorders>
              <w:top w:val="nil"/>
              <w:left w:val="nil"/>
              <w:bottom w:val="nil"/>
              <w:right w:val="nil"/>
            </w:tcBorders>
            <w:shd w:val="clear" w:color="auto" w:fill="auto"/>
            <w:vAlign w:val="bottom"/>
          </w:tcPr>
          <w:p w:rsidR="00F66C9B" w:rsidRPr="00324116" w:rsidRDefault="00F66C9B" w:rsidP="0053149A">
            <w:pPr>
              <w:spacing w:before="40" w:after="40"/>
              <w:jc w:val="right"/>
              <w:rPr>
                <w:rFonts w:cs="Arial"/>
                <w:b/>
                <w:sz w:val="19"/>
                <w:szCs w:val="19"/>
                <w:lang w:val="lt-LT"/>
              </w:rPr>
            </w:pPr>
            <w:r>
              <w:rPr>
                <w:rFonts w:cs="Arial"/>
              </w:rPr>
              <w:t>104</w:t>
            </w:r>
            <w:r w:rsidR="00142AA4">
              <w:rPr>
                <w:rFonts w:cs="Arial"/>
              </w:rPr>
              <w:t>,</w:t>
            </w:r>
            <w:r>
              <w:rPr>
                <w:rFonts w:cs="Arial"/>
              </w:rPr>
              <w:t>6</w:t>
            </w:r>
          </w:p>
        </w:tc>
        <w:tc>
          <w:tcPr>
            <w:tcW w:w="639" w:type="pct"/>
            <w:tcBorders>
              <w:top w:val="nil"/>
              <w:left w:val="nil"/>
              <w:bottom w:val="nil"/>
              <w:right w:val="nil"/>
            </w:tcBorders>
            <w:shd w:val="clear" w:color="auto" w:fill="auto"/>
            <w:vAlign w:val="bottom"/>
          </w:tcPr>
          <w:p w:rsidR="00F66C9B" w:rsidRPr="00324116" w:rsidRDefault="00F66C9B" w:rsidP="0053149A">
            <w:pPr>
              <w:spacing w:before="40" w:after="40"/>
              <w:jc w:val="right"/>
              <w:rPr>
                <w:rFonts w:cs="Arial"/>
                <w:b/>
                <w:sz w:val="19"/>
                <w:szCs w:val="19"/>
                <w:lang w:val="lt-LT"/>
              </w:rPr>
            </w:pPr>
            <w:r>
              <w:rPr>
                <w:rFonts w:cs="Arial"/>
              </w:rPr>
              <w:t>103</w:t>
            </w:r>
            <w:r w:rsidR="00142AA4">
              <w:rPr>
                <w:rFonts w:cs="Arial"/>
              </w:rPr>
              <w:t>,</w:t>
            </w:r>
            <w:r>
              <w:rPr>
                <w:rFonts w:cs="Arial"/>
              </w:rPr>
              <w:t>6</w:t>
            </w:r>
          </w:p>
        </w:tc>
        <w:tc>
          <w:tcPr>
            <w:tcW w:w="693" w:type="pct"/>
            <w:tcBorders>
              <w:top w:val="nil"/>
              <w:left w:val="nil"/>
              <w:bottom w:val="nil"/>
              <w:right w:val="single" w:sz="4" w:space="0" w:color="auto"/>
            </w:tcBorders>
            <w:shd w:val="clear" w:color="auto" w:fill="auto"/>
            <w:vAlign w:val="bottom"/>
          </w:tcPr>
          <w:p w:rsidR="00F66C9B" w:rsidRPr="00324116" w:rsidRDefault="00F66C9B" w:rsidP="0053149A">
            <w:pPr>
              <w:spacing w:before="40" w:after="40"/>
              <w:jc w:val="right"/>
              <w:rPr>
                <w:rFonts w:cs="Arial"/>
                <w:b/>
                <w:sz w:val="19"/>
                <w:szCs w:val="19"/>
                <w:lang w:val="lt-LT"/>
              </w:rPr>
            </w:pPr>
            <w:r>
              <w:rPr>
                <w:rFonts w:cs="Arial"/>
              </w:rPr>
              <w:t>105</w:t>
            </w:r>
            <w:r w:rsidR="00142AA4">
              <w:rPr>
                <w:rFonts w:cs="Arial"/>
              </w:rPr>
              <w:t>,</w:t>
            </w:r>
            <w:r>
              <w:rPr>
                <w:rFonts w:cs="Arial"/>
              </w:rPr>
              <w:t>7</w:t>
            </w:r>
          </w:p>
        </w:tc>
        <w:tc>
          <w:tcPr>
            <w:tcW w:w="688" w:type="pct"/>
            <w:tcBorders>
              <w:top w:val="nil"/>
              <w:left w:val="single" w:sz="4" w:space="0" w:color="auto"/>
              <w:bottom w:val="nil"/>
              <w:right w:val="nil"/>
            </w:tcBorders>
            <w:shd w:val="clear" w:color="auto" w:fill="auto"/>
            <w:vAlign w:val="bottom"/>
          </w:tcPr>
          <w:p w:rsidR="00F66C9B" w:rsidRPr="00324116" w:rsidRDefault="00F66C9B" w:rsidP="0053149A">
            <w:pPr>
              <w:spacing w:before="40" w:after="40"/>
              <w:jc w:val="right"/>
              <w:rPr>
                <w:rFonts w:cs="Arial"/>
                <w:b/>
                <w:sz w:val="19"/>
                <w:szCs w:val="19"/>
                <w:lang w:val="lt-LT"/>
              </w:rPr>
            </w:pPr>
            <w:r>
              <w:rPr>
                <w:rFonts w:cs="Arial"/>
              </w:rPr>
              <w:t>109</w:t>
            </w:r>
            <w:r w:rsidR="00142AA4">
              <w:rPr>
                <w:rFonts w:cs="Arial"/>
              </w:rPr>
              <w:t>,</w:t>
            </w:r>
            <w:r>
              <w:rPr>
                <w:rFonts w:cs="Arial"/>
              </w:rPr>
              <w:t>4</w:t>
            </w:r>
          </w:p>
        </w:tc>
        <w:tc>
          <w:tcPr>
            <w:tcW w:w="688" w:type="pct"/>
            <w:tcBorders>
              <w:top w:val="nil"/>
              <w:left w:val="nil"/>
              <w:bottom w:val="nil"/>
              <w:right w:val="nil"/>
            </w:tcBorders>
            <w:shd w:val="clear" w:color="auto" w:fill="auto"/>
            <w:vAlign w:val="bottom"/>
          </w:tcPr>
          <w:p w:rsidR="00F66C9B" w:rsidRPr="00324116" w:rsidRDefault="00F66C9B" w:rsidP="0053149A">
            <w:pPr>
              <w:spacing w:before="40" w:after="40"/>
              <w:jc w:val="right"/>
              <w:rPr>
                <w:rFonts w:cs="Arial"/>
                <w:b/>
                <w:sz w:val="19"/>
                <w:szCs w:val="19"/>
                <w:lang w:val="lt-LT"/>
              </w:rPr>
            </w:pPr>
            <w:r>
              <w:rPr>
                <w:rFonts w:cs="Arial"/>
              </w:rPr>
              <w:t>109</w:t>
            </w:r>
            <w:r w:rsidR="00142AA4">
              <w:rPr>
                <w:rFonts w:cs="Arial"/>
              </w:rPr>
              <w:t>,</w:t>
            </w:r>
            <w:r>
              <w:rPr>
                <w:rFonts w:cs="Arial"/>
              </w:rPr>
              <w:t>0</w:t>
            </w:r>
          </w:p>
        </w:tc>
        <w:tc>
          <w:tcPr>
            <w:tcW w:w="597" w:type="pct"/>
            <w:tcBorders>
              <w:top w:val="nil"/>
              <w:left w:val="nil"/>
              <w:bottom w:val="nil"/>
              <w:right w:val="single" w:sz="4" w:space="0" w:color="auto"/>
            </w:tcBorders>
            <w:shd w:val="clear" w:color="auto" w:fill="auto"/>
            <w:vAlign w:val="bottom"/>
          </w:tcPr>
          <w:p w:rsidR="00F66C9B" w:rsidRPr="00324116" w:rsidRDefault="00F66C9B" w:rsidP="0053149A">
            <w:pPr>
              <w:spacing w:before="40" w:after="40"/>
              <w:jc w:val="right"/>
              <w:rPr>
                <w:rFonts w:cs="Arial"/>
                <w:b/>
                <w:sz w:val="19"/>
                <w:szCs w:val="19"/>
                <w:lang w:val="lt-LT"/>
              </w:rPr>
            </w:pPr>
            <w:r>
              <w:rPr>
                <w:rFonts w:cs="Arial"/>
              </w:rPr>
              <w:t>109</w:t>
            </w:r>
            <w:r w:rsidR="00142AA4">
              <w:rPr>
                <w:rFonts w:cs="Arial"/>
              </w:rPr>
              <w:t>,</w:t>
            </w:r>
            <w:r>
              <w:rPr>
                <w:rFonts w:cs="Arial"/>
              </w:rPr>
              <w:t>9</w:t>
            </w:r>
          </w:p>
        </w:tc>
      </w:tr>
      <w:tr w:rsidR="00F66C9B" w:rsidRPr="00324116" w:rsidTr="0053149A">
        <w:tc>
          <w:tcPr>
            <w:tcW w:w="1032" w:type="pct"/>
            <w:tcBorders>
              <w:top w:val="nil"/>
              <w:left w:val="single" w:sz="4" w:space="0" w:color="auto"/>
              <w:bottom w:val="nil"/>
              <w:right w:val="single" w:sz="4" w:space="0" w:color="auto"/>
            </w:tcBorders>
            <w:vAlign w:val="bottom"/>
            <w:hideMark/>
          </w:tcPr>
          <w:p w:rsidR="00F66C9B" w:rsidRPr="00324116" w:rsidRDefault="00F66C9B" w:rsidP="0053149A">
            <w:pPr>
              <w:spacing w:before="40" w:after="40"/>
              <w:rPr>
                <w:rFonts w:cs="Arial"/>
                <w:sz w:val="19"/>
                <w:szCs w:val="19"/>
                <w:lang w:val="lt-LT"/>
              </w:rPr>
            </w:pPr>
            <w:r w:rsidRPr="00324116">
              <w:rPr>
                <w:rFonts w:cs="Arial"/>
                <w:sz w:val="19"/>
                <w:szCs w:val="19"/>
                <w:lang w:val="lt-LT"/>
              </w:rPr>
              <w:t>Viešasis sektorius</w:t>
            </w:r>
          </w:p>
        </w:tc>
        <w:tc>
          <w:tcPr>
            <w:tcW w:w="663" w:type="pct"/>
            <w:tcBorders>
              <w:top w:val="nil"/>
              <w:left w:val="nil"/>
              <w:bottom w:val="nil"/>
              <w:right w:val="nil"/>
            </w:tcBorders>
            <w:shd w:val="clear" w:color="auto" w:fill="auto"/>
            <w:vAlign w:val="bottom"/>
          </w:tcPr>
          <w:p w:rsidR="00F66C9B" w:rsidRPr="00324116" w:rsidRDefault="00F66C9B" w:rsidP="0053149A">
            <w:pPr>
              <w:spacing w:before="40" w:after="40"/>
              <w:jc w:val="right"/>
              <w:rPr>
                <w:rFonts w:cs="Arial"/>
                <w:sz w:val="19"/>
                <w:szCs w:val="19"/>
                <w:lang w:val="lt-LT"/>
              </w:rPr>
            </w:pPr>
            <w:r>
              <w:rPr>
                <w:rFonts w:cs="Arial"/>
              </w:rPr>
              <w:t>107</w:t>
            </w:r>
            <w:r w:rsidR="00142AA4">
              <w:rPr>
                <w:rFonts w:cs="Arial"/>
              </w:rPr>
              <w:t>,</w:t>
            </w:r>
            <w:r>
              <w:rPr>
                <w:rFonts w:cs="Arial"/>
              </w:rPr>
              <w:t>7</w:t>
            </w:r>
          </w:p>
        </w:tc>
        <w:tc>
          <w:tcPr>
            <w:tcW w:w="639" w:type="pct"/>
            <w:tcBorders>
              <w:top w:val="nil"/>
              <w:left w:val="nil"/>
              <w:bottom w:val="nil"/>
              <w:right w:val="nil"/>
            </w:tcBorders>
            <w:shd w:val="clear" w:color="auto" w:fill="auto"/>
            <w:vAlign w:val="bottom"/>
          </w:tcPr>
          <w:p w:rsidR="00F66C9B" w:rsidRPr="00324116" w:rsidRDefault="00F66C9B" w:rsidP="0053149A">
            <w:pPr>
              <w:spacing w:before="40" w:after="40"/>
              <w:jc w:val="right"/>
              <w:rPr>
                <w:rFonts w:cs="Arial"/>
                <w:sz w:val="19"/>
                <w:szCs w:val="19"/>
                <w:lang w:val="lt-LT"/>
              </w:rPr>
            </w:pPr>
            <w:r>
              <w:rPr>
                <w:rFonts w:cs="Arial"/>
              </w:rPr>
              <w:t>105</w:t>
            </w:r>
            <w:r w:rsidR="00142AA4">
              <w:rPr>
                <w:rFonts w:cs="Arial"/>
              </w:rPr>
              <w:t>,</w:t>
            </w:r>
            <w:r>
              <w:rPr>
                <w:rFonts w:cs="Arial"/>
              </w:rPr>
              <w:t>7</w:t>
            </w:r>
          </w:p>
        </w:tc>
        <w:tc>
          <w:tcPr>
            <w:tcW w:w="693" w:type="pct"/>
            <w:tcBorders>
              <w:top w:val="nil"/>
              <w:left w:val="nil"/>
              <w:bottom w:val="nil"/>
              <w:right w:val="single" w:sz="4" w:space="0" w:color="auto"/>
            </w:tcBorders>
            <w:shd w:val="clear" w:color="auto" w:fill="auto"/>
            <w:vAlign w:val="bottom"/>
          </w:tcPr>
          <w:p w:rsidR="00F66C9B" w:rsidRPr="00324116" w:rsidRDefault="00F66C9B" w:rsidP="0053149A">
            <w:pPr>
              <w:spacing w:before="40" w:after="40"/>
              <w:jc w:val="right"/>
              <w:rPr>
                <w:rFonts w:cs="Arial"/>
                <w:sz w:val="19"/>
                <w:szCs w:val="19"/>
                <w:lang w:val="lt-LT"/>
              </w:rPr>
            </w:pPr>
            <w:r>
              <w:rPr>
                <w:rFonts w:cs="Arial"/>
              </w:rPr>
              <w:t>108</w:t>
            </w:r>
            <w:r w:rsidR="00142AA4">
              <w:rPr>
                <w:rFonts w:cs="Arial"/>
              </w:rPr>
              <w:t>,</w:t>
            </w:r>
            <w:r>
              <w:rPr>
                <w:rFonts w:cs="Arial"/>
              </w:rPr>
              <w:t>8</w:t>
            </w:r>
          </w:p>
        </w:tc>
        <w:tc>
          <w:tcPr>
            <w:tcW w:w="688" w:type="pct"/>
            <w:tcBorders>
              <w:top w:val="nil"/>
              <w:left w:val="single" w:sz="4" w:space="0" w:color="auto"/>
              <w:bottom w:val="nil"/>
              <w:right w:val="nil"/>
            </w:tcBorders>
            <w:shd w:val="clear" w:color="auto" w:fill="auto"/>
            <w:vAlign w:val="bottom"/>
          </w:tcPr>
          <w:p w:rsidR="00F66C9B" w:rsidRPr="00324116" w:rsidRDefault="00F66C9B" w:rsidP="0053149A">
            <w:pPr>
              <w:spacing w:before="40" w:after="40"/>
              <w:jc w:val="right"/>
              <w:rPr>
                <w:rFonts w:cs="Arial"/>
                <w:sz w:val="19"/>
                <w:szCs w:val="19"/>
                <w:lang w:val="lt-LT"/>
              </w:rPr>
            </w:pPr>
            <w:r>
              <w:rPr>
                <w:rFonts w:cs="Arial"/>
              </w:rPr>
              <w:t>107</w:t>
            </w:r>
            <w:r w:rsidR="00142AA4">
              <w:rPr>
                <w:rFonts w:cs="Arial"/>
              </w:rPr>
              <w:t>,</w:t>
            </w:r>
            <w:r>
              <w:rPr>
                <w:rFonts w:cs="Arial"/>
              </w:rPr>
              <w:t>3</w:t>
            </w:r>
          </w:p>
        </w:tc>
        <w:tc>
          <w:tcPr>
            <w:tcW w:w="688" w:type="pct"/>
            <w:tcBorders>
              <w:top w:val="nil"/>
              <w:left w:val="nil"/>
              <w:bottom w:val="nil"/>
              <w:right w:val="nil"/>
            </w:tcBorders>
            <w:shd w:val="clear" w:color="auto" w:fill="auto"/>
            <w:vAlign w:val="bottom"/>
          </w:tcPr>
          <w:p w:rsidR="00F66C9B" w:rsidRPr="00324116" w:rsidRDefault="00F66C9B" w:rsidP="0053149A">
            <w:pPr>
              <w:spacing w:before="40" w:after="40"/>
              <w:jc w:val="right"/>
              <w:rPr>
                <w:rFonts w:cs="Arial"/>
                <w:sz w:val="19"/>
                <w:szCs w:val="19"/>
                <w:lang w:val="lt-LT"/>
              </w:rPr>
            </w:pPr>
            <w:r>
              <w:rPr>
                <w:rFonts w:cs="Arial"/>
              </w:rPr>
              <w:t>106</w:t>
            </w:r>
            <w:r w:rsidR="00142AA4">
              <w:rPr>
                <w:rFonts w:cs="Arial"/>
              </w:rPr>
              <w:t>,</w:t>
            </w:r>
            <w:r>
              <w:rPr>
                <w:rFonts w:cs="Arial"/>
              </w:rPr>
              <w:t>2</w:t>
            </w:r>
          </w:p>
        </w:tc>
        <w:tc>
          <w:tcPr>
            <w:tcW w:w="597" w:type="pct"/>
            <w:tcBorders>
              <w:top w:val="nil"/>
              <w:left w:val="nil"/>
              <w:bottom w:val="nil"/>
              <w:right w:val="single" w:sz="4" w:space="0" w:color="auto"/>
            </w:tcBorders>
            <w:shd w:val="clear" w:color="auto" w:fill="auto"/>
            <w:vAlign w:val="bottom"/>
          </w:tcPr>
          <w:p w:rsidR="00F66C9B" w:rsidRPr="00324116" w:rsidRDefault="00F66C9B" w:rsidP="0053149A">
            <w:pPr>
              <w:spacing w:before="40" w:after="40"/>
              <w:jc w:val="right"/>
              <w:rPr>
                <w:rFonts w:cs="Arial"/>
                <w:sz w:val="19"/>
                <w:szCs w:val="19"/>
                <w:lang w:val="lt-LT"/>
              </w:rPr>
            </w:pPr>
            <w:r>
              <w:rPr>
                <w:rFonts w:cs="Arial"/>
              </w:rPr>
              <w:t>107</w:t>
            </w:r>
            <w:r w:rsidR="00142AA4">
              <w:rPr>
                <w:rFonts w:cs="Arial"/>
              </w:rPr>
              <w:t>,</w:t>
            </w:r>
            <w:r>
              <w:rPr>
                <w:rFonts w:cs="Arial"/>
              </w:rPr>
              <w:t>9</w:t>
            </w:r>
          </w:p>
        </w:tc>
      </w:tr>
      <w:tr w:rsidR="00F66C9B" w:rsidRPr="00324116" w:rsidTr="0053149A">
        <w:tc>
          <w:tcPr>
            <w:tcW w:w="1032" w:type="pct"/>
            <w:tcBorders>
              <w:top w:val="nil"/>
              <w:left w:val="single" w:sz="4" w:space="0" w:color="auto"/>
              <w:bottom w:val="nil"/>
              <w:right w:val="single" w:sz="4" w:space="0" w:color="auto"/>
            </w:tcBorders>
            <w:vAlign w:val="bottom"/>
            <w:hideMark/>
          </w:tcPr>
          <w:p w:rsidR="00F66C9B" w:rsidRPr="00324116" w:rsidRDefault="00F66C9B" w:rsidP="0053149A">
            <w:pPr>
              <w:spacing w:before="40" w:after="40"/>
              <w:rPr>
                <w:rFonts w:cs="Arial"/>
                <w:sz w:val="19"/>
                <w:szCs w:val="19"/>
                <w:lang w:val="lt-LT"/>
              </w:rPr>
            </w:pPr>
            <w:r w:rsidRPr="00324116">
              <w:rPr>
                <w:rFonts w:cs="Arial"/>
                <w:sz w:val="19"/>
                <w:szCs w:val="19"/>
                <w:lang w:val="lt-LT"/>
              </w:rPr>
              <w:t>Privatusis sektorius</w:t>
            </w:r>
          </w:p>
        </w:tc>
        <w:tc>
          <w:tcPr>
            <w:tcW w:w="663" w:type="pct"/>
            <w:tcBorders>
              <w:top w:val="nil"/>
              <w:left w:val="nil"/>
              <w:bottom w:val="nil"/>
              <w:right w:val="nil"/>
            </w:tcBorders>
            <w:shd w:val="clear" w:color="auto" w:fill="auto"/>
            <w:vAlign w:val="bottom"/>
          </w:tcPr>
          <w:p w:rsidR="00F66C9B" w:rsidRPr="00324116" w:rsidRDefault="00F66C9B" w:rsidP="0053149A">
            <w:pPr>
              <w:spacing w:before="40" w:after="40"/>
              <w:jc w:val="right"/>
              <w:rPr>
                <w:rFonts w:cs="Arial"/>
                <w:sz w:val="19"/>
                <w:szCs w:val="19"/>
                <w:lang w:val="lt-LT"/>
              </w:rPr>
            </w:pPr>
            <w:r>
              <w:rPr>
                <w:rFonts w:cs="Arial"/>
              </w:rPr>
              <w:t>103</w:t>
            </w:r>
            <w:r w:rsidR="00142AA4">
              <w:rPr>
                <w:rFonts w:cs="Arial"/>
              </w:rPr>
              <w:t>,</w:t>
            </w:r>
            <w:r>
              <w:rPr>
                <w:rFonts w:cs="Arial"/>
              </w:rPr>
              <w:t>1</w:t>
            </w:r>
          </w:p>
        </w:tc>
        <w:tc>
          <w:tcPr>
            <w:tcW w:w="639" w:type="pct"/>
            <w:tcBorders>
              <w:top w:val="nil"/>
              <w:left w:val="nil"/>
              <w:bottom w:val="nil"/>
              <w:right w:val="nil"/>
            </w:tcBorders>
            <w:shd w:val="clear" w:color="auto" w:fill="auto"/>
            <w:vAlign w:val="bottom"/>
          </w:tcPr>
          <w:p w:rsidR="00F66C9B" w:rsidRPr="00324116" w:rsidRDefault="00F66C9B" w:rsidP="0053149A">
            <w:pPr>
              <w:spacing w:before="40" w:after="40"/>
              <w:jc w:val="right"/>
              <w:rPr>
                <w:rFonts w:cs="Arial"/>
                <w:sz w:val="19"/>
                <w:szCs w:val="19"/>
                <w:lang w:val="lt-LT"/>
              </w:rPr>
            </w:pPr>
            <w:r>
              <w:rPr>
                <w:rFonts w:cs="Arial"/>
              </w:rPr>
              <w:t>103</w:t>
            </w:r>
            <w:r w:rsidR="00142AA4">
              <w:rPr>
                <w:rFonts w:cs="Arial"/>
              </w:rPr>
              <w:t>,</w:t>
            </w:r>
            <w:r>
              <w:rPr>
                <w:rFonts w:cs="Arial"/>
              </w:rPr>
              <w:t>0</w:t>
            </w:r>
          </w:p>
        </w:tc>
        <w:tc>
          <w:tcPr>
            <w:tcW w:w="693" w:type="pct"/>
            <w:tcBorders>
              <w:top w:val="nil"/>
              <w:left w:val="nil"/>
              <w:bottom w:val="nil"/>
              <w:right w:val="single" w:sz="4" w:space="0" w:color="auto"/>
            </w:tcBorders>
            <w:shd w:val="clear" w:color="auto" w:fill="auto"/>
            <w:vAlign w:val="bottom"/>
          </w:tcPr>
          <w:p w:rsidR="00F66C9B" w:rsidRPr="00324116" w:rsidRDefault="00F66C9B" w:rsidP="0053149A">
            <w:pPr>
              <w:spacing w:before="40" w:after="40"/>
              <w:jc w:val="right"/>
              <w:rPr>
                <w:rFonts w:cs="Arial"/>
                <w:sz w:val="19"/>
                <w:szCs w:val="19"/>
                <w:lang w:val="lt-LT"/>
              </w:rPr>
            </w:pPr>
            <w:r>
              <w:rPr>
                <w:rFonts w:cs="Arial"/>
              </w:rPr>
              <w:t>103</w:t>
            </w:r>
            <w:r w:rsidR="00142AA4">
              <w:rPr>
                <w:rFonts w:cs="Arial"/>
              </w:rPr>
              <w:t>,</w:t>
            </w:r>
            <w:r>
              <w:rPr>
                <w:rFonts w:cs="Arial"/>
              </w:rPr>
              <w:t>2</w:t>
            </w:r>
          </w:p>
        </w:tc>
        <w:tc>
          <w:tcPr>
            <w:tcW w:w="688" w:type="pct"/>
            <w:tcBorders>
              <w:top w:val="nil"/>
              <w:left w:val="single" w:sz="4" w:space="0" w:color="auto"/>
              <w:bottom w:val="nil"/>
              <w:right w:val="nil"/>
            </w:tcBorders>
            <w:shd w:val="clear" w:color="auto" w:fill="auto"/>
            <w:vAlign w:val="bottom"/>
          </w:tcPr>
          <w:p w:rsidR="00F66C9B" w:rsidRPr="00324116" w:rsidRDefault="00F66C9B" w:rsidP="0053149A">
            <w:pPr>
              <w:spacing w:before="40" w:after="40"/>
              <w:jc w:val="right"/>
              <w:rPr>
                <w:rFonts w:cs="Arial"/>
                <w:sz w:val="19"/>
                <w:szCs w:val="19"/>
                <w:lang w:val="lt-LT"/>
              </w:rPr>
            </w:pPr>
            <w:r>
              <w:rPr>
                <w:rFonts w:cs="Arial"/>
              </w:rPr>
              <w:t>110</w:t>
            </w:r>
            <w:r w:rsidR="00142AA4">
              <w:rPr>
                <w:rFonts w:cs="Arial"/>
              </w:rPr>
              <w:t>,</w:t>
            </w:r>
            <w:r>
              <w:rPr>
                <w:rFonts w:cs="Arial"/>
              </w:rPr>
              <w:t>7</w:t>
            </w:r>
          </w:p>
        </w:tc>
        <w:tc>
          <w:tcPr>
            <w:tcW w:w="688" w:type="pct"/>
            <w:tcBorders>
              <w:top w:val="nil"/>
              <w:left w:val="nil"/>
              <w:bottom w:val="nil"/>
              <w:right w:val="nil"/>
            </w:tcBorders>
            <w:shd w:val="clear" w:color="auto" w:fill="auto"/>
            <w:vAlign w:val="bottom"/>
          </w:tcPr>
          <w:p w:rsidR="00F66C9B" w:rsidRPr="00324116" w:rsidRDefault="00F66C9B" w:rsidP="0053149A">
            <w:pPr>
              <w:spacing w:before="40" w:after="40"/>
              <w:jc w:val="right"/>
              <w:rPr>
                <w:rFonts w:cs="Arial"/>
                <w:sz w:val="19"/>
                <w:szCs w:val="19"/>
                <w:lang w:val="lt-LT"/>
              </w:rPr>
            </w:pPr>
            <w:r>
              <w:rPr>
                <w:rFonts w:cs="Arial"/>
              </w:rPr>
              <w:t>109</w:t>
            </w:r>
            <w:r w:rsidR="00142AA4">
              <w:rPr>
                <w:rFonts w:cs="Arial"/>
              </w:rPr>
              <w:t>,</w:t>
            </w:r>
            <w:r>
              <w:rPr>
                <w:rFonts w:cs="Arial"/>
              </w:rPr>
              <w:t>9</w:t>
            </w:r>
          </w:p>
        </w:tc>
        <w:tc>
          <w:tcPr>
            <w:tcW w:w="597" w:type="pct"/>
            <w:tcBorders>
              <w:top w:val="nil"/>
              <w:left w:val="nil"/>
              <w:bottom w:val="nil"/>
              <w:right w:val="single" w:sz="4" w:space="0" w:color="auto"/>
            </w:tcBorders>
            <w:shd w:val="clear" w:color="auto" w:fill="auto"/>
            <w:vAlign w:val="bottom"/>
          </w:tcPr>
          <w:p w:rsidR="00F66C9B" w:rsidRPr="00324116" w:rsidRDefault="00F66C9B" w:rsidP="0053149A">
            <w:pPr>
              <w:spacing w:before="40" w:after="40"/>
              <w:jc w:val="right"/>
              <w:rPr>
                <w:rFonts w:cs="Arial"/>
                <w:sz w:val="19"/>
                <w:szCs w:val="19"/>
                <w:lang w:val="lt-LT"/>
              </w:rPr>
            </w:pPr>
            <w:r>
              <w:rPr>
                <w:rFonts w:cs="Arial"/>
              </w:rPr>
              <w:t>112</w:t>
            </w:r>
            <w:r w:rsidR="00142AA4">
              <w:rPr>
                <w:rFonts w:cs="Arial"/>
              </w:rPr>
              <w:t>,</w:t>
            </w:r>
            <w:r>
              <w:rPr>
                <w:rFonts w:cs="Arial"/>
              </w:rPr>
              <w:t>0</w:t>
            </w:r>
          </w:p>
        </w:tc>
      </w:tr>
      <w:tr w:rsidR="00F66C9B" w:rsidRPr="00324116" w:rsidTr="0053149A">
        <w:tc>
          <w:tcPr>
            <w:tcW w:w="1032" w:type="pct"/>
            <w:tcBorders>
              <w:top w:val="nil"/>
              <w:left w:val="single" w:sz="4" w:space="0" w:color="auto"/>
              <w:bottom w:val="nil"/>
              <w:right w:val="single" w:sz="4" w:space="0" w:color="auto"/>
            </w:tcBorders>
            <w:shd w:val="clear" w:color="auto" w:fill="F595AA"/>
            <w:vAlign w:val="bottom"/>
            <w:hideMark/>
          </w:tcPr>
          <w:p w:rsidR="00F66C9B" w:rsidRPr="00324116" w:rsidRDefault="00F66C9B" w:rsidP="0053149A">
            <w:pPr>
              <w:spacing w:before="40" w:after="40"/>
              <w:rPr>
                <w:rFonts w:cs="Arial"/>
                <w:sz w:val="19"/>
                <w:szCs w:val="19"/>
                <w:lang w:val="lt-LT"/>
              </w:rPr>
            </w:pPr>
            <w:r w:rsidRPr="00324116">
              <w:rPr>
                <w:rFonts w:cs="Arial"/>
                <w:b/>
                <w:sz w:val="19"/>
                <w:szCs w:val="19"/>
                <w:lang w:val="lt-LT"/>
              </w:rPr>
              <w:t>Realiojo</w:t>
            </w:r>
          </w:p>
        </w:tc>
        <w:tc>
          <w:tcPr>
            <w:tcW w:w="663" w:type="pct"/>
            <w:tcBorders>
              <w:top w:val="nil"/>
              <w:left w:val="single" w:sz="4" w:space="0" w:color="auto"/>
              <w:bottom w:val="nil"/>
              <w:right w:val="nil"/>
            </w:tcBorders>
            <w:shd w:val="clear" w:color="auto" w:fill="F595AA"/>
            <w:vAlign w:val="bottom"/>
          </w:tcPr>
          <w:p w:rsidR="00F66C9B" w:rsidRPr="00324116" w:rsidRDefault="00F66C9B" w:rsidP="0053149A">
            <w:pPr>
              <w:spacing w:before="40" w:after="40"/>
              <w:jc w:val="right"/>
              <w:rPr>
                <w:rFonts w:cs="Arial"/>
                <w:sz w:val="19"/>
                <w:szCs w:val="19"/>
                <w:lang w:val="lt-LT"/>
              </w:rPr>
            </w:pPr>
          </w:p>
        </w:tc>
        <w:tc>
          <w:tcPr>
            <w:tcW w:w="639" w:type="pct"/>
            <w:tcBorders>
              <w:top w:val="nil"/>
              <w:left w:val="nil"/>
              <w:bottom w:val="nil"/>
              <w:right w:val="nil"/>
            </w:tcBorders>
            <w:shd w:val="clear" w:color="auto" w:fill="F595AA"/>
            <w:vAlign w:val="bottom"/>
          </w:tcPr>
          <w:p w:rsidR="00F66C9B" w:rsidRPr="00324116" w:rsidRDefault="00F66C9B" w:rsidP="0053149A">
            <w:pPr>
              <w:spacing w:before="40" w:after="40"/>
              <w:jc w:val="right"/>
              <w:rPr>
                <w:rFonts w:cs="Arial"/>
                <w:sz w:val="19"/>
                <w:szCs w:val="19"/>
                <w:lang w:val="lt-LT"/>
              </w:rPr>
            </w:pPr>
          </w:p>
        </w:tc>
        <w:tc>
          <w:tcPr>
            <w:tcW w:w="693" w:type="pct"/>
            <w:tcBorders>
              <w:top w:val="nil"/>
              <w:left w:val="nil"/>
              <w:bottom w:val="nil"/>
              <w:right w:val="single" w:sz="4" w:space="0" w:color="auto"/>
            </w:tcBorders>
            <w:shd w:val="clear" w:color="auto" w:fill="F595AA"/>
            <w:vAlign w:val="bottom"/>
          </w:tcPr>
          <w:p w:rsidR="00F66C9B" w:rsidRPr="00324116" w:rsidRDefault="00F66C9B" w:rsidP="0053149A">
            <w:pPr>
              <w:spacing w:before="40" w:after="40"/>
              <w:jc w:val="right"/>
              <w:rPr>
                <w:rFonts w:cs="Arial"/>
                <w:sz w:val="19"/>
                <w:szCs w:val="19"/>
                <w:lang w:val="lt-LT"/>
              </w:rPr>
            </w:pPr>
          </w:p>
        </w:tc>
        <w:tc>
          <w:tcPr>
            <w:tcW w:w="688" w:type="pct"/>
            <w:tcBorders>
              <w:top w:val="nil"/>
              <w:left w:val="single" w:sz="4" w:space="0" w:color="auto"/>
              <w:bottom w:val="nil"/>
              <w:right w:val="nil"/>
            </w:tcBorders>
            <w:shd w:val="clear" w:color="auto" w:fill="F595AA"/>
            <w:vAlign w:val="bottom"/>
          </w:tcPr>
          <w:p w:rsidR="00F66C9B" w:rsidRPr="00324116" w:rsidRDefault="00F66C9B" w:rsidP="0053149A">
            <w:pPr>
              <w:spacing w:before="40" w:after="40"/>
              <w:jc w:val="right"/>
              <w:rPr>
                <w:rFonts w:cs="Arial"/>
                <w:sz w:val="19"/>
                <w:szCs w:val="19"/>
                <w:lang w:val="lt-LT"/>
              </w:rPr>
            </w:pPr>
          </w:p>
        </w:tc>
        <w:tc>
          <w:tcPr>
            <w:tcW w:w="688" w:type="pct"/>
            <w:tcBorders>
              <w:top w:val="nil"/>
              <w:left w:val="nil"/>
              <w:bottom w:val="nil"/>
              <w:right w:val="nil"/>
            </w:tcBorders>
            <w:shd w:val="clear" w:color="auto" w:fill="F595AA"/>
            <w:vAlign w:val="bottom"/>
          </w:tcPr>
          <w:p w:rsidR="00F66C9B" w:rsidRPr="00324116" w:rsidRDefault="00F66C9B" w:rsidP="0053149A">
            <w:pPr>
              <w:spacing w:before="40" w:after="40"/>
              <w:jc w:val="right"/>
              <w:rPr>
                <w:rFonts w:cs="Arial"/>
                <w:sz w:val="19"/>
                <w:szCs w:val="19"/>
                <w:lang w:val="lt-LT"/>
              </w:rPr>
            </w:pPr>
          </w:p>
        </w:tc>
        <w:tc>
          <w:tcPr>
            <w:tcW w:w="597" w:type="pct"/>
            <w:tcBorders>
              <w:top w:val="nil"/>
              <w:left w:val="nil"/>
              <w:bottom w:val="nil"/>
              <w:right w:val="single" w:sz="4" w:space="0" w:color="auto"/>
            </w:tcBorders>
            <w:shd w:val="clear" w:color="auto" w:fill="F595AA"/>
            <w:vAlign w:val="bottom"/>
          </w:tcPr>
          <w:p w:rsidR="00F66C9B" w:rsidRPr="00324116" w:rsidRDefault="00F66C9B" w:rsidP="0053149A">
            <w:pPr>
              <w:spacing w:before="40" w:after="40"/>
              <w:jc w:val="right"/>
              <w:rPr>
                <w:rFonts w:cs="Arial"/>
                <w:sz w:val="19"/>
                <w:szCs w:val="19"/>
                <w:lang w:val="lt-LT"/>
              </w:rPr>
            </w:pPr>
          </w:p>
        </w:tc>
      </w:tr>
      <w:tr w:rsidR="00F66C9B" w:rsidRPr="00324116" w:rsidTr="0053149A">
        <w:tc>
          <w:tcPr>
            <w:tcW w:w="1032" w:type="pct"/>
            <w:tcBorders>
              <w:top w:val="nil"/>
              <w:left w:val="single" w:sz="4" w:space="0" w:color="auto"/>
              <w:bottom w:val="nil"/>
              <w:right w:val="single" w:sz="4" w:space="0" w:color="auto"/>
            </w:tcBorders>
            <w:vAlign w:val="bottom"/>
            <w:hideMark/>
          </w:tcPr>
          <w:p w:rsidR="00F66C9B" w:rsidRPr="00324116" w:rsidRDefault="00F66C9B" w:rsidP="0053149A">
            <w:pPr>
              <w:spacing w:before="40" w:after="40"/>
              <w:rPr>
                <w:rFonts w:cs="Arial"/>
                <w:b/>
                <w:sz w:val="19"/>
                <w:szCs w:val="19"/>
                <w:lang w:val="lt-LT"/>
              </w:rPr>
            </w:pPr>
            <w:r w:rsidRPr="00324116">
              <w:rPr>
                <w:rFonts w:cs="Arial"/>
                <w:b/>
                <w:sz w:val="19"/>
                <w:szCs w:val="19"/>
                <w:lang w:val="lt-LT"/>
              </w:rPr>
              <w:t>Šalies ūkis</w:t>
            </w:r>
          </w:p>
        </w:tc>
        <w:tc>
          <w:tcPr>
            <w:tcW w:w="663" w:type="pct"/>
            <w:tcBorders>
              <w:top w:val="nil"/>
              <w:left w:val="nil"/>
              <w:bottom w:val="nil"/>
              <w:right w:val="nil"/>
            </w:tcBorders>
            <w:shd w:val="clear" w:color="auto" w:fill="auto"/>
            <w:vAlign w:val="bottom"/>
          </w:tcPr>
          <w:p w:rsidR="00F66C9B" w:rsidRPr="00324116" w:rsidRDefault="00F66C9B" w:rsidP="0053149A">
            <w:pPr>
              <w:spacing w:before="40" w:after="40"/>
              <w:jc w:val="right"/>
              <w:rPr>
                <w:rFonts w:cs="Arial"/>
                <w:b/>
                <w:sz w:val="19"/>
                <w:szCs w:val="19"/>
                <w:lang w:val="lt-LT"/>
              </w:rPr>
            </w:pPr>
            <w:r>
              <w:rPr>
                <w:rFonts w:cs="Arial"/>
              </w:rPr>
              <w:t>100</w:t>
            </w:r>
            <w:r w:rsidR="00142AA4">
              <w:rPr>
                <w:rFonts w:cs="Arial"/>
              </w:rPr>
              <w:t>,</w:t>
            </w:r>
            <w:r>
              <w:rPr>
                <w:rFonts w:cs="Arial"/>
              </w:rPr>
              <w:t>8</w:t>
            </w:r>
          </w:p>
        </w:tc>
        <w:tc>
          <w:tcPr>
            <w:tcW w:w="639" w:type="pct"/>
            <w:tcBorders>
              <w:top w:val="nil"/>
              <w:left w:val="nil"/>
              <w:bottom w:val="nil"/>
              <w:right w:val="nil"/>
            </w:tcBorders>
            <w:shd w:val="clear" w:color="auto" w:fill="auto"/>
            <w:vAlign w:val="bottom"/>
          </w:tcPr>
          <w:p w:rsidR="00F66C9B" w:rsidRPr="00324116" w:rsidRDefault="00F66C9B" w:rsidP="0053149A">
            <w:pPr>
              <w:spacing w:before="40" w:after="40"/>
              <w:jc w:val="right"/>
              <w:rPr>
                <w:rFonts w:cs="Arial"/>
                <w:b/>
                <w:sz w:val="19"/>
                <w:szCs w:val="19"/>
                <w:lang w:val="lt-LT"/>
              </w:rPr>
            </w:pPr>
            <w:r>
              <w:rPr>
                <w:rFonts w:cs="Arial"/>
              </w:rPr>
              <w:t>99</w:t>
            </w:r>
            <w:r w:rsidR="00142AA4">
              <w:rPr>
                <w:rFonts w:cs="Arial"/>
              </w:rPr>
              <w:t>,</w:t>
            </w:r>
            <w:r>
              <w:rPr>
                <w:rFonts w:cs="Arial"/>
              </w:rPr>
              <w:t>8</w:t>
            </w:r>
          </w:p>
        </w:tc>
        <w:tc>
          <w:tcPr>
            <w:tcW w:w="693" w:type="pct"/>
            <w:tcBorders>
              <w:top w:val="nil"/>
              <w:left w:val="nil"/>
              <w:bottom w:val="nil"/>
              <w:right w:val="single" w:sz="4" w:space="0" w:color="auto"/>
            </w:tcBorders>
            <w:shd w:val="clear" w:color="auto" w:fill="auto"/>
            <w:vAlign w:val="bottom"/>
          </w:tcPr>
          <w:p w:rsidR="00F66C9B" w:rsidRPr="00324116" w:rsidRDefault="00F66C9B" w:rsidP="0053149A">
            <w:pPr>
              <w:spacing w:before="40" w:after="40"/>
              <w:jc w:val="right"/>
              <w:rPr>
                <w:rFonts w:cs="Arial"/>
                <w:b/>
                <w:sz w:val="19"/>
                <w:szCs w:val="19"/>
                <w:lang w:val="lt-LT"/>
              </w:rPr>
            </w:pPr>
            <w:r>
              <w:rPr>
                <w:rFonts w:cs="Arial"/>
              </w:rPr>
              <w:t>101</w:t>
            </w:r>
            <w:r w:rsidR="00142AA4">
              <w:rPr>
                <w:rFonts w:cs="Arial"/>
              </w:rPr>
              <w:t>,</w:t>
            </w:r>
            <w:r>
              <w:rPr>
                <w:rFonts w:cs="Arial"/>
              </w:rPr>
              <w:t>8</w:t>
            </w:r>
          </w:p>
        </w:tc>
        <w:tc>
          <w:tcPr>
            <w:tcW w:w="688" w:type="pct"/>
            <w:tcBorders>
              <w:top w:val="nil"/>
              <w:left w:val="single" w:sz="4" w:space="0" w:color="auto"/>
              <w:bottom w:val="nil"/>
              <w:right w:val="nil"/>
            </w:tcBorders>
            <w:shd w:val="clear" w:color="auto" w:fill="auto"/>
            <w:vAlign w:val="bottom"/>
          </w:tcPr>
          <w:p w:rsidR="00F66C9B" w:rsidRPr="00324116" w:rsidRDefault="00F66C9B" w:rsidP="0053149A">
            <w:pPr>
              <w:spacing w:before="40" w:after="40"/>
              <w:jc w:val="right"/>
              <w:rPr>
                <w:rFonts w:cs="Arial"/>
                <w:b/>
                <w:sz w:val="19"/>
                <w:szCs w:val="19"/>
                <w:lang w:val="lt-LT"/>
              </w:rPr>
            </w:pPr>
            <w:r>
              <w:rPr>
                <w:rFonts w:cs="Arial"/>
              </w:rPr>
              <w:t>100</w:t>
            </w:r>
            <w:r w:rsidR="00142AA4">
              <w:rPr>
                <w:rFonts w:cs="Arial"/>
              </w:rPr>
              <w:t>,</w:t>
            </w:r>
            <w:r>
              <w:rPr>
                <w:rFonts w:cs="Arial"/>
              </w:rPr>
              <w:t>1</w:t>
            </w:r>
          </w:p>
        </w:tc>
        <w:tc>
          <w:tcPr>
            <w:tcW w:w="688" w:type="pct"/>
            <w:tcBorders>
              <w:top w:val="nil"/>
              <w:left w:val="nil"/>
              <w:bottom w:val="nil"/>
              <w:right w:val="nil"/>
            </w:tcBorders>
            <w:shd w:val="clear" w:color="auto" w:fill="auto"/>
            <w:vAlign w:val="bottom"/>
          </w:tcPr>
          <w:p w:rsidR="00F66C9B" w:rsidRPr="00324116" w:rsidRDefault="00F66C9B" w:rsidP="0053149A">
            <w:pPr>
              <w:spacing w:before="40" w:after="40"/>
              <w:jc w:val="right"/>
              <w:rPr>
                <w:rFonts w:cs="Arial"/>
                <w:b/>
                <w:sz w:val="19"/>
                <w:szCs w:val="19"/>
                <w:lang w:val="lt-LT"/>
              </w:rPr>
            </w:pPr>
            <w:r>
              <w:rPr>
                <w:rFonts w:cs="Arial"/>
              </w:rPr>
              <w:t>99</w:t>
            </w:r>
            <w:r w:rsidR="00142AA4">
              <w:rPr>
                <w:rFonts w:cs="Arial"/>
              </w:rPr>
              <w:t>,</w:t>
            </w:r>
            <w:r>
              <w:rPr>
                <w:rFonts w:cs="Arial"/>
              </w:rPr>
              <w:t>7</w:t>
            </w:r>
          </w:p>
        </w:tc>
        <w:tc>
          <w:tcPr>
            <w:tcW w:w="597" w:type="pct"/>
            <w:tcBorders>
              <w:top w:val="nil"/>
              <w:left w:val="nil"/>
              <w:bottom w:val="nil"/>
              <w:right w:val="single" w:sz="4" w:space="0" w:color="auto"/>
            </w:tcBorders>
            <w:shd w:val="clear" w:color="auto" w:fill="auto"/>
            <w:vAlign w:val="bottom"/>
          </w:tcPr>
          <w:p w:rsidR="00F66C9B" w:rsidRPr="00324116" w:rsidRDefault="00F66C9B" w:rsidP="0053149A">
            <w:pPr>
              <w:spacing w:before="40" w:after="40"/>
              <w:jc w:val="right"/>
              <w:rPr>
                <w:rFonts w:cs="Arial"/>
                <w:b/>
                <w:sz w:val="19"/>
                <w:szCs w:val="19"/>
                <w:lang w:val="lt-LT"/>
              </w:rPr>
            </w:pPr>
            <w:r>
              <w:rPr>
                <w:rFonts w:cs="Arial"/>
              </w:rPr>
              <w:t>100</w:t>
            </w:r>
            <w:r w:rsidR="00142AA4">
              <w:rPr>
                <w:rFonts w:cs="Arial"/>
              </w:rPr>
              <w:t>,</w:t>
            </w:r>
            <w:r>
              <w:rPr>
                <w:rFonts w:cs="Arial"/>
              </w:rPr>
              <w:t>5</w:t>
            </w:r>
          </w:p>
        </w:tc>
      </w:tr>
      <w:tr w:rsidR="00F66C9B" w:rsidRPr="00324116" w:rsidTr="0053149A">
        <w:tc>
          <w:tcPr>
            <w:tcW w:w="1032" w:type="pct"/>
            <w:tcBorders>
              <w:top w:val="nil"/>
              <w:left w:val="single" w:sz="4" w:space="0" w:color="auto"/>
              <w:bottom w:val="nil"/>
              <w:right w:val="single" w:sz="4" w:space="0" w:color="auto"/>
            </w:tcBorders>
            <w:vAlign w:val="bottom"/>
            <w:hideMark/>
          </w:tcPr>
          <w:p w:rsidR="00F66C9B" w:rsidRPr="00324116" w:rsidRDefault="00F66C9B" w:rsidP="0053149A">
            <w:pPr>
              <w:spacing w:before="40" w:after="40"/>
              <w:rPr>
                <w:rFonts w:cs="Arial"/>
                <w:sz w:val="19"/>
                <w:szCs w:val="19"/>
                <w:lang w:val="lt-LT"/>
              </w:rPr>
            </w:pPr>
            <w:r w:rsidRPr="00324116">
              <w:rPr>
                <w:rFonts w:cs="Arial"/>
                <w:sz w:val="19"/>
                <w:szCs w:val="19"/>
                <w:lang w:val="lt-LT"/>
              </w:rPr>
              <w:t>Viešasis sektorius</w:t>
            </w:r>
          </w:p>
        </w:tc>
        <w:tc>
          <w:tcPr>
            <w:tcW w:w="663" w:type="pct"/>
            <w:tcBorders>
              <w:top w:val="nil"/>
              <w:left w:val="nil"/>
              <w:bottom w:val="nil"/>
              <w:right w:val="nil"/>
            </w:tcBorders>
            <w:shd w:val="clear" w:color="auto" w:fill="auto"/>
            <w:vAlign w:val="bottom"/>
          </w:tcPr>
          <w:p w:rsidR="00F66C9B" w:rsidRPr="00324116" w:rsidRDefault="00F66C9B" w:rsidP="0053149A">
            <w:pPr>
              <w:spacing w:before="40" w:after="40"/>
              <w:jc w:val="right"/>
              <w:rPr>
                <w:rFonts w:cs="Arial"/>
                <w:sz w:val="19"/>
                <w:szCs w:val="19"/>
                <w:lang w:val="lt-LT"/>
              </w:rPr>
            </w:pPr>
            <w:r>
              <w:rPr>
                <w:rFonts w:cs="Arial"/>
              </w:rPr>
              <w:t>103</w:t>
            </w:r>
            <w:r w:rsidR="00142AA4">
              <w:rPr>
                <w:rFonts w:cs="Arial"/>
              </w:rPr>
              <w:t>,</w:t>
            </w:r>
            <w:r>
              <w:rPr>
                <w:rFonts w:cs="Arial"/>
              </w:rPr>
              <w:t>8</w:t>
            </w:r>
          </w:p>
        </w:tc>
        <w:tc>
          <w:tcPr>
            <w:tcW w:w="639" w:type="pct"/>
            <w:tcBorders>
              <w:top w:val="nil"/>
              <w:left w:val="nil"/>
              <w:bottom w:val="nil"/>
              <w:right w:val="nil"/>
            </w:tcBorders>
            <w:shd w:val="clear" w:color="auto" w:fill="auto"/>
            <w:vAlign w:val="bottom"/>
          </w:tcPr>
          <w:p w:rsidR="00F66C9B" w:rsidRPr="00324116" w:rsidRDefault="00F66C9B" w:rsidP="0053149A">
            <w:pPr>
              <w:spacing w:before="40" w:after="40"/>
              <w:jc w:val="right"/>
              <w:rPr>
                <w:rFonts w:cs="Arial"/>
                <w:sz w:val="19"/>
                <w:szCs w:val="19"/>
                <w:lang w:val="lt-LT"/>
              </w:rPr>
            </w:pPr>
            <w:r>
              <w:rPr>
                <w:rFonts w:cs="Arial"/>
              </w:rPr>
              <w:t>101</w:t>
            </w:r>
            <w:r w:rsidR="00142AA4">
              <w:rPr>
                <w:rFonts w:cs="Arial"/>
              </w:rPr>
              <w:t>,</w:t>
            </w:r>
            <w:r>
              <w:rPr>
                <w:rFonts w:cs="Arial"/>
              </w:rPr>
              <w:t>8</w:t>
            </w:r>
          </w:p>
        </w:tc>
        <w:tc>
          <w:tcPr>
            <w:tcW w:w="693" w:type="pct"/>
            <w:tcBorders>
              <w:top w:val="nil"/>
              <w:left w:val="nil"/>
              <w:bottom w:val="nil"/>
              <w:right w:val="single" w:sz="4" w:space="0" w:color="auto"/>
            </w:tcBorders>
            <w:shd w:val="clear" w:color="auto" w:fill="auto"/>
            <w:vAlign w:val="bottom"/>
          </w:tcPr>
          <w:p w:rsidR="00F66C9B" w:rsidRPr="00324116" w:rsidRDefault="00F66C9B" w:rsidP="0053149A">
            <w:pPr>
              <w:spacing w:before="40" w:after="40"/>
              <w:jc w:val="right"/>
              <w:rPr>
                <w:rFonts w:cs="Arial"/>
                <w:sz w:val="19"/>
                <w:szCs w:val="19"/>
                <w:lang w:val="lt-LT"/>
              </w:rPr>
            </w:pPr>
            <w:r>
              <w:rPr>
                <w:rFonts w:cs="Arial"/>
              </w:rPr>
              <w:t>104</w:t>
            </w:r>
            <w:r w:rsidR="00142AA4">
              <w:rPr>
                <w:rFonts w:cs="Arial"/>
              </w:rPr>
              <w:t>,</w:t>
            </w:r>
            <w:r>
              <w:rPr>
                <w:rFonts w:cs="Arial"/>
              </w:rPr>
              <w:t>8</w:t>
            </w:r>
          </w:p>
        </w:tc>
        <w:tc>
          <w:tcPr>
            <w:tcW w:w="688" w:type="pct"/>
            <w:tcBorders>
              <w:top w:val="nil"/>
              <w:left w:val="single" w:sz="4" w:space="0" w:color="auto"/>
              <w:bottom w:val="nil"/>
              <w:right w:val="nil"/>
            </w:tcBorders>
            <w:shd w:val="clear" w:color="auto" w:fill="auto"/>
            <w:vAlign w:val="bottom"/>
          </w:tcPr>
          <w:p w:rsidR="00F66C9B" w:rsidRPr="00324116" w:rsidRDefault="00F66C9B" w:rsidP="0053149A">
            <w:pPr>
              <w:spacing w:before="40" w:after="40"/>
              <w:jc w:val="right"/>
              <w:rPr>
                <w:rFonts w:cs="Arial"/>
                <w:sz w:val="19"/>
                <w:szCs w:val="19"/>
                <w:lang w:val="lt-LT"/>
              </w:rPr>
            </w:pPr>
            <w:r>
              <w:rPr>
                <w:rFonts w:cs="Arial"/>
              </w:rPr>
              <w:t>98</w:t>
            </w:r>
            <w:r w:rsidR="00142AA4">
              <w:rPr>
                <w:rFonts w:cs="Arial"/>
              </w:rPr>
              <w:t>,</w:t>
            </w:r>
            <w:r>
              <w:rPr>
                <w:rFonts w:cs="Arial"/>
              </w:rPr>
              <w:t>2</w:t>
            </w:r>
          </w:p>
        </w:tc>
        <w:tc>
          <w:tcPr>
            <w:tcW w:w="688" w:type="pct"/>
            <w:tcBorders>
              <w:top w:val="nil"/>
              <w:left w:val="nil"/>
              <w:bottom w:val="nil"/>
              <w:right w:val="nil"/>
            </w:tcBorders>
            <w:shd w:val="clear" w:color="auto" w:fill="auto"/>
            <w:vAlign w:val="bottom"/>
          </w:tcPr>
          <w:p w:rsidR="00F66C9B" w:rsidRPr="00324116" w:rsidRDefault="00F66C9B" w:rsidP="0053149A">
            <w:pPr>
              <w:spacing w:before="40" w:after="40"/>
              <w:jc w:val="right"/>
              <w:rPr>
                <w:rFonts w:cs="Arial"/>
                <w:sz w:val="19"/>
                <w:szCs w:val="19"/>
                <w:lang w:val="lt-LT"/>
              </w:rPr>
            </w:pPr>
            <w:r>
              <w:rPr>
                <w:rFonts w:cs="Arial"/>
              </w:rPr>
              <w:t>97</w:t>
            </w:r>
            <w:r w:rsidR="00142AA4">
              <w:rPr>
                <w:rFonts w:cs="Arial"/>
              </w:rPr>
              <w:t>,</w:t>
            </w:r>
            <w:r>
              <w:rPr>
                <w:rFonts w:cs="Arial"/>
              </w:rPr>
              <w:t>2</w:t>
            </w:r>
          </w:p>
        </w:tc>
        <w:tc>
          <w:tcPr>
            <w:tcW w:w="597" w:type="pct"/>
            <w:tcBorders>
              <w:top w:val="nil"/>
              <w:left w:val="nil"/>
              <w:bottom w:val="nil"/>
              <w:right w:val="single" w:sz="4" w:space="0" w:color="auto"/>
            </w:tcBorders>
            <w:shd w:val="clear" w:color="auto" w:fill="auto"/>
            <w:vAlign w:val="bottom"/>
          </w:tcPr>
          <w:p w:rsidR="00F66C9B" w:rsidRPr="00324116" w:rsidRDefault="00F66C9B" w:rsidP="0053149A">
            <w:pPr>
              <w:spacing w:before="40" w:after="40"/>
              <w:jc w:val="right"/>
              <w:rPr>
                <w:rFonts w:cs="Arial"/>
                <w:sz w:val="19"/>
                <w:szCs w:val="19"/>
                <w:lang w:val="lt-LT"/>
              </w:rPr>
            </w:pPr>
            <w:r>
              <w:rPr>
                <w:rFonts w:cs="Arial"/>
              </w:rPr>
              <w:t>98</w:t>
            </w:r>
            <w:r w:rsidR="00142AA4">
              <w:rPr>
                <w:rFonts w:cs="Arial"/>
              </w:rPr>
              <w:t>,</w:t>
            </w:r>
            <w:r>
              <w:rPr>
                <w:rFonts w:cs="Arial"/>
              </w:rPr>
              <w:t>7</w:t>
            </w:r>
          </w:p>
        </w:tc>
      </w:tr>
      <w:tr w:rsidR="00F66C9B" w:rsidRPr="00324116" w:rsidTr="0053149A">
        <w:tc>
          <w:tcPr>
            <w:tcW w:w="1032" w:type="pct"/>
            <w:tcBorders>
              <w:top w:val="nil"/>
              <w:left w:val="single" w:sz="4" w:space="0" w:color="auto"/>
              <w:bottom w:val="single" w:sz="4" w:space="0" w:color="auto"/>
              <w:right w:val="single" w:sz="4" w:space="0" w:color="auto"/>
            </w:tcBorders>
            <w:vAlign w:val="bottom"/>
            <w:hideMark/>
          </w:tcPr>
          <w:p w:rsidR="00F66C9B" w:rsidRPr="00324116" w:rsidRDefault="00F66C9B" w:rsidP="0053149A">
            <w:pPr>
              <w:spacing w:before="40" w:after="40"/>
              <w:rPr>
                <w:rFonts w:cs="Arial"/>
                <w:sz w:val="19"/>
                <w:szCs w:val="19"/>
                <w:lang w:val="lt-LT"/>
              </w:rPr>
            </w:pPr>
            <w:r w:rsidRPr="00324116">
              <w:rPr>
                <w:rFonts w:cs="Arial"/>
                <w:sz w:val="19"/>
                <w:szCs w:val="19"/>
                <w:lang w:val="lt-LT"/>
              </w:rPr>
              <w:t>Privatusis sektorius</w:t>
            </w:r>
          </w:p>
        </w:tc>
        <w:tc>
          <w:tcPr>
            <w:tcW w:w="663" w:type="pct"/>
            <w:tcBorders>
              <w:top w:val="nil"/>
              <w:left w:val="nil"/>
              <w:bottom w:val="single" w:sz="4" w:space="0" w:color="auto"/>
              <w:right w:val="nil"/>
            </w:tcBorders>
            <w:shd w:val="clear" w:color="auto" w:fill="auto"/>
            <w:vAlign w:val="bottom"/>
          </w:tcPr>
          <w:p w:rsidR="00F66C9B" w:rsidRPr="00324116" w:rsidRDefault="00F66C9B" w:rsidP="0053149A">
            <w:pPr>
              <w:spacing w:before="40" w:after="40"/>
              <w:jc w:val="right"/>
              <w:rPr>
                <w:rFonts w:cs="Arial"/>
                <w:sz w:val="19"/>
                <w:szCs w:val="19"/>
                <w:lang w:val="lt-LT"/>
              </w:rPr>
            </w:pPr>
            <w:r>
              <w:rPr>
                <w:rFonts w:cs="Arial"/>
              </w:rPr>
              <w:t>99</w:t>
            </w:r>
            <w:r w:rsidR="00142AA4">
              <w:rPr>
                <w:rFonts w:cs="Arial"/>
              </w:rPr>
              <w:t>,</w:t>
            </w:r>
            <w:r>
              <w:rPr>
                <w:rFonts w:cs="Arial"/>
              </w:rPr>
              <w:t>3</w:t>
            </w:r>
          </w:p>
        </w:tc>
        <w:tc>
          <w:tcPr>
            <w:tcW w:w="639" w:type="pct"/>
            <w:tcBorders>
              <w:top w:val="nil"/>
              <w:left w:val="nil"/>
              <w:bottom w:val="single" w:sz="4" w:space="0" w:color="auto"/>
              <w:right w:val="nil"/>
            </w:tcBorders>
            <w:shd w:val="clear" w:color="auto" w:fill="auto"/>
            <w:vAlign w:val="bottom"/>
          </w:tcPr>
          <w:p w:rsidR="00F66C9B" w:rsidRPr="00324116" w:rsidRDefault="00F66C9B" w:rsidP="0053149A">
            <w:pPr>
              <w:spacing w:before="40" w:after="40"/>
              <w:jc w:val="right"/>
              <w:rPr>
                <w:rFonts w:cs="Arial"/>
                <w:sz w:val="19"/>
                <w:szCs w:val="19"/>
                <w:lang w:val="lt-LT"/>
              </w:rPr>
            </w:pPr>
            <w:r>
              <w:rPr>
                <w:rFonts w:cs="Arial"/>
              </w:rPr>
              <w:t>99</w:t>
            </w:r>
            <w:r w:rsidR="00142AA4">
              <w:rPr>
                <w:rFonts w:cs="Arial"/>
              </w:rPr>
              <w:t>,</w:t>
            </w:r>
            <w:r>
              <w:rPr>
                <w:rFonts w:cs="Arial"/>
              </w:rPr>
              <w:t>2</w:t>
            </w:r>
          </w:p>
        </w:tc>
        <w:tc>
          <w:tcPr>
            <w:tcW w:w="693" w:type="pct"/>
            <w:tcBorders>
              <w:top w:val="nil"/>
              <w:left w:val="nil"/>
              <w:bottom w:val="single" w:sz="4" w:space="0" w:color="auto"/>
              <w:right w:val="single" w:sz="4" w:space="0" w:color="auto"/>
            </w:tcBorders>
            <w:shd w:val="clear" w:color="auto" w:fill="auto"/>
            <w:vAlign w:val="bottom"/>
          </w:tcPr>
          <w:p w:rsidR="00F66C9B" w:rsidRPr="00324116" w:rsidRDefault="00F66C9B" w:rsidP="0053149A">
            <w:pPr>
              <w:spacing w:before="40" w:after="40"/>
              <w:jc w:val="right"/>
              <w:rPr>
                <w:rFonts w:cs="Arial"/>
                <w:sz w:val="19"/>
                <w:szCs w:val="19"/>
                <w:lang w:val="lt-LT"/>
              </w:rPr>
            </w:pPr>
            <w:r>
              <w:rPr>
                <w:rFonts w:cs="Arial"/>
              </w:rPr>
              <w:t>99</w:t>
            </w:r>
            <w:r w:rsidR="00142AA4">
              <w:rPr>
                <w:rFonts w:cs="Arial"/>
              </w:rPr>
              <w:t>,</w:t>
            </w:r>
            <w:r>
              <w:rPr>
                <w:rFonts w:cs="Arial"/>
              </w:rPr>
              <w:t>4</w:t>
            </w:r>
          </w:p>
        </w:tc>
        <w:tc>
          <w:tcPr>
            <w:tcW w:w="688" w:type="pct"/>
            <w:tcBorders>
              <w:top w:val="nil"/>
              <w:left w:val="single" w:sz="4" w:space="0" w:color="auto"/>
              <w:bottom w:val="single" w:sz="4" w:space="0" w:color="auto"/>
              <w:right w:val="nil"/>
            </w:tcBorders>
            <w:shd w:val="clear" w:color="auto" w:fill="auto"/>
            <w:vAlign w:val="bottom"/>
          </w:tcPr>
          <w:p w:rsidR="00F66C9B" w:rsidRPr="00324116" w:rsidRDefault="00F66C9B" w:rsidP="0053149A">
            <w:pPr>
              <w:spacing w:before="40" w:after="40"/>
              <w:jc w:val="right"/>
              <w:rPr>
                <w:rFonts w:cs="Arial"/>
                <w:sz w:val="19"/>
                <w:szCs w:val="19"/>
                <w:lang w:val="lt-LT"/>
              </w:rPr>
            </w:pPr>
            <w:r>
              <w:rPr>
                <w:rFonts w:cs="Arial"/>
              </w:rPr>
              <w:t>101</w:t>
            </w:r>
            <w:r w:rsidR="00142AA4">
              <w:rPr>
                <w:rFonts w:cs="Arial"/>
              </w:rPr>
              <w:t>,</w:t>
            </w:r>
            <w:r>
              <w:rPr>
                <w:rFonts w:cs="Arial"/>
              </w:rPr>
              <w:t>3</w:t>
            </w:r>
          </w:p>
        </w:tc>
        <w:tc>
          <w:tcPr>
            <w:tcW w:w="688" w:type="pct"/>
            <w:tcBorders>
              <w:top w:val="nil"/>
              <w:left w:val="nil"/>
              <w:bottom w:val="single" w:sz="4" w:space="0" w:color="auto"/>
              <w:right w:val="nil"/>
            </w:tcBorders>
            <w:shd w:val="clear" w:color="auto" w:fill="auto"/>
            <w:vAlign w:val="bottom"/>
          </w:tcPr>
          <w:p w:rsidR="00F66C9B" w:rsidRPr="00324116" w:rsidRDefault="00F66C9B" w:rsidP="0053149A">
            <w:pPr>
              <w:spacing w:before="40" w:after="40"/>
              <w:jc w:val="right"/>
              <w:rPr>
                <w:rFonts w:cs="Arial"/>
                <w:sz w:val="19"/>
                <w:szCs w:val="19"/>
                <w:lang w:val="lt-LT"/>
              </w:rPr>
            </w:pPr>
            <w:r>
              <w:rPr>
                <w:rFonts w:cs="Arial"/>
              </w:rPr>
              <w:t>100</w:t>
            </w:r>
            <w:r w:rsidR="00142AA4">
              <w:rPr>
                <w:rFonts w:cs="Arial"/>
              </w:rPr>
              <w:t>,</w:t>
            </w:r>
            <w:r>
              <w:rPr>
                <w:rFonts w:cs="Arial"/>
              </w:rPr>
              <w:t>5</w:t>
            </w:r>
          </w:p>
        </w:tc>
        <w:tc>
          <w:tcPr>
            <w:tcW w:w="597" w:type="pct"/>
            <w:tcBorders>
              <w:top w:val="nil"/>
              <w:left w:val="nil"/>
              <w:bottom w:val="single" w:sz="4" w:space="0" w:color="auto"/>
              <w:right w:val="single" w:sz="4" w:space="0" w:color="auto"/>
            </w:tcBorders>
            <w:shd w:val="clear" w:color="auto" w:fill="auto"/>
            <w:vAlign w:val="bottom"/>
          </w:tcPr>
          <w:p w:rsidR="00F66C9B" w:rsidRPr="00324116" w:rsidRDefault="00F66C9B" w:rsidP="0053149A">
            <w:pPr>
              <w:spacing w:before="40" w:after="40"/>
              <w:jc w:val="right"/>
              <w:rPr>
                <w:rFonts w:cs="Arial"/>
                <w:sz w:val="19"/>
                <w:szCs w:val="19"/>
                <w:lang w:val="lt-LT"/>
              </w:rPr>
            </w:pPr>
            <w:r>
              <w:rPr>
                <w:rFonts w:cs="Arial"/>
              </w:rPr>
              <w:t>102</w:t>
            </w:r>
            <w:r w:rsidR="00142AA4">
              <w:rPr>
                <w:rFonts w:cs="Arial"/>
              </w:rPr>
              <w:t>,</w:t>
            </w:r>
            <w:r>
              <w:rPr>
                <w:rFonts w:cs="Arial"/>
              </w:rPr>
              <w:t>5</w:t>
            </w:r>
          </w:p>
        </w:tc>
      </w:tr>
    </w:tbl>
    <w:p w:rsidR="00F66C9B" w:rsidRPr="00324116" w:rsidRDefault="00F66C9B" w:rsidP="00F66C9B">
      <w:pPr>
        <w:rPr>
          <w:sz w:val="18"/>
          <w:szCs w:val="18"/>
          <w:lang w:val="lt-LT"/>
        </w:rPr>
      </w:pPr>
      <w:r w:rsidRPr="00324116">
        <w:rPr>
          <w:sz w:val="18"/>
          <w:szCs w:val="18"/>
          <w:lang w:val="lt-LT"/>
        </w:rPr>
        <w:t>______________________</w:t>
      </w:r>
    </w:p>
    <w:p w:rsidR="00F66C9B" w:rsidRPr="00324116" w:rsidRDefault="00F66C9B" w:rsidP="00F66C9B">
      <w:pPr>
        <w:rPr>
          <w:sz w:val="18"/>
          <w:szCs w:val="18"/>
          <w:lang w:val="lt-LT"/>
        </w:rPr>
      </w:pPr>
      <w:r w:rsidRPr="00324116">
        <w:rPr>
          <w:sz w:val="18"/>
          <w:szCs w:val="18"/>
          <w:vertAlign w:val="superscript"/>
          <w:lang w:val="lt-LT"/>
        </w:rPr>
        <w:t>7</w:t>
      </w:r>
      <w:r w:rsidRPr="00324116">
        <w:rPr>
          <w:sz w:val="18"/>
          <w:szCs w:val="18"/>
          <w:lang w:val="lt-LT"/>
        </w:rPr>
        <w:t xml:space="preserve"> Be individualiųjų įmonių.</w:t>
      </w:r>
    </w:p>
    <w:p w:rsidR="00F66C9B" w:rsidRPr="00324116" w:rsidRDefault="00F66C9B" w:rsidP="00F66C9B">
      <w:pPr>
        <w:rPr>
          <w:sz w:val="16"/>
          <w:szCs w:val="16"/>
          <w:lang w:val="lt-LT"/>
        </w:rPr>
      </w:pPr>
    </w:p>
    <w:p w:rsidR="00F66C9B" w:rsidRPr="00324116" w:rsidRDefault="00F66C9B" w:rsidP="00F66C9B">
      <w:pPr>
        <w:rPr>
          <w:sz w:val="16"/>
          <w:szCs w:val="16"/>
          <w:lang w:val="lt-LT"/>
        </w:rPr>
      </w:pPr>
      <w:r w:rsidRPr="00324116">
        <w:rPr>
          <w:b/>
          <w:lang w:val="lt-LT"/>
        </w:rPr>
        <w:t xml:space="preserve">2021 m. </w:t>
      </w:r>
      <w:r>
        <w:rPr>
          <w:b/>
          <w:lang w:val="lt-LT"/>
        </w:rPr>
        <w:t>ketvirtąjį</w:t>
      </w:r>
      <w:r w:rsidRPr="00324116">
        <w:rPr>
          <w:b/>
          <w:lang w:val="lt-LT"/>
        </w:rPr>
        <w:t xml:space="preserve"> ketvirtį vidutinis darbuotojų skaičius šalies ūkyje išaugo </w:t>
      </w:r>
      <w:r>
        <w:rPr>
          <w:b/>
          <w:lang w:val="lt-LT"/>
        </w:rPr>
        <w:t>3</w:t>
      </w:r>
      <w:r w:rsidRPr="00324116">
        <w:rPr>
          <w:b/>
          <w:lang w:val="lt-LT"/>
        </w:rPr>
        <w:t> tūkst.</w:t>
      </w:r>
    </w:p>
    <w:p w:rsidR="00F66C9B" w:rsidRPr="00652199" w:rsidRDefault="00F66C9B" w:rsidP="00F66C9B">
      <w:pPr>
        <w:numPr>
          <w:ilvl w:val="0"/>
          <w:numId w:val="3"/>
        </w:numPr>
        <w:spacing w:before="120" w:after="120"/>
        <w:ind w:left="568" w:hanging="284"/>
        <w:jc w:val="both"/>
        <w:rPr>
          <w:lang w:val="lt-LT"/>
        </w:rPr>
      </w:pPr>
      <w:r w:rsidRPr="00652199">
        <w:rPr>
          <w:lang w:val="lt-LT"/>
        </w:rPr>
        <w:t>Vidutinis darbuotojų skaičius 2021 m. ketvirtąjį ketvirtį, palyginti su 2021 m. trečiuoju ketvirčiu, šalies ūkyje padidėjo 3 tūkst. (0,2 proc.): viešajame sektoriuje išaugo 3,</w:t>
      </w:r>
      <w:r w:rsidR="0016368F" w:rsidRPr="00652199">
        <w:rPr>
          <w:lang w:val="lt-LT"/>
        </w:rPr>
        <w:t>5</w:t>
      </w:r>
      <w:r w:rsidRPr="00652199">
        <w:rPr>
          <w:lang w:val="lt-LT"/>
        </w:rPr>
        <w:t> tūkst., arba 1 proc., privačiajame sektoriuje sumažėjo 0,5 tūkst. (0,1 proc.). Labiausiai viešajame sektoriuje vidutinis darbuotojų skaičius išaugo švietime (3,9</w:t>
      </w:r>
      <w:r w:rsidR="00F72758">
        <w:rPr>
          <w:lang w:val="lt-LT"/>
        </w:rPr>
        <w:t> </w:t>
      </w:r>
      <w:r w:rsidRPr="00652199">
        <w:rPr>
          <w:lang w:val="lt-LT"/>
        </w:rPr>
        <w:t xml:space="preserve">tūkst.). Privačiajame sektoriuje labiausiai (2,6 tūkst.) darbuotojų skaičius sumažėjo </w:t>
      </w:r>
      <w:r w:rsidRPr="00652199">
        <w:rPr>
          <w:snapToGrid w:val="0"/>
          <w:lang w:val="lt-LT"/>
        </w:rPr>
        <w:t>apgyvendinimo ir maitinimo paslaugų veikloje.</w:t>
      </w:r>
    </w:p>
    <w:p w:rsidR="00F66C9B" w:rsidRPr="00324116" w:rsidRDefault="00F66C9B" w:rsidP="00F66C9B">
      <w:pPr>
        <w:numPr>
          <w:ilvl w:val="0"/>
          <w:numId w:val="3"/>
        </w:numPr>
        <w:spacing w:before="120"/>
        <w:ind w:left="568" w:hanging="284"/>
        <w:jc w:val="both"/>
        <w:rPr>
          <w:lang w:val="lt-LT"/>
        </w:rPr>
      </w:pPr>
      <w:r w:rsidRPr="00324116">
        <w:rPr>
          <w:lang w:val="lt-LT"/>
        </w:rPr>
        <w:t xml:space="preserve">Vidutinis darbuotojų skaičius 2021 m. </w:t>
      </w:r>
      <w:r>
        <w:rPr>
          <w:lang w:val="lt-LT"/>
        </w:rPr>
        <w:t>ketvirtąjį</w:t>
      </w:r>
      <w:r w:rsidRPr="00324116">
        <w:rPr>
          <w:lang w:val="lt-LT"/>
        </w:rPr>
        <w:t xml:space="preserve"> ketvirtį, palyginti su 2020 m. </w:t>
      </w:r>
      <w:r>
        <w:rPr>
          <w:lang w:val="lt-LT"/>
        </w:rPr>
        <w:t xml:space="preserve">ketvirtuoju </w:t>
      </w:r>
      <w:r w:rsidRPr="00324116">
        <w:rPr>
          <w:lang w:val="lt-LT"/>
        </w:rPr>
        <w:t>ketvirčiu, šalies ūkyje išaugo 4</w:t>
      </w:r>
      <w:r>
        <w:rPr>
          <w:lang w:val="lt-LT"/>
        </w:rPr>
        <w:t>2</w:t>
      </w:r>
      <w:r w:rsidRPr="00324116">
        <w:rPr>
          <w:lang w:val="lt-LT"/>
        </w:rPr>
        <w:t>,</w:t>
      </w:r>
      <w:r>
        <w:rPr>
          <w:lang w:val="lt-LT"/>
        </w:rPr>
        <w:t>5</w:t>
      </w:r>
      <w:r w:rsidRPr="00324116">
        <w:rPr>
          <w:lang w:val="lt-LT"/>
        </w:rPr>
        <w:t> tūkst. (3</w:t>
      </w:r>
      <w:r>
        <w:rPr>
          <w:lang w:val="lt-LT"/>
        </w:rPr>
        <w:t>,4</w:t>
      </w:r>
      <w:r w:rsidR="00652199">
        <w:rPr>
          <w:lang w:val="lt-LT"/>
        </w:rPr>
        <w:t xml:space="preserve"> </w:t>
      </w:r>
      <w:r w:rsidRPr="00324116">
        <w:rPr>
          <w:lang w:val="lt-LT"/>
        </w:rPr>
        <w:t xml:space="preserve">proc.): viešajame sektoriuje sumažėjo </w:t>
      </w:r>
      <w:r>
        <w:rPr>
          <w:lang w:val="lt-LT"/>
        </w:rPr>
        <w:t>1,3</w:t>
      </w:r>
      <w:r w:rsidRPr="00324116">
        <w:rPr>
          <w:lang w:val="lt-LT"/>
        </w:rPr>
        <w:t> tūkst. (0,</w:t>
      </w:r>
      <w:r>
        <w:rPr>
          <w:lang w:val="lt-LT"/>
        </w:rPr>
        <w:t>4</w:t>
      </w:r>
      <w:r w:rsidRPr="00324116">
        <w:rPr>
          <w:lang w:val="lt-LT"/>
        </w:rPr>
        <w:t> proc.), privačiajame sektoriuje padidėjo 4</w:t>
      </w:r>
      <w:r>
        <w:rPr>
          <w:lang w:val="lt-LT"/>
        </w:rPr>
        <w:t>3</w:t>
      </w:r>
      <w:r w:rsidRPr="00324116">
        <w:rPr>
          <w:lang w:val="lt-LT"/>
        </w:rPr>
        <w:t>,</w:t>
      </w:r>
      <w:r>
        <w:rPr>
          <w:lang w:val="lt-LT"/>
        </w:rPr>
        <w:t>8</w:t>
      </w:r>
      <w:r w:rsidRPr="00324116">
        <w:rPr>
          <w:lang w:val="lt-LT"/>
        </w:rPr>
        <w:t xml:space="preserve"> tūkst. (5 proc.). Labiausiai privačiajame sektoriuje vidutinis darbuotojų skaičius per metus išaugo </w:t>
      </w:r>
      <w:r w:rsidR="0071705B">
        <w:rPr>
          <w:lang w:val="lt-LT"/>
        </w:rPr>
        <w:t>apdirbamo</w:t>
      </w:r>
      <w:r w:rsidR="00F37A4E">
        <w:rPr>
          <w:lang w:val="lt-LT"/>
        </w:rPr>
        <w:t>joje</w:t>
      </w:r>
      <w:r w:rsidR="0071705B">
        <w:rPr>
          <w:lang w:val="lt-LT"/>
        </w:rPr>
        <w:t xml:space="preserve"> gamybo</w:t>
      </w:r>
      <w:r w:rsidR="00F37A4E">
        <w:rPr>
          <w:lang w:val="lt-LT"/>
        </w:rPr>
        <w:t>je</w:t>
      </w:r>
      <w:r w:rsidRPr="00324116">
        <w:rPr>
          <w:lang w:val="lt-LT"/>
        </w:rPr>
        <w:t xml:space="preserve"> </w:t>
      </w:r>
      <w:r>
        <w:rPr>
          <w:lang w:val="lt-LT"/>
        </w:rPr>
        <w:t>(8,6</w:t>
      </w:r>
      <w:r w:rsidR="00F72758">
        <w:rPr>
          <w:lang w:val="lt-LT"/>
        </w:rPr>
        <w:t> </w:t>
      </w:r>
      <w:r w:rsidRPr="00324116">
        <w:rPr>
          <w:lang w:val="lt-LT"/>
        </w:rPr>
        <w:t>tūkst.).</w:t>
      </w:r>
    </w:p>
    <w:p w:rsidR="00F66C9B" w:rsidRPr="00324116" w:rsidRDefault="00F66C9B" w:rsidP="00F66C9B">
      <w:pPr>
        <w:spacing w:before="120"/>
        <w:ind w:left="284"/>
        <w:jc w:val="both"/>
        <w:rPr>
          <w:lang w:val="lt-LT"/>
        </w:rPr>
      </w:pPr>
      <w:r w:rsidRPr="00324116">
        <w:rPr>
          <w:lang w:val="lt-LT"/>
        </w:rPr>
        <w:t>202</w:t>
      </w:r>
      <w:r>
        <w:rPr>
          <w:lang w:val="lt-LT"/>
        </w:rPr>
        <w:t>2</w:t>
      </w:r>
      <w:r w:rsidRPr="00324116">
        <w:rPr>
          <w:lang w:val="lt-LT"/>
        </w:rPr>
        <w:t xml:space="preserve"> m. </w:t>
      </w:r>
      <w:r>
        <w:rPr>
          <w:lang w:val="lt-LT"/>
        </w:rPr>
        <w:t>pirmojo</w:t>
      </w:r>
      <w:r w:rsidRPr="00324116">
        <w:rPr>
          <w:lang w:val="lt-LT"/>
        </w:rPr>
        <w:t xml:space="preserve"> ketvirčio statistinius darbo užmokesčio rodiklius skelbsime 2022 m. </w:t>
      </w:r>
      <w:r>
        <w:rPr>
          <w:lang w:val="lt-LT"/>
        </w:rPr>
        <w:t>gegužės</w:t>
      </w:r>
      <w:r w:rsidRPr="00324116">
        <w:rPr>
          <w:lang w:val="lt-LT"/>
        </w:rPr>
        <w:t xml:space="preserve"> 2</w:t>
      </w:r>
      <w:r>
        <w:rPr>
          <w:lang w:val="lt-LT"/>
        </w:rPr>
        <w:t>7</w:t>
      </w:r>
      <w:r w:rsidRPr="00324116">
        <w:rPr>
          <w:lang w:val="lt-LT"/>
        </w:rPr>
        <w:t> d.</w:t>
      </w:r>
    </w:p>
    <w:p w:rsidR="00F66C9B" w:rsidRPr="00324116" w:rsidRDefault="00F66C9B" w:rsidP="00F66C9B">
      <w:pPr>
        <w:rPr>
          <w:sz w:val="16"/>
          <w:szCs w:val="16"/>
          <w:lang w:val="lt-LT"/>
        </w:rPr>
      </w:pPr>
    </w:p>
    <w:p w:rsidR="00F66C9B" w:rsidRPr="00324116" w:rsidRDefault="00F66C9B" w:rsidP="00F66C9B">
      <w:pPr>
        <w:spacing w:after="120"/>
        <w:outlineLvl w:val="1"/>
        <w:rPr>
          <w:szCs w:val="19"/>
          <w:u w:val="single"/>
          <w:lang w:val="lt-LT"/>
        </w:rPr>
      </w:pPr>
      <w:r w:rsidRPr="00324116">
        <w:rPr>
          <w:lang w:val="lt-LT"/>
        </w:rPr>
        <w:t xml:space="preserve">Daugiau informacijos šia tema rasite </w:t>
      </w:r>
      <w:hyperlink r:id="rId12" w:history="1">
        <w:proofErr w:type="spellStart"/>
        <w:r w:rsidRPr="00FB6488">
          <w:rPr>
            <w:rStyle w:val="Hyperlink"/>
            <w:szCs w:val="19"/>
          </w:rPr>
          <w:t>Rodiklių</w:t>
        </w:r>
        <w:proofErr w:type="spellEnd"/>
        <w:r w:rsidRPr="00FB6488">
          <w:rPr>
            <w:rStyle w:val="Hyperlink"/>
            <w:szCs w:val="19"/>
          </w:rPr>
          <w:t xml:space="preserve"> </w:t>
        </w:r>
        <w:proofErr w:type="spellStart"/>
        <w:r w:rsidRPr="00FB6488">
          <w:rPr>
            <w:rStyle w:val="Hyperlink"/>
            <w:szCs w:val="19"/>
          </w:rPr>
          <w:t>duomenų</w:t>
        </w:r>
        <w:proofErr w:type="spellEnd"/>
        <w:r w:rsidRPr="00FB6488">
          <w:rPr>
            <w:rStyle w:val="Hyperlink"/>
            <w:szCs w:val="19"/>
          </w:rPr>
          <w:t xml:space="preserve"> </w:t>
        </w:r>
        <w:proofErr w:type="spellStart"/>
        <w:r w:rsidRPr="00FB6488">
          <w:rPr>
            <w:rStyle w:val="Hyperlink"/>
            <w:szCs w:val="19"/>
          </w:rPr>
          <w:t>bazėje</w:t>
        </w:r>
        <w:proofErr w:type="spellEnd"/>
      </w:hyperlink>
      <w:r w:rsidRPr="00324116">
        <w:rPr>
          <w:lang w:val="lt-LT"/>
        </w:rPr>
        <w:t>.</w:t>
      </w:r>
    </w:p>
    <w:p w:rsidR="00F66C9B" w:rsidRPr="00324116" w:rsidRDefault="00F66C9B" w:rsidP="00F66C9B">
      <w:pPr>
        <w:spacing w:after="120"/>
        <w:rPr>
          <w:lang w:val="lt-LT"/>
        </w:rPr>
      </w:pPr>
      <w:r w:rsidRPr="00324116">
        <w:rPr>
          <w:lang w:val="lt-LT"/>
        </w:rPr>
        <w:t>Statistinė informacija rengiama ir skleidžiama vadovaujantis</w:t>
      </w:r>
      <w:r w:rsidRPr="00324116">
        <w:rPr>
          <w:rFonts w:cs="Arial"/>
          <w:lang w:val="lt-LT"/>
        </w:rPr>
        <w:t xml:space="preserve"> </w:t>
      </w:r>
      <w:hyperlink r:id="rId13" w:history="1">
        <w:proofErr w:type="spellStart"/>
        <w:r w:rsidRPr="00FB6488">
          <w:rPr>
            <w:rStyle w:val="Hyperlink"/>
            <w:szCs w:val="19"/>
          </w:rPr>
          <w:t>Europos</w:t>
        </w:r>
        <w:proofErr w:type="spellEnd"/>
        <w:r w:rsidRPr="00FB6488">
          <w:rPr>
            <w:rStyle w:val="Hyperlink"/>
            <w:szCs w:val="19"/>
          </w:rPr>
          <w:t xml:space="preserve"> </w:t>
        </w:r>
        <w:proofErr w:type="spellStart"/>
        <w:r w:rsidRPr="00FB6488">
          <w:rPr>
            <w:rStyle w:val="Hyperlink"/>
            <w:szCs w:val="19"/>
          </w:rPr>
          <w:t>statistikos</w:t>
        </w:r>
        <w:proofErr w:type="spellEnd"/>
        <w:r w:rsidRPr="00FB6488">
          <w:rPr>
            <w:rStyle w:val="Hyperlink"/>
            <w:szCs w:val="19"/>
          </w:rPr>
          <w:t xml:space="preserve"> </w:t>
        </w:r>
        <w:proofErr w:type="spellStart"/>
        <w:r w:rsidRPr="00FB6488">
          <w:rPr>
            <w:rStyle w:val="Hyperlink"/>
            <w:szCs w:val="19"/>
          </w:rPr>
          <w:t>praktikos</w:t>
        </w:r>
        <w:proofErr w:type="spellEnd"/>
        <w:r w:rsidRPr="00FB6488">
          <w:rPr>
            <w:rStyle w:val="Hyperlink"/>
            <w:szCs w:val="19"/>
          </w:rPr>
          <w:t xml:space="preserve"> </w:t>
        </w:r>
        <w:proofErr w:type="spellStart"/>
        <w:r w:rsidRPr="00FB6488">
          <w:rPr>
            <w:rStyle w:val="Hyperlink"/>
            <w:szCs w:val="19"/>
          </w:rPr>
          <w:t>kodeksu</w:t>
        </w:r>
        <w:proofErr w:type="spellEnd"/>
      </w:hyperlink>
      <w:r w:rsidRPr="00324116">
        <w:rPr>
          <w:lang w:val="lt-LT"/>
        </w:rPr>
        <w:t>.</w:t>
      </w:r>
    </w:p>
    <w:p w:rsidR="00F66C9B" w:rsidRDefault="00F66C9B" w:rsidP="00F66C9B">
      <w:pPr>
        <w:jc w:val="both"/>
        <w:rPr>
          <w:lang w:val="lt-LT"/>
        </w:rPr>
      </w:pPr>
      <w:r w:rsidRPr="00324116">
        <w:rPr>
          <w:lang w:val="lt-LT"/>
        </w:rPr>
        <w:t xml:space="preserve">Daugiau susijusių terminų ir paaiškinimų ieškokite </w:t>
      </w:r>
      <w:hyperlink r:id="rId14" w:history="1">
        <w:proofErr w:type="spellStart"/>
        <w:r w:rsidRPr="00FB6488">
          <w:rPr>
            <w:rStyle w:val="Hyperlink"/>
            <w:szCs w:val="19"/>
          </w:rPr>
          <w:t>Statistikos</w:t>
        </w:r>
        <w:proofErr w:type="spellEnd"/>
        <w:r w:rsidRPr="00FB6488">
          <w:rPr>
            <w:rStyle w:val="Hyperlink"/>
            <w:szCs w:val="19"/>
          </w:rPr>
          <w:t xml:space="preserve"> </w:t>
        </w:r>
        <w:proofErr w:type="spellStart"/>
        <w:r w:rsidRPr="00FB6488">
          <w:rPr>
            <w:rStyle w:val="Hyperlink"/>
            <w:szCs w:val="19"/>
          </w:rPr>
          <w:t>terminų</w:t>
        </w:r>
        <w:proofErr w:type="spellEnd"/>
        <w:r w:rsidRPr="00FB6488">
          <w:rPr>
            <w:rStyle w:val="Hyperlink"/>
            <w:szCs w:val="19"/>
          </w:rPr>
          <w:t xml:space="preserve"> </w:t>
        </w:r>
        <w:proofErr w:type="spellStart"/>
        <w:r w:rsidRPr="00FB6488">
          <w:rPr>
            <w:rStyle w:val="Hyperlink"/>
            <w:szCs w:val="19"/>
          </w:rPr>
          <w:t>žodyne</w:t>
        </w:r>
        <w:proofErr w:type="spellEnd"/>
      </w:hyperlink>
      <w:r w:rsidRPr="00324116">
        <w:rPr>
          <w:lang w:val="lt-LT"/>
        </w:rPr>
        <w:t>.</w:t>
      </w:r>
    </w:p>
    <w:p w:rsidR="00F66C9B" w:rsidRPr="00324116" w:rsidRDefault="00F66C9B" w:rsidP="00F66C9B">
      <w:pPr>
        <w:jc w:val="both"/>
        <w:rPr>
          <w:lang w:val="lt-LT"/>
        </w:rPr>
      </w:pPr>
    </w:p>
    <w:p w:rsidR="00F66C9B" w:rsidRPr="00B47EAB" w:rsidRDefault="00F66C9B" w:rsidP="00F66C9B">
      <w:pPr>
        <w:rPr>
          <w:lang w:val="lt-LT"/>
        </w:rPr>
      </w:pPr>
    </w:p>
    <w:p w:rsidR="00F66C9B" w:rsidRPr="00324116" w:rsidRDefault="00F66C9B" w:rsidP="00F66C9B">
      <w:pPr>
        <w:spacing w:after="60"/>
        <w:ind w:firstLine="709"/>
        <w:rPr>
          <w:b/>
          <w:lang w:val="lt-LT"/>
        </w:rPr>
      </w:pPr>
      <w:r w:rsidRPr="00324116">
        <w:rPr>
          <w:b/>
          <w:lang w:val="lt-LT"/>
        </w:rPr>
        <w:t>Paaiškinimai</w:t>
      </w:r>
    </w:p>
    <w:p w:rsidR="00F66C9B" w:rsidRPr="00324116" w:rsidRDefault="00F66C9B" w:rsidP="00F66C9B">
      <w:pPr>
        <w:ind w:firstLine="709"/>
        <w:jc w:val="both"/>
        <w:rPr>
          <w:rFonts w:cs="Arial"/>
          <w:lang w:val="lt-LT"/>
        </w:rPr>
      </w:pPr>
      <w:proofErr w:type="spellStart"/>
      <w:r w:rsidRPr="00324116">
        <w:rPr>
          <w:rFonts w:cs="Arial"/>
          <w:b/>
          <w:lang w:val="lt-LT"/>
        </w:rPr>
        <w:t>Bruto</w:t>
      </w:r>
      <w:proofErr w:type="spellEnd"/>
      <w:r w:rsidRPr="00324116">
        <w:rPr>
          <w:rFonts w:cs="Arial"/>
          <w:b/>
          <w:lang w:val="lt-LT"/>
        </w:rPr>
        <w:t xml:space="preserve"> darbo užmokestis</w:t>
      </w:r>
      <w:r w:rsidRPr="00324116">
        <w:rPr>
          <w:rFonts w:cs="Arial"/>
          <w:lang w:val="lt-LT"/>
        </w:rPr>
        <w:t> – atlyginimas pinigais, apimantis tiesiogiai darbdavio darbuotojui mokamą pagrindinį darbo užmokestį ir papildomą uždarbį, įskaitant darbuotojo mokamas socialinio draudimo įmokas ir gyventojų pajamų mokestį. Įskaitomas darbo užmokestis už viršvalandžius, darbą poilsio ir švenčių dienomis, nedirbtą, bet apmokėtą laiką (kasmetines ir papildomas atostogas, prastovas ne dėl darbuotojo kaltės ir kitą darbdavio apmokėtą laiką, tiesiogiai susijusį su darbu), darbo užmokesčio skirtumas dėl jo indeksavimo, pasikeitus pragyvenimo sąlygoms ir pan. Neįskaitoma materialinė pašalpa, ligos išmoka, mokama neatsižvelgiant į finansavimo šaltinį, kompensacija už nepanaudotas kasmetines atostogas, išeitinė išmoka ir pan.</w:t>
      </w:r>
    </w:p>
    <w:p w:rsidR="00F66C9B" w:rsidRPr="00324116" w:rsidRDefault="00F66C9B" w:rsidP="00F66C9B">
      <w:pPr>
        <w:ind w:firstLine="709"/>
        <w:jc w:val="both"/>
        <w:rPr>
          <w:lang w:val="lt-LT"/>
        </w:rPr>
      </w:pPr>
      <w:proofErr w:type="spellStart"/>
      <w:r w:rsidRPr="00324116">
        <w:rPr>
          <w:b/>
          <w:lang w:val="lt-LT"/>
        </w:rPr>
        <w:t>Neto</w:t>
      </w:r>
      <w:proofErr w:type="spellEnd"/>
      <w:r w:rsidRPr="00324116">
        <w:rPr>
          <w:b/>
          <w:lang w:val="lt-LT"/>
        </w:rPr>
        <w:t xml:space="preserve"> darbo užmokestis</w:t>
      </w:r>
      <w:r w:rsidRPr="00324116">
        <w:rPr>
          <w:lang w:val="lt-LT"/>
        </w:rPr>
        <w:t> – atlyginimas pinigais, apimantis tiesiogiai darbdavio darbuotojui mokamą pagrindinį darbo užmokestį ir papildomą uždarbį, atskaičius darbuotojo mokamas valstybinio socialinio draudimo įmokas ir gyventojų pajamų mokestį.</w:t>
      </w:r>
    </w:p>
    <w:p w:rsidR="00F66C9B" w:rsidRPr="00324116" w:rsidRDefault="00F66C9B" w:rsidP="00F66C9B">
      <w:pPr>
        <w:ind w:firstLine="709"/>
        <w:jc w:val="both"/>
        <w:rPr>
          <w:lang w:val="lt-LT"/>
        </w:rPr>
      </w:pPr>
      <w:r w:rsidRPr="00324116">
        <w:rPr>
          <w:b/>
          <w:lang w:val="lt-LT"/>
        </w:rPr>
        <w:t>Realiojo darbo užmokesčio indeksas</w:t>
      </w:r>
      <w:r w:rsidRPr="00324116">
        <w:rPr>
          <w:lang w:val="lt-LT"/>
        </w:rPr>
        <w:t> – s</w:t>
      </w:r>
      <w:r w:rsidRPr="00324116">
        <w:rPr>
          <w:lang w:val="lt-LT" w:eastAsia="lt-LT"/>
        </w:rPr>
        <w:t xml:space="preserve">antykinis rodiklis, kuriuo išreiškiamas </w:t>
      </w:r>
      <w:proofErr w:type="spellStart"/>
      <w:r w:rsidRPr="00324116">
        <w:rPr>
          <w:lang w:val="lt-LT" w:eastAsia="lt-LT"/>
        </w:rPr>
        <w:t>neto</w:t>
      </w:r>
      <w:proofErr w:type="spellEnd"/>
      <w:r w:rsidRPr="00324116">
        <w:rPr>
          <w:lang w:val="lt-LT" w:eastAsia="lt-LT"/>
        </w:rPr>
        <w:t xml:space="preserve"> darbo užmokesčio pokytis, pašalinus vartotojų </w:t>
      </w:r>
      <w:r w:rsidRPr="00324116">
        <w:rPr>
          <w:lang w:val="lt-LT"/>
        </w:rPr>
        <w:t xml:space="preserve">kainų pasikeitimo įtaką. Apskaičiuojamas </w:t>
      </w:r>
      <w:proofErr w:type="spellStart"/>
      <w:r w:rsidRPr="00324116">
        <w:rPr>
          <w:lang w:val="lt-LT"/>
        </w:rPr>
        <w:t>neto</w:t>
      </w:r>
      <w:proofErr w:type="spellEnd"/>
      <w:r w:rsidRPr="00324116">
        <w:rPr>
          <w:lang w:val="lt-LT"/>
        </w:rPr>
        <w:t xml:space="preserve"> darbo užmokesčio indeksą dalijant iš vartotojų kainų indekso.</w:t>
      </w:r>
    </w:p>
    <w:p w:rsidR="00F66C9B" w:rsidRPr="00324116" w:rsidRDefault="00F66C9B" w:rsidP="00F66C9B">
      <w:pPr>
        <w:ind w:firstLine="709"/>
        <w:jc w:val="both"/>
        <w:rPr>
          <w:lang w:val="lt-LT"/>
        </w:rPr>
      </w:pPr>
      <w:r w:rsidRPr="00324116">
        <w:rPr>
          <w:b/>
          <w:lang w:val="lt-LT"/>
        </w:rPr>
        <w:t>Viešasis sektorius</w:t>
      </w:r>
      <w:r w:rsidRPr="00324116">
        <w:rPr>
          <w:lang w:val="lt-LT"/>
        </w:rPr>
        <w:t xml:space="preserve"> apima biudžetines įstaigas ir organizacijas (švietimo, sveikatos priežiūros, socialinio darbo, kultūros, viešojo valdymo ir kt.), taip pat viešąsias įstaigas, įmones, kurių 50 proc. ar daugiau subjekto įstatinio kapitalo sudaro valstybės ar savivaldybės nuosavybė.</w:t>
      </w:r>
    </w:p>
    <w:p w:rsidR="00F66C9B" w:rsidRPr="00324116" w:rsidRDefault="00F66C9B" w:rsidP="00F66C9B">
      <w:pPr>
        <w:outlineLvl w:val="1"/>
        <w:rPr>
          <w:sz w:val="19"/>
          <w:lang w:val="lt-LT"/>
        </w:rPr>
      </w:pPr>
    </w:p>
    <w:p w:rsidR="00F66C9B" w:rsidRPr="0012218F" w:rsidRDefault="00F66C9B" w:rsidP="00F66C9B">
      <w:pPr>
        <w:spacing w:after="60"/>
        <w:outlineLvl w:val="1"/>
        <w:rPr>
          <w:sz w:val="19"/>
          <w:szCs w:val="19"/>
          <w:lang w:val="lt-LT"/>
        </w:rPr>
      </w:pPr>
      <w:r w:rsidRPr="0012218F">
        <w:rPr>
          <w:sz w:val="19"/>
          <w:szCs w:val="19"/>
          <w:lang w:val="lt-LT"/>
        </w:rPr>
        <w:t xml:space="preserve">Kontaktinė informacija </w:t>
      </w:r>
    </w:p>
    <w:p w:rsidR="00F66C9B" w:rsidRPr="0012218F" w:rsidRDefault="0071705B" w:rsidP="00F66C9B">
      <w:pPr>
        <w:outlineLvl w:val="1"/>
        <w:rPr>
          <w:sz w:val="19"/>
          <w:szCs w:val="19"/>
          <w:lang w:val="lt-LT"/>
        </w:rPr>
      </w:pPr>
      <w:r w:rsidRPr="0012218F">
        <w:rPr>
          <w:sz w:val="19"/>
          <w:szCs w:val="19"/>
          <w:lang w:val="lt-LT"/>
        </w:rPr>
        <w:t>Virginija Bankietienė</w:t>
      </w:r>
    </w:p>
    <w:p w:rsidR="00F66C9B" w:rsidRPr="0012218F" w:rsidRDefault="00F66C9B" w:rsidP="00F66C9B">
      <w:pPr>
        <w:outlineLvl w:val="1"/>
        <w:rPr>
          <w:sz w:val="19"/>
          <w:szCs w:val="19"/>
          <w:lang w:val="lt-LT"/>
        </w:rPr>
      </w:pPr>
      <w:r w:rsidRPr="0012218F">
        <w:rPr>
          <w:sz w:val="19"/>
          <w:szCs w:val="19"/>
          <w:lang w:val="lt-LT"/>
        </w:rPr>
        <w:t xml:space="preserve">Darbo statistikos skyriaus </w:t>
      </w:r>
      <w:r w:rsidR="0071705B" w:rsidRPr="0012218F">
        <w:rPr>
          <w:sz w:val="19"/>
          <w:szCs w:val="19"/>
          <w:lang w:val="lt-LT"/>
        </w:rPr>
        <w:t>vedėja</w:t>
      </w:r>
    </w:p>
    <w:p w:rsidR="00F66C9B" w:rsidRPr="0012218F" w:rsidRDefault="00F66C9B" w:rsidP="00F66C9B">
      <w:pPr>
        <w:outlineLvl w:val="1"/>
        <w:rPr>
          <w:sz w:val="19"/>
          <w:szCs w:val="19"/>
          <w:lang w:val="lt-LT"/>
        </w:rPr>
      </w:pPr>
      <w:r w:rsidRPr="0012218F">
        <w:rPr>
          <w:sz w:val="19"/>
          <w:szCs w:val="19"/>
          <w:lang w:val="lt-LT"/>
        </w:rPr>
        <w:t>Tel. (8 5)  236 48</w:t>
      </w:r>
      <w:r w:rsidR="0071705B" w:rsidRPr="0012218F">
        <w:rPr>
          <w:sz w:val="19"/>
          <w:szCs w:val="19"/>
          <w:lang w:val="lt-LT"/>
        </w:rPr>
        <w:t>36</w:t>
      </w:r>
      <w:r w:rsidRPr="0012218F">
        <w:rPr>
          <w:sz w:val="19"/>
          <w:szCs w:val="19"/>
          <w:lang w:val="lt-LT"/>
        </w:rPr>
        <w:br/>
        <w:t xml:space="preserve">El. p. </w:t>
      </w:r>
      <w:hyperlink r:id="rId15" w:history="1">
        <w:r w:rsidR="00722C45" w:rsidRPr="0012218F">
          <w:rPr>
            <w:rStyle w:val="Hyperlink"/>
            <w:sz w:val="19"/>
            <w:szCs w:val="19"/>
            <w:lang w:val="lt-LT"/>
          </w:rPr>
          <w:t>virginija.bankietiene@stat.gov.lt</w:t>
        </w:r>
      </w:hyperlink>
    </w:p>
    <w:p w:rsidR="00F66C9B" w:rsidRPr="0012218F" w:rsidRDefault="00F66C9B" w:rsidP="00F66C9B">
      <w:pPr>
        <w:rPr>
          <w:sz w:val="19"/>
          <w:szCs w:val="19"/>
          <w:lang w:val="lt-LT"/>
        </w:rPr>
      </w:pPr>
    </w:p>
    <w:p w:rsidR="00F66C9B" w:rsidRPr="0012218F" w:rsidRDefault="00F66C9B" w:rsidP="00F66C9B">
      <w:pPr>
        <w:outlineLvl w:val="1"/>
        <w:rPr>
          <w:sz w:val="19"/>
          <w:szCs w:val="19"/>
          <w:lang w:val="lt-LT"/>
        </w:rPr>
      </w:pPr>
      <w:r w:rsidRPr="0012218F">
        <w:rPr>
          <w:sz w:val="19"/>
          <w:szCs w:val="19"/>
          <w:lang w:val="lt-LT"/>
        </w:rPr>
        <w:t>© Lietuvos statistikos departamentas</w:t>
      </w:r>
    </w:p>
    <w:p w:rsidR="00F66C9B" w:rsidRPr="0012218F" w:rsidRDefault="00F66C9B" w:rsidP="00F66C9B">
      <w:pPr>
        <w:outlineLvl w:val="1"/>
        <w:rPr>
          <w:sz w:val="19"/>
          <w:szCs w:val="19"/>
          <w:lang w:val="lt-LT"/>
        </w:rPr>
      </w:pPr>
      <w:r w:rsidRPr="0012218F">
        <w:rPr>
          <w:sz w:val="19"/>
          <w:szCs w:val="19"/>
          <w:lang w:val="lt-LT"/>
        </w:rPr>
        <w:t>Naudojant Lietuvos statistikos departamento duomenis, būtina nurodyti šaltinį.</w:t>
      </w:r>
    </w:p>
    <w:p w:rsidR="00F66C9B" w:rsidRPr="0012218F" w:rsidRDefault="00F66C9B" w:rsidP="00F66C9B">
      <w:pPr>
        <w:outlineLvl w:val="1"/>
        <w:rPr>
          <w:sz w:val="19"/>
          <w:szCs w:val="19"/>
          <w:lang w:val="lt-LT"/>
        </w:rPr>
      </w:pPr>
    </w:p>
    <w:p w:rsidR="00F66C9B" w:rsidRPr="0012218F" w:rsidRDefault="00F66C9B" w:rsidP="00F66C9B">
      <w:pPr>
        <w:outlineLvl w:val="1"/>
        <w:rPr>
          <w:sz w:val="19"/>
          <w:szCs w:val="19"/>
          <w:lang w:val="lt-LT"/>
        </w:rPr>
      </w:pPr>
      <w:r w:rsidRPr="0012218F">
        <w:rPr>
          <w:sz w:val="19"/>
          <w:szCs w:val="19"/>
          <w:lang w:val="lt-LT"/>
        </w:rPr>
        <w:t xml:space="preserve">Žymos: darbo užmokestis, </w:t>
      </w:r>
      <w:proofErr w:type="spellStart"/>
      <w:r w:rsidRPr="0012218F">
        <w:rPr>
          <w:sz w:val="19"/>
          <w:szCs w:val="19"/>
          <w:lang w:val="lt-LT"/>
        </w:rPr>
        <w:t>bruto</w:t>
      </w:r>
      <w:proofErr w:type="spellEnd"/>
      <w:r w:rsidRPr="0012218F">
        <w:rPr>
          <w:sz w:val="19"/>
          <w:szCs w:val="19"/>
          <w:lang w:val="lt-LT"/>
        </w:rPr>
        <w:t xml:space="preserve">, </w:t>
      </w:r>
      <w:proofErr w:type="spellStart"/>
      <w:r w:rsidRPr="0012218F">
        <w:rPr>
          <w:sz w:val="19"/>
          <w:szCs w:val="19"/>
          <w:lang w:val="lt-LT"/>
        </w:rPr>
        <w:t>neto</w:t>
      </w:r>
      <w:proofErr w:type="spellEnd"/>
      <w:r w:rsidRPr="0012218F">
        <w:rPr>
          <w:sz w:val="19"/>
          <w:szCs w:val="19"/>
          <w:lang w:val="lt-LT"/>
        </w:rPr>
        <w:t>, darbuotojų skaičius, alga, atlyginimas.</w:t>
      </w:r>
      <w:r w:rsidRPr="0012218F">
        <w:rPr>
          <w:rFonts w:ascii="Calibri" w:eastAsia="Calibri" w:hAnsi="Calibri"/>
          <w:sz w:val="19"/>
          <w:szCs w:val="19"/>
          <w:lang w:val="lt-LT"/>
        </w:rPr>
        <w:t xml:space="preserve"> </w:t>
      </w:r>
    </w:p>
    <w:p w:rsidR="00E20766" w:rsidRPr="00F66C9B" w:rsidRDefault="00E20766">
      <w:pPr>
        <w:rPr>
          <w:lang w:val="lt-LT"/>
        </w:rPr>
      </w:pPr>
    </w:p>
    <w:sectPr w:rsidR="00E20766" w:rsidRPr="00F66C9B" w:rsidSect="00CD05BF">
      <w:headerReference w:type="even" r:id="rId16"/>
      <w:headerReference w:type="default" r:id="rId17"/>
      <w:headerReference w:type="first" r:id="rId18"/>
      <w:footerReference w:type="first" r:id="rId19"/>
      <w:pgSz w:w="11906" w:h="16838" w:code="9"/>
      <w:pgMar w:top="851" w:right="851" w:bottom="567" w:left="851" w:header="680" w:footer="567" w:gutter="0"/>
      <w:pgNumType w:start="1"/>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665" w:rsidRDefault="002C5665">
      <w:r>
        <w:separator/>
      </w:r>
    </w:p>
  </w:endnote>
  <w:endnote w:type="continuationSeparator" w:id="0">
    <w:p w:rsidR="002C5665" w:rsidRDefault="002C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8B5" w:rsidRDefault="002C5665" w:rsidP="007F74C2">
    <w:pPr>
      <w:ind w:right="-113"/>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665" w:rsidRDefault="002C5665">
      <w:r>
        <w:separator/>
      </w:r>
    </w:p>
  </w:footnote>
  <w:footnote w:type="continuationSeparator" w:id="0">
    <w:p w:rsidR="002C5665" w:rsidRDefault="002C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8B5" w:rsidRDefault="00F66C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8B5" w:rsidRDefault="002C56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8B5" w:rsidRPr="00317478" w:rsidRDefault="00F66C9B">
    <w:pPr>
      <w:pStyle w:val="Header"/>
      <w:framePr w:wrap="around" w:vAnchor="text" w:hAnchor="margin" w:xAlign="center" w:y="1"/>
      <w:rPr>
        <w:rStyle w:val="PageNumber"/>
        <w:sz w:val="18"/>
        <w:szCs w:val="18"/>
      </w:rPr>
    </w:pPr>
    <w:r w:rsidRPr="00317478">
      <w:rPr>
        <w:rStyle w:val="PageNumber"/>
        <w:sz w:val="18"/>
        <w:szCs w:val="18"/>
      </w:rPr>
      <w:fldChar w:fldCharType="begin"/>
    </w:r>
    <w:r w:rsidRPr="00317478">
      <w:rPr>
        <w:rStyle w:val="PageNumber"/>
        <w:sz w:val="18"/>
        <w:szCs w:val="18"/>
      </w:rPr>
      <w:instrText xml:space="preserve">PAGE  </w:instrText>
    </w:r>
    <w:r w:rsidRPr="00317478">
      <w:rPr>
        <w:rStyle w:val="PageNumber"/>
        <w:sz w:val="18"/>
        <w:szCs w:val="18"/>
      </w:rPr>
      <w:fldChar w:fldCharType="separate"/>
    </w:r>
    <w:r w:rsidR="009F5904">
      <w:rPr>
        <w:rStyle w:val="PageNumber"/>
        <w:noProof/>
        <w:sz w:val="18"/>
        <w:szCs w:val="18"/>
      </w:rPr>
      <w:t>5</w:t>
    </w:r>
    <w:r w:rsidRPr="00317478">
      <w:rPr>
        <w:rStyle w:val="PageNumber"/>
        <w:sz w:val="18"/>
        <w:szCs w:val="18"/>
      </w:rPr>
      <w:fldChar w:fldCharType="end"/>
    </w:r>
  </w:p>
  <w:p w:rsidR="00D758B5" w:rsidRDefault="002C5665">
    <w:pPr>
      <w:pStyle w:val="Header"/>
      <w:ind w:left="-57" w:right="-57"/>
      <w:rPr>
        <w:sz w:val="18"/>
        <w:szCs w:val="18"/>
      </w:rPr>
    </w:pPr>
  </w:p>
  <w:p w:rsidR="003F6150" w:rsidRPr="003F6150" w:rsidRDefault="002C5665">
    <w:pPr>
      <w:pStyle w:val="Header"/>
      <w:ind w:left="-57" w:right="-57"/>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00" w:firstRow="0" w:lastRow="0" w:firstColumn="0" w:lastColumn="0" w:noHBand="0" w:noVBand="0"/>
    </w:tblPr>
    <w:tblGrid>
      <w:gridCol w:w="5102"/>
      <w:gridCol w:w="5102"/>
    </w:tblGrid>
    <w:tr w:rsidR="00D758B5" w:rsidTr="002B6634">
      <w:tc>
        <w:tcPr>
          <w:tcW w:w="2500" w:type="pct"/>
          <w:vAlign w:val="center"/>
        </w:tcPr>
        <w:p w:rsidR="00D758B5" w:rsidRDefault="00F66C9B" w:rsidP="001825D1">
          <w:pPr>
            <w:pStyle w:val="Header"/>
            <w:ind w:right="-113"/>
          </w:pPr>
          <w:r>
            <w:rPr>
              <w:noProof/>
              <w:lang w:val="lt-LT" w:eastAsia="lt-LT"/>
            </w:rPr>
            <w:drawing>
              <wp:inline distT="0" distB="0" distL="0" distR="0" wp14:anchorId="098ECB3B" wp14:editId="4617579F">
                <wp:extent cx="1358900" cy="429260"/>
                <wp:effectExtent l="0" t="0" r="0" b="8890"/>
                <wp:docPr id="19" name="Picture 5" descr="Q:\Exchange\SSKS\Firminis stilius\Galutinės priemonės\LS ir OSP\LS ir OSP Logopack\LS\Skaitmeninems priemonems\Spalvoti\LT\PNG\LS-horizontalus-spalvotas-baltam fonui-LT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Exchange\SSKS\Firminis stilius\Galutinės priemonės\LS ir OSP\LS ir OSP Logopack\LS\Skaitmeninems priemonems\Spalvoti\LT\PNG\LS-horizontalus-spalvotas-baltam fonui-LT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8900" cy="429260"/>
                        </a:xfrm>
                        <a:prstGeom prst="rect">
                          <a:avLst/>
                        </a:prstGeom>
                        <a:noFill/>
                        <a:ln>
                          <a:noFill/>
                        </a:ln>
                      </pic:spPr>
                    </pic:pic>
                  </a:graphicData>
                </a:graphic>
              </wp:inline>
            </w:drawing>
          </w:r>
        </w:p>
      </w:tc>
      <w:tc>
        <w:tcPr>
          <w:tcW w:w="2500" w:type="pct"/>
          <w:vAlign w:val="center"/>
        </w:tcPr>
        <w:p w:rsidR="00795D65" w:rsidRPr="00991C9F" w:rsidRDefault="00F66C9B" w:rsidP="002B6634">
          <w:pPr>
            <w:jc w:val="right"/>
            <w:rPr>
              <w:lang w:val="lt-LT"/>
            </w:rPr>
          </w:pPr>
          <w:r>
            <w:rPr>
              <w:noProof/>
              <w:lang w:val="lt-LT" w:eastAsia="lt-LT"/>
            </w:rPr>
            <w:drawing>
              <wp:inline distT="0" distB="0" distL="0" distR="0" wp14:anchorId="088949A7" wp14:editId="15DB4BCF">
                <wp:extent cx="1338580" cy="434340"/>
                <wp:effectExtent l="0" t="0" r="0" b="3810"/>
                <wp:docPr id="20" name="Picture 20" descr="C:\Users\BiruteGa\Documents\11_BLANKAI\Mediu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iruteGa\Documents\11_BLANKAI\Medium-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8580" cy="434340"/>
                        </a:xfrm>
                        <a:prstGeom prst="rect">
                          <a:avLst/>
                        </a:prstGeom>
                        <a:noFill/>
                        <a:ln>
                          <a:noFill/>
                        </a:ln>
                      </pic:spPr>
                    </pic:pic>
                  </a:graphicData>
                </a:graphic>
              </wp:inline>
            </w:drawing>
          </w:r>
        </w:p>
      </w:tc>
    </w:tr>
  </w:tbl>
  <w:p w:rsidR="00D758B5" w:rsidRDefault="002C5665">
    <w:pPr>
      <w:pStyle w:val="Header"/>
      <w:pBdr>
        <w:bottom w:val="double" w:sz="6" w:space="1" w:color="auto"/>
      </w:pBdr>
      <w:rPr>
        <w:sz w:val="16"/>
      </w:rPr>
    </w:pPr>
  </w:p>
  <w:p w:rsidR="00D758B5" w:rsidRDefault="002C5665">
    <w:pPr>
      <w:pStyle w:val="Header"/>
      <w:ind w:left="-57" w:right="-57"/>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34F62"/>
    <w:multiLevelType w:val="hybridMultilevel"/>
    <w:tmpl w:val="FF1A446E"/>
    <w:lvl w:ilvl="0" w:tplc="0427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3D78E0"/>
    <w:multiLevelType w:val="hybridMultilevel"/>
    <w:tmpl w:val="DD963EA4"/>
    <w:lvl w:ilvl="0" w:tplc="8870BC52">
      <w:start w:val="1"/>
      <w:numFmt w:val="bullet"/>
      <w:lvlText w:val="o"/>
      <w:lvlJc w:val="left"/>
      <w:pPr>
        <w:ind w:left="1004" w:hanging="360"/>
      </w:pPr>
      <w:rPr>
        <w:rFonts w:ascii="Courier New" w:hAnsi="Courier New" w:cs="Courier New" w:hint="default"/>
        <w:sz w:val="20"/>
        <w:szCs w:val="20"/>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2" w15:restartNumberingAfterBreak="0">
    <w:nsid w:val="750E638B"/>
    <w:multiLevelType w:val="hybridMultilevel"/>
    <w:tmpl w:val="9054634E"/>
    <w:lvl w:ilvl="0" w:tplc="04270003">
      <w:start w:val="1"/>
      <w:numFmt w:val="bullet"/>
      <w:lvlText w:val="o"/>
      <w:lvlJc w:val="left"/>
      <w:pPr>
        <w:ind w:left="644"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 w15:restartNumberingAfterBreak="0">
    <w:nsid w:val="7BEE2A3B"/>
    <w:multiLevelType w:val="hybridMultilevel"/>
    <w:tmpl w:val="97761A78"/>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C9B"/>
    <w:rsid w:val="00047B6B"/>
    <w:rsid w:val="00096FAC"/>
    <w:rsid w:val="000B05D9"/>
    <w:rsid w:val="000B72C2"/>
    <w:rsid w:val="0012218F"/>
    <w:rsid w:val="00142AA4"/>
    <w:rsid w:val="0016368F"/>
    <w:rsid w:val="001F0F92"/>
    <w:rsid w:val="002C5665"/>
    <w:rsid w:val="002F3710"/>
    <w:rsid w:val="0037310E"/>
    <w:rsid w:val="00486FBB"/>
    <w:rsid w:val="00494C5D"/>
    <w:rsid w:val="005A3D3B"/>
    <w:rsid w:val="00652199"/>
    <w:rsid w:val="006544FB"/>
    <w:rsid w:val="006A67BA"/>
    <w:rsid w:val="0071705B"/>
    <w:rsid w:val="00722C45"/>
    <w:rsid w:val="007A545F"/>
    <w:rsid w:val="00840A1E"/>
    <w:rsid w:val="008D7BC3"/>
    <w:rsid w:val="008E0DA6"/>
    <w:rsid w:val="0090502E"/>
    <w:rsid w:val="009C2127"/>
    <w:rsid w:val="009E6F90"/>
    <w:rsid w:val="009F5904"/>
    <w:rsid w:val="00A262F3"/>
    <w:rsid w:val="00A72135"/>
    <w:rsid w:val="00AB1F52"/>
    <w:rsid w:val="00B47EAB"/>
    <w:rsid w:val="00B7030F"/>
    <w:rsid w:val="00C06BC8"/>
    <w:rsid w:val="00C42C86"/>
    <w:rsid w:val="00CC3F64"/>
    <w:rsid w:val="00E20766"/>
    <w:rsid w:val="00E87537"/>
    <w:rsid w:val="00EF639A"/>
    <w:rsid w:val="00F10811"/>
    <w:rsid w:val="00F37A4E"/>
    <w:rsid w:val="00F66C9B"/>
    <w:rsid w:val="00F72758"/>
    <w:rsid w:val="00F929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4EC39"/>
  <w15:chartTrackingRefBased/>
  <w15:docId w15:val="{95AFFF10-E4A6-42F5-B4CD-DA8444619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C9B"/>
    <w:pPr>
      <w:spacing w:after="0" w:line="240" w:lineRule="auto"/>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6C9B"/>
    <w:pPr>
      <w:tabs>
        <w:tab w:val="center" w:pos="4153"/>
        <w:tab w:val="right" w:pos="8306"/>
      </w:tabs>
    </w:pPr>
  </w:style>
  <w:style w:type="character" w:customStyle="1" w:styleId="HeaderChar">
    <w:name w:val="Header Char"/>
    <w:basedOn w:val="DefaultParagraphFont"/>
    <w:link w:val="Header"/>
    <w:rsid w:val="00F66C9B"/>
    <w:rPr>
      <w:rFonts w:ascii="Arial" w:eastAsia="Times New Roman" w:hAnsi="Arial" w:cs="Times New Roman"/>
      <w:sz w:val="20"/>
      <w:szCs w:val="20"/>
      <w:lang w:val="en-GB"/>
    </w:rPr>
  </w:style>
  <w:style w:type="character" w:styleId="PageNumber">
    <w:name w:val="page number"/>
    <w:rsid w:val="00F66C9B"/>
    <w:rPr>
      <w:rFonts w:ascii="Arial" w:hAnsi="Arial"/>
      <w:dstrike w:val="0"/>
      <w:color w:val="auto"/>
      <w:vertAlign w:val="baseline"/>
    </w:rPr>
  </w:style>
  <w:style w:type="character" w:styleId="Hyperlink">
    <w:name w:val="Hyperlink"/>
    <w:rsid w:val="00F66C9B"/>
    <w:rPr>
      <w:color w:val="0000FF"/>
      <w:u w:val="single"/>
    </w:rPr>
  </w:style>
  <w:style w:type="paragraph" w:customStyle="1" w:styleId="Pagrtekstas">
    <w:name w:val="Pagr_tekstas"/>
    <w:basedOn w:val="Normal"/>
    <w:rsid w:val="00F66C9B"/>
    <w:pPr>
      <w:ind w:firstLine="720"/>
      <w:jc w:val="both"/>
    </w:pPr>
  </w:style>
  <w:style w:type="paragraph" w:styleId="ListParagraph">
    <w:name w:val="List Paragraph"/>
    <w:basedOn w:val="Normal"/>
    <w:uiPriority w:val="34"/>
    <w:qFormat/>
    <w:rsid w:val="00F66C9B"/>
    <w:pPr>
      <w:ind w:left="720"/>
      <w:contextualSpacing/>
    </w:pPr>
  </w:style>
  <w:style w:type="character" w:styleId="FollowedHyperlink">
    <w:name w:val="FollowedHyperlink"/>
    <w:basedOn w:val="DefaultParagraphFont"/>
    <w:uiPriority w:val="99"/>
    <w:semiHidden/>
    <w:unhideWhenUsed/>
    <w:rsid w:val="00C42C86"/>
    <w:rPr>
      <w:color w:val="954F72" w:themeColor="followedHyperlink"/>
      <w:u w:val="single"/>
    </w:rPr>
  </w:style>
  <w:style w:type="paragraph" w:styleId="BalloonText">
    <w:name w:val="Balloon Text"/>
    <w:basedOn w:val="Normal"/>
    <w:link w:val="BalloonTextChar"/>
    <w:uiPriority w:val="99"/>
    <w:semiHidden/>
    <w:unhideWhenUsed/>
    <w:rsid w:val="00AB1F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F52"/>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12218F"/>
    <w:rPr>
      <w:sz w:val="16"/>
      <w:szCs w:val="16"/>
    </w:rPr>
  </w:style>
  <w:style w:type="paragraph" w:styleId="CommentText">
    <w:name w:val="annotation text"/>
    <w:basedOn w:val="Normal"/>
    <w:link w:val="CommentTextChar"/>
    <w:uiPriority w:val="99"/>
    <w:semiHidden/>
    <w:unhideWhenUsed/>
    <w:rsid w:val="0012218F"/>
  </w:style>
  <w:style w:type="character" w:customStyle="1" w:styleId="CommentTextChar">
    <w:name w:val="Comment Text Char"/>
    <w:basedOn w:val="DefaultParagraphFont"/>
    <w:link w:val="CommentText"/>
    <w:uiPriority w:val="99"/>
    <w:semiHidden/>
    <w:rsid w:val="0012218F"/>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2218F"/>
    <w:rPr>
      <w:b/>
      <w:bCs/>
    </w:rPr>
  </w:style>
  <w:style w:type="character" w:customStyle="1" w:styleId="CommentSubjectChar">
    <w:name w:val="Comment Subject Char"/>
    <w:basedOn w:val="CommentTextChar"/>
    <w:link w:val="CommentSubject"/>
    <w:uiPriority w:val="99"/>
    <w:semiHidden/>
    <w:rsid w:val="0012218F"/>
    <w:rPr>
      <w:rFonts w:ascii="Arial" w:eastAsia="Times New Roman" w:hAnsi="Arial" w:cs="Times New Roman"/>
      <w:b/>
      <w:bCs/>
      <w:sz w:val="20"/>
      <w:szCs w:val="20"/>
      <w:lang w:val="en-GB"/>
    </w:rPr>
  </w:style>
  <w:style w:type="paragraph" w:styleId="Revision">
    <w:name w:val="Revision"/>
    <w:hidden/>
    <w:uiPriority w:val="99"/>
    <w:semiHidden/>
    <w:rsid w:val="0012218F"/>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87541">
      <w:bodyDiv w:val="1"/>
      <w:marLeft w:val="0"/>
      <w:marRight w:val="0"/>
      <w:marTop w:val="0"/>
      <w:marBottom w:val="0"/>
      <w:divBdr>
        <w:top w:val="none" w:sz="0" w:space="0" w:color="auto"/>
        <w:left w:val="none" w:sz="0" w:space="0" w:color="auto"/>
        <w:bottom w:val="none" w:sz="0" w:space="0" w:color="auto"/>
        <w:right w:val="none" w:sz="0" w:space="0" w:color="auto"/>
      </w:divBdr>
    </w:div>
    <w:div w:id="97221903">
      <w:bodyDiv w:val="1"/>
      <w:marLeft w:val="0"/>
      <w:marRight w:val="0"/>
      <w:marTop w:val="0"/>
      <w:marBottom w:val="0"/>
      <w:divBdr>
        <w:top w:val="none" w:sz="0" w:space="0" w:color="auto"/>
        <w:left w:val="none" w:sz="0" w:space="0" w:color="auto"/>
        <w:bottom w:val="none" w:sz="0" w:space="0" w:color="auto"/>
        <w:right w:val="none" w:sz="0" w:space="0" w:color="auto"/>
      </w:divBdr>
    </w:div>
    <w:div w:id="273288935">
      <w:bodyDiv w:val="1"/>
      <w:marLeft w:val="0"/>
      <w:marRight w:val="0"/>
      <w:marTop w:val="0"/>
      <w:marBottom w:val="0"/>
      <w:divBdr>
        <w:top w:val="none" w:sz="0" w:space="0" w:color="auto"/>
        <w:left w:val="none" w:sz="0" w:space="0" w:color="auto"/>
        <w:bottom w:val="none" w:sz="0" w:space="0" w:color="auto"/>
        <w:right w:val="none" w:sz="0" w:space="0" w:color="auto"/>
      </w:divBdr>
    </w:div>
    <w:div w:id="881017207">
      <w:bodyDiv w:val="1"/>
      <w:marLeft w:val="0"/>
      <w:marRight w:val="0"/>
      <w:marTop w:val="0"/>
      <w:marBottom w:val="0"/>
      <w:divBdr>
        <w:top w:val="none" w:sz="0" w:space="0" w:color="auto"/>
        <w:left w:val="none" w:sz="0" w:space="0" w:color="auto"/>
        <w:bottom w:val="none" w:sz="0" w:space="0" w:color="auto"/>
        <w:right w:val="none" w:sz="0" w:space="0" w:color="auto"/>
      </w:divBdr>
    </w:div>
    <w:div w:id="135739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s://ec.europa.eu/eurostat/documents/4031688/9394165/KS-02-18-142-LT-N.pdf/2c6787ed-aaf1-4f30-bad1-aa65bf1e964b"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hart" Target="charts/chart1.xml"/><Relationship Id="rId12" Type="http://schemas.openxmlformats.org/officeDocument/2006/relationships/hyperlink" Target="http://osp.stat.gov.lt/statistiniu-rodikliu-analiz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hyperlink" Target="mailto:virginija.bankietiene@stat.gov.lt" TargetMode="External"/><Relationship Id="rId10" Type="http://schemas.openxmlformats.org/officeDocument/2006/relationships/chart" Target="charts/chart4.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yperlink" Target="https://osp.stat.gov.lt/statistikos-terminu-zodynas"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4132192135857621E-2"/>
          <c:y val="0.10358295120302538"/>
          <c:w val="0.89127658291088285"/>
          <c:h val="0.5424308968339514"/>
        </c:manualLayout>
      </c:layout>
      <c:barChart>
        <c:barDir val="col"/>
        <c:grouping val="clustered"/>
        <c:varyColors val="0"/>
        <c:ser>
          <c:idx val="1"/>
          <c:order val="1"/>
          <c:tx>
            <c:strRef>
              <c:f>Sheet1!$C$1</c:f>
              <c:strCache>
                <c:ptCount val="1"/>
                <c:pt idx="0">
                  <c:v>Bruto darbo užmokestis</c:v>
                </c:pt>
              </c:strCache>
            </c:strRef>
          </c:tx>
          <c:spPr>
            <a:solidFill>
              <a:srgbClr val="F06482"/>
            </a:solidFill>
            <a:ln w="12700">
              <a:solidFill>
                <a:sysClr val="window" lastClr="FFFFFF"/>
              </a:solidFill>
            </a:ln>
          </c:spPr>
          <c:invertIfNegative val="0"/>
          <c:dLbls>
            <c:numFmt formatCode="#,##0.0" sourceLinked="0"/>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Sheet1!$A$2:$A$6</c:f>
              <c:strCache>
                <c:ptCount val="5"/>
                <c:pt idx="0">
                  <c:v>IV
2020</c:v>
                </c:pt>
                <c:pt idx="1">
                  <c:v>I
2021</c:v>
                </c:pt>
                <c:pt idx="2">
                  <c:v>II</c:v>
                </c:pt>
                <c:pt idx="3">
                  <c:v>III </c:v>
                </c:pt>
                <c:pt idx="4">
                  <c:v>IV</c:v>
                </c:pt>
              </c:strCache>
            </c:strRef>
          </c:cat>
          <c:val>
            <c:numRef>
              <c:f>Sheet1!$C$2:$C$6</c:f>
              <c:numCache>
                <c:formatCode>General</c:formatCode>
                <c:ptCount val="5"/>
                <c:pt idx="0">
                  <c:v>1524.2</c:v>
                </c:pt>
                <c:pt idx="1">
                  <c:v>1517.4</c:v>
                </c:pt>
                <c:pt idx="2">
                  <c:v>1566.4</c:v>
                </c:pt>
                <c:pt idx="3">
                  <c:v>1598.1</c:v>
                </c:pt>
                <c:pt idx="4">
                  <c:v>1679.3</c:v>
                </c:pt>
              </c:numCache>
            </c:numRef>
          </c:val>
          <c:extLst>
            <c:ext xmlns:c16="http://schemas.microsoft.com/office/drawing/2014/chart" uri="{C3380CC4-5D6E-409C-BE32-E72D297353CC}">
              <c16:uniqueId val="{00000000-C45F-44F1-9F85-9171950C717E}"/>
            </c:ext>
          </c:extLst>
        </c:ser>
        <c:ser>
          <c:idx val="2"/>
          <c:order val="2"/>
          <c:tx>
            <c:strRef>
              <c:f>Sheet1!$D$1</c:f>
              <c:strCache>
                <c:ptCount val="1"/>
                <c:pt idx="0">
                  <c:v>Neto darbo užmokestis</c:v>
                </c:pt>
              </c:strCache>
            </c:strRef>
          </c:tx>
          <c:spPr>
            <a:solidFill>
              <a:srgbClr val="FABEC3"/>
            </a:solidFill>
            <a:ln w="9525">
              <a:solidFill>
                <a:sysClr val="window" lastClr="FFFFFF"/>
              </a:solidFill>
            </a:ln>
          </c:spPr>
          <c:invertIfNegative val="0"/>
          <c:dPt>
            <c:idx val="0"/>
            <c:invertIfNegative val="0"/>
            <c:bubble3D val="0"/>
            <c:spPr>
              <a:solidFill>
                <a:srgbClr val="FABEC3"/>
              </a:solidFill>
              <a:ln w="12700">
                <a:solidFill>
                  <a:sysClr val="window" lastClr="FFFFFF"/>
                </a:solidFill>
              </a:ln>
            </c:spPr>
            <c:extLst>
              <c:ext xmlns:c16="http://schemas.microsoft.com/office/drawing/2014/chart" uri="{C3380CC4-5D6E-409C-BE32-E72D297353CC}">
                <c16:uniqueId val="{00000002-C45F-44F1-9F85-9171950C717E}"/>
              </c:ext>
            </c:extLst>
          </c:dPt>
          <c:dLbls>
            <c:numFmt formatCode="#,##0.0" sourceLinked="0"/>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Sheet1!$A$2:$A$6</c:f>
              <c:strCache>
                <c:ptCount val="5"/>
                <c:pt idx="0">
                  <c:v>IV
2020</c:v>
                </c:pt>
                <c:pt idx="1">
                  <c:v>I
2021</c:v>
                </c:pt>
                <c:pt idx="2">
                  <c:v>II</c:v>
                </c:pt>
                <c:pt idx="3">
                  <c:v>III </c:v>
                </c:pt>
                <c:pt idx="4">
                  <c:v>IV</c:v>
                </c:pt>
              </c:strCache>
            </c:strRef>
          </c:cat>
          <c:val>
            <c:numRef>
              <c:f>Sheet1!$D$2:$D$6</c:f>
              <c:numCache>
                <c:formatCode>General</c:formatCode>
                <c:ptCount val="5"/>
                <c:pt idx="0">
                  <c:v>967.3</c:v>
                </c:pt>
                <c:pt idx="1">
                  <c:v>966.5</c:v>
                </c:pt>
                <c:pt idx="2">
                  <c:v>994.4</c:v>
                </c:pt>
                <c:pt idx="3">
                  <c:v>1012.4</c:v>
                </c:pt>
                <c:pt idx="4">
                  <c:v>1058.5999999999999</c:v>
                </c:pt>
              </c:numCache>
            </c:numRef>
          </c:val>
          <c:extLst>
            <c:ext xmlns:c16="http://schemas.microsoft.com/office/drawing/2014/chart" uri="{C3380CC4-5D6E-409C-BE32-E72D297353CC}">
              <c16:uniqueId val="{00000003-C45F-44F1-9F85-9171950C717E}"/>
            </c:ext>
          </c:extLst>
        </c:ser>
        <c:dLbls>
          <c:showLegendKey val="0"/>
          <c:showVal val="0"/>
          <c:showCatName val="0"/>
          <c:showSerName val="0"/>
          <c:showPercent val="0"/>
          <c:showBubbleSize val="0"/>
        </c:dLbls>
        <c:gapWidth val="90"/>
        <c:axId val="333129984"/>
        <c:axId val="375832576"/>
      </c:barChart>
      <c:lineChart>
        <c:grouping val="standard"/>
        <c:varyColors val="0"/>
        <c:ser>
          <c:idx val="0"/>
          <c:order val="0"/>
          <c:tx>
            <c:strRef>
              <c:f>Sheet1!$B$1</c:f>
              <c:strCache>
                <c:ptCount val="1"/>
                <c:pt idx="0">
                  <c:v>Realiojo darbo užmokesčio indeksas, ankstesnis ketvirtis – 100 procentų</c:v>
                </c:pt>
              </c:strCache>
            </c:strRef>
          </c:tx>
          <c:spPr>
            <a:ln w="22220">
              <a:solidFill>
                <a:srgbClr val="28286E"/>
              </a:solidFill>
              <a:prstDash val="solid"/>
            </a:ln>
          </c:spPr>
          <c:marker>
            <c:symbol val="triangle"/>
            <c:size val="6"/>
            <c:spPr>
              <a:solidFill>
                <a:sysClr val="window" lastClr="FFFFFF"/>
              </a:solidFill>
              <a:ln w="15875">
                <a:solidFill>
                  <a:srgbClr val="28286E"/>
                </a:solidFill>
                <a:prstDash val="solid"/>
              </a:ln>
            </c:spPr>
          </c:marker>
          <c:dLbls>
            <c:numFmt formatCode="#,##0.0" sourceLinked="0"/>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Sheet1!$A$2:$A$6</c:f>
              <c:strCache>
                <c:ptCount val="5"/>
                <c:pt idx="0">
                  <c:v>IV
2020</c:v>
                </c:pt>
                <c:pt idx="1">
                  <c:v>I
2021</c:v>
                </c:pt>
                <c:pt idx="2">
                  <c:v>II</c:v>
                </c:pt>
                <c:pt idx="3">
                  <c:v>III </c:v>
                </c:pt>
                <c:pt idx="4">
                  <c:v>IV</c:v>
                </c:pt>
              </c:strCache>
            </c:strRef>
          </c:cat>
          <c:val>
            <c:numRef>
              <c:f>Sheet1!$B$2:$B$6</c:f>
              <c:numCache>
                <c:formatCode>General</c:formatCode>
                <c:ptCount val="5"/>
                <c:pt idx="0">
                  <c:v>104</c:v>
                </c:pt>
                <c:pt idx="1">
                  <c:v>99</c:v>
                </c:pt>
                <c:pt idx="2">
                  <c:v>100.7</c:v>
                </c:pt>
                <c:pt idx="3">
                  <c:v>99.8</c:v>
                </c:pt>
                <c:pt idx="4">
                  <c:v>100.8</c:v>
                </c:pt>
              </c:numCache>
            </c:numRef>
          </c:val>
          <c:smooth val="0"/>
          <c:extLst>
            <c:ext xmlns:c16="http://schemas.microsoft.com/office/drawing/2014/chart" uri="{C3380CC4-5D6E-409C-BE32-E72D297353CC}">
              <c16:uniqueId val="{00000004-C45F-44F1-9F85-9171950C717E}"/>
            </c:ext>
          </c:extLst>
        </c:ser>
        <c:dLbls>
          <c:showLegendKey val="0"/>
          <c:showVal val="0"/>
          <c:showCatName val="0"/>
          <c:showSerName val="0"/>
          <c:showPercent val="0"/>
          <c:showBubbleSize val="0"/>
        </c:dLbls>
        <c:marker val="1"/>
        <c:smooth val="0"/>
        <c:axId val="375834112"/>
        <c:axId val="375835648"/>
      </c:lineChart>
      <c:catAx>
        <c:axId val="33312998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a:pPr>
            <a:endParaRPr lang="lt-LT"/>
          </a:p>
        </c:txPr>
        <c:crossAx val="375832576"/>
        <c:crosses val="autoZero"/>
        <c:auto val="1"/>
        <c:lblAlgn val="ctr"/>
        <c:lblOffset val="100"/>
        <c:tickLblSkip val="1"/>
        <c:tickMarkSkip val="1"/>
        <c:noMultiLvlLbl val="0"/>
      </c:catAx>
      <c:valAx>
        <c:axId val="375832576"/>
        <c:scaling>
          <c:orientation val="minMax"/>
          <c:max val="1800"/>
        </c:scaling>
        <c:delete val="0"/>
        <c:axPos val="l"/>
        <c:numFmt formatCode="#,##0;\–#,##0" sourceLinked="0"/>
        <c:majorTickMark val="out"/>
        <c:minorTickMark val="none"/>
        <c:tickLblPos val="nextTo"/>
        <c:spPr>
          <a:ln w="3175">
            <a:solidFill>
              <a:srgbClr val="000000"/>
            </a:solidFill>
            <a:prstDash val="solid"/>
          </a:ln>
        </c:spPr>
        <c:txPr>
          <a:bodyPr rot="0" vert="horz"/>
          <a:lstStyle/>
          <a:p>
            <a:pPr>
              <a:defRPr sz="800"/>
            </a:pPr>
            <a:endParaRPr lang="lt-LT"/>
          </a:p>
        </c:txPr>
        <c:crossAx val="333129984"/>
        <c:crosses val="autoZero"/>
        <c:crossBetween val="between"/>
        <c:majorUnit val="200"/>
      </c:valAx>
      <c:catAx>
        <c:axId val="375834112"/>
        <c:scaling>
          <c:orientation val="minMax"/>
        </c:scaling>
        <c:delete val="1"/>
        <c:axPos val="b"/>
        <c:numFmt formatCode="General" sourceLinked="1"/>
        <c:majorTickMark val="out"/>
        <c:minorTickMark val="none"/>
        <c:tickLblPos val="nextTo"/>
        <c:crossAx val="375835648"/>
        <c:crosses val="autoZero"/>
        <c:auto val="1"/>
        <c:lblAlgn val="ctr"/>
        <c:lblOffset val="100"/>
        <c:noMultiLvlLbl val="0"/>
      </c:catAx>
      <c:valAx>
        <c:axId val="375835648"/>
        <c:scaling>
          <c:orientation val="minMax"/>
          <c:max val="112"/>
          <c:min val="96"/>
        </c:scaling>
        <c:delete val="0"/>
        <c:axPos val="r"/>
        <c:numFmt formatCode="General" sourceLinked="0"/>
        <c:majorTickMark val="out"/>
        <c:minorTickMark val="none"/>
        <c:tickLblPos val="nextTo"/>
        <c:spPr>
          <a:ln w="3175">
            <a:solidFill>
              <a:srgbClr val="000000"/>
            </a:solidFill>
            <a:prstDash val="solid"/>
          </a:ln>
        </c:spPr>
        <c:txPr>
          <a:bodyPr rot="0" vert="horz"/>
          <a:lstStyle/>
          <a:p>
            <a:pPr>
              <a:defRPr sz="800"/>
            </a:pPr>
            <a:endParaRPr lang="lt-LT"/>
          </a:p>
        </c:txPr>
        <c:crossAx val="375834112"/>
        <c:crosses val="max"/>
        <c:crossBetween val="between"/>
        <c:majorUnit val="2"/>
      </c:valAx>
    </c:plotArea>
    <c:legend>
      <c:legendPos val="b"/>
      <c:layout>
        <c:manualLayout>
          <c:xMode val="edge"/>
          <c:yMode val="edge"/>
          <c:x val="6.2837485377048377E-2"/>
          <c:y val="0.75511072504949839"/>
          <c:w val="0.92061555716871235"/>
          <c:h val="0.22231928888284583"/>
        </c:manualLayout>
      </c:layout>
      <c:overlay val="0"/>
      <c:spPr>
        <a:noFill/>
        <a:ln w="22220">
          <a:noFill/>
        </a:ln>
      </c:spPr>
    </c:legend>
    <c:plotVisOnly val="1"/>
    <c:dispBlanksAs val="gap"/>
    <c:showDLblsOverMax val="0"/>
  </c:chart>
  <c:spPr>
    <a:ln>
      <a:noFill/>
    </a:ln>
  </c:spPr>
  <c:txPr>
    <a:bodyPr/>
    <a:lstStyle/>
    <a:p>
      <a:pPr>
        <a:defRPr sz="900" b="0" i="0" u="none" strike="noStrike" baseline="0">
          <a:solidFill>
            <a:srgbClr val="000000"/>
          </a:solidFill>
          <a:latin typeface="Arial"/>
          <a:ea typeface="Arial"/>
          <a:cs typeface="Arial"/>
        </a:defRPr>
      </a:pPr>
      <a:endParaRPr lang="lt-LT"/>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637633968310767E-2"/>
          <c:y val="3.8288209743874077E-2"/>
          <c:w val="0.94901304722248803"/>
          <c:h val="0.82046476056744155"/>
        </c:manualLayout>
      </c:layout>
      <c:lineChart>
        <c:grouping val="standard"/>
        <c:varyColors val="0"/>
        <c:ser>
          <c:idx val="0"/>
          <c:order val="0"/>
          <c:tx>
            <c:strRef>
              <c:f>Sheet1!$B$1</c:f>
              <c:strCache>
                <c:ptCount val="1"/>
                <c:pt idx="0">
                  <c:v>Šalies ūkis </c:v>
                </c:pt>
              </c:strCache>
            </c:strRef>
          </c:tx>
          <c:spPr>
            <a:ln w="19050">
              <a:solidFill>
                <a:srgbClr val="28286E"/>
              </a:solidFill>
              <a:prstDash val="solid"/>
            </a:ln>
          </c:spPr>
          <c:marker>
            <c:symbol val="square"/>
            <c:size val="4"/>
            <c:spPr>
              <a:solidFill>
                <a:srgbClr val="28286E"/>
              </a:solidFill>
              <a:ln>
                <a:solidFill>
                  <a:sysClr val="window" lastClr="FFFFFF"/>
                </a:solidFill>
                <a:prstDash val="solid"/>
              </a:ln>
            </c:spPr>
          </c:marker>
          <c:dLbls>
            <c:dLbl>
              <c:idx val="0"/>
              <c:layout>
                <c:manualLayout>
                  <c:x val="-2.6580523737118798E-2"/>
                  <c:y val="2.942415220390685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4D4-48B7-BEF1-4FF0ED306E55}"/>
                </c:ext>
              </c:extLst>
            </c:dLbl>
            <c:dLbl>
              <c:idx val="1"/>
              <c:layout>
                <c:manualLayout>
                  <c:x val="-2.4620672296944344E-2"/>
                  <c:y val="3.939418323268443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4D4-48B7-BEF1-4FF0ED306E55}"/>
                </c:ext>
              </c:extLst>
            </c:dLbl>
            <c:dLbl>
              <c:idx val="2"/>
              <c:layout>
                <c:manualLayout>
                  <c:x val="-2.8540375177293253E-2"/>
                  <c:y val="3.939418323268443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4D4-48B7-BEF1-4FF0ED306E55}"/>
                </c:ext>
              </c:extLst>
            </c:dLbl>
            <c:dLbl>
              <c:idx val="3"/>
              <c:layout>
                <c:manualLayout>
                  <c:x val="-5.022157895199799E-3"/>
                  <c:y val="9.4840901463514194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4D4-48B7-BEF1-4FF0ED306E55}"/>
                </c:ext>
              </c:extLst>
            </c:dLbl>
            <c:dLbl>
              <c:idx val="4"/>
              <c:layout>
                <c:manualLayout>
                  <c:x val="-2.6580523737118798E-2"/>
                  <c:y val="-4.036606499753692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4D4-48B7-BEF1-4FF0ED306E55}"/>
                </c:ext>
              </c:extLst>
            </c:dLbl>
            <c:dLbl>
              <c:idx val="5"/>
              <c:layout>
                <c:manualLayout>
                  <c:x val="-4.4219186698688927E-2"/>
                  <c:y val="1.94541211751290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4D4-48B7-BEF1-4FF0ED306E55}"/>
                </c:ext>
              </c:extLst>
            </c:dLbl>
            <c:dLbl>
              <c:idx val="6"/>
              <c:layout>
                <c:manualLayout>
                  <c:x val="-2.6580523737118798E-2"/>
                  <c:y val="3.939418323268443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4D4-48B7-BEF1-4FF0ED306E55}"/>
                </c:ext>
              </c:extLst>
            </c:dLbl>
            <c:dLbl>
              <c:idx val="7"/>
              <c:layout>
                <c:manualLayout>
                  <c:x val="-3.4420587218917456E-2"/>
                  <c:y val="3.440438779233304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4D4-48B7-BEF1-4FF0ED306E55}"/>
                </c:ext>
              </c:extLst>
            </c:dLbl>
            <c:dLbl>
              <c:idx val="8"/>
              <c:layout>
                <c:manualLayout>
                  <c:x val="-2.2660820856769889E-2"/>
                  <c:y val="3.440916771829559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4D4-48B7-BEF1-4FF0ED306E55}"/>
                </c:ext>
              </c:extLst>
            </c:dLbl>
            <c:dLbl>
              <c:idx val="9"/>
              <c:layout>
                <c:manualLayout>
                  <c:x val="-5.0539784752757028E-2"/>
                  <c:y val="-2.042600293998159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4D4-48B7-BEF1-4FF0ED306E55}"/>
                </c:ext>
              </c:extLst>
            </c:dLbl>
            <c:dLbl>
              <c:idx val="10"/>
              <c:layout>
                <c:manualLayout>
                  <c:x val="-3.0941270351012479E-2"/>
                  <c:y val="-4.535108051192576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4D4-48B7-BEF1-4FF0ED306E55}"/>
                </c:ext>
              </c:extLst>
            </c:dLbl>
            <c:dLbl>
              <c:idx val="11"/>
              <c:layout>
                <c:manualLayout>
                  <c:x val="-2.6580523737118798E-2"/>
                  <c:y val="-4.036606499753697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4D4-48B7-BEF1-4FF0ED306E55}"/>
                </c:ext>
              </c:extLst>
            </c:dLbl>
            <c:dLbl>
              <c:idx val="12"/>
              <c:layout>
                <c:manualLayout>
                  <c:x val="-2.6580523737118798E-2"/>
                  <c:y val="-4.036606499753692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44D4-48B7-BEF1-4FF0ED306E55}"/>
                </c:ext>
              </c:extLst>
            </c:dLbl>
            <c:dLbl>
              <c:idx val="16"/>
              <c:layout>
                <c:manualLayout>
                  <c:x val="-5.022157895199799E-3"/>
                  <c:y val="-2.541101845437042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44D4-48B7-BEF1-4FF0ED306E55}"/>
                </c:ext>
              </c:extLst>
            </c:dLbl>
            <c:dLbl>
              <c:idx val="17"/>
              <c:layout>
                <c:manualLayout>
                  <c:x val="-2.6580523737118798E-2"/>
                  <c:y val="3.939418323268443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44D4-48B7-BEF1-4FF0ED306E55}"/>
                </c:ext>
              </c:extLst>
            </c:dLbl>
            <c:dLbl>
              <c:idx val="18"/>
              <c:layout>
                <c:manualLayout>
                  <c:x val="-4.4660230432233661E-2"/>
                  <c:y val="-4.535108051192576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44D4-48B7-BEF1-4FF0ED306E55}"/>
                </c:ext>
              </c:extLst>
            </c:dLbl>
            <c:numFmt formatCode="#,##0.0" sourceLinked="0"/>
            <c:spPr>
              <a:noFill/>
            </c:spPr>
            <c:txPr>
              <a:bodyPr/>
              <a:lstStyle/>
              <a:p>
                <a:pPr>
                  <a:defRPr baseline="0">
                    <a:solidFill>
                      <a:srgbClr val="28286E"/>
                    </a:solidFill>
                  </a:defRPr>
                </a:pPr>
                <a:endParaRPr lang="lt-L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Sheet1!$A$2:$A$25</c:f>
              <c:strCache>
                <c:ptCount val="24"/>
                <c:pt idx="0">
                  <c:v>I
2016</c:v>
                </c:pt>
                <c:pt idx="1">
                  <c:v>II</c:v>
                </c:pt>
                <c:pt idx="2">
                  <c:v>III</c:v>
                </c:pt>
                <c:pt idx="3">
                  <c:v>IV</c:v>
                </c:pt>
                <c:pt idx="4">
                  <c:v>I
2017</c:v>
                </c:pt>
                <c:pt idx="5">
                  <c:v>II</c:v>
                </c:pt>
                <c:pt idx="6">
                  <c:v>III</c:v>
                </c:pt>
                <c:pt idx="7">
                  <c:v>IV</c:v>
                </c:pt>
                <c:pt idx="8">
                  <c:v>I
2018</c:v>
                </c:pt>
                <c:pt idx="9">
                  <c:v>II</c:v>
                </c:pt>
                <c:pt idx="10">
                  <c:v>III</c:v>
                </c:pt>
                <c:pt idx="11">
                  <c:v>IV</c:v>
                </c:pt>
                <c:pt idx="12">
                  <c:v>I
2019</c:v>
                </c:pt>
                <c:pt idx="13">
                  <c:v>II</c:v>
                </c:pt>
                <c:pt idx="14">
                  <c:v>III</c:v>
                </c:pt>
                <c:pt idx="15">
                  <c:v>IV</c:v>
                </c:pt>
                <c:pt idx="16">
                  <c:v>I
2020</c:v>
                </c:pt>
                <c:pt idx="17">
                  <c:v>II</c:v>
                </c:pt>
                <c:pt idx="18">
                  <c:v>III</c:v>
                </c:pt>
                <c:pt idx="19">
                  <c:v>IV</c:v>
                </c:pt>
                <c:pt idx="20">
                  <c:v>I
2021</c:v>
                </c:pt>
                <c:pt idx="21">
                  <c:v>II</c:v>
                </c:pt>
                <c:pt idx="22">
                  <c:v>III</c:v>
                </c:pt>
                <c:pt idx="23">
                  <c:v>IV</c:v>
                </c:pt>
              </c:strCache>
            </c:strRef>
          </c:cat>
          <c:val>
            <c:numRef>
              <c:f>Sheet1!$B$2:$B$25</c:f>
              <c:numCache>
                <c:formatCode>General</c:formatCode>
                <c:ptCount val="24"/>
                <c:pt idx="0">
                  <c:v>6.9</c:v>
                </c:pt>
                <c:pt idx="1">
                  <c:v>8.1</c:v>
                </c:pt>
                <c:pt idx="2">
                  <c:v>7.9</c:v>
                </c:pt>
                <c:pt idx="3">
                  <c:v>8.6999999999999993</c:v>
                </c:pt>
                <c:pt idx="4">
                  <c:v>9.3000000000000007</c:v>
                </c:pt>
                <c:pt idx="5">
                  <c:v>8.6999999999999993</c:v>
                </c:pt>
                <c:pt idx="6">
                  <c:v>7.2</c:v>
                </c:pt>
                <c:pt idx="7">
                  <c:v>7.5</c:v>
                </c:pt>
                <c:pt idx="8">
                  <c:v>9.5</c:v>
                </c:pt>
                <c:pt idx="9">
                  <c:v>10.5</c:v>
                </c:pt>
                <c:pt idx="10">
                  <c:v>10</c:v>
                </c:pt>
                <c:pt idx="11">
                  <c:v>9.6999999999999993</c:v>
                </c:pt>
                <c:pt idx="12">
                  <c:v>9.4</c:v>
                </c:pt>
                <c:pt idx="13">
                  <c:v>7.9</c:v>
                </c:pt>
                <c:pt idx="14">
                  <c:v>9.1999999999999993</c:v>
                </c:pt>
                <c:pt idx="15">
                  <c:v>8.6</c:v>
                </c:pt>
                <c:pt idx="16">
                  <c:v>9.4</c:v>
                </c:pt>
                <c:pt idx="17">
                  <c:v>8.5</c:v>
                </c:pt>
                <c:pt idx="18">
                  <c:v>10.4</c:v>
                </c:pt>
                <c:pt idx="19">
                  <c:v>12.2</c:v>
                </c:pt>
                <c:pt idx="20">
                  <c:v>9.9</c:v>
                </c:pt>
                <c:pt idx="21">
                  <c:v>12</c:v>
                </c:pt>
                <c:pt idx="22">
                  <c:v>9.9</c:v>
                </c:pt>
                <c:pt idx="23">
                  <c:v>10.199999999999999</c:v>
                </c:pt>
              </c:numCache>
            </c:numRef>
          </c:val>
          <c:smooth val="0"/>
          <c:extLst>
            <c:ext xmlns:c16="http://schemas.microsoft.com/office/drawing/2014/chart" uri="{C3380CC4-5D6E-409C-BE32-E72D297353CC}">
              <c16:uniqueId val="{00000010-44D4-48B7-BEF1-4FF0ED306E55}"/>
            </c:ext>
          </c:extLst>
        </c:ser>
        <c:ser>
          <c:idx val="1"/>
          <c:order val="1"/>
          <c:tx>
            <c:strRef>
              <c:f>Sheet1!$C$1</c:f>
              <c:strCache>
                <c:ptCount val="1"/>
                <c:pt idx="0">
                  <c:v>Viešasis sektorius</c:v>
                </c:pt>
              </c:strCache>
            </c:strRef>
          </c:tx>
          <c:spPr>
            <a:ln w="19050">
              <a:solidFill>
                <a:srgbClr val="F06482"/>
              </a:solidFill>
              <a:prstDash val="solid"/>
            </a:ln>
          </c:spPr>
          <c:marker>
            <c:symbol val="diamond"/>
            <c:size val="6"/>
            <c:spPr>
              <a:solidFill>
                <a:srgbClr val="F06482"/>
              </a:solidFill>
              <a:ln>
                <a:solidFill>
                  <a:sysClr val="window" lastClr="FFFFFF"/>
                </a:solidFill>
                <a:prstDash val="solid"/>
              </a:ln>
            </c:spPr>
          </c:marker>
          <c:dLbls>
            <c:dLbl>
              <c:idx val="0"/>
              <c:layout>
                <c:manualLayout>
                  <c:x val="-2.6580523737118798E-2"/>
                  <c:y val="4.535147303283241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44D4-48B7-BEF1-4FF0ED306E55}"/>
                </c:ext>
              </c:extLst>
            </c:dLbl>
            <c:dLbl>
              <c:idx val="1"/>
              <c:layout>
                <c:manualLayout>
                  <c:x val="-2.8540375177293253E-2"/>
                  <c:y val="5.033648854722124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44D4-48B7-BEF1-4FF0ED306E55}"/>
                </c:ext>
              </c:extLst>
            </c:dLbl>
            <c:dLbl>
              <c:idx val="2"/>
              <c:layout>
                <c:manualLayout>
                  <c:x val="-2.6580523737118798E-2"/>
                  <c:y val="5.033648854722124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44D4-48B7-BEF1-4FF0ED306E55}"/>
                </c:ext>
              </c:extLst>
            </c:dLbl>
            <c:dLbl>
              <c:idx val="6"/>
              <c:layout>
                <c:manualLayout>
                  <c:x val="-2.8540375177293253E-2"/>
                  <c:y val="4.535147303283231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44D4-48B7-BEF1-4FF0ED306E55}"/>
                </c:ext>
              </c:extLst>
            </c:dLbl>
            <c:dLbl>
              <c:idx val="9"/>
              <c:layout>
                <c:manualLayout>
                  <c:x val="-3.4860973231361392E-2"/>
                  <c:y val="-4.43788062261666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44D4-48B7-BEF1-4FF0ED306E55}"/>
                </c:ext>
              </c:extLst>
            </c:dLbl>
            <c:dLbl>
              <c:idx val="10"/>
              <c:layout>
                <c:manualLayout>
                  <c:x val="-4.0740527551884752E-2"/>
                  <c:y val="-4.936382174055545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44D4-48B7-BEF1-4FF0ED306E55}"/>
                </c:ext>
              </c:extLst>
            </c:dLbl>
            <c:dLbl>
              <c:idx val="11"/>
              <c:layout>
                <c:manualLayout>
                  <c:x val="-5.445948763310586E-2"/>
                  <c:y val="-4.437880622616664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44D4-48B7-BEF1-4FF0ED306E55}"/>
                </c:ext>
              </c:extLst>
            </c:dLbl>
            <c:dLbl>
              <c:idx val="12"/>
              <c:layout>
                <c:manualLayout>
                  <c:x val="-3.0941270351012407E-2"/>
                  <c:y val="-4.936382174055544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44D4-48B7-BEF1-4FF0ED306E55}"/>
                </c:ext>
              </c:extLst>
            </c:dLbl>
            <c:dLbl>
              <c:idx val="13"/>
              <c:layout>
                <c:manualLayout>
                  <c:x val="-1.9182161709965753E-2"/>
                  <c:y val="-7.92739148268884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44D4-48B7-BEF1-4FF0ED306E55}"/>
                </c:ext>
              </c:extLst>
            </c:dLbl>
            <c:dLbl>
              <c:idx val="14"/>
              <c:layout>
                <c:manualLayout>
                  <c:x val="-1.1342755949267935E-2"/>
                  <c:y val="-3.440877519738894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44D4-48B7-BEF1-4FF0ED306E55}"/>
                </c:ext>
              </c:extLst>
            </c:dLbl>
            <c:dLbl>
              <c:idx val="15"/>
              <c:layout>
                <c:manualLayout>
                  <c:x val="-5.4632016287445703E-3"/>
                  <c:y val="-1.94537286542224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44D4-48B7-BEF1-4FF0ED306E55}"/>
                </c:ext>
              </c:extLst>
            </c:dLbl>
            <c:dLbl>
              <c:idx val="16"/>
              <c:layout>
                <c:manualLayout>
                  <c:x val="-2.8540375177293253E-2"/>
                  <c:y val="4.036645751844357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44D4-48B7-BEF1-4FF0ED306E55}"/>
                </c:ext>
              </c:extLst>
            </c:dLbl>
            <c:dLbl>
              <c:idx val="17"/>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44D4-48B7-BEF1-4FF0ED306E55}"/>
                </c:ext>
              </c:extLst>
            </c:dLbl>
            <c:dLbl>
              <c:idx val="18"/>
              <c:layout>
                <c:manualLayout>
                  <c:x val="-4.0740527551884752E-2"/>
                  <c:y val="-5.0336096026314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44D4-48B7-BEF1-4FF0ED306E55}"/>
                </c:ext>
              </c:extLst>
            </c:dLbl>
            <c:dLbl>
              <c:idx val="19"/>
              <c:layout>
                <c:manualLayout>
                  <c:x val="-1.072316511995294E-2"/>
                  <c:y val="-5.0336096026314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44D4-48B7-BEF1-4FF0ED306E55}"/>
                </c:ext>
              </c:extLst>
            </c:dLbl>
            <c:numFmt formatCode="#,##0.0" sourceLinked="0"/>
            <c:spPr>
              <a:noFill/>
              <a:ln>
                <a:noFill/>
              </a:ln>
              <a:effectLst/>
            </c:spPr>
            <c:txPr>
              <a:bodyPr/>
              <a:lstStyle/>
              <a:p>
                <a:pPr>
                  <a:defRPr baseline="0">
                    <a:solidFill>
                      <a:srgbClr val="F06482"/>
                    </a:solidFill>
                  </a:defRPr>
                </a:pPr>
                <a:endParaRPr lang="lt-LT"/>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Sheet1!$A$2:$A$25</c:f>
              <c:strCache>
                <c:ptCount val="24"/>
                <c:pt idx="0">
                  <c:v>I
2016</c:v>
                </c:pt>
                <c:pt idx="1">
                  <c:v>II</c:v>
                </c:pt>
                <c:pt idx="2">
                  <c:v>III</c:v>
                </c:pt>
                <c:pt idx="3">
                  <c:v>IV</c:v>
                </c:pt>
                <c:pt idx="4">
                  <c:v>I
2017</c:v>
                </c:pt>
                <c:pt idx="5">
                  <c:v>II</c:v>
                </c:pt>
                <c:pt idx="6">
                  <c:v>III</c:v>
                </c:pt>
                <c:pt idx="7">
                  <c:v>IV</c:v>
                </c:pt>
                <c:pt idx="8">
                  <c:v>I
2018</c:v>
                </c:pt>
                <c:pt idx="9">
                  <c:v>II</c:v>
                </c:pt>
                <c:pt idx="10">
                  <c:v>III</c:v>
                </c:pt>
                <c:pt idx="11">
                  <c:v>IV</c:v>
                </c:pt>
                <c:pt idx="12">
                  <c:v>I
2019</c:v>
                </c:pt>
                <c:pt idx="13">
                  <c:v>II</c:v>
                </c:pt>
                <c:pt idx="14">
                  <c:v>III</c:v>
                </c:pt>
                <c:pt idx="15">
                  <c:v>IV</c:v>
                </c:pt>
                <c:pt idx="16">
                  <c:v>I
2020</c:v>
                </c:pt>
                <c:pt idx="17">
                  <c:v>II</c:v>
                </c:pt>
                <c:pt idx="18">
                  <c:v>III</c:v>
                </c:pt>
                <c:pt idx="19">
                  <c:v>IV</c:v>
                </c:pt>
                <c:pt idx="20">
                  <c:v>I
2021</c:v>
                </c:pt>
                <c:pt idx="21">
                  <c:v>II</c:v>
                </c:pt>
                <c:pt idx="22">
                  <c:v>III</c:v>
                </c:pt>
                <c:pt idx="23">
                  <c:v>IV</c:v>
                </c:pt>
              </c:strCache>
            </c:strRef>
          </c:cat>
          <c:val>
            <c:numRef>
              <c:f>Sheet1!$C$2:$C$25</c:f>
              <c:numCache>
                <c:formatCode>General</c:formatCode>
                <c:ptCount val="24"/>
                <c:pt idx="0">
                  <c:v>5.7</c:v>
                </c:pt>
                <c:pt idx="1">
                  <c:v>5.9</c:v>
                </c:pt>
                <c:pt idx="2">
                  <c:v>6.8</c:v>
                </c:pt>
                <c:pt idx="3">
                  <c:v>8.5</c:v>
                </c:pt>
                <c:pt idx="4">
                  <c:v>7.2</c:v>
                </c:pt>
                <c:pt idx="5">
                  <c:v>7.5</c:v>
                </c:pt>
                <c:pt idx="6">
                  <c:v>5.6</c:v>
                </c:pt>
                <c:pt idx="7">
                  <c:v>6.7</c:v>
                </c:pt>
                <c:pt idx="8">
                  <c:v>8.1999999999999993</c:v>
                </c:pt>
                <c:pt idx="9">
                  <c:v>10.8</c:v>
                </c:pt>
                <c:pt idx="10">
                  <c:v>11.3</c:v>
                </c:pt>
                <c:pt idx="11">
                  <c:v>12.5</c:v>
                </c:pt>
                <c:pt idx="12">
                  <c:v>14.3</c:v>
                </c:pt>
                <c:pt idx="13">
                  <c:v>11.4</c:v>
                </c:pt>
                <c:pt idx="14">
                  <c:v>12.2</c:v>
                </c:pt>
                <c:pt idx="15">
                  <c:v>11.3</c:v>
                </c:pt>
                <c:pt idx="16">
                  <c:v>9.1</c:v>
                </c:pt>
                <c:pt idx="17">
                  <c:v>13</c:v>
                </c:pt>
                <c:pt idx="18">
                  <c:v>12.7</c:v>
                </c:pt>
                <c:pt idx="19">
                  <c:v>15.2</c:v>
                </c:pt>
                <c:pt idx="20">
                  <c:v>13.6</c:v>
                </c:pt>
                <c:pt idx="21">
                  <c:v>10.1</c:v>
                </c:pt>
                <c:pt idx="22">
                  <c:v>8.3000000000000007</c:v>
                </c:pt>
                <c:pt idx="23">
                  <c:v>7.7</c:v>
                </c:pt>
              </c:numCache>
            </c:numRef>
          </c:val>
          <c:smooth val="0"/>
          <c:extLst>
            <c:ext xmlns:c16="http://schemas.microsoft.com/office/drawing/2014/chart" uri="{C3380CC4-5D6E-409C-BE32-E72D297353CC}">
              <c16:uniqueId val="{00000020-44D4-48B7-BEF1-4FF0ED306E55}"/>
            </c:ext>
          </c:extLst>
        </c:ser>
        <c:ser>
          <c:idx val="3"/>
          <c:order val="2"/>
          <c:tx>
            <c:strRef>
              <c:f>Sheet1!$D$1</c:f>
              <c:strCache>
                <c:ptCount val="1"/>
                <c:pt idx="0">
                  <c:v>Privatusis sektorius</c:v>
                </c:pt>
              </c:strCache>
            </c:strRef>
          </c:tx>
          <c:spPr>
            <a:ln w="19050">
              <a:solidFill>
                <a:srgbClr val="FABEC3"/>
              </a:solidFill>
              <a:prstDash val="solid"/>
            </a:ln>
          </c:spPr>
          <c:marker>
            <c:symbol val="triangle"/>
            <c:size val="6"/>
            <c:spPr>
              <a:solidFill>
                <a:srgbClr val="FABEC3"/>
              </a:solidFill>
              <a:ln>
                <a:solidFill>
                  <a:sysClr val="window" lastClr="FFFFFF"/>
                </a:solidFill>
                <a:prstDash val="solid"/>
              </a:ln>
            </c:spPr>
          </c:marker>
          <c:dLbls>
            <c:dLbl>
              <c:idx val="1"/>
              <c:layout>
                <c:manualLayout>
                  <c:x val="-2.8540375177293253E-2"/>
                  <c:y val="-5.033609602631455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44D4-48B7-BEF1-4FF0ED306E55}"/>
                </c:ext>
              </c:extLst>
            </c:dLbl>
            <c:dLbl>
              <c:idx val="2"/>
              <c:layout>
                <c:manualLayout>
                  <c:x val="-2.8540375177293253E-2"/>
                  <c:y val="-5.0336096026314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44D4-48B7-BEF1-4FF0ED306E55}"/>
                </c:ext>
              </c:extLst>
            </c:dLbl>
            <c:dLbl>
              <c:idx val="3"/>
              <c:layout>
                <c:manualLayout>
                  <c:x val="-2.8540375177293253E-2"/>
                  <c:y val="-4.535108051192576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44D4-48B7-BEF1-4FF0ED306E55}"/>
                </c:ext>
              </c:extLst>
            </c:dLbl>
            <c:dLbl>
              <c:idx val="4"/>
              <c:layout>
                <c:manualLayout>
                  <c:x val="-3.2901121791186934E-2"/>
                  <c:y val="-4.036606499753692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44D4-48B7-BEF1-4FF0ED306E55}"/>
                </c:ext>
              </c:extLst>
            </c:dLbl>
            <c:dLbl>
              <c:idx val="5"/>
              <c:layout>
                <c:manualLayout>
                  <c:x val="-2.8540375177293291E-2"/>
                  <c:y val="-5.0336096026314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44D4-48B7-BEF1-4FF0ED306E55}"/>
                </c:ext>
              </c:extLst>
            </c:dLbl>
            <c:dLbl>
              <c:idx val="6"/>
              <c:layout>
                <c:manualLayout>
                  <c:x val="-2.8540375177293253E-2"/>
                  <c:y val="-5.53211115407034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44D4-48B7-BEF1-4FF0ED306E55}"/>
                </c:ext>
              </c:extLst>
            </c:dLbl>
            <c:dLbl>
              <c:idx val="8"/>
              <c:layout>
                <c:manualLayout>
                  <c:x val="-5.4459487633105937E-2"/>
                  <c:y val="-4.036606499753688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44D4-48B7-BEF1-4FF0ED306E55}"/>
                </c:ext>
              </c:extLst>
            </c:dLbl>
            <c:dLbl>
              <c:idx val="9"/>
              <c:layout>
                <c:manualLayout>
                  <c:x val="-3.0941270351012479E-2"/>
                  <c:y val="4.93642142614620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44D4-48B7-BEF1-4FF0ED306E55}"/>
                </c:ext>
              </c:extLst>
            </c:dLbl>
            <c:dLbl>
              <c:idx val="10"/>
              <c:layout>
                <c:manualLayout>
                  <c:x val="-3.6379780937990998E-2"/>
                  <c:y val="3.939418323268443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9-44D4-48B7-BEF1-4FF0ED306E55}"/>
                </c:ext>
              </c:extLst>
            </c:dLbl>
            <c:dLbl>
              <c:idx val="11"/>
              <c:layout>
                <c:manualLayout>
                  <c:x val="-3.8339632378165525E-2"/>
                  <c:y val="4.437919874707326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A-44D4-48B7-BEF1-4FF0ED306E55}"/>
                </c:ext>
              </c:extLst>
            </c:dLbl>
            <c:dLbl>
              <c:idx val="12"/>
              <c:layout>
                <c:manualLayout>
                  <c:x val="-3.6379780937991074E-2"/>
                  <c:y val="3.440916771829559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B-44D4-48B7-BEF1-4FF0ED306E55}"/>
                </c:ext>
              </c:extLst>
            </c:dLbl>
            <c:dLbl>
              <c:idx val="13"/>
              <c:layout>
                <c:manualLayout>
                  <c:x val="-3.0500226617467707E-2"/>
                  <c:y val="4.437919874707326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C-44D4-48B7-BEF1-4FF0ED306E55}"/>
                </c:ext>
              </c:extLst>
            </c:dLbl>
            <c:dLbl>
              <c:idx val="14"/>
              <c:layout>
                <c:manualLayout>
                  <c:x val="-2.8540375177293253E-2"/>
                  <c:y val="4.93642142614620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D-44D4-48B7-BEF1-4FF0ED306E55}"/>
                </c:ext>
              </c:extLst>
            </c:dLbl>
            <c:dLbl>
              <c:idx val="15"/>
              <c:layout>
                <c:manualLayout>
                  <c:x val="-2.8540375177293253E-2"/>
                  <c:y val="4.437919874707317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E-44D4-48B7-BEF1-4FF0ED306E55}"/>
                </c:ext>
              </c:extLst>
            </c:dLbl>
            <c:dLbl>
              <c:idx val="16"/>
              <c:layout>
                <c:manualLayout>
                  <c:x val="-3.0500226617467707E-2"/>
                  <c:y val="-5.0336096026314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F-44D4-48B7-BEF1-4FF0ED306E55}"/>
                </c:ext>
              </c:extLst>
            </c:dLbl>
            <c:dLbl>
              <c:idx val="17"/>
              <c:layout>
                <c:manualLayout>
                  <c:x val="-2.8540375177293253E-2"/>
                  <c:y val="4.437919874707335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0-44D4-48B7-BEF1-4FF0ED306E55}"/>
                </c:ext>
              </c:extLst>
            </c:dLbl>
            <c:dLbl>
              <c:idx val="18"/>
              <c:layout>
                <c:manualLayout>
                  <c:x val="-1.4821415096072071E-2"/>
                  <c:y val="3.440916771829559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1-44D4-48B7-BEF1-4FF0ED306E55}"/>
                </c:ext>
              </c:extLst>
            </c:dLbl>
            <c:dLbl>
              <c:idx val="19"/>
              <c:layout>
                <c:manualLayout>
                  <c:x val="-2.0522422320825212E-2"/>
                  <c:y val="-4.036606499753692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2-44D4-48B7-BEF1-4FF0ED306E55}"/>
                </c:ext>
              </c:extLst>
            </c:dLbl>
            <c:dLbl>
              <c:idx val="20"/>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3-44D4-48B7-BEF1-4FF0ED306E55}"/>
                </c:ext>
              </c:extLst>
            </c:dLbl>
            <c:dLbl>
              <c:idx val="22"/>
              <c:layout>
                <c:manualLayout>
                  <c:x val="-1.9743336623889583E-2"/>
                  <c:y val="-5.021785103761158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4-44D4-48B7-BEF1-4FF0ED306E55}"/>
                </c:ext>
              </c:extLst>
            </c:dLbl>
            <c:numFmt formatCode="#,##0.0" sourceLinked="0"/>
            <c:spPr>
              <a:noFill/>
              <a:ln>
                <a:noFill/>
              </a:ln>
              <a:effectLst/>
            </c:spPr>
            <c:txPr>
              <a:bodyPr/>
              <a:lstStyle/>
              <a:p>
                <a:pPr>
                  <a:defRPr baseline="0">
                    <a:solidFill>
                      <a:srgbClr val="FABEC3"/>
                    </a:solidFill>
                  </a:defRPr>
                </a:pPr>
                <a:endParaRPr lang="lt-L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Sheet1!$A$2:$A$25</c:f>
              <c:strCache>
                <c:ptCount val="24"/>
                <c:pt idx="0">
                  <c:v>I
2016</c:v>
                </c:pt>
                <c:pt idx="1">
                  <c:v>II</c:v>
                </c:pt>
                <c:pt idx="2">
                  <c:v>III</c:v>
                </c:pt>
                <c:pt idx="3">
                  <c:v>IV</c:v>
                </c:pt>
                <c:pt idx="4">
                  <c:v>I
2017</c:v>
                </c:pt>
                <c:pt idx="5">
                  <c:v>II</c:v>
                </c:pt>
                <c:pt idx="6">
                  <c:v>III</c:v>
                </c:pt>
                <c:pt idx="7">
                  <c:v>IV</c:v>
                </c:pt>
                <c:pt idx="8">
                  <c:v>I
2018</c:v>
                </c:pt>
                <c:pt idx="9">
                  <c:v>II</c:v>
                </c:pt>
                <c:pt idx="10">
                  <c:v>III</c:v>
                </c:pt>
                <c:pt idx="11">
                  <c:v>IV</c:v>
                </c:pt>
                <c:pt idx="12">
                  <c:v>I
2019</c:v>
                </c:pt>
                <c:pt idx="13">
                  <c:v>II</c:v>
                </c:pt>
                <c:pt idx="14">
                  <c:v>III</c:v>
                </c:pt>
                <c:pt idx="15">
                  <c:v>IV</c:v>
                </c:pt>
                <c:pt idx="16">
                  <c:v>I
2020</c:v>
                </c:pt>
                <c:pt idx="17">
                  <c:v>II</c:v>
                </c:pt>
                <c:pt idx="18">
                  <c:v>III</c:v>
                </c:pt>
                <c:pt idx="19">
                  <c:v>IV</c:v>
                </c:pt>
                <c:pt idx="20">
                  <c:v>I
2021</c:v>
                </c:pt>
                <c:pt idx="21">
                  <c:v>II</c:v>
                </c:pt>
                <c:pt idx="22">
                  <c:v>III</c:v>
                </c:pt>
                <c:pt idx="23">
                  <c:v>IV</c:v>
                </c:pt>
              </c:strCache>
            </c:strRef>
          </c:cat>
          <c:val>
            <c:numRef>
              <c:f>Sheet1!$D$2:$D$25</c:f>
              <c:numCache>
                <c:formatCode>General</c:formatCode>
                <c:ptCount val="24"/>
                <c:pt idx="0">
                  <c:v>7.6</c:v>
                </c:pt>
                <c:pt idx="1">
                  <c:v>9.4</c:v>
                </c:pt>
                <c:pt idx="2">
                  <c:v>8.6</c:v>
                </c:pt>
                <c:pt idx="3">
                  <c:v>8.9</c:v>
                </c:pt>
                <c:pt idx="4">
                  <c:v>10.4</c:v>
                </c:pt>
                <c:pt idx="5">
                  <c:v>9.3000000000000007</c:v>
                </c:pt>
                <c:pt idx="6">
                  <c:v>8.1</c:v>
                </c:pt>
                <c:pt idx="7" formatCode="#,#00">
                  <c:v>8</c:v>
                </c:pt>
                <c:pt idx="8">
                  <c:v>10.1</c:v>
                </c:pt>
                <c:pt idx="9">
                  <c:v>10.4</c:v>
                </c:pt>
                <c:pt idx="10">
                  <c:v>9.3000000000000007</c:v>
                </c:pt>
                <c:pt idx="11">
                  <c:v>8.3000000000000007</c:v>
                </c:pt>
                <c:pt idx="12">
                  <c:v>7.2</c:v>
                </c:pt>
                <c:pt idx="13">
                  <c:v>6.3</c:v>
                </c:pt>
                <c:pt idx="14">
                  <c:v>8</c:v>
                </c:pt>
                <c:pt idx="15">
                  <c:v>7.4</c:v>
                </c:pt>
                <c:pt idx="16">
                  <c:v>9.5</c:v>
                </c:pt>
                <c:pt idx="17">
                  <c:v>6.1</c:v>
                </c:pt>
                <c:pt idx="18">
                  <c:v>9.3000000000000007</c:v>
                </c:pt>
                <c:pt idx="19">
                  <c:v>10.6</c:v>
                </c:pt>
                <c:pt idx="20">
                  <c:v>8.1</c:v>
                </c:pt>
                <c:pt idx="21">
                  <c:v>13.3</c:v>
                </c:pt>
                <c:pt idx="22">
                  <c:v>10.7</c:v>
                </c:pt>
                <c:pt idx="23">
                  <c:v>11.7</c:v>
                </c:pt>
              </c:numCache>
            </c:numRef>
          </c:val>
          <c:smooth val="0"/>
          <c:extLst>
            <c:ext xmlns:c16="http://schemas.microsoft.com/office/drawing/2014/chart" uri="{C3380CC4-5D6E-409C-BE32-E72D297353CC}">
              <c16:uniqueId val="{00000035-44D4-48B7-BEF1-4FF0ED306E55}"/>
            </c:ext>
          </c:extLst>
        </c:ser>
        <c:dLbls>
          <c:showLegendKey val="0"/>
          <c:showVal val="0"/>
          <c:showCatName val="0"/>
          <c:showSerName val="0"/>
          <c:showPercent val="0"/>
          <c:showBubbleSize val="0"/>
        </c:dLbls>
        <c:marker val="1"/>
        <c:smooth val="0"/>
        <c:axId val="375972608"/>
        <c:axId val="375974144"/>
      </c:lineChart>
      <c:catAx>
        <c:axId val="37597260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a:pPr>
            <a:endParaRPr lang="lt-LT"/>
          </a:p>
        </c:txPr>
        <c:crossAx val="375974144"/>
        <c:crosses val="autoZero"/>
        <c:auto val="1"/>
        <c:lblAlgn val="ctr"/>
        <c:lblOffset val="100"/>
        <c:tickLblSkip val="1"/>
        <c:tickMarkSkip val="1"/>
        <c:noMultiLvlLbl val="0"/>
      </c:catAx>
      <c:valAx>
        <c:axId val="375974144"/>
        <c:scaling>
          <c:orientation val="minMax"/>
          <c:max val="16"/>
          <c:min val="4"/>
        </c:scaling>
        <c:delete val="0"/>
        <c:axPos val="l"/>
        <c:numFmt formatCode="#,##0;\–#,##0" sourceLinked="0"/>
        <c:majorTickMark val="out"/>
        <c:minorTickMark val="none"/>
        <c:tickLblPos val="nextTo"/>
        <c:spPr>
          <a:ln w="3175">
            <a:solidFill>
              <a:srgbClr val="000000"/>
            </a:solidFill>
            <a:prstDash val="solid"/>
          </a:ln>
        </c:spPr>
        <c:txPr>
          <a:bodyPr rot="0" vert="horz"/>
          <a:lstStyle/>
          <a:p>
            <a:pPr>
              <a:defRPr/>
            </a:pPr>
            <a:endParaRPr lang="lt-LT"/>
          </a:p>
        </c:txPr>
        <c:crossAx val="375972608"/>
        <c:crosses val="autoZero"/>
        <c:crossBetween val="between"/>
        <c:majorUnit val="2"/>
      </c:valAx>
      <c:spPr>
        <a:noFill/>
        <a:ln w="21892">
          <a:noFill/>
        </a:ln>
      </c:spPr>
    </c:plotArea>
    <c:legend>
      <c:legendPos val="b"/>
      <c:layout>
        <c:manualLayout>
          <c:xMode val="edge"/>
          <c:yMode val="edge"/>
          <c:x val="4.4493742749240985E-2"/>
          <c:y val="2.982827819168344E-2"/>
          <c:w val="0.30059271098166029"/>
          <c:h val="0.24379318056095012"/>
        </c:manualLayout>
      </c:layout>
      <c:overlay val="0"/>
      <c:spPr>
        <a:noFill/>
        <a:ln w="21887">
          <a:noFill/>
        </a:ln>
      </c:spPr>
      <c:txPr>
        <a:bodyPr/>
        <a:lstStyle/>
        <a:p>
          <a:pPr>
            <a:defRPr sz="900"/>
          </a:pPr>
          <a:endParaRPr lang="lt-LT"/>
        </a:p>
      </c:txPr>
    </c:legend>
    <c:plotVisOnly val="1"/>
    <c:dispBlanksAs val="gap"/>
    <c:showDLblsOverMax val="0"/>
  </c:chart>
  <c:spPr>
    <a:noFill/>
    <a:ln>
      <a:noFill/>
    </a:ln>
  </c:spPr>
  <c:txPr>
    <a:bodyPr/>
    <a:lstStyle/>
    <a:p>
      <a:pPr>
        <a:defRPr sz="800" b="0" i="0" u="none" strike="noStrike" baseline="0">
          <a:solidFill>
            <a:srgbClr val="000000"/>
          </a:solidFill>
          <a:latin typeface="Arial"/>
          <a:ea typeface="Arial"/>
          <a:cs typeface="Arial"/>
        </a:defRPr>
      </a:pPr>
      <a:endParaRPr lang="lt-LT"/>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9035826617321603E-2"/>
          <c:y val="1.8586468721297759E-2"/>
          <c:w val="0.93926358969926882"/>
          <c:h val="0.67108431597946894"/>
        </c:manualLayout>
      </c:layout>
      <c:barChart>
        <c:barDir val="col"/>
        <c:grouping val="clustered"/>
        <c:varyColors val="0"/>
        <c:ser>
          <c:idx val="0"/>
          <c:order val="0"/>
          <c:tx>
            <c:strRef>
              <c:f>Sheet1!$B$1</c:f>
              <c:strCache>
                <c:ptCount val="1"/>
                <c:pt idx="0">
                  <c:v>2020 m. IV ketv.</c:v>
                </c:pt>
              </c:strCache>
            </c:strRef>
          </c:tx>
          <c:spPr>
            <a:solidFill>
              <a:srgbClr val="FABEC3"/>
            </a:solidFill>
            <a:ln>
              <a:solidFill>
                <a:schemeClr val="bg1"/>
              </a:solidFill>
            </a:ln>
          </c:spPr>
          <c:invertIfNegative val="0"/>
          <c:dLbls>
            <c:numFmt formatCode="#,#00" sourceLinked="0"/>
            <c:spPr>
              <a:noFill/>
              <a:ln>
                <a:noFill/>
              </a:ln>
              <a:effectLst/>
            </c:spPr>
            <c:txPr>
              <a:bodyPr rot="-5400000" vert="horz"/>
              <a:lstStyle/>
              <a:p>
                <a:pPr>
                  <a:defRPr sz="800" b="0" baseline="0"/>
                </a:pPr>
                <a:endParaRPr lang="lt-LT"/>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Sheet1!$A$2:$A$20</c:f>
              <c:strCache>
                <c:ptCount val="19"/>
                <c:pt idx="0">
                  <c:v>J</c:v>
                </c:pt>
                <c:pt idx="1">
                  <c:v>K</c:v>
                </c:pt>
                <c:pt idx="2">
                  <c:v>M</c:v>
                </c:pt>
                <c:pt idx="3">
                  <c:v>Q </c:v>
                </c:pt>
                <c:pt idx="4">
                  <c:v>O </c:v>
                </c:pt>
                <c:pt idx="5">
                  <c:v>D</c:v>
                </c:pt>
                <c:pt idx="6">
                  <c:v>B </c:v>
                </c:pt>
                <c:pt idx="7">
                  <c:v>C </c:v>
                </c:pt>
                <c:pt idx="8">
                  <c:v>P </c:v>
                </c:pt>
                <c:pt idx="9">
                  <c:v>G </c:v>
                </c:pt>
                <c:pt idx="10">
                  <c:v>E </c:v>
                </c:pt>
                <c:pt idx="11">
                  <c:v>F </c:v>
                </c:pt>
                <c:pt idx="12">
                  <c:v>L </c:v>
                </c:pt>
                <c:pt idx="13">
                  <c:v>H</c:v>
                </c:pt>
                <c:pt idx="14">
                  <c:v>A </c:v>
                </c:pt>
                <c:pt idx="15">
                  <c:v>S </c:v>
                </c:pt>
                <c:pt idx="16">
                  <c:v>R</c:v>
                </c:pt>
                <c:pt idx="17">
                  <c:v>N</c:v>
                </c:pt>
                <c:pt idx="18">
                  <c:v>I</c:v>
                </c:pt>
              </c:strCache>
            </c:strRef>
          </c:cat>
          <c:val>
            <c:numRef>
              <c:f>Sheet1!$B$2:$B$20</c:f>
              <c:numCache>
                <c:formatCode>General</c:formatCode>
                <c:ptCount val="19"/>
                <c:pt idx="0">
                  <c:v>2674.9</c:v>
                </c:pt>
                <c:pt idx="1">
                  <c:v>2431.6999999999998</c:v>
                </c:pt>
                <c:pt idx="2">
                  <c:v>1886.6</c:v>
                </c:pt>
                <c:pt idx="3">
                  <c:v>1829.2</c:v>
                </c:pt>
                <c:pt idx="4">
                  <c:v>1853.2</c:v>
                </c:pt>
                <c:pt idx="5">
                  <c:v>1772.9</c:v>
                </c:pt>
                <c:pt idx="6">
                  <c:v>1751.9</c:v>
                </c:pt>
                <c:pt idx="7">
                  <c:v>1485.5</c:v>
                </c:pt>
                <c:pt idx="8">
                  <c:v>1531.9</c:v>
                </c:pt>
                <c:pt idx="9">
                  <c:v>1360.4</c:v>
                </c:pt>
                <c:pt idx="10">
                  <c:v>1390.2</c:v>
                </c:pt>
                <c:pt idx="11">
                  <c:v>1311.8</c:v>
                </c:pt>
                <c:pt idx="12">
                  <c:v>1294.9000000000001</c:v>
                </c:pt>
                <c:pt idx="13">
                  <c:v>1338.6</c:v>
                </c:pt>
                <c:pt idx="14">
                  <c:v>1228</c:v>
                </c:pt>
                <c:pt idx="15">
                  <c:v>1220.7</c:v>
                </c:pt>
                <c:pt idx="16">
                  <c:v>1205.5</c:v>
                </c:pt>
                <c:pt idx="17">
                  <c:v>1212.0999999999999</c:v>
                </c:pt>
                <c:pt idx="18">
                  <c:v>878.8</c:v>
                </c:pt>
              </c:numCache>
            </c:numRef>
          </c:val>
          <c:extLst>
            <c:ext xmlns:c16="http://schemas.microsoft.com/office/drawing/2014/chart" uri="{C3380CC4-5D6E-409C-BE32-E72D297353CC}">
              <c16:uniqueId val="{00000000-C3DA-4416-8EEB-C10035370F49}"/>
            </c:ext>
          </c:extLst>
        </c:ser>
        <c:ser>
          <c:idx val="1"/>
          <c:order val="1"/>
          <c:tx>
            <c:strRef>
              <c:f>Sheet1!$C$1</c:f>
              <c:strCache>
                <c:ptCount val="1"/>
                <c:pt idx="0">
                  <c:v>2021 m. IV ketv.</c:v>
                </c:pt>
              </c:strCache>
            </c:strRef>
          </c:tx>
          <c:spPr>
            <a:solidFill>
              <a:srgbClr val="F06482"/>
            </a:solidFill>
            <a:ln>
              <a:solidFill>
                <a:schemeClr val="bg1"/>
              </a:solidFill>
            </a:ln>
          </c:spPr>
          <c:invertIfNegative val="0"/>
          <c:dLbls>
            <c:numFmt formatCode="#,#00" sourceLinked="0"/>
            <c:spPr>
              <a:noFill/>
              <a:ln>
                <a:noFill/>
              </a:ln>
              <a:effectLst/>
            </c:spPr>
            <c:txPr>
              <a:bodyPr rot="-5400000" vert="horz"/>
              <a:lstStyle/>
              <a:p>
                <a:pPr>
                  <a:defRPr sz="800" b="0" baseline="0"/>
                </a:pPr>
                <a:endParaRPr lang="lt-LT"/>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Sheet1!$A$2:$A$20</c:f>
              <c:strCache>
                <c:ptCount val="19"/>
                <c:pt idx="0">
                  <c:v>J</c:v>
                </c:pt>
                <c:pt idx="1">
                  <c:v>K</c:v>
                </c:pt>
                <c:pt idx="2">
                  <c:v>M</c:v>
                </c:pt>
                <c:pt idx="3">
                  <c:v>Q </c:v>
                </c:pt>
                <c:pt idx="4">
                  <c:v>O </c:v>
                </c:pt>
                <c:pt idx="5">
                  <c:v>D</c:v>
                </c:pt>
                <c:pt idx="6">
                  <c:v>B </c:v>
                </c:pt>
                <c:pt idx="7">
                  <c:v>C </c:v>
                </c:pt>
                <c:pt idx="8">
                  <c:v>P </c:v>
                </c:pt>
                <c:pt idx="9">
                  <c:v>G </c:v>
                </c:pt>
                <c:pt idx="10">
                  <c:v>E </c:v>
                </c:pt>
                <c:pt idx="11">
                  <c:v>F </c:v>
                </c:pt>
                <c:pt idx="12">
                  <c:v>L </c:v>
                </c:pt>
                <c:pt idx="13">
                  <c:v>H</c:v>
                </c:pt>
                <c:pt idx="14">
                  <c:v>A </c:v>
                </c:pt>
                <c:pt idx="15">
                  <c:v>S </c:v>
                </c:pt>
                <c:pt idx="16">
                  <c:v>R</c:v>
                </c:pt>
                <c:pt idx="17">
                  <c:v>N</c:v>
                </c:pt>
                <c:pt idx="18">
                  <c:v>I</c:v>
                </c:pt>
              </c:strCache>
            </c:strRef>
          </c:cat>
          <c:val>
            <c:numRef>
              <c:f>Sheet1!$C$2:$C$20</c:f>
              <c:numCache>
                <c:formatCode>#,#00</c:formatCode>
                <c:ptCount val="19"/>
                <c:pt idx="0">
                  <c:v>3012.3617211999999</c:v>
                </c:pt>
                <c:pt idx="1">
                  <c:v>2697.9409491000001</c:v>
                </c:pt>
                <c:pt idx="2">
                  <c:v>2073.2706171</c:v>
                </c:pt>
                <c:pt idx="3">
                  <c:v>2037.3585631000001</c:v>
                </c:pt>
                <c:pt idx="4">
                  <c:v>1974.7682189</c:v>
                </c:pt>
                <c:pt idx="5">
                  <c:v>1882.0430341000001</c:v>
                </c:pt>
                <c:pt idx="6">
                  <c:v>1867.6138281000001</c:v>
                </c:pt>
                <c:pt idx="7">
                  <c:v>1640.1306285999999</c:v>
                </c:pt>
                <c:pt idx="8">
                  <c:v>1636.7702641000001</c:v>
                </c:pt>
                <c:pt idx="9">
                  <c:v>1551.6772217</c:v>
                </c:pt>
                <c:pt idx="10">
                  <c:v>1505.3944915</c:v>
                </c:pt>
                <c:pt idx="11">
                  <c:v>1439.8326930000001</c:v>
                </c:pt>
                <c:pt idx="12">
                  <c:v>1429.96262</c:v>
                </c:pt>
                <c:pt idx="13">
                  <c:v>1414.0025866999999</c:v>
                </c:pt>
                <c:pt idx="14">
                  <c:v>1387.0252178999999</c:v>
                </c:pt>
                <c:pt idx="15">
                  <c:v>1359.4638502</c:v>
                </c:pt>
                <c:pt idx="16">
                  <c:v>1356.7676978</c:v>
                </c:pt>
                <c:pt idx="17">
                  <c:v>1317.467236</c:v>
                </c:pt>
                <c:pt idx="18">
                  <c:v>1108.3201773999999</c:v>
                </c:pt>
              </c:numCache>
            </c:numRef>
          </c:val>
          <c:extLst>
            <c:ext xmlns:c16="http://schemas.microsoft.com/office/drawing/2014/chart" uri="{C3380CC4-5D6E-409C-BE32-E72D297353CC}">
              <c16:uniqueId val="{00000001-C3DA-4416-8EEB-C10035370F49}"/>
            </c:ext>
          </c:extLst>
        </c:ser>
        <c:dLbls>
          <c:showLegendKey val="0"/>
          <c:showVal val="0"/>
          <c:showCatName val="0"/>
          <c:showSerName val="0"/>
          <c:showPercent val="0"/>
          <c:showBubbleSize val="0"/>
        </c:dLbls>
        <c:gapWidth val="20"/>
        <c:axId val="376272768"/>
        <c:axId val="376274304"/>
      </c:barChart>
      <c:lineChart>
        <c:grouping val="standard"/>
        <c:varyColors val="0"/>
        <c:ser>
          <c:idx val="2"/>
          <c:order val="2"/>
          <c:tx>
            <c:strRef>
              <c:f>Sheet1!$D$1</c:f>
              <c:strCache>
                <c:ptCount val="1"/>
                <c:pt idx="0">
                  <c:v> Bruto darbo užmokestis šalies ūkyje 2020 m. IV ketv. – 1 524,2 EUR</c:v>
                </c:pt>
              </c:strCache>
            </c:strRef>
          </c:tx>
          <c:spPr>
            <a:ln w="12700">
              <a:solidFill>
                <a:srgbClr val="28286E"/>
              </a:solidFill>
              <a:prstDash val="solid"/>
            </a:ln>
          </c:spPr>
          <c:marker>
            <c:symbol val="none"/>
          </c:marker>
          <c:cat>
            <c:strRef>
              <c:f>Sheet1!$A$2:$A$20</c:f>
              <c:strCache>
                <c:ptCount val="19"/>
                <c:pt idx="0">
                  <c:v>J</c:v>
                </c:pt>
                <c:pt idx="1">
                  <c:v>K</c:v>
                </c:pt>
                <c:pt idx="2">
                  <c:v>M</c:v>
                </c:pt>
                <c:pt idx="3">
                  <c:v>Q </c:v>
                </c:pt>
                <c:pt idx="4">
                  <c:v>O </c:v>
                </c:pt>
                <c:pt idx="5">
                  <c:v>D</c:v>
                </c:pt>
                <c:pt idx="6">
                  <c:v>B </c:v>
                </c:pt>
                <c:pt idx="7">
                  <c:v>C </c:v>
                </c:pt>
                <c:pt idx="8">
                  <c:v>P </c:v>
                </c:pt>
                <c:pt idx="9">
                  <c:v>G </c:v>
                </c:pt>
                <c:pt idx="10">
                  <c:v>E </c:v>
                </c:pt>
                <c:pt idx="11">
                  <c:v>F </c:v>
                </c:pt>
                <c:pt idx="12">
                  <c:v>L </c:v>
                </c:pt>
                <c:pt idx="13">
                  <c:v>H</c:v>
                </c:pt>
                <c:pt idx="14">
                  <c:v>A </c:v>
                </c:pt>
                <c:pt idx="15">
                  <c:v>S </c:v>
                </c:pt>
                <c:pt idx="16">
                  <c:v>R</c:v>
                </c:pt>
                <c:pt idx="17">
                  <c:v>N</c:v>
                </c:pt>
                <c:pt idx="18">
                  <c:v>I</c:v>
                </c:pt>
              </c:strCache>
            </c:strRef>
          </c:cat>
          <c:val>
            <c:numRef>
              <c:f>Sheet1!$D$2:$D$20</c:f>
              <c:numCache>
                <c:formatCode>General</c:formatCode>
                <c:ptCount val="19"/>
                <c:pt idx="0">
                  <c:v>1524.2</c:v>
                </c:pt>
                <c:pt idx="1">
                  <c:v>1524.2</c:v>
                </c:pt>
                <c:pt idx="2">
                  <c:v>1524.2</c:v>
                </c:pt>
                <c:pt idx="3">
                  <c:v>1524.2</c:v>
                </c:pt>
                <c:pt idx="4">
                  <c:v>1524.2</c:v>
                </c:pt>
                <c:pt idx="5">
                  <c:v>1524.2</c:v>
                </c:pt>
                <c:pt idx="6">
                  <c:v>1524.2</c:v>
                </c:pt>
                <c:pt idx="7">
                  <c:v>1524.2</c:v>
                </c:pt>
                <c:pt idx="8">
                  <c:v>1524.2</c:v>
                </c:pt>
                <c:pt idx="9">
                  <c:v>1524.2</c:v>
                </c:pt>
                <c:pt idx="10">
                  <c:v>1524.2</c:v>
                </c:pt>
                <c:pt idx="11">
                  <c:v>1524.2</c:v>
                </c:pt>
                <c:pt idx="12">
                  <c:v>1524.2</c:v>
                </c:pt>
                <c:pt idx="13">
                  <c:v>1524.2</c:v>
                </c:pt>
                <c:pt idx="14">
                  <c:v>1524.2</c:v>
                </c:pt>
                <c:pt idx="15">
                  <c:v>1524.2</c:v>
                </c:pt>
                <c:pt idx="16">
                  <c:v>1524.2</c:v>
                </c:pt>
                <c:pt idx="17">
                  <c:v>1524.2</c:v>
                </c:pt>
                <c:pt idx="18">
                  <c:v>1524.2</c:v>
                </c:pt>
              </c:numCache>
            </c:numRef>
          </c:val>
          <c:smooth val="0"/>
          <c:extLst>
            <c:ext xmlns:c16="http://schemas.microsoft.com/office/drawing/2014/chart" uri="{C3380CC4-5D6E-409C-BE32-E72D297353CC}">
              <c16:uniqueId val="{00000002-C3DA-4416-8EEB-C10035370F49}"/>
            </c:ext>
          </c:extLst>
        </c:ser>
        <c:ser>
          <c:idx val="3"/>
          <c:order val="3"/>
          <c:tx>
            <c:strRef>
              <c:f>Sheet1!$E$1</c:f>
              <c:strCache>
                <c:ptCount val="1"/>
                <c:pt idx="0">
                  <c:v> Bruto darbo užmokestis šalies ūkyje 2021 m. IV ketv. – 1 679,3 EUR</c:v>
                </c:pt>
              </c:strCache>
            </c:strRef>
          </c:tx>
          <c:spPr>
            <a:ln w="25400">
              <a:solidFill>
                <a:srgbClr val="788CC8"/>
              </a:solidFill>
            </a:ln>
          </c:spPr>
          <c:marker>
            <c:symbol val="none"/>
          </c:marker>
          <c:cat>
            <c:strRef>
              <c:f>Sheet1!$A$2:$A$20</c:f>
              <c:strCache>
                <c:ptCount val="19"/>
                <c:pt idx="0">
                  <c:v>J</c:v>
                </c:pt>
                <c:pt idx="1">
                  <c:v>K</c:v>
                </c:pt>
                <c:pt idx="2">
                  <c:v>M</c:v>
                </c:pt>
                <c:pt idx="3">
                  <c:v>Q </c:v>
                </c:pt>
                <c:pt idx="4">
                  <c:v>O </c:v>
                </c:pt>
                <c:pt idx="5">
                  <c:v>D</c:v>
                </c:pt>
                <c:pt idx="6">
                  <c:v>B </c:v>
                </c:pt>
                <c:pt idx="7">
                  <c:v>C </c:v>
                </c:pt>
                <c:pt idx="8">
                  <c:v>P </c:v>
                </c:pt>
                <c:pt idx="9">
                  <c:v>G </c:v>
                </c:pt>
                <c:pt idx="10">
                  <c:v>E </c:v>
                </c:pt>
                <c:pt idx="11">
                  <c:v>F </c:v>
                </c:pt>
                <c:pt idx="12">
                  <c:v>L </c:v>
                </c:pt>
                <c:pt idx="13">
                  <c:v>H</c:v>
                </c:pt>
                <c:pt idx="14">
                  <c:v>A </c:v>
                </c:pt>
                <c:pt idx="15">
                  <c:v>S </c:v>
                </c:pt>
                <c:pt idx="16">
                  <c:v>R</c:v>
                </c:pt>
                <c:pt idx="17">
                  <c:v>N</c:v>
                </c:pt>
                <c:pt idx="18">
                  <c:v>I</c:v>
                </c:pt>
              </c:strCache>
            </c:strRef>
          </c:cat>
          <c:val>
            <c:numRef>
              <c:f>Sheet1!$E$2:$E$20</c:f>
              <c:numCache>
                <c:formatCode>General</c:formatCode>
                <c:ptCount val="19"/>
                <c:pt idx="0">
                  <c:v>1679.3</c:v>
                </c:pt>
                <c:pt idx="1">
                  <c:v>1679.3</c:v>
                </c:pt>
                <c:pt idx="2">
                  <c:v>1679.3</c:v>
                </c:pt>
                <c:pt idx="3">
                  <c:v>1679.3</c:v>
                </c:pt>
                <c:pt idx="4">
                  <c:v>1679.3</c:v>
                </c:pt>
                <c:pt idx="5">
                  <c:v>1679.3</c:v>
                </c:pt>
                <c:pt idx="6">
                  <c:v>1679.3</c:v>
                </c:pt>
                <c:pt idx="7">
                  <c:v>1679.3</c:v>
                </c:pt>
                <c:pt idx="8">
                  <c:v>1679.3</c:v>
                </c:pt>
                <c:pt idx="9">
                  <c:v>1679.3</c:v>
                </c:pt>
                <c:pt idx="10">
                  <c:v>1679.3</c:v>
                </c:pt>
                <c:pt idx="11">
                  <c:v>1679.3</c:v>
                </c:pt>
                <c:pt idx="12">
                  <c:v>1679.3</c:v>
                </c:pt>
                <c:pt idx="13">
                  <c:v>1679.3</c:v>
                </c:pt>
                <c:pt idx="14">
                  <c:v>1679.3</c:v>
                </c:pt>
                <c:pt idx="15">
                  <c:v>1679.3</c:v>
                </c:pt>
                <c:pt idx="16">
                  <c:v>1679.3</c:v>
                </c:pt>
                <c:pt idx="17">
                  <c:v>1679.3</c:v>
                </c:pt>
                <c:pt idx="18">
                  <c:v>1679.3</c:v>
                </c:pt>
              </c:numCache>
            </c:numRef>
          </c:val>
          <c:smooth val="0"/>
          <c:extLst>
            <c:ext xmlns:c16="http://schemas.microsoft.com/office/drawing/2014/chart" uri="{C3380CC4-5D6E-409C-BE32-E72D297353CC}">
              <c16:uniqueId val="{00000003-C3DA-4416-8EEB-C10035370F49}"/>
            </c:ext>
          </c:extLst>
        </c:ser>
        <c:dLbls>
          <c:showLegendKey val="0"/>
          <c:showVal val="0"/>
          <c:showCatName val="0"/>
          <c:showSerName val="0"/>
          <c:showPercent val="0"/>
          <c:showBubbleSize val="0"/>
        </c:dLbls>
        <c:marker val="1"/>
        <c:smooth val="0"/>
        <c:axId val="376272768"/>
        <c:axId val="376274304"/>
      </c:lineChart>
      <c:catAx>
        <c:axId val="376272768"/>
        <c:scaling>
          <c:orientation val="minMax"/>
        </c:scaling>
        <c:delete val="0"/>
        <c:axPos val="b"/>
        <c:numFmt formatCode="General" sourceLinked="0"/>
        <c:majorTickMark val="out"/>
        <c:minorTickMark val="none"/>
        <c:tickLblPos val="nextTo"/>
        <c:spPr>
          <a:ln w="3175">
            <a:solidFill>
              <a:srgbClr val="000000"/>
            </a:solidFill>
          </a:ln>
        </c:spPr>
        <c:txPr>
          <a:bodyPr/>
          <a:lstStyle/>
          <a:p>
            <a:pPr>
              <a:defRPr sz="800"/>
            </a:pPr>
            <a:endParaRPr lang="lt-LT"/>
          </a:p>
        </c:txPr>
        <c:crossAx val="376274304"/>
        <c:crossesAt val="0"/>
        <c:auto val="1"/>
        <c:lblAlgn val="ctr"/>
        <c:lblOffset val="100"/>
        <c:noMultiLvlLbl val="0"/>
      </c:catAx>
      <c:valAx>
        <c:axId val="376274304"/>
        <c:scaling>
          <c:orientation val="minMax"/>
          <c:min val="0"/>
        </c:scaling>
        <c:delete val="0"/>
        <c:axPos val="l"/>
        <c:majorGridlines>
          <c:spPr>
            <a:ln>
              <a:noFill/>
            </a:ln>
          </c:spPr>
        </c:majorGridlines>
        <c:numFmt formatCode="#,##0" sourceLinked="0"/>
        <c:majorTickMark val="out"/>
        <c:minorTickMark val="none"/>
        <c:tickLblPos val="nextTo"/>
        <c:spPr>
          <a:ln w="3175">
            <a:solidFill>
              <a:srgbClr val="000000"/>
            </a:solidFill>
          </a:ln>
        </c:spPr>
        <c:txPr>
          <a:bodyPr/>
          <a:lstStyle/>
          <a:p>
            <a:pPr>
              <a:defRPr sz="800"/>
            </a:pPr>
            <a:endParaRPr lang="lt-LT"/>
          </a:p>
        </c:txPr>
        <c:crossAx val="376272768"/>
        <c:crosses val="autoZero"/>
        <c:crossBetween val="between"/>
        <c:majorUnit val="300"/>
      </c:valAx>
      <c:spPr>
        <a:ln>
          <a:noFill/>
        </a:ln>
      </c:spPr>
    </c:plotArea>
    <c:legend>
      <c:legendPos val="b"/>
      <c:layout>
        <c:manualLayout>
          <c:xMode val="edge"/>
          <c:yMode val="edge"/>
          <c:x val="2.4944517666377553E-2"/>
          <c:y val="0.7724057427370935"/>
          <c:w val="0.65064387286751835"/>
          <c:h val="0.2069619855800674"/>
        </c:manualLayout>
      </c:layout>
      <c:overlay val="0"/>
      <c:txPr>
        <a:bodyPr/>
        <a:lstStyle/>
        <a:p>
          <a:pPr>
            <a:defRPr sz="900"/>
          </a:pPr>
          <a:endParaRPr lang="lt-LT"/>
        </a:p>
      </c:txPr>
    </c:legend>
    <c:plotVisOnly val="1"/>
    <c:dispBlanksAs val="gap"/>
    <c:showDLblsOverMax val="0"/>
  </c:chart>
  <c:spPr>
    <a:noFill/>
    <a:ln>
      <a:noFill/>
    </a:ln>
  </c:spPr>
  <c:txPr>
    <a:bodyPr/>
    <a:lstStyle/>
    <a:p>
      <a:pPr>
        <a:defRPr sz="900">
          <a:latin typeface="Arial" panose="020B0604020202020204" pitchFamily="34" charset="0"/>
          <a:cs typeface="Arial" panose="020B0604020202020204" pitchFamily="34" charset="0"/>
        </a:defRPr>
      </a:pPr>
      <a:endParaRPr lang="lt-LT"/>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3.6231430008920394E-2"/>
          <c:y val="5.5346389551938172E-2"/>
          <c:w val="0.94563797631466107"/>
          <c:h val="0.87749556057968003"/>
        </c:manualLayout>
      </c:layout>
      <c:barChart>
        <c:barDir val="col"/>
        <c:grouping val="clustered"/>
        <c:varyColors val="0"/>
        <c:ser>
          <c:idx val="0"/>
          <c:order val="0"/>
          <c:tx>
            <c:strRef>
              <c:f>Sheet1!$A$2</c:f>
              <c:strCache>
                <c:ptCount val="1"/>
                <c:pt idx="0">
                  <c:v>Bruto darbo užmokesčio pokytis</c:v>
                </c:pt>
              </c:strCache>
            </c:strRef>
          </c:tx>
          <c:spPr>
            <a:solidFill>
              <a:srgbClr val="F06482"/>
            </a:solidFill>
            <a:ln w="20544">
              <a:noFill/>
            </a:ln>
          </c:spPr>
          <c:invertIfNegative val="0"/>
          <c:dLbls>
            <c:dLbl>
              <c:idx val="0"/>
              <c:layout>
                <c:manualLayout>
                  <c:x val="0"/>
                  <c:y val="1.132478594371125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223-4B89-A25F-0036251DD7E6}"/>
                </c:ext>
              </c:extLst>
            </c:dLbl>
            <c:numFmt formatCode="#,##0.0_ ;\–#,##0.0\ " sourceLinked="0"/>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Sheet1!$B$1:$T$1</c:f>
              <c:strCache>
                <c:ptCount val="19"/>
                <c:pt idx="0">
                  <c:v>H</c:v>
                </c:pt>
                <c:pt idx="1">
                  <c:v>I</c:v>
                </c:pt>
                <c:pt idx="2">
                  <c:v>D</c:v>
                </c:pt>
                <c:pt idx="3">
                  <c:v>N</c:v>
                </c:pt>
                <c:pt idx="4">
                  <c:v>F</c:v>
                </c:pt>
                <c:pt idx="5">
                  <c:v>A</c:v>
                </c:pt>
                <c:pt idx="6">
                  <c:v>K</c:v>
                </c:pt>
                <c:pt idx="7">
                  <c:v>C</c:v>
                </c:pt>
                <c:pt idx="8">
                  <c:v>M</c:v>
                </c:pt>
                <c:pt idx="9">
                  <c:v>G</c:v>
                </c:pt>
                <c:pt idx="10">
                  <c:v>E</c:v>
                </c:pt>
                <c:pt idx="11">
                  <c:v>L</c:v>
                </c:pt>
                <c:pt idx="12">
                  <c:v>S</c:v>
                </c:pt>
                <c:pt idx="13">
                  <c:v>O</c:v>
                </c:pt>
                <c:pt idx="14">
                  <c:v>R</c:v>
                </c:pt>
                <c:pt idx="15">
                  <c:v>J</c:v>
                </c:pt>
                <c:pt idx="16">
                  <c:v>Q</c:v>
                </c:pt>
                <c:pt idx="17">
                  <c:v>P</c:v>
                </c:pt>
                <c:pt idx="18">
                  <c:v>B</c:v>
                </c:pt>
              </c:strCache>
            </c:strRef>
          </c:cat>
          <c:val>
            <c:numRef>
              <c:f>Sheet1!$B$2:$T$2</c:f>
              <c:numCache>
                <c:formatCode>#,#00</c:formatCode>
                <c:ptCount val="19"/>
                <c:pt idx="0">
                  <c:v>0.59999999999999432</c:v>
                </c:pt>
                <c:pt idx="1">
                  <c:v>1.2000000000000028</c:v>
                </c:pt>
                <c:pt idx="2">
                  <c:v>1.9000000000000057</c:v>
                </c:pt>
                <c:pt idx="3">
                  <c:v>2.0999999999999943</c:v>
                </c:pt>
                <c:pt idx="4">
                  <c:v>2.2999999999999972</c:v>
                </c:pt>
                <c:pt idx="5">
                  <c:v>2.5</c:v>
                </c:pt>
                <c:pt idx="6">
                  <c:v>2.7999999999999972</c:v>
                </c:pt>
                <c:pt idx="7">
                  <c:v>3.4000000000000057</c:v>
                </c:pt>
                <c:pt idx="8">
                  <c:v>4.2000000000000028</c:v>
                </c:pt>
                <c:pt idx="9">
                  <c:v>4.4000000000000057</c:v>
                </c:pt>
                <c:pt idx="10">
                  <c:v>4.7000000000000028</c:v>
                </c:pt>
                <c:pt idx="11">
                  <c:v>4.9000000000000057</c:v>
                </c:pt>
                <c:pt idx="12">
                  <c:v>5.0999999999999943</c:v>
                </c:pt>
                <c:pt idx="13">
                  <c:v>6.5</c:v>
                </c:pt>
                <c:pt idx="14">
                  <c:v>6.7000000000000028</c:v>
                </c:pt>
                <c:pt idx="15">
                  <c:v>7.2999999999999972</c:v>
                </c:pt>
                <c:pt idx="16">
                  <c:v>8.0999999999999943</c:v>
                </c:pt>
                <c:pt idx="17">
                  <c:v>11.099999999999994</c:v>
                </c:pt>
                <c:pt idx="18">
                  <c:v>11.200000000000003</c:v>
                </c:pt>
              </c:numCache>
            </c:numRef>
          </c:val>
          <c:extLst>
            <c:ext xmlns:c16="http://schemas.microsoft.com/office/drawing/2014/chart" uri="{C3380CC4-5D6E-409C-BE32-E72D297353CC}">
              <c16:uniqueId val="{00000001-B223-4B89-A25F-0036251DD7E6}"/>
            </c:ext>
          </c:extLst>
        </c:ser>
        <c:dLbls>
          <c:showLegendKey val="0"/>
          <c:showVal val="0"/>
          <c:showCatName val="0"/>
          <c:showSerName val="0"/>
          <c:showPercent val="0"/>
          <c:showBubbleSize val="0"/>
        </c:dLbls>
        <c:gapWidth val="30"/>
        <c:axId val="375965184"/>
        <c:axId val="375966720"/>
      </c:barChart>
      <c:lineChart>
        <c:grouping val="standard"/>
        <c:varyColors val="0"/>
        <c:ser>
          <c:idx val="1"/>
          <c:order val="1"/>
          <c:tx>
            <c:strRef>
              <c:f>Sheet1!$A$3</c:f>
              <c:strCache>
                <c:ptCount val="1"/>
                <c:pt idx="0">
                  <c:v>Šalies ūkyje padidėjo 5,1 proc.                            </c:v>
                </c:pt>
              </c:strCache>
            </c:strRef>
          </c:tx>
          <c:spPr>
            <a:ln w="25400">
              <a:solidFill>
                <a:srgbClr val="788CC8"/>
              </a:solidFill>
              <a:prstDash val="solid"/>
            </a:ln>
          </c:spPr>
          <c:marker>
            <c:symbol val="none"/>
          </c:marker>
          <c:cat>
            <c:strRef>
              <c:f>Sheet1!$B$1:$T$1</c:f>
              <c:strCache>
                <c:ptCount val="19"/>
                <c:pt idx="0">
                  <c:v>H</c:v>
                </c:pt>
                <c:pt idx="1">
                  <c:v>I</c:v>
                </c:pt>
                <c:pt idx="2">
                  <c:v>D</c:v>
                </c:pt>
                <c:pt idx="3">
                  <c:v>N</c:v>
                </c:pt>
                <c:pt idx="4">
                  <c:v>F</c:v>
                </c:pt>
                <c:pt idx="5">
                  <c:v>A</c:v>
                </c:pt>
                <c:pt idx="6">
                  <c:v>K</c:v>
                </c:pt>
                <c:pt idx="7">
                  <c:v>C</c:v>
                </c:pt>
                <c:pt idx="8">
                  <c:v>M</c:v>
                </c:pt>
                <c:pt idx="9">
                  <c:v>G</c:v>
                </c:pt>
                <c:pt idx="10">
                  <c:v>E</c:v>
                </c:pt>
                <c:pt idx="11">
                  <c:v>L</c:v>
                </c:pt>
                <c:pt idx="12">
                  <c:v>S</c:v>
                </c:pt>
                <c:pt idx="13">
                  <c:v>O</c:v>
                </c:pt>
                <c:pt idx="14">
                  <c:v>R</c:v>
                </c:pt>
                <c:pt idx="15">
                  <c:v>J</c:v>
                </c:pt>
                <c:pt idx="16">
                  <c:v>Q</c:v>
                </c:pt>
                <c:pt idx="17">
                  <c:v>P</c:v>
                </c:pt>
                <c:pt idx="18">
                  <c:v>B</c:v>
                </c:pt>
              </c:strCache>
            </c:strRef>
          </c:cat>
          <c:val>
            <c:numRef>
              <c:f>Sheet1!$B$3:$T$3</c:f>
              <c:numCache>
                <c:formatCode>General</c:formatCode>
                <c:ptCount val="19"/>
                <c:pt idx="0">
                  <c:v>5.0999999999999996</c:v>
                </c:pt>
                <c:pt idx="1">
                  <c:v>5.0999999999999996</c:v>
                </c:pt>
                <c:pt idx="2">
                  <c:v>5.0999999999999996</c:v>
                </c:pt>
                <c:pt idx="3">
                  <c:v>5.0999999999999996</c:v>
                </c:pt>
                <c:pt idx="4">
                  <c:v>5.0999999999999996</c:v>
                </c:pt>
                <c:pt idx="5">
                  <c:v>5.0999999999999996</c:v>
                </c:pt>
                <c:pt idx="6">
                  <c:v>5.0999999999999996</c:v>
                </c:pt>
                <c:pt idx="7">
                  <c:v>5.0999999999999996</c:v>
                </c:pt>
                <c:pt idx="8">
                  <c:v>5.0999999999999996</c:v>
                </c:pt>
                <c:pt idx="9">
                  <c:v>5.0999999999999996</c:v>
                </c:pt>
                <c:pt idx="10">
                  <c:v>5.0999999999999996</c:v>
                </c:pt>
                <c:pt idx="11">
                  <c:v>5.0999999999999996</c:v>
                </c:pt>
                <c:pt idx="12">
                  <c:v>5.0999999999999996</c:v>
                </c:pt>
                <c:pt idx="13">
                  <c:v>5.0999999999999996</c:v>
                </c:pt>
                <c:pt idx="14">
                  <c:v>5.0999999999999996</c:v>
                </c:pt>
                <c:pt idx="15">
                  <c:v>5.0999999999999996</c:v>
                </c:pt>
                <c:pt idx="16">
                  <c:v>5.0999999999999996</c:v>
                </c:pt>
                <c:pt idx="17">
                  <c:v>5.0999999999999996</c:v>
                </c:pt>
                <c:pt idx="18">
                  <c:v>5.0999999999999996</c:v>
                </c:pt>
              </c:numCache>
            </c:numRef>
          </c:val>
          <c:smooth val="0"/>
          <c:extLst>
            <c:ext xmlns:c16="http://schemas.microsoft.com/office/drawing/2014/chart" uri="{C3380CC4-5D6E-409C-BE32-E72D297353CC}">
              <c16:uniqueId val="{00000002-B223-4B89-A25F-0036251DD7E6}"/>
            </c:ext>
          </c:extLst>
        </c:ser>
        <c:dLbls>
          <c:showLegendKey val="0"/>
          <c:showVal val="0"/>
          <c:showCatName val="0"/>
          <c:showSerName val="0"/>
          <c:showPercent val="0"/>
          <c:showBubbleSize val="0"/>
        </c:dLbls>
        <c:marker val="1"/>
        <c:smooth val="0"/>
        <c:axId val="375965184"/>
        <c:axId val="375966720"/>
      </c:lineChart>
      <c:catAx>
        <c:axId val="37596518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a:pPr>
            <a:endParaRPr lang="lt-LT"/>
          </a:p>
        </c:txPr>
        <c:crossAx val="375966720"/>
        <c:crosses val="autoZero"/>
        <c:auto val="1"/>
        <c:lblAlgn val="ctr"/>
        <c:lblOffset val="100"/>
        <c:tickLblSkip val="1"/>
        <c:tickMarkSkip val="1"/>
        <c:noMultiLvlLbl val="0"/>
      </c:catAx>
      <c:valAx>
        <c:axId val="375966720"/>
        <c:scaling>
          <c:orientation val="minMax"/>
          <c:max val="12"/>
          <c:min val="0"/>
        </c:scaling>
        <c:delete val="0"/>
        <c:axPos val="l"/>
        <c:numFmt formatCode="#,##0;\–#,##0" sourceLinked="0"/>
        <c:majorTickMark val="out"/>
        <c:minorTickMark val="none"/>
        <c:tickLblPos val="nextTo"/>
        <c:spPr>
          <a:ln w="3175">
            <a:solidFill>
              <a:srgbClr val="000000"/>
            </a:solidFill>
            <a:prstDash val="solid"/>
          </a:ln>
        </c:spPr>
        <c:txPr>
          <a:bodyPr rot="0" vert="horz"/>
          <a:lstStyle/>
          <a:p>
            <a:pPr>
              <a:defRPr kern="1400" baseline="0"/>
            </a:pPr>
            <a:endParaRPr lang="lt-LT"/>
          </a:p>
        </c:txPr>
        <c:crossAx val="375965184"/>
        <c:crosses val="autoZero"/>
        <c:crossBetween val="between"/>
        <c:majorUnit val="2"/>
      </c:valAx>
      <c:spPr>
        <a:noFill/>
        <a:ln w="22129">
          <a:noFill/>
        </a:ln>
      </c:spPr>
    </c:plotArea>
    <c:legend>
      <c:legendPos val="r"/>
      <c:legendEntry>
        <c:idx val="0"/>
        <c:delete val="1"/>
      </c:legendEntry>
      <c:layout>
        <c:manualLayout>
          <c:xMode val="edge"/>
          <c:yMode val="edge"/>
          <c:x val="0.12672025093118996"/>
          <c:y val="0.23640067379637253"/>
          <c:w val="0.33287343688978693"/>
          <c:h val="0.10644938039461488"/>
        </c:manualLayout>
      </c:layout>
      <c:overlay val="0"/>
      <c:spPr>
        <a:noFill/>
        <a:ln w="20534">
          <a:noFill/>
        </a:ln>
      </c:spPr>
      <c:txPr>
        <a:bodyPr/>
        <a:lstStyle/>
        <a:p>
          <a:pPr>
            <a:defRPr sz="900"/>
          </a:pPr>
          <a:endParaRPr lang="lt-LT"/>
        </a:p>
      </c:txPr>
    </c:legend>
    <c:plotVisOnly val="1"/>
    <c:dispBlanksAs val="gap"/>
    <c:showDLblsOverMax val="0"/>
  </c:chart>
  <c:spPr>
    <a:noFill/>
    <a:ln>
      <a:noFill/>
    </a:ln>
  </c:spPr>
  <c:txPr>
    <a:bodyPr/>
    <a:lstStyle/>
    <a:p>
      <a:pPr>
        <a:defRPr sz="800" b="0" i="0" u="none" strike="noStrike" baseline="0">
          <a:solidFill>
            <a:srgbClr val="000000"/>
          </a:solidFill>
          <a:latin typeface="Arial"/>
          <a:ea typeface="Arial"/>
          <a:cs typeface="Arial"/>
        </a:defRPr>
      </a:pPr>
      <a:endParaRPr lang="lt-LT"/>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4776365987565408E-2"/>
          <c:y val="1.6994024415808325E-2"/>
          <c:w val="0.95403562598579539"/>
          <c:h val="0.7469643671238736"/>
        </c:manualLayout>
      </c:layout>
      <c:barChart>
        <c:barDir val="col"/>
        <c:grouping val="clustered"/>
        <c:varyColors val="0"/>
        <c:ser>
          <c:idx val="0"/>
          <c:order val="0"/>
          <c:tx>
            <c:strRef>
              <c:f>Sheet1!$A$2</c:f>
              <c:strCache>
                <c:ptCount val="1"/>
                <c:pt idx="0">
                  <c:v>2020 m. IV ketv.</c:v>
                </c:pt>
              </c:strCache>
            </c:strRef>
          </c:tx>
          <c:spPr>
            <a:solidFill>
              <a:srgbClr val="FABEC3"/>
            </a:solidFill>
            <a:ln>
              <a:solidFill>
                <a:schemeClr val="bg1"/>
              </a:solidFill>
            </a:ln>
          </c:spPr>
          <c:invertIfNegative val="0"/>
          <c:dLbls>
            <c:dLbl>
              <c:idx val="0"/>
              <c:layout>
                <c:manualLayout>
                  <c:x val="1.9481784531463073E-2"/>
                  <c:y val="-9.7040630821790576E-3"/>
                </c:manualLayout>
              </c:layout>
              <c:numFmt formatCode="#,##0.0_ ;\–#,##0.0\ " sourceLinked="0"/>
              <c:spPr>
                <a:noFill/>
                <a:ln>
                  <a:noFill/>
                </a:ln>
                <a:effectLst/>
              </c:spPr>
              <c:txPr>
                <a:bodyPr wrap="none" lIns="38100" tIns="0" rIns="38100" bIns="0" anchor="ctr">
                  <a:noAutofit/>
                </a:bodyPr>
                <a:lstStyle/>
                <a:p>
                  <a:pPr>
                    <a:defRPr sz="800"/>
                  </a:pPr>
                  <a:endParaRPr lang="lt-LT"/>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4.6366647184882134E-2"/>
                      <c:h val="2.2140955575692425E-2"/>
                    </c:manualLayout>
                  </c15:layout>
                </c:ext>
                <c:ext xmlns:c16="http://schemas.microsoft.com/office/drawing/2014/chart" uri="{C3380CC4-5D6E-409C-BE32-E72D297353CC}">
                  <c16:uniqueId val="{00000000-343C-4F56-AABE-E02C5A8E2CE4}"/>
                </c:ext>
              </c:extLst>
            </c:dLbl>
            <c:dLbl>
              <c:idx val="6"/>
              <c:layout>
                <c:manualLayout>
                  <c:x val="-3.4694469519536142E-18"/>
                  <c:y val="-3.7313570053395459E-2"/>
                </c:manualLayout>
              </c:layout>
              <c:numFmt formatCode="#,##0.0_ ;\–#,##0.0\ " sourceLinked="0"/>
              <c:spPr>
                <a:noFill/>
                <a:ln>
                  <a:noFill/>
                </a:ln>
                <a:effectLst/>
              </c:spPr>
              <c:txPr>
                <a:bodyPr wrap="none" lIns="38100" tIns="0" rIns="38100" bIns="0" anchor="ctr">
                  <a:noAutofit/>
                </a:bodyPr>
                <a:lstStyle/>
                <a:p>
                  <a:pPr>
                    <a:defRPr sz="800"/>
                  </a:pPr>
                  <a:endParaRPr lang="lt-LT"/>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3.8065412776062249E-2"/>
                      <c:h val="3.0036202100522654E-2"/>
                    </c:manualLayout>
                  </c15:layout>
                </c:ext>
                <c:ext xmlns:c16="http://schemas.microsoft.com/office/drawing/2014/chart" uri="{C3380CC4-5D6E-409C-BE32-E72D297353CC}">
                  <c16:uniqueId val="{00000001-343C-4F56-AABE-E02C5A8E2CE4}"/>
                </c:ext>
              </c:extLst>
            </c:dLbl>
            <c:dLbl>
              <c:idx val="9"/>
              <c:numFmt formatCode="#,##0.0_ ;\–#,##0.0\ " sourceLinked="0"/>
              <c:spPr>
                <a:noFill/>
                <a:ln>
                  <a:noFill/>
                </a:ln>
                <a:effectLst/>
              </c:spPr>
              <c:txPr>
                <a:bodyPr wrap="none" lIns="38100" tIns="0" rIns="38100" bIns="0" anchor="ctr">
                  <a:noAutofit/>
                </a:bodyPr>
                <a:lstStyle/>
                <a:p>
                  <a:pPr>
                    <a:defRPr sz="800"/>
                  </a:pPr>
                  <a:endParaRPr lang="lt-LT"/>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2-343C-4F56-AABE-E02C5A8E2CE4}"/>
                </c:ext>
              </c:extLst>
            </c:dLbl>
            <c:dLbl>
              <c:idx val="11"/>
              <c:layout>
                <c:manualLayout>
                  <c:x val="1.9600156801254411E-3"/>
                  <c:y val="-3.474484256243218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43C-4F56-AABE-E02C5A8E2CE4}"/>
                </c:ext>
              </c:extLst>
            </c:dLbl>
            <c:dLbl>
              <c:idx val="14"/>
              <c:numFmt formatCode="#,##0.0_ ;\–#,##0.0\ " sourceLinked="0"/>
              <c:spPr>
                <a:noFill/>
                <a:ln>
                  <a:noFill/>
                </a:ln>
                <a:effectLst/>
              </c:spPr>
              <c:txPr>
                <a:bodyPr wrap="none" lIns="38100" tIns="0" rIns="38100" bIns="0" anchor="ctr">
                  <a:noAutofit/>
                </a:bodyPr>
                <a:lstStyle/>
                <a:p>
                  <a:pPr>
                    <a:defRPr sz="800"/>
                  </a:pPr>
                  <a:endParaRPr lang="lt-LT"/>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4-343C-4F56-AABE-E02C5A8E2CE4}"/>
                </c:ext>
              </c:extLst>
            </c:dLbl>
            <c:dLbl>
              <c:idx val="17"/>
              <c:layout>
                <c:manualLayout>
                  <c:x val="1.9600928460970996E-3"/>
                  <c:y val="-2.6579024387498446E-2"/>
                </c:manualLayout>
              </c:layout>
              <c:numFmt formatCode="#,##0.0_ ;\–#,##0.0\ " sourceLinked="0"/>
              <c:spPr>
                <a:noFill/>
                <a:ln>
                  <a:noFill/>
                </a:ln>
                <a:effectLst/>
              </c:spPr>
              <c:txPr>
                <a:bodyPr wrap="none" lIns="38100" tIns="0" rIns="38100" bIns="0" anchor="ctr">
                  <a:noAutofit/>
                </a:bodyPr>
                <a:lstStyle/>
                <a:p>
                  <a:pPr>
                    <a:defRPr sz="800"/>
                  </a:pPr>
                  <a:endParaRPr lang="lt-LT"/>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3.8296700074387985E-2"/>
                      <c:h val="4.3905658147270536E-2"/>
                    </c:manualLayout>
                  </c15:layout>
                </c:ext>
                <c:ext xmlns:c16="http://schemas.microsoft.com/office/drawing/2014/chart" uri="{C3380CC4-5D6E-409C-BE32-E72D297353CC}">
                  <c16:uniqueId val="{00000005-343C-4F56-AABE-E02C5A8E2CE4}"/>
                </c:ext>
              </c:extLst>
            </c:dLbl>
            <c:numFmt formatCode="#,##0.0_ ;\–#,##0.0\ " sourceLinked="0"/>
            <c:spPr>
              <a:noFill/>
              <a:ln>
                <a:noFill/>
              </a:ln>
              <a:effectLst/>
            </c:spPr>
            <c:txPr>
              <a:bodyPr wrap="none" lIns="38100" tIns="0" rIns="38100" bIns="0" anchor="ctr">
                <a:spAutoFit/>
              </a:bodyPr>
              <a:lstStyle/>
              <a:p>
                <a:pPr>
                  <a:defRPr sz="800"/>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strRef>
              <c:f>Sheet1!$B$1:$T$1</c:f>
              <c:strCache>
                <c:ptCount val="19"/>
                <c:pt idx="0">
                  <c:v>H</c:v>
                </c:pt>
                <c:pt idx="1">
                  <c:v>D</c:v>
                </c:pt>
                <c:pt idx="2">
                  <c:v>B</c:v>
                </c:pt>
                <c:pt idx="3">
                  <c:v>O</c:v>
                </c:pt>
                <c:pt idx="4">
                  <c:v>P</c:v>
                </c:pt>
                <c:pt idx="5">
                  <c:v>E</c:v>
                </c:pt>
                <c:pt idx="6">
                  <c:v>N</c:v>
                </c:pt>
                <c:pt idx="7">
                  <c:v>F</c:v>
                </c:pt>
                <c:pt idx="8">
                  <c:v>M</c:v>
                </c:pt>
                <c:pt idx="9">
                  <c:v>C</c:v>
                </c:pt>
                <c:pt idx="10">
                  <c:v>L</c:v>
                </c:pt>
                <c:pt idx="11">
                  <c:v>K</c:v>
                </c:pt>
                <c:pt idx="12">
                  <c:v>Q</c:v>
                </c:pt>
                <c:pt idx="13">
                  <c:v>S</c:v>
                </c:pt>
                <c:pt idx="14">
                  <c:v>J</c:v>
                </c:pt>
                <c:pt idx="15">
                  <c:v>R</c:v>
                </c:pt>
                <c:pt idx="16">
                  <c:v>A</c:v>
                </c:pt>
                <c:pt idx="17">
                  <c:v>G</c:v>
                </c:pt>
                <c:pt idx="18">
                  <c:v>I</c:v>
                </c:pt>
              </c:strCache>
            </c:strRef>
          </c:cat>
          <c:val>
            <c:numRef>
              <c:f>Sheet1!$B$2:$T$2</c:f>
              <c:numCache>
                <c:formatCode>General</c:formatCode>
                <c:ptCount val="19"/>
                <c:pt idx="0">
                  <c:v>17.899999999999999</c:v>
                </c:pt>
                <c:pt idx="1">
                  <c:v>10.8</c:v>
                </c:pt>
                <c:pt idx="2">
                  <c:v>6.5</c:v>
                </c:pt>
                <c:pt idx="3">
                  <c:v>10.9</c:v>
                </c:pt>
                <c:pt idx="4">
                  <c:v>19.100000000000001</c:v>
                </c:pt>
                <c:pt idx="5">
                  <c:v>10.1</c:v>
                </c:pt>
                <c:pt idx="6">
                  <c:v>8.6</c:v>
                </c:pt>
                <c:pt idx="7">
                  <c:v>9.5</c:v>
                </c:pt>
                <c:pt idx="8">
                  <c:v>8.1</c:v>
                </c:pt>
                <c:pt idx="9">
                  <c:v>8.5</c:v>
                </c:pt>
                <c:pt idx="10">
                  <c:v>6.7</c:v>
                </c:pt>
                <c:pt idx="11">
                  <c:v>5.4</c:v>
                </c:pt>
                <c:pt idx="12">
                  <c:v>18.8</c:v>
                </c:pt>
                <c:pt idx="13">
                  <c:v>8.9</c:v>
                </c:pt>
                <c:pt idx="14">
                  <c:v>10.199999999999999</c:v>
                </c:pt>
                <c:pt idx="15">
                  <c:v>8.4</c:v>
                </c:pt>
                <c:pt idx="16">
                  <c:v>7.6</c:v>
                </c:pt>
                <c:pt idx="17">
                  <c:v>9.9</c:v>
                </c:pt>
                <c:pt idx="18">
                  <c:v>-5.8</c:v>
                </c:pt>
              </c:numCache>
            </c:numRef>
          </c:val>
          <c:extLst>
            <c:ext xmlns:c16="http://schemas.microsoft.com/office/drawing/2014/chart" uri="{C3380CC4-5D6E-409C-BE32-E72D297353CC}">
              <c16:uniqueId val="{00000006-343C-4F56-AABE-E02C5A8E2CE4}"/>
            </c:ext>
          </c:extLst>
        </c:ser>
        <c:ser>
          <c:idx val="2"/>
          <c:order val="2"/>
          <c:tx>
            <c:strRef>
              <c:f>Sheet1!$A$4</c:f>
              <c:strCache>
                <c:ptCount val="1"/>
                <c:pt idx="0">
                  <c:v>2021 m. IV ketv.</c:v>
                </c:pt>
              </c:strCache>
            </c:strRef>
          </c:tx>
          <c:spPr>
            <a:solidFill>
              <a:srgbClr val="F06482"/>
            </a:solidFill>
            <a:ln>
              <a:solidFill>
                <a:schemeClr val="bg1"/>
              </a:solidFill>
            </a:ln>
          </c:spPr>
          <c:invertIfNegative val="0"/>
          <c:dLbls>
            <c:dLbl>
              <c:idx val="4"/>
              <c:layout>
                <c:manualLayout>
                  <c:x val="-5.8800470403763232E-3"/>
                  <c:y val="-4.343105320304017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43C-4F56-AABE-E02C5A8E2CE4}"/>
                </c:ext>
              </c:extLst>
            </c:dLbl>
            <c:dLbl>
              <c:idx val="5"/>
              <c:layout>
                <c:manualLayout>
                  <c:x val="4.740056236395348E-5"/>
                  <c:y val="2.804871871359182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43C-4F56-AABE-E02C5A8E2CE4}"/>
                </c:ext>
              </c:extLst>
            </c:dLbl>
            <c:dLbl>
              <c:idx val="6"/>
              <c:layout>
                <c:manualLayout>
                  <c:x val="0"/>
                  <c:y val="-7.86275911365260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43C-4F56-AABE-E02C5A8E2CE4}"/>
                </c:ext>
              </c:extLst>
            </c:dLbl>
            <c:dLbl>
              <c:idx val="9"/>
              <c:layout>
                <c:manualLayout>
                  <c:x val="9.9778950775513092E-4"/>
                  <c:y val="1.6674282376384075E-2"/>
                </c:manualLayout>
              </c:layout>
              <c:numFmt formatCode="#,##0.0" sourceLinked="0"/>
              <c:spPr>
                <a:noFill/>
                <a:ln>
                  <a:noFill/>
                </a:ln>
                <a:effectLst/>
              </c:spPr>
              <c:txPr>
                <a:bodyPr wrap="square" lIns="38100" tIns="0" rIns="0" bIns="0" anchor="ctr" anchorCtr="0">
                  <a:noAutofit/>
                </a:bodyPr>
                <a:lstStyle/>
                <a:p>
                  <a:pPr>
                    <a:defRPr sz="800"/>
                  </a:pPr>
                  <a:endParaRPr lang="lt-LT"/>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4.9409180369110781E-2"/>
                      <c:h val="4.996643591851347E-2"/>
                    </c:manualLayout>
                  </c15:layout>
                </c:ext>
                <c:ext xmlns:c16="http://schemas.microsoft.com/office/drawing/2014/chart" uri="{C3380CC4-5D6E-409C-BE32-E72D297353CC}">
                  <c16:uniqueId val="{0000000A-343C-4F56-AABE-E02C5A8E2CE4}"/>
                </c:ext>
              </c:extLst>
            </c:dLbl>
            <c:dLbl>
              <c:idx val="10"/>
              <c:layout>
                <c:manualLayout>
                  <c:x val="-6.8396964445728829E-17"/>
                  <c:y val="-5.5742563862867765E-3"/>
                </c:manualLayout>
              </c:layout>
              <c:numFmt formatCode="#,##0.0" sourceLinked="0"/>
              <c:spPr>
                <a:noFill/>
                <a:ln>
                  <a:noFill/>
                </a:ln>
                <a:effectLst/>
              </c:spPr>
              <c:txPr>
                <a:bodyPr wrap="square" lIns="38100" tIns="0" rIns="0" bIns="0" anchor="ctr" anchorCtr="0">
                  <a:noAutofit/>
                </a:bodyPr>
                <a:lstStyle/>
                <a:p>
                  <a:pPr>
                    <a:defRPr sz="800"/>
                  </a:pPr>
                  <a:endParaRPr lang="lt-LT"/>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3.6540924786505724E-2"/>
                      <c:h val="6.6661092281203399E-2"/>
                    </c:manualLayout>
                  </c15:layout>
                </c:ext>
                <c:ext xmlns:c16="http://schemas.microsoft.com/office/drawing/2014/chart" uri="{C3380CC4-5D6E-409C-BE32-E72D297353CC}">
                  <c16:uniqueId val="{0000000B-343C-4F56-AABE-E02C5A8E2CE4}"/>
                </c:ext>
              </c:extLst>
            </c:dLbl>
            <c:numFmt formatCode="#,##0.0" sourceLinked="0"/>
            <c:spPr>
              <a:noFill/>
              <a:ln>
                <a:noFill/>
              </a:ln>
              <a:effectLst/>
            </c:spPr>
            <c:txPr>
              <a:bodyPr wrap="square" lIns="38100" tIns="0" rIns="0" bIns="0" anchor="ctr" anchorCtr="0">
                <a:spAutoFit/>
              </a:bodyPr>
              <a:lstStyle/>
              <a:p>
                <a:pPr>
                  <a:defRPr sz="800"/>
                </a:pPr>
                <a:endParaRPr lang="lt-LT"/>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strRef>
              <c:f>Sheet1!$B$1:$T$1</c:f>
              <c:strCache>
                <c:ptCount val="19"/>
                <c:pt idx="0">
                  <c:v>H</c:v>
                </c:pt>
                <c:pt idx="1">
                  <c:v>D</c:v>
                </c:pt>
                <c:pt idx="2">
                  <c:v>B</c:v>
                </c:pt>
                <c:pt idx="3">
                  <c:v>O</c:v>
                </c:pt>
                <c:pt idx="4">
                  <c:v>P</c:v>
                </c:pt>
                <c:pt idx="5">
                  <c:v>E</c:v>
                </c:pt>
                <c:pt idx="6">
                  <c:v>N</c:v>
                </c:pt>
                <c:pt idx="7">
                  <c:v>F</c:v>
                </c:pt>
                <c:pt idx="8">
                  <c:v>M</c:v>
                </c:pt>
                <c:pt idx="9">
                  <c:v>C</c:v>
                </c:pt>
                <c:pt idx="10">
                  <c:v>L</c:v>
                </c:pt>
                <c:pt idx="11">
                  <c:v>K</c:v>
                </c:pt>
                <c:pt idx="12">
                  <c:v>Q</c:v>
                </c:pt>
                <c:pt idx="13">
                  <c:v>S</c:v>
                </c:pt>
                <c:pt idx="14">
                  <c:v>J</c:v>
                </c:pt>
                <c:pt idx="15">
                  <c:v>R</c:v>
                </c:pt>
                <c:pt idx="16">
                  <c:v>A</c:v>
                </c:pt>
                <c:pt idx="17">
                  <c:v>G</c:v>
                </c:pt>
                <c:pt idx="18">
                  <c:v>I</c:v>
                </c:pt>
              </c:strCache>
            </c:strRef>
          </c:cat>
          <c:val>
            <c:numRef>
              <c:f>Sheet1!$B$4:$T$4</c:f>
              <c:numCache>
                <c:formatCode>#,#00</c:formatCode>
                <c:ptCount val="19"/>
                <c:pt idx="0">
                  <c:v>5.5999999999999943</c:v>
                </c:pt>
                <c:pt idx="1">
                  <c:v>6.2000000000000028</c:v>
                </c:pt>
                <c:pt idx="2">
                  <c:v>6.5999999999999943</c:v>
                </c:pt>
                <c:pt idx="3">
                  <c:v>6.5999999999999943</c:v>
                </c:pt>
                <c:pt idx="4">
                  <c:v>6.7999999999999972</c:v>
                </c:pt>
                <c:pt idx="5">
                  <c:v>8.2999999999999972</c:v>
                </c:pt>
                <c:pt idx="6">
                  <c:v>8.7000000000000028</c:v>
                </c:pt>
                <c:pt idx="7">
                  <c:v>9.7999999999999972</c:v>
                </c:pt>
                <c:pt idx="8">
                  <c:v>9.9000000000000057</c:v>
                </c:pt>
                <c:pt idx="9">
                  <c:v>10.400000000000006</c:v>
                </c:pt>
                <c:pt idx="10">
                  <c:v>10.400000000000006</c:v>
                </c:pt>
                <c:pt idx="11">
                  <c:v>10.900000000000006</c:v>
                </c:pt>
                <c:pt idx="12">
                  <c:v>11.400000000000006</c:v>
                </c:pt>
                <c:pt idx="13">
                  <c:v>11.400000000000006</c:v>
                </c:pt>
                <c:pt idx="14">
                  <c:v>12.599999999999994</c:v>
                </c:pt>
                <c:pt idx="15">
                  <c:v>12.599999999999994</c:v>
                </c:pt>
                <c:pt idx="16">
                  <c:v>12.900000000000006</c:v>
                </c:pt>
                <c:pt idx="17">
                  <c:v>14.099999999999994</c:v>
                </c:pt>
                <c:pt idx="18">
                  <c:v>26.1</c:v>
                </c:pt>
              </c:numCache>
            </c:numRef>
          </c:val>
          <c:extLst>
            <c:ext xmlns:c16="http://schemas.microsoft.com/office/drawing/2014/chart" uri="{C3380CC4-5D6E-409C-BE32-E72D297353CC}">
              <c16:uniqueId val="{0000000C-343C-4F56-AABE-E02C5A8E2CE4}"/>
            </c:ext>
          </c:extLst>
        </c:ser>
        <c:dLbls>
          <c:showLegendKey val="0"/>
          <c:showVal val="0"/>
          <c:showCatName val="0"/>
          <c:showSerName val="0"/>
          <c:showPercent val="0"/>
          <c:showBubbleSize val="0"/>
        </c:dLbls>
        <c:gapWidth val="20"/>
        <c:axId val="377663872"/>
        <c:axId val="377665408"/>
      </c:barChart>
      <c:lineChart>
        <c:grouping val="standard"/>
        <c:varyColors val="0"/>
        <c:ser>
          <c:idx val="1"/>
          <c:order val="1"/>
          <c:tx>
            <c:strRef>
              <c:f>Sheet1!$A$3</c:f>
              <c:strCache>
                <c:ptCount val="1"/>
                <c:pt idx="0">
                  <c:v>2020 m. IV ketv. šalies ūkyje padidėjo 12,2 proc.</c:v>
                </c:pt>
              </c:strCache>
            </c:strRef>
          </c:tx>
          <c:spPr>
            <a:ln w="19050">
              <a:solidFill>
                <a:srgbClr val="28286E"/>
              </a:solidFill>
            </a:ln>
          </c:spPr>
          <c:marker>
            <c:symbol val="none"/>
          </c:marker>
          <c:cat>
            <c:strRef>
              <c:f>Sheet1!$B$1:$T$1</c:f>
              <c:strCache>
                <c:ptCount val="19"/>
                <c:pt idx="0">
                  <c:v>H</c:v>
                </c:pt>
                <c:pt idx="1">
                  <c:v>D</c:v>
                </c:pt>
                <c:pt idx="2">
                  <c:v>B</c:v>
                </c:pt>
                <c:pt idx="3">
                  <c:v>O</c:v>
                </c:pt>
                <c:pt idx="4">
                  <c:v>P</c:v>
                </c:pt>
                <c:pt idx="5">
                  <c:v>E</c:v>
                </c:pt>
                <c:pt idx="6">
                  <c:v>N</c:v>
                </c:pt>
                <c:pt idx="7">
                  <c:v>F</c:v>
                </c:pt>
                <c:pt idx="8">
                  <c:v>M</c:v>
                </c:pt>
                <c:pt idx="9">
                  <c:v>C</c:v>
                </c:pt>
                <c:pt idx="10">
                  <c:v>L</c:v>
                </c:pt>
                <c:pt idx="11">
                  <c:v>K</c:v>
                </c:pt>
                <c:pt idx="12">
                  <c:v>Q</c:v>
                </c:pt>
                <c:pt idx="13">
                  <c:v>S</c:v>
                </c:pt>
                <c:pt idx="14">
                  <c:v>J</c:v>
                </c:pt>
                <c:pt idx="15">
                  <c:v>R</c:v>
                </c:pt>
                <c:pt idx="16">
                  <c:v>A</c:v>
                </c:pt>
                <c:pt idx="17">
                  <c:v>G</c:v>
                </c:pt>
                <c:pt idx="18">
                  <c:v>I</c:v>
                </c:pt>
              </c:strCache>
            </c:strRef>
          </c:cat>
          <c:val>
            <c:numRef>
              <c:f>Sheet1!$B$3:$T$3</c:f>
              <c:numCache>
                <c:formatCode>General</c:formatCode>
                <c:ptCount val="19"/>
                <c:pt idx="0">
                  <c:v>12.2</c:v>
                </c:pt>
                <c:pt idx="1">
                  <c:v>12.2</c:v>
                </c:pt>
                <c:pt idx="2">
                  <c:v>12.2</c:v>
                </c:pt>
                <c:pt idx="3">
                  <c:v>12.2</c:v>
                </c:pt>
                <c:pt idx="4">
                  <c:v>12.2</c:v>
                </c:pt>
                <c:pt idx="5">
                  <c:v>12.2</c:v>
                </c:pt>
                <c:pt idx="6">
                  <c:v>12.2</c:v>
                </c:pt>
                <c:pt idx="7">
                  <c:v>12.2</c:v>
                </c:pt>
                <c:pt idx="8">
                  <c:v>12.2</c:v>
                </c:pt>
                <c:pt idx="9">
                  <c:v>12.2</c:v>
                </c:pt>
                <c:pt idx="10">
                  <c:v>12.2</c:v>
                </c:pt>
                <c:pt idx="11">
                  <c:v>12.2</c:v>
                </c:pt>
                <c:pt idx="12">
                  <c:v>12.2</c:v>
                </c:pt>
                <c:pt idx="13">
                  <c:v>12.2</c:v>
                </c:pt>
                <c:pt idx="14">
                  <c:v>12.2</c:v>
                </c:pt>
                <c:pt idx="15">
                  <c:v>12.2</c:v>
                </c:pt>
                <c:pt idx="16">
                  <c:v>12.2</c:v>
                </c:pt>
                <c:pt idx="17">
                  <c:v>12.2</c:v>
                </c:pt>
                <c:pt idx="18">
                  <c:v>12.2</c:v>
                </c:pt>
              </c:numCache>
            </c:numRef>
          </c:val>
          <c:smooth val="0"/>
          <c:extLst>
            <c:ext xmlns:c16="http://schemas.microsoft.com/office/drawing/2014/chart" uri="{C3380CC4-5D6E-409C-BE32-E72D297353CC}">
              <c16:uniqueId val="{0000000D-343C-4F56-AABE-E02C5A8E2CE4}"/>
            </c:ext>
          </c:extLst>
        </c:ser>
        <c:ser>
          <c:idx val="3"/>
          <c:order val="3"/>
          <c:tx>
            <c:strRef>
              <c:f>Sheet1!$A$5</c:f>
              <c:strCache>
                <c:ptCount val="1"/>
                <c:pt idx="0">
                  <c:v>2021 m. IV ketv. šalies ūkyje padidėjo 10,2 proc.</c:v>
                </c:pt>
              </c:strCache>
            </c:strRef>
          </c:tx>
          <c:spPr>
            <a:ln w="25400">
              <a:solidFill>
                <a:srgbClr val="788CC8"/>
              </a:solidFill>
            </a:ln>
          </c:spPr>
          <c:marker>
            <c:symbol val="none"/>
          </c:marker>
          <c:cat>
            <c:strRef>
              <c:f>Sheet1!$B$1:$T$1</c:f>
              <c:strCache>
                <c:ptCount val="19"/>
                <c:pt idx="0">
                  <c:v>H</c:v>
                </c:pt>
                <c:pt idx="1">
                  <c:v>D</c:v>
                </c:pt>
                <c:pt idx="2">
                  <c:v>B</c:v>
                </c:pt>
                <c:pt idx="3">
                  <c:v>O</c:v>
                </c:pt>
                <c:pt idx="4">
                  <c:v>P</c:v>
                </c:pt>
                <c:pt idx="5">
                  <c:v>E</c:v>
                </c:pt>
                <c:pt idx="6">
                  <c:v>N</c:v>
                </c:pt>
                <c:pt idx="7">
                  <c:v>F</c:v>
                </c:pt>
                <c:pt idx="8">
                  <c:v>M</c:v>
                </c:pt>
                <c:pt idx="9">
                  <c:v>C</c:v>
                </c:pt>
                <c:pt idx="10">
                  <c:v>L</c:v>
                </c:pt>
                <c:pt idx="11">
                  <c:v>K</c:v>
                </c:pt>
                <c:pt idx="12">
                  <c:v>Q</c:v>
                </c:pt>
                <c:pt idx="13">
                  <c:v>S</c:v>
                </c:pt>
                <c:pt idx="14">
                  <c:v>J</c:v>
                </c:pt>
                <c:pt idx="15">
                  <c:v>R</c:v>
                </c:pt>
                <c:pt idx="16">
                  <c:v>A</c:v>
                </c:pt>
                <c:pt idx="17">
                  <c:v>G</c:v>
                </c:pt>
                <c:pt idx="18">
                  <c:v>I</c:v>
                </c:pt>
              </c:strCache>
            </c:strRef>
          </c:cat>
          <c:val>
            <c:numRef>
              <c:f>Sheet1!$B$5:$T$5</c:f>
              <c:numCache>
                <c:formatCode>General</c:formatCode>
                <c:ptCount val="19"/>
                <c:pt idx="0">
                  <c:v>10.199999999999999</c:v>
                </c:pt>
                <c:pt idx="1">
                  <c:v>10.199999999999999</c:v>
                </c:pt>
                <c:pt idx="2">
                  <c:v>10.199999999999999</c:v>
                </c:pt>
                <c:pt idx="3">
                  <c:v>10.199999999999999</c:v>
                </c:pt>
                <c:pt idx="4">
                  <c:v>10.199999999999999</c:v>
                </c:pt>
                <c:pt idx="5">
                  <c:v>10.199999999999999</c:v>
                </c:pt>
                <c:pt idx="6">
                  <c:v>10.199999999999999</c:v>
                </c:pt>
                <c:pt idx="7">
                  <c:v>10.199999999999999</c:v>
                </c:pt>
                <c:pt idx="8">
                  <c:v>10.199999999999999</c:v>
                </c:pt>
                <c:pt idx="9">
                  <c:v>10.199999999999999</c:v>
                </c:pt>
                <c:pt idx="10">
                  <c:v>10.199999999999999</c:v>
                </c:pt>
                <c:pt idx="11">
                  <c:v>10.199999999999999</c:v>
                </c:pt>
                <c:pt idx="12">
                  <c:v>10.199999999999999</c:v>
                </c:pt>
                <c:pt idx="13">
                  <c:v>10.199999999999999</c:v>
                </c:pt>
                <c:pt idx="14">
                  <c:v>10.199999999999999</c:v>
                </c:pt>
                <c:pt idx="15">
                  <c:v>10.199999999999999</c:v>
                </c:pt>
                <c:pt idx="16">
                  <c:v>10.199999999999999</c:v>
                </c:pt>
                <c:pt idx="17">
                  <c:v>10.199999999999999</c:v>
                </c:pt>
                <c:pt idx="18">
                  <c:v>10.199999999999999</c:v>
                </c:pt>
              </c:numCache>
            </c:numRef>
          </c:val>
          <c:smooth val="0"/>
          <c:extLst>
            <c:ext xmlns:c16="http://schemas.microsoft.com/office/drawing/2014/chart" uri="{C3380CC4-5D6E-409C-BE32-E72D297353CC}">
              <c16:uniqueId val="{0000000E-343C-4F56-AABE-E02C5A8E2CE4}"/>
            </c:ext>
          </c:extLst>
        </c:ser>
        <c:dLbls>
          <c:showLegendKey val="0"/>
          <c:showVal val="0"/>
          <c:showCatName val="0"/>
          <c:showSerName val="0"/>
          <c:showPercent val="0"/>
          <c:showBubbleSize val="0"/>
        </c:dLbls>
        <c:marker val="1"/>
        <c:smooth val="0"/>
        <c:axId val="377663872"/>
        <c:axId val="377665408"/>
      </c:lineChart>
      <c:catAx>
        <c:axId val="377663872"/>
        <c:scaling>
          <c:orientation val="minMax"/>
        </c:scaling>
        <c:delete val="0"/>
        <c:axPos val="b"/>
        <c:numFmt formatCode="General" sourceLinked="0"/>
        <c:majorTickMark val="out"/>
        <c:minorTickMark val="none"/>
        <c:tickLblPos val="nextTo"/>
        <c:spPr>
          <a:ln w="3175">
            <a:solidFill>
              <a:srgbClr val="000000"/>
            </a:solidFill>
          </a:ln>
        </c:spPr>
        <c:crossAx val="377665408"/>
        <c:crosses val="autoZero"/>
        <c:auto val="1"/>
        <c:lblAlgn val="ctr"/>
        <c:lblOffset val="100"/>
        <c:tickLblSkip val="1"/>
        <c:noMultiLvlLbl val="0"/>
      </c:catAx>
      <c:valAx>
        <c:axId val="377665408"/>
        <c:scaling>
          <c:orientation val="minMax"/>
          <c:max val="28"/>
          <c:min val="-6"/>
        </c:scaling>
        <c:delete val="0"/>
        <c:axPos val="l"/>
        <c:numFmt formatCode="#,##0;\–#,##0" sourceLinked="0"/>
        <c:majorTickMark val="out"/>
        <c:minorTickMark val="none"/>
        <c:tickLblPos val="nextTo"/>
        <c:spPr>
          <a:ln w="3175">
            <a:solidFill>
              <a:srgbClr val="000000"/>
            </a:solidFill>
          </a:ln>
        </c:spPr>
        <c:crossAx val="377663872"/>
        <c:crosses val="autoZero"/>
        <c:crossBetween val="between"/>
        <c:majorUnit val="3"/>
      </c:valAx>
      <c:spPr>
        <a:noFill/>
        <a:ln>
          <a:noFill/>
        </a:ln>
      </c:spPr>
    </c:plotArea>
    <c:legend>
      <c:legendPos val="r"/>
      <c:layout>
        <c:manualLayout>
          <c:xMode val="edge"/>
          <c:yMode val="edge"/>
          <c:x val="5.6728718396676328E-2"/>
          <c:y val="0.7610064377132012"/>
          <c:w val="0.50977445929803666"/>
          <c:h val="0.17693195516684196"/>
        </c:manualLayout>
      </c:layout>
      <c:overlay val="0"/>
      <c:spPr>
        <a:ln w="3175">
          <a:noFill/>
        </a:ln>
      </c:spPr>
      <c:txPr>
        <a:bodyPr/>
        <a:lstStyle/>
        <a:p>
          <a:pPr>
            <a:defRPr sz="900"/>
          </a:pPr>
          <a:endParaRPr lang="lt-LT"/>
        </a:p>
      </c:txPr>
    </c:legend>
    <c:plotVisOnly val="1"/>
    <c:dispBlanksAs val="gap"/>
    <c:showDLblsOverMax val="0"/>
  </c:chart>
  <c:spPr>
    <a:noFill/>
    <a:ln>
      <a:noFill/>
    </a:ln>
  </c:spPr>
  <c:txPr>
    <a:bodyPr/>
    <a:lstStyle/>
    <a:p>
      <a:pPr>
        <a:defRPr sz="800">
          <a:latin typeface="Arial" panose="020B0604020202020204" pitchFamily="34" charset="0"/>
          <a:cs typeface="Arial" panose="020B0604020202020204" pitchFamily="34" charset="0"/>
        </a:defRPr>
      </a:pPr>
      <a:endParaRPr lang="lt-LT"/>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0.00558</cdr:x>
      <cdr:y>0.01552</cdr:y>
    </cdr:from>
    <cdr:to>
      <cdr:x>0.06809</cdr:x>
      <cdr:y>0.09599</cdr:y>
    </cdr:to>
    <cdr:sp macro="" textlink="">
      <cdr:nvSpPr>
        <cdr:cNvPr id="1025" name="Text Box 1"/>
        <cdr:cNvSpPr txBox="1">
          <a:spLocks xmlns:a="http://schemas.openxmlformats.org/drawingml/2006/main" noChangeArrowheads="1"/>
        </cdr:cNvSpPr>
      </cdr:nvSpPr>
      <cdr:spPr bwMode="auto">
        <a:xfrm xmlns:a="http://schemas.openxmlformats.org/drawingml/2006/main">
          <a:off x="34119" y="39606"/>
          <a:ext cx="382138" cy="20536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0" tIns="36000" rIns="36000" bIns="36000" anchor="t" upright="1">
          <a:spAutoFit/>
        </a:bodyPr>
        <a:lstStyle xmlns:a="http://schemas.openxmlformats.org/drawingml/2006/main"/>
        <a:p xmlns:a="http://schemas.openxmlformats.org/drawingml/2006/main">
          <a:pPr algn="l" rtl="0">
            <a:defRPr sz="1000"/>
          </a:pPr>
          <a:r>
            <a:rPr lang="lt-LT" sz="900" b="0" i="0" u="none" strike="noStrike" baseline="0">
              <a:solidFill>
                <a:srgbClr val="000000"/>
              </a:solidFill>
              <a:latin typeface="Arial"/>
              <a:cs typeface="Arial"/>
            </a:rPr>
            <a:t>EUR</a:t>
          </a:r>
        </a:p>
      </cdr:txBody>
    </cdr:sp>
  </cdr:relSizeAnchor>
  <cdr:relSizeAnchor xmlns:cdr="http://schemas.openxmlformats.org/drawingml/2006/chartDrawing">
    <cdr:from>
      <cdr:x>0.91403</cdr:x>
      <cdr:y>0.01552</cdr:y>
    </cdr:from>
    <cdr:to>
      <cdr:x>0.99976</cdr:x>
      <cdr:y>0.08792</cdr:y>
    </cdr:to>
    <cdr:sp macro="" textlink="">
      <cdr:nvSpPr>
        <cdr:cNvPr id="1026" name="Text Box 2"/>
        <cdr:cNvSpPr txBox="1">
          <a:spLocks xmlns:a="http://schemas.openxmlformats.org/drawingml/2006/main" noChangeArrowheads="1"/>
        </cdr:cNvSpPr>
      </cdr:nvSpPr>
      <cdr:spPr bwMode="auto">
        <a:xfrm xmlns:a="http://schemas.openxmlformats.org/drawingml/2006/main">
          <a:off x="5924810" y="44023"/>
          <a:ext cx="555713" cy="20536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000" tIns="36000" rIns="0" bIns="36000" anchor="t" upright="1">
          <a:spAutoFit/>
        </a:bodyPr>
        <a:lstStyle xmlns:a="http://schemas.openxmlformats.org/drawingml/2006/main"/>
        <a:p xmlns:a="http://schemas.openxmlformats.org/drawingml/2006/main">
          <a:pPr algn="l" rtl="0">
            <a:defRPr sz="1000"/>
          </a:pPr>
          <a:r>
            <a:rPr lang="lt-LT" sz="900" b="0" i="0" u="none" strike="noStrike" baseline="0">
              <a:solidFill>
                <a:srgbClr val="000000"/>
              </a:solidFill>
              <a:latin typeface="Arial"/>
              <a:cs typeface="Arial"/>
            </a:rPr>
            <a:t>Procentai</a:t>
          </a:r>
        </a:p>
      </cdr:txBody>
    </cdr:sp>
  </cdr:relSizeAnchor>
</c:userShape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8</TotalTime>
  <Pages>1</Pages>
  <Words>5836</Words>
  <Characters>3328</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 Ilekyte</dc:creator>
  <cp:keywords/>
  <dc:description/>
  <cp:lastModifiedBy>Dalia Ilekyte</cp:lastModifiedBy>
  <cp:revision>6</cp:revision>
  <dcterms:created xsi:type="dcterms:W3CDTF">2022-02-23T13:36:00Z</dcterms:created>
  <dcterms:modified xsi:type="dcterms:W3CDTF">2022-02-24T08:34:00Z</dcterms:modified>
</cp:coreProperties>
</file>