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D3" w:rsidRPr="00F9078A" w:rsidRDefault="00BC51D3" w:rsidP="00A3650A">
      <w:pPr>
        <w:pStyle w:val="Nrdata"/>
        <w:rPr>
          <w:lang w:val="lt-LT"/>
        </w:rPr>
      </w:pPr>
      <w:r w:rsidRPr="00F9078A">
        <w:rPr>
          <w:lang w:val="lt-LT"/>
        </w:rPr>
        <w:t>20</w:t>
      </w:r>
      <w:r w:rsidR="008F3BE7" w:rsidRPr="00F9078A">
        <w:rPr>
          <w:lang w:val="lt-LT"/>
        </w:rPr>
        <w:t>21</w:t>
      </w:r>
      <w:r w:rsidR="009065B0" w:rsidRPr="00F9078A">
        <w:rPr>
          <w:lang w:val="lt-LT"/>
        </w:rPr>
        <w:t xml:space="preserve"> m</w:t>
      </w:r>
      <w:r w:rsidR="009065B0" w:rsidRPr="0032264F">
        <w:rPr>
          <w:lang w:val="lt-LT"/>
        </w:rPr>
        <w:t xml:space="preserve">. </w:t>
      </w:r>
      <w:r w:rsidR="00CA1EEE" w:rsidRPr="0032264F">
        <w:rPr>
          <w:lang w:val="lt-LT"/>
        </w:rPr>
        <w:t>gegužės</w:t>
      </w:r>
      <w:r w:rsidR="008F3BE7" w:rsidRPr="00F9078A">
        <w:rPr>
          <w:lang w:val="lt-LT"/>
        </w:rPr>
        <w:t xml:space="preserve"> 26</w:t>
      </w:r>
      <w:r w:rsidR="00B25D73" w:rsidRPr="00F9078A">
        <w:rPr>
          <w:lang w:val="lt-LT"/>
        </w:rPr>
        <w:t xml:space="preserve"> </w:t>
      </w:r>
      <w:r w:rsidRPr="00F9078A">
        <w:rPr>
          <w:lang w:val="lt-LT"/>
        </w:rPr>
        <w:t>d., Vilnius</w:t>
      </w:r>
    </w:p>
    <w:p w:rsidR="00B25D73" w:rsidRPr="0032264F" w:rsidRDefault="00316E8F" w:rsidP="005A4B01">
      <w:pPr>
        <w:rPr>
          <w:lang w:val="lt-LT"/>
        </w:rPr>
      </w:pPr>
      <w:r w:rsidRPr="0032264F">
        <w:rPr>
          <w:noProof/>
          <w:lang w:val="lt-LT" w:eastAsia="lt-LT"/>
        </w:rPr>
        <w:drawing>
          <wp:inline distT="0" distB="0" distL="0" distR="0" wp14:anchorId="20F13554" wp14:editId="60979CA3">
            <wp:extent cx="660400" cy="780067"/>
            <wp:effectExtent l="0" t="0" r="6350" b="127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sp.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997" cy="787859"/>
                    </a:xfrm>
                    <a:prstGeom prst="rect">
                      <a:avLst/>
                    </a:prstGeom>
                  </pic:spPr>
                </pic:pic>
              </a:graphicData>
            </a:graphic>
          </wp:inline>
        </w:drawing>
      </w:r>
    </w:p>
    <w:p w:rsidR="00FE6D85" w:rsidRPr="0032264F" w:rsidRDefault="00FE6D85" w:rsidP="005A4B01">
      <w:pPr>
        <w:rPr>
          <w:lang w:val="lt-LT"/>
        </w:rPr>
      </w:pPr>
    </w:p>
    <w:p w:rsidR="00F32B5D" w:rsidRPr="0032264F" w:rsidRDefault="00CA1EEE" w:rsidP="005C210B">
      <w:pPr>
        <w:pStyle w:val="Antraste"/>
        <w:jc w:val="left"/>
        <w:rPr>
          <w:b w:val="0"/>
          <w:lang w:val="lt-LT"/>
        </w:rPr>
      </w:pPr>
      <w:r w:rsidRPr="0032264F">
        <w:rPr>
          <w:lang w:val="lt-LT"/>
        </w:rPr>
        <w:t>DARBO UŽMOKESTIS</w:t>
      </w:r>
      <w:r w:rsidR="005C210B" w:rsidRPr="0032264F">
        <w:rPr>
          <w:lang w:val="lt-LT"/>
        </w:rPr>
        <w:t xml:space="preserve"> </w:t>
      </w:r>
    </w:p>
    <w:p w:rsidR="00F07311" w:rsidRPr="0032264F" w:rsidRDefault="00F07311" w:rsidP="00F07311">
      <w:pPr>
        <w:rPr>
          <w:lang w:val="lt-LT"/>
        </w:rPr>
      </w:pPr>
    </w:p>
    <w:p w:rsidR="00F07311" w:rsidRPr="0032264F" w:rsidRDefault="00F07311" w:rsidP="00B25D73">
      <w:pPr>
        <w:pStyle w:val="Paantraste"/>
        <w:spacing w:before="120"/>
        <w:jc w:val="left"/>
        <w:rPr>
          <w:caps w:val="0"/>
          <w:lang w:val="lt-LT"/>
        </w:rPr>
      </w:pPr>
      <w:proofErr w:type="spellStart"/>
      <w:r w:rsidRPr="0032264F">
        <w:rPr>
          <w:caps w:val="0"/>
          <w:color w:val="9BBB59" w:themeColor="accent3"/>
          <w:lang w:val="lt-LT"/>
        </w:rPr>
        <w:t>B</w:t>
      </w:r>
      <w:r w:rsidR="004E43DE" w:rsidRPr="0032264F">
        <w:rPr>
          <w:caps w:val="0"/>
          <w:color w:val="9BBB59" w:themeColor="accent3"/>
          <w:lang w:val="lt-LT"/>
        </w:rPr>
        <w:t>ruto</w:t>
      </w:r>
      <w:proofErr w:type="spellEnd"/>
      <w:r w:rsidR="004E43DE" w:rsidRPr="0032264F">
        <w:rPr>
          <w:caps w:val="0"/>
          <w:color w:val="9BBB59" w:themeColor="accent3"/>
          <w:lang w:val="lt-LT"/>
        </w:rPr>
        <w:t xml:space="preserve"> darbo užmokestis </w:t>
      </w:r>
      <w:r w:rsidR="004E43DE" w:rsidRPr="0032264F">
        <w:rPr>
          <w:caps w:val="0"/>
          <w:lang w:val="lt-LT"/>
        </w:rPr>
        <w:t>šalies ūkyje</w:t>
      </w:r>
      <w:r w:rsidR="007A13F6" w:rsidRPr="0032264F">
        <w:rPr>
          <w:caps w:val="0"/>
          <w:lang w:val="lt-LT"/>
        </w:rPr>
        <w:t xml:space="preserve"> per 2020</w:t>
      </w:r>
      <w:r w:rsidR="00B25D73" w:rsidRPr="0032264F">
        <w:rPr>
          <w:caps w:val="0"/>
          <w:lang w:val="lt-LT"/>
        </w:rPr>
        <w:t> </w:t>
      </w:r>
      <w:r w:rsidR="00CA1EEE" w:rsidRPr="0032264F">
        <w:rPr>
          <w:caps w:val="0"/>
          <w:lang w:val="lt-LT"/>
        </w:rPr>
        <w:t>metus</w:t>
      </w:r>
      <w:r w:rsidR="004E43DE" w:rsidRPr="0032264F">
        <w:rPr>
          <w:caps w:val="0"/>
          <w:lang w:val="lt-LT"/>
        </w:rPr>
        <w:t xml:space="preserve"> padidėjo </w:t>
      </w:r>
      <w:r w:rsidR="007A13F6" w:rsidRPr="0032264F">
        <w:rPr>
          <w:caps w:val="0"/>
          <w:lang w:val="lt-LT"/>
        </w:rPr>
        <w:t>10,2</w:t>
      </w:r>
      <w:r w:rsidR="00B25D73" w:rsidRPr="0032264F">
        <w:rPr>
          <w:caps w:val="0"/>
          <w:lang w:val="lt-LT"/>
        </w:rPr>
        <w:t> </w:t>
      </w:r>
      <w:r w:rsidR="004E43DE" w:rsidRPr="0032264F">
        <w:rPr>
          <w:caps w:val="0"/>
          <w:lang w:val="lt-LT"/>
        </w:rPr>
        <w:t>proc.</w:t>
      </w:r>
    </w:p>
    <w:p w:rsidR="00D60B4E" w:rsidRPr="0032264F" w:rsidRDefault="007A13F6" w:rsidP="00FD4E48">
      <w:pPr>
        <w:pStyle w:val="ListParagraph"/>
        <w:numPr>
          <w:ilvl w:val="0"/>
          <w:numId w:val="11"/>
        </w:numPr>
        <w:spacing w:before="120" w:after="120"/>
        <w:ind w:left="568" w:hanging="284"/>
        <w:contextualSpacing w:val="0"/>
        <w:jc w:val="both"/>
        <w:rPr>
          <w:rFonts w:cs="Arial"/>
          <w:lang w:val="lt-LT" w:eastAsia="lt-LT"/>
        </w:rPr>
      </w:pPr>
      <w:r w:rsidRPr="0032264F">
        <w:rPr>
          <w:color w:val="000000"/>
          <w:lang w:val="lt-LT"/>
        </w:rPr>
        <w:t>2020</w:t>
      </w:r>
      <w:r w:rsidR="004D4DBF" w:rsidRPr="0032264F">
        <w:rPr>
          <w:color w:val="000000"/>
          <w:lang w:val="lt-LT"/>
        </w:rPr>
        <w:t> </w:t>
      </w:r>
      <w:r w:rsidR="00752F39" w:rsidRPr="0032264F">
        <w:rPr>
          <w:color w:val="000000"/>
          <w:lang w:val="lt-LT"/>
        </w:rPr>
        <w:t>m. v</w:t>
      </w:r>
      <w:r w:rsidR="005550AC" w:rsidRPr="0032264F">
        <w:rPr>
          <w:color w:val="000000"/>
          <w:lang w:val="lt-LT"/>
        </w:rPr>
        <w:t xml:space="preserve">idutinis mėnesinis </w:t>
      </w:r>
      <w:proofErr w:type="spellStart"/>
      <w:r w:rsidR="005550AC" w:rsidRPr="0032264F">
        <w:rPr>
          <w:color w:val="000000"/>
          <w:lang w:val="lt-LT"/>
        </w:rPr>
        <w:t>bruto</w:t>
      </w:r>
      <w:proofErr w:type="spellEnd"/>
      <w:r w:rsidR="005550AC" w:rsidRPr="0032264F">
        <w:rPr>
          <w:color w:val="000000"/>
          <w:lang w:val="lt-LT"/>
        </w:rPr>
        <w:t xml:space="preserve"> darbo </w:t>
      </w:r>
      <w:r w:rsidR="005550AC" w:rsidRPr="0032264F">
        <w:rPr>
          <w:rFonts w:cs="Arial"/>
          <w:color w:val="000000"/>
          <w:lang w:val="lt-LT"/>
        </w:rPr>
        <w:t>užmokestis</w:t>
      </w:r>
      <w:r w:rsidR="005550AC" w:rsidRPr="0032264F">
        <w:rPr>
          <w:rFonts w:eastAsia="Calibri" w:cs="Arial"/>
          <w:color w:val="000000"/>
          <w:lang w:val="lt-LT"/>
        </w:rPr>
        <w:t xml:space="preserve"> </w:t>
      </w:r>
      <w:r w:rsidR="005550AC" w:rsidRPr="0032264F">
        <w:rPr>
          <w:color w:val="000000"/>
          <w:lang w:val="lt-LT"/>
        </w:rPr>
        <w:t>šalies ūkyje</w:t>
      </w:r>
      <w:r w:rsidR="00752F39" w:rsidRPr="0032264F">
        <w:rPr>
          <w:color w:val="000000"/>
          <w:lang w:val="lt-LT"/>
        </w:rPr>
        <w:t>, įskaitant</w:t>
      </w:r>
      <w:r w:rsidR="005550AC" w:rsidRPr="0032264F">
        <w:rPr>
          <w:color w:val="000000"/>
          <w:lang w:val="lt-LT"/>
        </w:rPr>
        <w:t xml:space="preserve"> </w:t>
      </w:r>
      <w:r w:rsidR="00752F39" w:rsidRPr="0032264F">
        <w:rPr>
          <w:rFonts w:cs="Arial"/>
          <w:color w:val="000000"/>
          <w:lang w:val="lt-LT"/>
        </w:rPr>
        <w:t>individualiąsias</w:t>
      </w:r>
      <w:r w:rsidR="00167536" w:rsidRPr="0032264F">
        <w:rPr>
          <w:color w:val="000000"/>
          <w:lang w:val="lt-LT"/>
        </w:rPr>
        <w:t xml:space="preserve"> įmones, sudarė </w:t>
      </w:r>
      <w:r w:rsidRPr="0032264F">
        <w:rPr>
          <w:lang w:val="lt-LT"/>
        </w:rPr>
        <w:t>1 428,6</w:t>
      </w:r>
      <w:r w:rsidR="00850189" w:rsidRPr="004359A2">
        <w:rPr>
          <w:lang w:val="lt-LT"/>
        </w:rPr>
        <w:t> </w:t>
      </w:r>
      <w:r w:rsidR="00053957" w:rsidRPr="0032264F">
        <w:rPr>
          <w:lang w:val="lt-LT"/>
        </w:rPr>
        <w:t>EUR</w:t>
      </w:r>
      <w:r w:rsidR="000C3661" w:rsidRPr="0032264F">
        <w:rPr>
          <w:color w:val="000000"/>
          <w:lang w:val="lt-LT"/>
        </w:rPr>
        <w:t>.</w:t>
      </w:r>
      <w:r w:rsidR="00C3119B" w:rsidRPr="0032264F">
        <w:rPr>
          <w:color w:val="000000"/>
          <w:lang w:val="lt-LT"/>
        </w:rPr>
        <w:t xml:space="preserve">, </w:t>
      </w:r>
      <w:r w:rsidRPr="0032264F">
        <w:rPr>
          <w:color w:val="000000"/>
          <w:lang w:val="lt-LT"/>
        </w:rPr>
        <w:t xml:space="preserve">ir </w:t>
      </w:r>
      <w:r w:rsidR="00C3119B" w:rsidRPr="0032264F">
        <w:rPr>
          <w:color w:val="000000"/>
          <w:lang w:val="lt-LT"/>
        </w:rPr>
        <w:t xml:space="preserve">palyginti su </w:t>
      </w:r>
      <w:r w:rsidRPr="0032264F">
        <w:rPr>
          <w:color w:val="000000"/>
          <w:lang w:val="lt-LT"/>
        </w:rPr>
        <w:t>2019</w:t>
      </w:r>
      <w:r w:rsidR="00C3119B" w:rsidRPr="0032264F">
        <w:rPr>
          <w:color w:val="000000"/>
          <w:lang w:val="lt-LT"/>
        </w:rPr>
        <w:t> m.</w:t>
      </w:r>
      <w:r w:rsidR="00224C3A" w:rsidRPr="0032264F">
        <w:rPr>
          <w:color w:val="000000"/>
          <w:lang w:val="lt-LT"/>
        </w:rPr>
        <w:t>,</w:t>
      </w:r>
      <w:r w:rsidR="00C3119B" w:rsidRPr="0032264F">
        <w:rPr>
          <w:color w:val="000000"/>
          <w:lang w:val="lt-LT"/>
        </w:rPr>
        <w:t xml:space="preserve"> </w:t>
      </w:r>
      <w:r w:rsidRPr="0032264F">
        <w:rPr>
          <w:color w:val="000000"/>
          <w:lang w:val="lt-LT"/>
        </w:rPr>
        <w:t>padidėjo 10,2</w:t>
      </w:r>
      <w:r w:rsidR="004D4DBF" w:rsidRPr="0032264F">
        <w:rPr>
          <w:color w:val="000000"/>
          <w:lang w:val="lt-LT"/>
        </w:rPr>
        <w:t> </w:t>
      </w:r>
      <w:r w:rsidR="00752F39" w:rsidRPr="0032264F">
        <w:rPr>
          <w:color w:val="000000"/>
          <w:lang w:val="lt-LT"/>
        </w:rPr>
        <w:t>proc.</w:t>
      </w:r>
      <w:r w:rsidR="0090106C" w:rsidRPr="0032264F">
        <w:rPr>
          <w:color w:val="000000"/>
          <w:lang w:val="lt-LT"/>
        </w:rPr>
        <w:t>:</w:t>
      </w:r>
      <w:r w:rsidR="005550AC" w:rsidRPr="0032264F">
        <w:rPr>
          <w:color w:val="000000"/>
          <w:lang w:val="lt-LT"/>
        </w:rPr>
        <w:t xml:space="preserve"> </w:t>
      </w:r>
      <w:r w:rsidR="005550AC" w:rsidRPr="0032264F">
        <w:rPr>
          <w:color w:val="9BBB59" w:themeColor="accent3"/>
          <w:lang w:val="lt-LT"/>
        </w:rPr>
        <w:t xml:space="preserve">viešajame sektoriuje </w:t>
      </w:r>
      <w:r w:rsidR="00591014" w:rsidRPr="0032264F">
        <w:rPr>
          <w:color w:val="000000"/>
          <w:lang w:val="lt-LT"/>
        </w:rPr>
        <w:t>jis sudarė 1</w:t>
      </w:r>
      <w:r w:rsidR="00CE6624" w:rsidRPr="0032264F">
        <w:rPr>
          <w:lang w:val="lt-LT"/>
        </w:rPr>
        <w:t> </w:t>
      </w:r>
      <w:r w:rsidR="00CE6624" w:rsidRPr="0032264F">
        <w:rPr>
          <w:color w:val="000000"/>
          <w:lang w:val="lt-LT"/>
        </w:rPr>
        <w:t>541,3 EUR ir buvo 12,5</w:t>
      </w:r>
      <w:r w:rsidR="005550AC" w:rsidRPr="0032264F">
        <w:rPr>
          <w:color w:val="000000"/>
          <w:lang w:val="lt-LT"/>
        </w:rPr>
        <w:t> proc</w:t>
      </w:r>
      <w:r w:rsidR="00752F39" w:rsidRPr="0032264F">
        <w:rPr>
          <w:color w:val="000000"/>
          <w:lang w:val="lt-LT"/>
        </w:rPr>
        <w:t>. didesnis, privačiajame</w:t>
      </w:r>
      <w:r w:rsidR="004D4DBF" w:rsidRPr="0032264F">
        <w:rPr>
          <w:color w:val="000000"/>
          <w:lang w:val="lt-LT"/>
        </w:rPr>
        <w:t> </w:t>
      </w:r>
      <w:r w:rsidR="00591014" w:rsidRPr="0032264F">
        <w:rPr>
          <w:color w:val="000000"/>
          <w:lang w:val="lt-LT"/>
        </w:rPr>
        <w:t>– 1</w:t>
      </w:r>
      <w:r w:rsidR="00167536" w:rsidRPr="0032264F">
        <w:rPr>
          <w:lang w:val="lt-LT"/>
        </w:rPr>
        <w:t> </w:t>
      </w:r>
      <w:r w:rsidR="00CE6624" w:rsidRPr="0032264F">
        <w:rPr>
          <w:color w:val="000000"/>
          <w:lang w:val="lt-LT"/>
        </w:rPr>
        <w:t>379,1</w:t>
      </w:r>
      <w:r w:rsidR="00752F39" w:rsidRPr="0032264F">
        <w:rPr>
          <w:color w:val="000000"/>
          <w:lang w:val="lt-LT"/>
        </w:rPr>
        <w:t> EUR ir</w:t>
      </w:r>
      <w:r w:rsidR="00CE6624" w:rsidRPr="0032264F">
        <w:rPr>
          <w:color w:val="000000"/>
          <w:lang w:val="lt-LT"/>
        </w:rPr>
        <w:t xml:space="preserve"> buvo 9,1</w:t>
      </w:r>
      <w:r w:rsidR="004D4DBF" w:rsidRPr="0032264F">
        <w:rPr>
          <w:color w:val="000000"/>
          <w:lang w:val="lt-LT"/>
        </w:rPr>
        <w:t> </w:t>
      </w:r>
      <w:r w:rsidR="005550AC" w:rsidRPr="0032264F">
        <w:rPr>
          <w:color w:val="000000"/>
          <w:lang w:val="lt-LT"/>
        </w:rPr>
        <w:t xml:space="preserve">proc. didesnis. </w:t>
      </w:r>
    </w:p>
    <w:p w:rsidR="005550AC" w:rsidRPr="0032264F" w:rsidRDefault="00C71370" w:rsidP="00FD4E48">
      <w:pPr>
        <w:pStyle w:val="ListParagraph"/>
        <w:numPr>
          <w:ilvl w:val="0"/>
          <w:numId w:val="11"/>
        </w:numPr>
        <w:spacing w:before="120" w:after="120"/>
        <w:ind w:left="568" w:hanging="284"/>
        <w:contextualSpacing w:val="0"/>
        <w:jc w:val="both"/>
        <w:rPr>
          <w:rFonts w:cs="Arial"/>
          <w:lang w:val="lt-LT" w:eastAsia="lt-LT"/>
        </w:rPr>
      </w:pPr>
      <w:r w:rsidRPr="0032264F">
        <w:rPr>
          <w:lang w:val="lt-LT"/>
        </w:rPr>
        <w:t>Per</w:t>
      </w:r>
      <w:r w:rsidR="00992255" w:rsidRPr="0032264F">
        <w:rPr>
          <w:lang w:val="lt-LT"/>
        </w:rPr>
        <w:t xml:space="preserve"> </w:t>
      </w:r>
      <w:r w:rsidR="007140E2" w:rsidRPr="0032264F">
        <w:rPr>
          <w:lang w:val="lt-LT"/>
        </w:rPr>
        <w:t xml:space="preserve">metus vidutinis mėnesinis </w:t>
      </w:r>
      <w:proofErr w:type="spellStart"/>
      <w:r w:rsidR="007140E2" w:rsidRPr="0032264F">
        <w:rPr>
          <w:lang w:val="lt-LT"/>
        </w:rPr>
        <w:t>bruto</w:t>
      </w:r>
      <w:proofErr w:type="spellEnd"/>
      <w:r w:rsidR="007140E2" w:rsidRPr="0032264F">
        <w:rPr>
          <w:lang w:val="lt-LT"/>
        </w:rPr>
        <w:t xml:space="preserve"> darbo užmokestis šalies ūkyje padidėjo visų </w:t>
      </w:r>
      <w:r w:rsidR="007140E2" w:rsidRPr="0032264F">
        <w:rPr>
          <w:shd w:val="clear" w:color="auto" w:fill="FFFFFF"/>
          <w:lang w:val="lt-LT"/>
        </w:rPr>
        <w:t>ekonominės veiklos rūšių</w:t>
      </w:r>
      <w:r w:rsidR="007140E2" w:rsidRPr="0032264F">
        <w:rPr>
          <w:lang w:val="lt-LT"/>
        </w:rPr>
        <w:t xml:space="preserve"> įmonėse, įstaigose ir organizacijose </w:t>
      </w:r>
      <w:r w:rsidR="004D0B48" w:rsidRPr="0032264F">
        <w:rPr>
          <w:shd w:val="clear" w:color="auto" w:fill="FFFFFF"/>
          <w:lang w:val="lt-LT"/>
        </w:rPr>
        <w:t>nuo 4,7</w:t>
      </w:r>
      <w:r w:rsidR="00316E8F" w:rsidRPr="0032264F">
        <w:rPr>
          <w:shd w:val="clear" w:color="auto" w:fill="FFFFFF"/>
          <w:lang w:val="lt-LT"/>
        </w:rPr>
        <w:t> </w:t>
      </w:r>
      <w:r w:rsidR="00F92D08" w:rsidRPr="0032264F">
        <w:rPr>
          <w:shd w:val="clear" w:color="auto" w:fill="FFFFFF"/>
          <w:lang w:val="lt-LT"/>
        </w:rPr>
        <w:t xml:space="preserve">proc. </w:t>
      </w:r>
      <w:r w:rsidR="004D0B48" w:rsidRPr="0032264F">
        <w:rPr>
          <w:shd w:val="clear" w:color="auto" w:fill="FFFFFF"/>
          <w:lang w:val="lt-LT"/>
        </w:rPr>
        <w:t>(nekilnojamo turto</w:t>
      </w:r>
      <w:r w:rsidR="000B0653" w:rsidRPr="0032264F">
        <w:rPr>
          <w:shd w:val="clear" w:color="auto" w:fill="FFFFFF"/>
          <w:lang w:val="lt-LT"/>
        </w:rPr>
        <w:t xml:space="preserve"> operacijų</w:t>
      </w:r>
      <w:r w:rsidR="009C6AC9" w:rsidRPr="0032264F">
        <w:rPr>
          <w:shd w:val="clear" w:color="auto" w:fill="FFFFFF"/>
          <w:lang w:val="lt-LT"/>
        </w:rPr>
        <w:t xml:space="preserve"> veikloje</w:t>
      </w:r>
      <w:r w:rsidR="004D0B48" w:rsidRPr="0032264F">
        <w:rPr>
          <w:shd w:val="clear" w:color="auto" w:fill="FFFFFF"/>
          <w:lang w:val="lt-LT"/>
        </w:rPr>
        <w:t>) iki 17,4</w:t>
      </w:r>
      <w:r w:rsidR="002B3115" w:rsidRPr="0032264F">
        <w:rPr>
          <w:shd w:val="clear" w:color="auto" w:fill="FFFFFF"/>
          <w:lang w:val="lt-LT"/>
        </w:rPr>
        <w:t> </w:t>
      </w:r>
      <w:r w:rsidR="007140E2" w:rsidRPr="0032264F">
        <w:rPr>
          <w:shd w:val="clear" w:color="auto" w:fill="FFFFFF"/>
          <w:lang w:val="lt-LT"/>
        </w:rPr>
        <w:t xml:space="preserve">proc. </w:t>
      </w:r>
      <w:r w:rsidR="007140E2" w:rsidRPr="0032264F">
        <w:rPr>
          <w:lang w:val="lt-LT"/>
        </w:rPr>
        <w:t>(</w:t>
      </w:r>
      <w:r w:rsidR="00B24859" w:rsidRPr="0032264F">
        <w:rPr>
          <w:lang w:val="lt-LT"/>
        </w:rPr>
        <w:t>žmonių sveikatos priežiūros ir socialinio</w:t>
      </w:r>
      <w:r w:rsidR="007A27E1" w:rsidRPr="0032264F">
        <w:rPr>
          <w:lang w:val="lt-LT"/>
        </w:rPr>
        <w:t xml:space="preserve"> darbo </w:t>
      </w:r>
      <w:r w:rsidR="00635B5A" w:rsidRPr="0032264F">
        <w:rPr>
          <w:lang w:val="lt-LT"/>
        </w:rPr>
        <w:t>veikloje</w:t>
      </w:r>
      <w:r w:rsidR="007A27E1" w:rsidRPr="0032264F">
        <w:rPr>
          <w:lang w:val="lt-LT"/>
        </w:rPr>
        <w:t>)</w:t>
      </w:r>
      <w:r w:rsidR="00C765E8" w:rsidRPr="0032264F">
        <w:rPr>
          <w:lang w:val="lt-LT"/>
        </w:rPr>
        <w:t>, išskyrus</w:t>
      </w:r>
      <w:r w:rsidR="005550AC" w:rsidRPr="0032264F">
        <w:rPr>
          <w:rFonts w:cs="Arial"/>
          <w:sz w:val="18"/>
          <w:szCs w:val="18"/>
          <w:lang w:val="lt-LT" w:eastAsia="en-GB"/>
        </w:rPr>
        <w:t xml:space="preserve"> </w:t>
      </w:r>
      <w:r w:rsidR="00C765E8" w:rsidRPr="0032264F">
        <w:rPr>
          <w:lang w:val="lt-LT"/>
        </w:rPr>
        <w:t xml:space="preserve">apgyvendinimo ir maitinimo paslaugų veiklą, kurioje vidutinis mėnesinis </w:t>
      </w:r>
      <w:r w:rsidR="00C765E8" w:rsidRPr="0032264F">
        <w:rPr>
          <w:noProof/>
          <w:lang w:val="lt-LT"/>
        </w:rPr>
        <w:t>bruto</w:t>
      </w:r>
      <w:r w:rsidR="00C765E8" w:rsidRPr="0032264F">
        <w:rPr>
          <w:lang w:val="lt-LT"/>
        </w:rPr>
        <w:t xml:space="preserve"> darbo užmokestis 1,7 proc. sumažėjo.</w:t>
      </w:r>
    </w:p>
    <w:p w:rsidR="005550AC" w:rsidRPr="0032264F" w:rsidRDefault="005550AC" w:rsidP="00FD4E48">
      <w:pPr>
        <w:pStyle w:val="ListParagraph"/>
        <w:numPr>
          <w:ilvl w:val="0"/>
          <w:numId w:val="11"/>
        </w:numPr>
        <w:spacing w:before="120" w:after="120"/>
        <w:ind w:left="568" w:hanging="284"/>
        <w:contextualSpacing w:val="0"/>
        <w:jc w:val="both"/>
        <w:rPr>
          <w:color w:val="000000"/>
          <w:lang w:val="lt-LT"/>
        </w:rPr>
      </w:pPr>
      <w:r w:rsidRPr="0032264F">
        <w:rPr>
          <w:color w:val="000000"/>
          <w:lang w:val="lt-LT"/>
        </w:rPr>
        <w:t xml:space="preserve">Vidutinis mėnesinis </w:t>
      </w:r>
      <w:proofErr w:type="spellStart"/>
      <w:r w:rsidRPr="0032264F">
        <w:rPr>
          <w:color w:val="9BBB59" w:themeColor="accent3"/>
          <w:lang w:val="lt-LT"/>
        </w:rPr>
        <w:t>neto</w:t>
      </w:r>
      <w:proofErr w:type="spellEnd"/>
      <w:r w:rsidRPr="0032264F">
        <w:rPr>
          <w:color w:val="000000"/>
          <w:lang w:val="lt-LT"/>
        </w:rPr>
        <w:t xml:space="preserve"> (atskaičius darbuotojo mokesčius) </w:t>
      </w:r>
      <w:r w:rsidRPr="0032264F">
        <w:rPr>
          <w:color w:val="9BBB59" w:themeColor="accent3"/>
          <w:lang w:val="lt-LT"/>
        </w:rPr>
        <w:t>darbo užmo</w:t>
      </w:r>
      <w:r w:rsidR="00EB62D9" w:rsidRPr="0032264F">
        <w:rPr>
          <w:color w:val="9BBB59" w:themeColor="accent3"/>
          <w:lang w:val="lt-LT"/>
        </w:rPr>
        <w:t xml:space="preserve">kestis </w:t>
      </w:r>
      <w:r w:rsidR="00EB62D9" w:rsidRPr="0032264F">
        <w:rPr>
          <w:color w:val="000000"/>
          <w:lang w:val="lt-LT"/>
        </w:rPr>
        <w:t>šalies ūkyje s</w:t>
      </w:r>
      <w:r w:rsidR="00694650" w:rsidRPr="0032264F">
        <w:rPr>
          <w:color w:val="000000"/>
          <w:lang w:val="lt-LT"/>
        </w:rPr>
        <w:t>udarė 913</w:t>
      </w:r>
      <w:r w:rsidR="002D6BE5" w:rsidRPr="0032264F">
        <w:rPr>
          <w:color w:val="000000"/>
          <w:lang w:val="lt-LT"/>
        </w:rPr>
        <w:t>,1</w:t>
      </w:r>
      <w:r w:rsidR="008C05CF" w:rsidRPr="0032264F">
        <w:rPr>
          <w:color w:val="000000"/>
          <w:lang w:val="lt-LT"/>
        </w:rPr>
        <w:t xml:space="preserve"> EUR ir, </w:t>
      </w:r>
      <w:r w:rsidR="002D6BE5" w:rsidRPr="0032264F">
        <w:rPr>
          <w:color w:val="000000"/>
          <w:lang w:val="lt-LT"/>
        </w:rPr>
        <w:t xml:space="preserve">palyginti su </w:t>
      </w:r>
      <w:r w:rsidR="007A13F6" w:rsidRPr="0032264F">
        <w:rPr>
          <w:color w:val="000000"/>
          <w:lang w:val="lt-LT"/>
        </w:rPr>
        <w:t>2019</w:t>
      </w:r>
      <w:r w:rsidRPr="0032264F">
        <w:rPr>
          <w:color w:val="000000"/>
          <w:lang w:val="lt-LT"/>
        </w:rPr>
        <w:t> m., pad</w:t>
      </w:r>
      <w:r w:rsidR="00694650" w:rsidRPr="0032264F">
        <w:rPr>
          <w:color w:val="000000"/>
          <w:lang w:val="lt-LT"/>
        </w:rPr>
        <w:t>idėjo 11,1</w:t>
      </w:r>
      <w:r w:rsidRPr="0032264F">
        <w:rPr>
          <w:color w:val="000000"/>
          <w:lang w:val="lt-LT"/>
        </w:rPr>
        <w:t> proc.: vieša</w:t>
      </w:r>
      <w:r w:rsidR="00694650" w:rsidRPr="0032264F">
        <w:rPr>
          <w:color w:val="000000"/>
          <w:lang w:val="lt-LT"/>
        </w:rPr>
        <w:t>jame sektoriuje jis sudarė 977 EUR ir buvo 13</w:t>
      </w:r>
      <w:r w:rsidRPr="0032264F">
        <w:rPr>
          <w:color w:val="000000"/>
          <w:lang w:val="lt-LT"/>
        </w:rPr>
        <w:t> pro</w:t>
      </w:r>
      <w:r w:rsidR="00EB62D9" w:rsidRPr="0032264F">
        <w:rPr>
          <w:color w:val="000000"/>
          <w:lang w:val="lt-LT"/>
        </w:rPr>
        <w:t>c</w:t>
      </w:r>
      <w:r w:rsidR="00694650" w:rsidRPr="0032264F">
        <w:rPr>
          <w:color w:val="000000"/>
          <w:lang w:val="lt-LT"/>
        </w:rPr>
        <w:t>. didesnis, privačiajame</w:t>
      </w:r>
      <w:r w:rsidR="00316E8F" w:rsidRPr="0032264F">
        <w:rPr>
          <w:color w:val="000000"/>
          <w:lang w:val="lt-LT"/>
        </w:rPr>
        <w:t> </w:t>
      </w:r>
      <w:r w:rsidR="00694650" w:rsidRPr="0032264F">
        <w:rPr>
          <w:color w:val="000000"/>
          <w:lang w:val="lt-LT"/>
        </w:rPr>
        <w:t>– 885</w:t>
      </w:r>
      <w:r w:rsidR="002D6BE5" w:rsidRPr="0032264F">
        <w:rPr>
          <w:color w:val="000000"/>
          <w:lang w:val="lt-LT"/>
        </w:rPr>
        <w:t> EUR ir buvo</w:t>
      </w:r>
      <w:r w:rsidR="00694650" w:rsidRPr="0032264F">
        <w:rPr>
          <w:color w:val="000000"/>
          <w:lang w:val="lt-LT"/>
        </w:rPr>
        <w:t xml:space="preserve"> 10,1</w:t>
      </w:r>
      <w:r w:rsidRPr="0032264F">
        <w:rPr>
          <w:color w:val="000000"/>
          <w:lang w:val="lt-LT"/>
        </w:rPr>
        <w:t xml:space="preserve"> proc. didesnis. </w:t>
      </w:r>
    </w:p>
    <w:p w:rsidR="005550AC" w:rsidRPr="0032264F" w:rsidRDefault="00940832" w:rsidP="00FD4E48">
      <w:pPr>
        <w:pStyle w:val="Pagrtekstas"/>
        <w:numPr>
          <w:ilvl w:val="0"/>
          <w:numId w:val="11"/>
        </w:numPr>
        <w:spacing w:before="120" w:after="120"/>
        <w:ind w:left="568" w:hanging="284"/>
        <w:rPr>
          <w:rFonts w:cs="Arial"/>
          <w:color w:val="000000"/>
          <w:lang w:val="lt-LT"/>
        </w:rPr>
      </w:pPr>
      <w:r>
        <w:rPr>
          <w:color w:val="9BBB59" w:themeColor="accent3"/>
          <w:lang w:val="lt-LT"/>
        </w:rPr>
        <w:t>Realiojo darbo užmokesčio indeksas</w:t>
      </w:r>
      <w:r w:rsidR="005550AC" w:rsidRPr="0032264F">
        <w:rPr>
          <w:color w:val="9BBB59" w:themeColor="accent3"/>
          <w:lang w:val="lt-LT"/>
        </w:rPr>
        <w:t xml:space="preserve"> </w:t>
      </w:r>
      <w:r w:rsidR="007A13F6" w:rsidRPr="0032264F">
        <w:rPr>
          <w:color w:val="000000"/>
          <w:lang w:val="lt-LT"/>
        </w:rPr>
        <w:t>2020</w:t>
      </w:r>
      <w:r w:rsidR="005550AC" w:rsidRPr="0032264F">
        <w:rPr>
          <w:color w:val="000000"/>
          <w:lang w:val="lt-LT"/>
        </w:rPr>
        <w:t> m.</w:t>
      </w:r>
      <w:r w:rsidR="00222C96" w:rsidRPr="0032264F">
        <w:rPr>
          <w:color w:val="000000"/>
          <w:lang w:val="lt-LT"/>
        </w:rPr>
        <w:t xml:space="preserve">, palyginti su </w:t>
      </w:r>
      <w:r w:rsidR="007A13F6" w:rsidRPr="0032264F">
        <w:rPr>
          <w:color w:val="000000"/>
          <w:lang w:val="lt-LT"/>
        </w:rPr>
        <w:t>2019</w:t>
      </w:r>
      <w:r w:rsidR="005550AC" w:rsidRPr="0032264F">
        <w:rPr>
          <w:color w:val="000000"/>
          <w:lang w:val="lt-LT"/>
        </w:rPr>
        <w:t> m.</w:t>
      </w:r>
      <w:r w:rsidR="00995460" w:rsidRPr="0032264F">
        <w:rPr>
          <w:color w:val="000000"/>
          <w:lang w:val="lt-LT"/>
        </w:rPr>
        <w:t>,</w:t>
      </w:r>
      <w:r w:rsidR="005550AC" w:rsidRPr="0032264F">
        <w:rPr>
          <w:color w:val="000000"/>
          <w:lang w:val="lt-LT"/>
        </w:rPr>
        <w:t xml:space="preserve"> šalies </w:t>
      </w:r>
      <w:r w:rsidR="005E1C9F">
        <w:rPr>
          <w:rFonts w:cs="Arial"/>
          <w:color w:val="000000"/>
          <w:lang w:val="lt-LT"/>
        </w:rPr>
        <w:t>ūkyje buvo</w:t>
      </w:r>
      <w:r w:rsidR="00D35173" w:rsidRPr="0032264F">
        <w:rPr>
          <w:rFonts w:cs="Arial"/>
          <w:color w:val="000000"/>
          <w:lang w:val="lt-LT"/>
        </w:rPr>
        <w:t xml:space="preserve"> </w:t>
      </w:r>
      <w:r>
        <w:rPr>
          <w:rFonts w:cs="Arial"/>
          <w:color w:val="000000"/>
          <w:lang w:val="lt-LT"/>
        </w:rPr>
        <w:t>10</w:t>
      </w:r>
      <w:r w:rsidR="00D35173" w:rsidRPr="0032264F">
        <w:rPr>
          <w:rFonts w:cs="Arial"/>
          <w:color w:val="000000"/>
          <w:lang w:val="lt-LT"/>
        </w:rPr>
        <w:t>9,8</w:t>
      </w:r>
      <w:r w:rsidR="005550AC" w:rsidRPr="0032264F">
        <w:rPr>
          <w:rFonts w:cs="Arial"/>
          <w:color w:val="000000"/>
          <w:lang w:val="lt-LT"/>
        </w:rPr>
        <w:t> proc.: viešajame sektoriuje</w:t>
      </w:r>
      <w:r w:rsidR="00316E8F" w:rsidRPr="0032264F">
        <w:rPr>
          <w:rFonts w:cs="Arial"/>
          <w:color w:val="000000"/>
          <w:lang w:val="lt-LT"/>
        </w:rPr>
        <w:t> </w:t>
      </w:r>
      <w:r w:rsidR="005550AC" w:rsidRPr="0032264F">
        <w:rPr>
          <w:color w:val="000000"/>
          <w:lang w:val="lt-LT"/>
        </w:rPr>
        <w:t>–</w:t>
      </w:r>
      <w:r w:rsidR="00D35173" w:rsidRPr="0032264F">
        <w:rPr>
          <w:rFonts w:cs="Arial"/>
          <w:color w:val="000000"/>
          <w:lang w:val="lt-LT"/>
        </w:rPr>
        <w:t xml:space="preserve"> </w:t>
      </w:r>
      <w:r>
        <w:rPr>
          <w:rFonts w:cs="Arial"/>
          <w:color w:val="000000"/>
          <w:lang w:val="lt-LT"/>
        </w:rPr>
        <w:t>1</w:t>
      </w:r>
      <w:r w:rsidR="00D35173" w:rsidRPr="0032264F">
        <w:rPr>
          <w:rFonts w:cs="Arial"/>
          <w:color w:val="000000"/>
          <w:lang w:val="lt-LT"/>
        </w:rPr>
        <w:t>11,7</w:t>
      </w:r>
      <w:r w:rsidR="005550AC" w:rsidRPr="0032264F">
        <w:rPr>
          <w:rFonts w:cs="Arial"/>
          <w:color w:val="000000"/>
          <w:lang w:val="lt-LT"/>
        </w:rPr>
        <w:t> proc., privačiajame</w:t>
      </w:r>
      <w:r w:rsidR="00316E8F" w:rsidRPr="0032264F">
        <w:rPr>
          <w:rFonts w:cs="Arial"/>
          <w:color w:val="000000"/>
          <w:lang w:val="lt-LT"/>
        </w:rPr>
        <w:t> </w:t>
      </w:r>
      <w:r w:rsidR="00D35173" w:rsidRPr="0032264F">
        <w:rPr>
          <w:color w:val="000000"/>
          <w:lang w:val="lt-LT"/>
        </w:rPr>
        <w:t xml:space="preserve">– </w:t>
      </w:r>
      <w:r>
        <w:rPr>
          <w:color w:val="000000"/>
          <w:lang w:val="lt-LT"/>
        </w:rPr>
        <w:t>10</w:t>
      </w:r>
      <w:r w:rsidR="00D35173" w:rsidRPr="0032264F">
        <w:rPr>
          <w:color w:val="000000"/>
          <w:lang w:val="lt-LT"/>
        </w:rPr>
        <w:t>8,8</w:t>
      </w:r>
      <w:r w:rsidR="005550AC" w:rsidRPr="0032264F">
        <w:rPr>
          <w:color w:val="000000"/>
          <w:lang w:val="lt-LT"/>
        </w:rPr>
        <w:t> </w:t>
      </w:r>
      <w:r w:rsidR="005550AC" w:rsidRPr="0032264F">
        <w:rPr>
          <w:rFonts w:cs="Arial"/>
          <w:color w:val="000000"/>
          <w:lang w:val="lt-LT"/>
        </w:rPr>
        <w:t xml:space="preserve">proc. </w:t>
      </w:r>
    </w:p>
    <w:p w:rsidR="00C712D8" w:rsidRPr="0032264F" w:rsidRDefault="005550AC" w:rsidP="002D0E99">
      <w:pPr>
        <w:pStyle w:val="ListParagraph"/>
        <w:numPr>
          <w:ilvl w:val="0"/>
          <w:numId w:val="11"/>
        </w:numPr>
        <w:spacing w:before="120"/>
        <w:ind w:left="568" w:hanging="284"/>
        <w:contextualSpacing w:val="0"/>
        <w:jc w:val="both"/>
        <w:rPr>
          <w:rFonts w:cs="Arial"/>
          <w:color w:val="000000"/>
          <w:lang w:val="lt-LT"/>
        </w:rPr>
      </w:pPr>
      <w:r w:rsidRPr="0032264F">
        <w:rPr>
          <w:color w:val="000000"/>
          <w:lang w:val="lt-LT"/>
        </w:rPr>
        <w:t>Darbo</w:t>
      </w:r>
      <w:r w:rsidR="00C0449E" w:rsidRPr="0032264F">
        <w:rPr>
          <w:rFonts w:cs="Arial"/>
          <w:color w:val="FF0000"/>
          <w:lang w:val="lt-LT"/>
        </w:rPr>
        <w:t xml:space="preserve"> </w:t>
      </w:r>
      <w:r w:rsidR="000A3FBE" w:rsidRPr="0032264F">
        <w:rPr>
          <w:color w:val="000000"/>
          <w:lang w:val="lt-LT"/>
        </w:rPr>
        <w:t xml:space="preserve">užmokesčio </w:t>
      </w:r>
      <w:r w:rsidR="00D35173" w:rsidRPr="0032264F">
        <w:rPr>
          <w:lang w:val="lt-LT"/>
        </w:rPr>
        <w:t>padidėjimui 2020 m. įtakos turėjo</w:t>
      </w:r>
      <w:r w:rsidR="005C0A50">
        <w:rPr>
          <w:lang w:val="lt-LT"/>
        </w:rPr>
        <w:t>:</w:t>
      </w:r>
      <w:r w:rsidR="00D35173" w:rsidRPr="0032264F">
        <w:rPr>
          <w:lang w:val="lt-LT"/>
        </w:rPr>
        <w:t xml:space="preserve"> padidintas valstybės politikų, teisėjų, valstybės pareigūnų, valstybės tarnautojų ir biudžetinių įstaigų darbuotojų pareiginės algos bazinis dydis, </w:t>
      </w:r>
      <w:r w:rsidR="005C0A50">
        <w:rPr>
          <w:lang w:val="lt-LT"/>
        </w:rPr>
        <w:t xml:space="preserve">padidinta </w:t>
      </w:r>
      <w:r w:rsidR="00D35173" w:rsidRPr="0032264F">
        <w:rPr>
          <w:lang w:val="lt-LT"/>
        </w:rPr>
        <w:t xml:space="preserve">minimalioji mėnesinė alga, </w:t>
      </w:r>
      <w:r w:rsidR="005C0A50">
        <w:rPr>
          <w:lang w:val="lt-LT"/>
        </w:rPr>
        <w:t xml:space="preserve">padidintas </w:t>
      </w:r>
      <w:r w:rsidR="00D35173" w:rsidRPr="0032264F">
        <w:rPr>
          <w:spacing w:val="-2"/>
          <w:lang w:val="lt-LT"/>
        </w:rPr>
        <w:t>darbo užmokestis gydymo įstaigų darbuotojams</w:t>
      </w:r>
      <w:r w:rsidR="00D35173" w:rsidRPr="0032264F">
        <w:rPr>
          <w:lang w:val="lt-LT"/>
        </w:rPr>
        <w:t xml:space="preserve">, </w:t>
      </w:r>
      <w:r w:rsidR="00D35173" w:rsidRPr="0032264F">
        <w:rPr>
          <w:spacing w:val="-2"/>
          <w:lang w:val="lt-LT"/>
        </w:rPr>
        <w:t>kovojantiems su COVID</w:t>
      </w:r>
      <w:r w:rsidR="00CB60C9">
        <w:rPr>
          <w:spacing w:val="-2"/>
          <w:lang w:val="lt-LT"/>
        </w:rPr>
        <w:noBreakHyphen/>
      </w:r>
      <w:r w:rsidR="00D35173" w:rsidRPr="0032264F">
        <w:rPr>
          <w:spacing w:val="-2"/>
          <w:lang w:val="lt-LT"/>
        </w:rPr>
        <w:t xml:space="preserve">19 </w:t>
      </w:r>
      <w:r w:rsidR="00A37AF8">
        <w:rPr>
          <w:spacing w:val="-2"/>
          <w:lang w:val="lt-LT"/>
        </w:rPr>
        <w:t>liga (</w:t>
      </w:r>
      <w:proofErr w:type="spellStart"/>
      <w:r w:rsidR="00A37AF8">
        <w:rPr>
          <w:spacing w:val="-2"/>
          <w:lang w:val="lt-LT"/>
        </w:rPr>
        <w:t>koron</w:t>
      </w:r>
      <w:r w:rsidR="002F1E53">
        <w:rPr>
          <w:spacing w:val="-2"/>
          <w:lang w:val="lt-LT"/>
        </w:rPr>
        <w:t>a</w:t>
      </w:r>
      <w:r w:rsidR="00A37AF8">
        <w:rPr>
          <w:spacing w:val="-2"/>
          <w:lang w:val="lt-LT"/>
        </w:rPr>
        <w:t>viruso</w:t>
      </w:r>
      <w:proofErr w:type="spellEnd"/>
      <w:r w:rsidR="00A37AF8">
        <w:rPr>
          <w:spacing w:val="-2"/>
          <w:lang w:val="lt-LT"/>
        </w:rPr>
        <w:t xml:space="preserve"> </w:t>
      </w:r>
      <w:r w:rsidR="00D35173" w:rsidRPr="0032264F">
        <w:rPr>
          <w:spacing w:val="-2"/>
          <w:lang w:val="lt-LT"/>
        </w:rPr>
        <w:t>infekcija</w:t>
      </w:r>
      <w:r w:rsidR="00A37AF8">
        <w:rPr>
          <w:spacing w:val="-2"/>
          <w:lang w:val="lt-LT"/>
        </w:rPr>
        <w:t>)</w:t>
      </w:r>
      <w:r w:rsidR="00D35173" w:rsidRPr="0032264F">
        <w:rPr>
          <w:spacing w:val="-2"/>
          <w:lang w:val="lt-LT"/>
        </w:rPr>
        <w:t>, darbo užmokestis darželių auklėtojams, priešmokyklinio ugdymo pedagogams, profesinio mokymo mokytojams bei dėstytojams, mokslo darbuotojams</w:t>
      </w:r>
      <w:r w:rsidR="005C0A50">
        <w:rPr>
          <w:spacing w:val="-2"/>
          <w:lang w:val="lt-LT"/>
        </w:rPr>
        <w:t>,</w:t>
      </w:r>
      <w:r w:rsidR="00D35173" w:rsidRPr="0032264F">
        <w:rPr>
          <w:spacing w:val="-2"/>
          <w:lang w:val="lt-LT"/>
        </w:rPr>
        <w:t xml:space="preserve"> </w:t>
      </w:r>
      <w:r w:rsidR="005C210B" w:rsidRPr="0032264F">
        <w:rPr>
          <w:spacing w:val="-2"/>
          <w:lang w:val="lt-LT"/>
        </w:rPr>
        <w:t xml:space="preserve">taip pat išmokėtos priemokos </w:t>
      </w:r>
      <w:r w:rsidR="005C210B" w:rsidRPr="0032264F">
        <w:rPr>
          <w:lang w:val="lt-LT"/>
        </w:rPr>
        <w:t>pareigūnams ir darbuotojams,</w:t>
      </w:r>
      <w:r w:rsidR="000D006A">
        <w:rPr>
          <w:lang w:val="lt-LT"/>
        </w:rPr>
        <w:t xml:space="preserve"> </w:t>
      </w:r>
      <w:r w:rsidR="000D006A">
        <w:rPr>
          <w:spacing w:val="-2"/>
          <w:lang w:val="lt-LT"/>
        </w:rPr>
        <w:t xml:space="preserve">suvaldžiusiems </w:t>
      </w:r>
      <w:r w:rsidR="000D006A" w:rsidRPr="0032264F">
        <w:rPr>
          <w:spacing w:val="-2"/>
          <w:lang w:val="lt-LT"/>
        </w:rPr>
        <w:t>ekstremal</w:t>
      </w:r>
      <w:r w:rsidR="000D006A">
        <w:rPr>
          <w:spacing w:val="-2"/>
          <w:lang w:val="lt-LT"/>
        </w:rPr>
        <w:t>iąją</w:t>
      </w:r>
      <w:r w:rsidR="000D006A" w:rsidRPr="0032264F">
        <w:rPr>
          <w:spacing w:val="-2"/>
          <w:lang w:val="lt-LT"/>
        </w:rPr>
        <w:t xml:space="preserve"> situacij</w:t>
      </w:r>
      <w:r w:rsidR="000D006A">
        <w:rPr>
          <w:spacing w:val="-2"/>
          <w:lang w:val="lt-LT"/>
        </w:rPr>
        <w:t>ą</w:t>
      </w:r>
      <w:r w:rsidR="00C023ED">
        <w:rPr>
          <w:spacing w:val="-2"/>
          <w:lang w:val="lt-LT"/>
        </w:rPr>
        <w:t>,</w:t>
      </w:r>
      <w:r w:rsidR="005C210B" w:rsidRPr="0032264F">
        <w:rPr>
          <w:lang w:val="lt-LT"/>
        </w:rPr>
        <w:t xml:space="preserve"> </w:t>
      </w:r>
      <w:r w:rsidR="00D35173" w:rsidRPr="0032264F">
        <w:rPr>
          <w:lang w:val="lt-LT"/>
        </w:rPr>
        <w:t>pasikeitusi neapmokestinamojo pajamų dydžio skaičiavimo tvarka ir kitos priežastys.</w:t>
      </w:r>
    </w:p>
    <w:p w:rsidR="00D35173" w:rsidRPr="0032264F" w:rsidRDefault="00D35173" w:rsidP="00316E8F">
      <w:pPr>
        <w:jc w:val="both"/>
        <w:rPr>
          <w:rFonts w:cs="Arial"/>
          <w:color w:val="000000"/>
          <w:lang w:val="lt-LT"/>
        </w:rPr>
      </w:pPr>
    </w:p>
    <w:p w:rsidR="00F07311" w:rsidRPr="0032264F" w:rsidRDefault="00F07311" w:rsidP="004D4DBF">
      <w:pPr>
        <w:rPr>
          <w:b/>
          <w:lang w:val="lt-LT"/>
        </w:rPr>
      </w:pPr>
      <w:r w:rsidRPr="0032264F">
        <w:rPr>
          <w:b/>
          <w:lang w:val="lt-LT" w:eastAsia="lt-LT"/>
        </w:rPr>
        <w:t xml:space="preserve">1 pav. </w:t>
      </w:r>
      <w:r w:rsidR="001037A3" w:rsidRPr="0032264F">
        <w:rPr>
          <w:b/>
          <w:lang w:val="lt-LT"/>
        </w:rPr>
        <w:t>Vidutinio mėnesinio darbo užmokesčio</w:t>
      </w:r>
      <w:r w:rsidR="00D82EC7" w:rsidRPr="0032264F">
        <w:rPr>
          <w:b/>
          <w:vertAlign w:val="superscript"/>
          <w:lang w:val="lt-LT"/>
        </w:rPr>
        <w:t>1</w:t>
      </w:r>
      <w:r w:rsidR="00044CF3" w:rsidRPr="0032264F">
        <w:rPr>
          <w:b/>
          <w:vertAlign w:val="superscript"/>
          <w:lang w:val="lt-LT"/>
        </w:rPr>
        <w:t xml:space="preserve"> </w:t>
      </w:r>
      <w:r w:rsidR="001037A3" w:rsidRPr="0032264F">
        <w:rPr>
          <w:b/>
          <w:lang w:val="lt-LT"/>
        </w:rPr>
        <w:t>pokytis</w:t>
      </w:r>
      <w:r w:rsidR="001037A3" w:rsidRPr="0032264F">
        <w:rPr>
          <w:b/>
          <w:vertAlign w:val="superscript"/>
          <w:lang w:val="lt-LT"/>
        </w:rPr>
        <w:t xml:space="preserve"> </w:t>
      </w:r>
      <w:r w:rsidR="001037A3" w:rsidRPr="0032264F">
        <w:rPr>
          <w:b/>
          <w:lang w:val="lt-LT"/>
        </w:rPr>
        <w:t>šalies ūkyje 201</w:t>
      </w:r>
      <w:r w:rsidR="002D0E99" w:rsidRPr="0032264F">
        <w:rPr>
          <w:b/>
          <w:lang w:val="lt-LT"/>
        </w:rPr>
        <w:t>6</w:t>
      </w:r>
      <w:r w:rsidR="001037A3" w:rsidRPr="0032264F">
        <w:rPr>
          <w:b/>
          <w:lang w:val="lt-LT"/>
        </w:rPr>
        <w:t>–</w:t>
      </w:r>
      <w:r w:rsidR="002D0E99" w:rsidRPr="0032264F">
        <w:rPr>
          <w:b/>
          <w:lang w:val="lt-LT"/>
        </w:rPr>
        <w:t>202</w:t>
      </w:r>
      <w:r w:rsidR="0014753A" w:rsidRPr="0032264F">
        <w:rPr>
          <w:b/>
          <w:lang w:val="lt-LT"/>
        </w:rPr>
        <w:t>0</w:t>
      </w:r>
      <w:r w:rsidR="001037A3" w:rsidRPr="0032264F">
        <w:rPr>
          <w:b/>
          <w:lang w:val="lt-LT"/>
        </w:rPr>
        <w:t xml:space="preserve"> m.</w:t>
      </w:r>
    </w:p>
    <w:p w:rsidR="002D0E99" w:rsidRPr="0032264F" w:rsidRDefault="00D215FC" w:rsidP="002D0E99">
      <w:pPr>
        <w:rPr>
          <w:rStyle w:val="Hyperlink"/>
          <w:lang w:val="lt-LT"/>
        </w:rPr>
      </w:pPr>
      <w:hyperlink r:id="rId13" w:anchor="/" w:history="1">
        <w:r w:rsidR="002D0E99" w:rsidRPr="0032264F">
          <w:rPr>
            <w:rStyle w:val="Hyperlink"/>
            <w:lang w:val="lt-LT"/>
          </w:rPr>
          <w:t>https://osp.stat.gov.lt/statistiniu-rodikliu-analize?hash=3464c18d-1544-433d-ba83-b8543bca27bb#/</w:t>
        </w:r>
      </w:hyperlink>
    </w:p>
    <w:p w:rsidR="005F3D22" w:rsidRPr="0032264F" w:rsidRDefault="005F3D22" w:rsidP="005F3D22">
      <w:pPr>
        <w:spacing w:before="60" w:after="60"/>
        <w:rPr>
          <w:sz w:val="18"/>
          <w:szCs w:val="18"/>
          <w:lang w:val="lt-LT"/>
        </w:rPr>
      </w:pPr>
      <w:r w:rsidRPr="0032264F">
        <w:rPr>
          <w:sz w:val="18"/>
          <w:szCs w:val="18"/>
          <w:lang w:val="lt-LT"/>
        </w:rPr>
        <w:t>Procentais</w:t>
      </w:r>
    </w:p>
    <w:p w:rsidR="007479B4" w:rsidRPr="0032264F" w:rsidRDefault="007479B4" w:rsidP="00711577">
      <w:pPr>
        <w:outlineLvl w:val="1"/>
        <w:rPr>
          <w:b/>
          <w:lang w:val="lt-LT"/>
        </w:rPr>
      </w:pPr>
      <w:r w:rsidRPr="0032264F">
        <w:rPr>
          <w:b/>
          <w:i/>
          <w:noProof/>
          <w:color w:val="FF9900"/>
          <w:sz w:val="16"/>
          <w:lang w:val="lt-LT" w:eastAsia="lt-LT"/>
        </w:rPr>
        <w:drawing>
          <wp:inline distT="0" distB="0" distL="0" distR="0" wp14:anchorId="3360F57D" wp14:editId="29B69D85">
            <wp:extent cx="6493987" cy="2340000"/>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00F4E" w:rsidRPr="0032264F" w:rsidRDefault="002B3115" w:rsidP="002B3115">
      <w:pPr>
        <w:pStyle w:val="Lentelespav"/>
        <w:spacing w:before="40"/>
        <w:jc w:val="both"/>
        <w:rPr>
          <w:b w:val="0"/>
          <w:sz w:val="16"/>
          <w:szCs w:val="16"/>
          <w:lang w:val="lt-LT"/>
        </w:rPr>
      </w:pPr>
      <w:r w:rsidRPr="0032264F">
        <w:rPr>
          <w:b w:val="0"/>
          <w:sz w:val="16"/>
          <w:szCs w:val="16"/>
          <w:lang w:val="lt-LT"/>
        </w:rPr>
        <w:t>__________________________</w:t>
      </w:r>
      <w:r w:rsidR="00765DBB" w:rsidRPr="0032264F">
        <w:rPr>
          <w:b w:val="0"/>
          <w:sz w:val="16"/>
          <w:szCs w:val="16"/>
          <w:lang w:val="lt-LT"/>
        </w:rPr>
        <w:br/>
      </w:r>
      <w:r w:rsidR="002C2F14" w:rsidRPr="0032264F">
        <w:rPr>
          <w:b w:val="0"/>
          <w:noProof/>
          <w:sz w:val="16"/>
          <w:szCs w:val="16"/>
          <w:vertAlign w:val="superscript"/>
          <w:lang w:val="lt-LT"/>
        </w:rPr>
        <w:t>1</w:t>
      </w:r>
      <w:r w:rsidR="002C2F14" w:rsidRPr="0032264F">
        <w:rPr>
          <w:b w:val="0"/>
          <w:noProof/>
          <w:sz w:val="16"/>
          <w:szCs w:val="16"/>
          <w:lang w:val="lt-LT"/>
        </w:rPr>
        <w:t> </w:t>
      </w:r>
      <w:r w:rsidR="001A443D" w:rsidRPr="0032264F">
        <w:rPr>
          <w:rFonts w:cs="Arial"/>
          <w:b w:val="0"/>
          <w:color w:val="333333"/>
          <w:sz w:val="16"/>
          <w:szCs w:val="16"/>
          <w:shd w:val="clear" w:color="auto" w:fill="FFFFFF"/>
          <w:lang w:val="lt-LT"/>
        </w:rPr>
        <w:t>2019 m. d</w:t>
      </w:r>
      <w:r w:rsidR="007743FB" w:rsidRPr="0032264F">
        <w:rPr>
          <w:rFonts w:cs="Arial"/>
          <w:b w:val="0"/>
          <w:color w:val="333333"/>
          <w:sz w:val="16"/>
          <w:szCs w:val="16"/>
          <w:shd w:val="clear" w:color="auto" w:fill="FFFFFF"/>
          <w:lang w:val="lt-LT"/>
        </w:rPr>
        <w:t>arbo u</w:t>
      </w:r>
      <w:r w:rsidR="001918A6" w:rsidRPr="0032264F">
        <w:rPr>
          <w:rFonts w:cs="Arial"/>
          <w:b w:val="0"/>
          <w:color w:val="333333"/>
          <w:sz w:val="16"/>
          <w:szCs w:val="16"/>
          <w:shd w:val="clear" w:color="auto" w:fill="FFFFFF"/>
          <w:lang w:val="lt-LT"/>
        </w:rPr>
        <w:t xml:space="preserve">žmokesčio pokytis </w:t>
      </w:r>
      <w:r w:rsidR="00B069E6">
        <w:rPr>
          <w:rFonts w:cs="Arial"/>
          <w:b w:val="0"/>
          <w:color w:val="333333"/>
          <w:sz w:val="16"/>
          <w:szCs w:val="16"/>
          <w:shd w:val="clear" w:color="auto" w:fill="FFFFFF"/>
          <w:lang w:val="lt-LT"/>
        </w:rPr>
        <w:t>ap</w:t>
      </w:r>
      <w:r w:rsidR="001918A6" w:rsidRPr="0032264F">
        <w:rPr>
          <w:rFonts w:cs="Arial"/>
          <w:b w:val="0"/>
          <w:color w:val="333333"/>
          <w:sz w:val="16"/>
          <w:szCs w:val="16"/>
          <w:shd w:val="clear" w:color="auto" w:fill="FFFFFF"/>
          <w:lang w:val="lt-LT"/>
        </w:rPr>
        <w:t>skaičiuotas</w:t>
      </w:r>
      <w:r w:rsidR="007743FB" w:rsidRPr="0032264F">
        <w:rPr>
          <w:rFonts w:cs="Arial"/>
          <w:b w:val="0"/>
          <w:color w:val="333333"/>
          <w:sz w:val="16"/>
          <w:szCs w:val="16"/>
          <w:shd w:val="clear" w:color="auto" w:fill="FFFFFF"/>
          <w:lang w:val="lt-LT"/>
        </w:rPr>
        <w:t xml:space="preserve"> pašalinus</w:t>
      </w:r>
      <w:r w:rsidR="00A33F6A" w:rsidRPr="0032264F">
        <w:rPr>
          <w:rFonts w:cs="Arial"/>
          <w:b w:val="0"/>
          <w:color w:val="333333"/>
          <w:sz w:val="16"/>
          <w:szCs w:val="16"/>
          <w:shd w:val="clear" w:color="auto" w:fill="FFFFFF"/>
          <w:lang w:val="lt-LT"/>
        </w:rPr>
        <w:t xml:space="preserve"> </w:t>
      </w:r>
      <w:r w:rsidR="007743FB" w:rsidRPr="0032264F">
        <w:rPr>
          <w:rFonts w:cs="Arial"/>
          <w:b w:val="0"/>
          <w:noProof/>
          <w:color w:val="333333"/>
          <w:sz w:val="16"/>
          <w:szCs w:val="16"/>
          <w:shd w:val="clear" w:color="auto" w:fill="FFFFFF"/>
          <w:lang w:val="lt-LT"/>
        </w:rPr>
        <w:t>bruto</w:t>
      </w:r>
      <w:r w:rsidR="007743FB" w:rsidRPr="0032264F">
        <w:rPr>
          <w:rFonts w:cs="Arial"/>
          <w:b w:val="0"/>
          <w:color w:val="333333"/>
          <w:sz w:val="16"/>
          <w:szCs w:val="16"/>
          <w:shd w:val="clear" w:color="auto" w:fill="FFFFFF"/>
          <w:lang w:val="lt-LT"/>
        </w:rPr>
        <w:t xml:space="preserve"> darbo užmokesčio indeksavimo </w:t>
      </w:r>
      <w:r w:rsidR="00A33F6A" w:rsidRPr="0032264F">
        <w:rPr>
          <w:rFonts w:cs="Arial"/>
          <w:b w:val="0"/>
          <w:color w:val="333333"/>
          <w:sz w:val="16"/>
          <w:szCs w:val="16"/>
          <w:shd w:val="clear" w:color="auto" w:fill="FFFFFF"/>
          <w:lang w:val="lt-LT"/>
        </w:rPr>
        <w:t xml:space="preserve">įtaką </w:t>
      </w:r>
      <w:r w:rsidR="007743FB" w:rsidRPr="0032264F">
        <w:rPr>
          <w:rFonts w:cs="Arial"/>
          <w:b w:val="0"/>
          <w:color w:val="333333"/>
          <w:sz w:val="16"/>
          <w:szCs w:val="16"/>
          <w:shd w:val="clear" w:color="auto" w:fill="FFFFFF"/>
          <w:lang w:val="lt-LT"/>
        </w:rPr>
        <w:t>dėl</w:t>
      </w:r>
      <w:r w:rsidR="00A33F6A" w:rsidRPr="0032264F">
        <w:rPr>
          <w:rFonts w:cs="Arial"/>
          <w:b w:val="0"/>
          <w:color w:val="333333"/>
          <w:sz w:val="16"/>
          <w:szCs w:val="16"/>
          <w:shd w:val="clear" w:color="auto" w:fill="FFFFFF"/>
          <w:lang w:val="lt-LT"/>
        </w:rPr>
        <w:t xml:space="preserve"> nuo 2019 m. sausio 1 d</w:t>
      </w:r>
      <w:r w:rsidR="00E07736" w:rsidRPr="0032264F">
        <w:rPr>
          <w:rFonts w:cs="Arial"/>
          <w:b w:val="0"/>
          <w:color w:val="333333"/>
          <w:sz w:val="16"/>
          <w:szCs w:val="16"/>
          <w:shd w:val="clear" w:color="auto" w:fill="FFFFFF"/>
          <w:lang w:val="lt-LT"/>
        </w:rPr>
        <w:t>.</w:t>
      </w:r>
      <w:r w:rsidR="00A33F6A" w:rsidRPr="0032264F">
        <w:rPr>
          <w:rFonts w:cs="Arial"/>
          <w:b w:val="0"/>
          <w:color w:val="333333"/>
          <w:sz w:val="16"/>
          <w:szCs w:val="16"/>
          <w:shd w:val="clear" w:color="auto" w:fill="FFFFFF"/>
          <w:lang w:val="lt-LT"/>
        </w:rPr>
        <w:t xml:space="preserve"> </w:t>
      </w:r>
      <w:r w:rsidR="001A443D" w:rsidRPr="0032264F">
        <w:rPr>
          <w:rFonts w:cs="Arial"/>
          <w:b w:val="0"/>
          <w:color w:val="333333"/>
          <w:sz w:val="16"/>
          <w:szCs w:val="16"/>
          <w:shd w:val="clear" w:color="auto" w:fill="FFFFFF"/>
          <w:lang w:val="lt-LT"/>
        </w:rPr>
        <w:t>įsigaliojusių</w:t>
      </w:r>
      <w:r w:rsidR="00A33F6A" w:rsidRPr="0032264F">
        <w:rPr>
          <w:rFonts w:cs="Arial"/>
          <w:b w:val="0"/>
          <w:color w:val="333333"/>
          <w:sz w:val="16"/>
          <w:szCs w:val="16"/>
          <w:shd w:val="clear" w:color="auto" w:fill="FFFFFF"/>
          <w:lang w:val="lt-LT"/>
        </w:rPr>
        <w:t xml:space="preserve"> mokesčių pasikeitimo</w:t>
      </w:r>
      <w:r w:rsidR="003C37D2" w:rsidRPr="0032264F">
        <w:rPr>
          <w:rFonts w:cs="Arial"/>
          <w:b w:val="0"/>
          <w:color w:val="333333"/>
          <w:sz w:val="16"/>
          <w:szCs w:val="16"/>
          <w:shd w:val="clear" w:color="auto" w:fill="FFFFFF"/>
          <w:lang w:val="lt-LT"/>
        </w:rPr>
        <w:t>.</w:t>
      </w:r>
      <w:r w:rsidR="00AA6C02">
        <w:rPr>
          <w:rFonts w:cs="Arial"/>
          <w:b w:val="0"/>
          <w:color w:val="333333"/>
          <w:sz w:val="16"/>
          <w:szCs w:val="16"/>
          <w:shd w:val="clear" w:color="auto" w:fill="FFFFFF"/>
          <w:lang w:val="lt-LT"/>
        </w:rPr>
        <w:t xml:space="preserve"> </w:t>
      </w:r>
    </w:p>
    <w:p w:rsidR="00E00F4E" w:rsidRPr="0032264F" w:rsidRDefault="00E00F4E" w:rsidP="009433F3">
      <w:pPr>
        <w:pStyle w:val="Lentelespav"/>
        <w:jc w:val="left"/>
        <w:rPr>
          <w:b w:val="0"/>
          <w:lang w:val="lt-LT"/>
        </w:rPr>
      </w:pPr>
    </w:p>
    <w:p w:rsidR="004D4DBF" w:rsidRPr="0032264F" w:rsidRDefault="004D4DBF">
      <w:pPr>
        <w:rPr>
          <w:b/>
          <w:lang w:val="lt-LT"/>
        </w:rPr>
      </w:pPr>
      <w:r w:rsidRPr="0032264F">
        <w:rPr>
          <w:lang w:val="lt-LT"/>
        </w:rPr>
        <w:br w:type="page"/>
      </w:r>
    </w:p>
    <w:p w:rsidR="009433F3" w:rsidRPr="0032264F" w:rsidRDefault="009433F3" w:rsidP="009433F3">
      <w:pPr>
        <w:pStyle w:val="Lentelespav"/>
        <w:jc w:val="left"/>
        <w:rPr>
          <w:lang w:val="lt-LT"/>
        </w:rPr>
      </w:pPr>
      <w:r w:rsidRPr="0032264F">
        <w:rPr>
          <w:lang w:val="lt-LT"/>
        </w:rPr>
        <w:t xml:space="preserve">2 pav. Vidutinio mėnesinio </w:t>
      </w:r>
      <w:proofErr w:type="spellStart"/>
      <w:r w:rsidRPr="0032264F">
        <w:rPr>
          <w:lang w:val="lt-LT"/>
        </w:rPr>
        <w:t>bruto</w:t>
      </w:r>
      <w:proofErr w:type="spellEnd"/>
      <w:r w:rsidRPr="0032264F">
        <w:rPr>
          <w:lang w:val="lt-LT"/>
        </w:rPr>
        <w:t xml:space="preserve"> darbo užmokesčio</w:t>
      </w:r>
      <w:r w:rsidR="002E2C47" w:rsidRPr="0032264F">
        <w:rPr>
          <w:vertAlign w:val="superscript"/>
          <w:lang w:val="lt-LT"/>
        </w:rPr>
        <w:t>1</w:t>
      </w:r>
      <w:r w:rsidRPr="0032264F">
        <w:rPr>
          <w:lang w:val="lt-LT"/>
        </w:rPr>
        <w:t xml:space="preserve"> pokytis pagal sektorius 201</w:t>
      </w:r>
      <w:r w:rsidR="002D0E99" w:rsidRPr="0032264F">
        <w:rPr>
          <w:lang w:val="lt-LT"/>
        </w:rPr>
        <w:t>6</w:t>
      </w:r>
      <w:r w:rsidRPr="0032264F">
        <w:rPr>
          <w:lang w:val="lt-LT"/>
        </w:rPr>
        <w:t>–</w:t>
      </w:r>
      <w:r w:rsidR="002D0E99" w:rsidRPr="0032264F">
        <w:rPr>
          <w:lang w:val="lt-LT"/>
        </w:rPr>
        <w:t>202</w:t>
      </w:r>
      <w:r w:rsidR="0014753A" w:rsidRPr="0032264F">
        <w:rPr>
          <w:lang w:val="lt-LT"/>
        </w:rPr>
        <w:t>0</w:t>
      </w:r>
      <w:r w:rsidR="000C443A" w:rsidRPr="0032264F">
        <w:rPr>
          <w:lang w:val="lt-LT"/>
        </w:rPr>
        <w:t> </w:t>
      </w:r>
      <w:r w:rsidRPr="0032264F">
        <w:rPr>
          <w:lang w:val="lt-LT"/>
        </w:rPr>
        <w:t>m.</w:t>
      </w:r>
    </w:p>
    <w:p w:rsidR="002D0E99" w:rsidRPr="0032264F" w:rsidRDefault="00D215FC" w:rsidP="002D0E99">
      <w:pPr>
        <w:pStyle w:val="Lentelespav"/>
        <w:jc w:val="left"/>
        <w:rPr>
          <w:b w:val="0"/>
          <w:lang w:val="lt-LT"/>
        </w:rPr>
      </w:pPr>
      <w:hyperlink r:id="rId15" w:anchor="/" w:history="1">
        <w:r w:rsidR="002D0E99" w:rsidRPr="0032264F">
          <w:rPr>
            <w:rStyle w:val="Hyperlink"/>
            <w:b w:val="0"/>
            <w:lang w:val="lt-LT"/>
          </w:rPr>
          <w:t>https://osp.stat.gov.lt/statistiniu-rodikliu-analize?hash=de167e11-1f3d-46d5-bad4-ba6f563eabad#/</w:t>
        </w:r>
      </w:hyperlink>
    </w:p>
    <w:p w:rsidR="0028556F" w:rsidRPr="0032264F" w:rsidRDefault="009433F3" w:rsidP="005F3D22">
      <w:pPr>
        <w:spacing w:before="60"/>
        <w:outlineLvl w:val="1"/>
        <w:rPr>
          <w:b/>
          <w:sz w:val="18"/>
          <w:szCs w:val="18"/>
          <w:lang w:val="lt-LT"/>
        </w:rPr>
      </w:pPr>
      <w:r w:rsidRPr="0032264F">
        <w:rPr>
          <w:sz w:val="18"/>
          <w:szCs w:val="18"/>
          <w:lang w:val="lt-LT"/>
        </w:rPr>
        <w:t>Palyginti su ankstesniais metais</w:t>
      </w:r>
      <w:r w:rsidR="00635B5A" w:rsidRPr="0032264F">
        <w:rPr>
          <w:sz w:val="18"/>
          <w:szCs w:val="18"/>
          <w:lang w:val="lt-LT"/>
        </w:rPr>
        <w:t>, procentais</w:t>
      </w:r>
    </w:p>
    <w:p w:rsidR="0028556F" w:rsidRPr="0032264F" w:rsidRDefault="00864674" w:rsidP="002729B5">
      <w:pPr>
        <w:spacing w:before="120" w:after="120"/>
        <w:outlineLvl w:val="1"/>
        <w:rPr>
          <w:b/>
          <w:sz w:val="18"/>
          <w:szCs w:val="18"/>
          <w:lang w:val="lt-LT"/>
        </w:rPr>
      </w:pPr>
      <w:r w:rsidRPr="0032264F">
        <w:rPr>
          <w:noProof/>
          <w:sz w:val="18"/>
          <w:szCs w:val="18"/>
          <w:lang w:val="lt-LT" w:eastAsia="lt-LT"/>
        </w:rPr>
        <w:drawing>
          <wp:inline distT="0" distB="0" distL="0" distR="0" wp14:anchorId="5DC5BA60" wp14:editId="058BE486">
            <wp:extent cx="6488163" cy="2088000"/>
            <wp:effectExtent l="0" t="0" r="8255" b="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C37D2" w:rsidRPr="0032264F" w:rsidRDefault="002B3115" w:rsidP="003C37D2">
      <w:pPr>
        <w:pStyle w:val="Lentelespav"/>
        <w:spacing w:before="40"/>
        <w:jc w:val="both"/>
        <w:rPr>
          <w:rFonts w:cs="Arial"/>
          <w:b w:val="0"/>
          <w:color w:val="333333"/>
          <w:sz w:val="16"/>
          <w:szCs w:val="16"/>
          <w:shd w:val="clear" w:color="auto" w:fill="FFFFFF"/>
          <w:lang w:val="lt-LT"/>
        </w:rPr>
      </w:pPr>
      <w:r w:rsidRPr="0032264F">
        <w:rPr>
          <w:b w:val="0"/>
          <w:sz w:val="16"/>
          <w:szCs w:val="16"/>
          <w:lang w:val="lt-LT"/>
        </w:rPr>
        <w:t>__________________________</w:t>
      </w:r>
      <w:r w:rsidR="00765DBB" w:rsidRPr="0032264F">
        <w:rPr>
          <w:b w:val="0"/>
          <w:sz w:val="16"/>
          <w:szCs w:val="16"/>
          <w:lang w:val="lt-LT"/>
        </w:rPr>
        <w:br/>
      </w:r>
      <w:r w:rsidR="002C2F14" w:rsidRPr="0032264F">
        <w:rPr>
          <w:b w:val="0"/>
          <w:sz w:val="16"/>
          <w:szCs w:val="16"/>
          <w:vertAlign w:val="superscript"/>
          <w:lang w:val="lt-LT"/>
        </w:rPr>
        <w:t>1 </w:t>
      </w:r>
      <w:r w:rsidR="00C62CAF" w:rsidRPr="0032264F">
        <w:rPr>
          <w:rFonts w:cs="Arial"/>
          <w:b w:val="0"/>
          <w:color w:val="333333"/>
          <w:sz w:val="16"/>
          <w:szCs w:val="16"/>
          <w:shd w:val="clear" w:color="auto" w:fill="FFFFFF"/>
          <w:lang w:val="lt-LT"/>
        </w:rPr>
        <w:t xml:space="preserve">2019 m. darbo užmokesčio pokytis </w:t>
      </w:r>
      <w:r w:rsidR="007A748D">
        <w:rPr>
          <w:rFonts w:cs="Arial"/>
          <w:b w:val="0"/>
          <w:color w:val="333333"/>
          <w:sz w:val="16"/>
          <w:szCs w:val="16"/>
          <w:shd w:val="clear" w:color="auto" w:fill="FFFFFF"/>
          <w:lang w:val="lt-LT"/>
        </w:rPr>
        <w:t>ap</w:t>
      </w:r>
      <w:r w:rsidR="00C62CAF" w:rsidRPr="0032264F">
        <w:rPr>
          <w:rFonts w:cs="Arial"/>
          <w:b w:val="0"/>
          <w:color w:val="333333"/>
          <w:sz w:val="16"/>
          <w:szCs w:val="16"/>
          <w:shd w:val="clear" w:color="auto" w:fill="FFFFFF"/>
          <w:lang w:val="lt-LT"/>
        </w:rPr>
        <w:t xml:space="preserve">skaičiuotas pašalinus </w:t>
      </w:r>
      <w:r w:rsidR="00C62CAF" w:rsidRPr="0032264F">
        <w:rPr>
          <w:rFonts w:cs="Arial"/>
          <w:b w:val="0"/>
          <w:noProof/>
          <w:color w:val="333333"/>
          <w:sz w:val="16"/>
          <w:szCs w:val="16"/>
          <w:shd w:val="clear" w:color="auto" w:fill="FFFFFF"/>
          <w:lang w:val="lt-LT"/>
        </w:rPr>
        <w:t>bruto</w:t>
      </w:r>
      <w:r w:rsidR="00C62CAF" w:rsidRPr="0032264F">
        <w:rPr>
          <w:rFonts w:cs="Arial"/>
          <w:b w:val="0"/>
          <w:color w:val="333333"/>
          <w:sz w:val="16"/>
          <w:szCs w:val="16"/>
          <w:shd w:val="clear" w:color="auto" w:fill="FFFFFF"/>
          <w:lang w:val="lt-LT"/>
        </w:rPr>
        <w:t xml:space="preserve"> darbo užmokesčio indeksavimo įtaką dėl nuo 2019 m. sausio 1 d. įsigaliojusių mokesčių pasikeitimo</w:t>
      </w:r>
      <w:r w:rsidR="003C37D2" w:rsidRPr="0032264F">
        <w:rPr>
          <w:rFonts w:cs="Arial"/>
          <w:b w:val="0"/>
          <w:color w:val="333333"/>
          <w:sz w:val="16"/>
          <w:szCs w:val="16"/>
          <w:shd w:val="clear" w:color="auto" w:fill="FFFFFF"/>
          <w:lang w:val="lt-LT"/>
        </w:rPr>
        <w:t>.</w:t>
      </w:r>
    </w:p>
    <w:p w:rsidR="0028556F" w:rsidRPr="0032264F" w:rsidRDefault="0028556F" w:rsidP="003C37D2">
      <w:pPr>
        <w:pStyle w:val="Lentelespav"/>
        <w:spacing w:before="40"/>
        <w:jc w:val="both"/>
        <w:rPr>
          <w:b w:val="0"/>
          <w:sz w:val="16"/>
          <w:szCs w:val="16"/>
          <w:lang w:val="lt-LT"/>
        </w:rPr>
      </w:pPr>
    </w:p>
    <w:p w:rsidR="00015862" w:rsidRPr="0032264F" w:rsidRDefault="005511CA" w:rsidP="00127A88">
      <w:pPr>
        <w:rPr>
          <w:b/>
          <w:lang w:val="lt-LT"/>
        </w:rPr>
      </w:pPr>
      <w:r w:rsidRPr="0032264F">
        <w:rPr>
          <w:b/>
          <w:lang w:val="lt-LT"/>
        </w:rPr>
        <w:t>3 pav. Vidutinis mėnesinis darbo užmokestis šalies ūkyje pag</w:t>
      </w:r>
      <w:r w:rsidR="00976578" w:rsidRPr="0032264F">
        <w:rPr>
          <w:b/>
          <w:lang w:val="lt-LT"/>
        </w:rPr>
        <w:t xml:space="preserve">al ekonominės veiklos rūšis </w:t>
      </w:r>
      <w:r w:rsidR="007A13F6" w:rsidRPr="0032264F">
        <w:rPr>
          <w:b/>
          <w:lang w:val="lt-LT"/>
        </w:rPr>
        <w:t>2020</w:t>
      </w:r>
      <w:r w:rsidRPr="0032264F">
        <w:rPr>
          <w:b/>
          <w:lang w:val="lt-LT"/>
        </w:rPr>
        <w:t xml:space="preserve"> m. </w:t>
      </w:r>
    </w:p>
    <w:p w:rsidR="002D0E99" w:rsidRPr="0032264F" w:rsidRDefault="00D215FC" w:rsidP="002D0E99">
      <w:pPr>
        <w:spacing w:after="120"/>
        <w:rPr>
          <w:rStyle w:val="Hyperlink"/>
          <w:lang w:val="lt-LT"/>
        </w:rPr>
      </w:pPr>
      <w:hyperlink r:id="rId17" w:anchor="/" w:history="1">
        <w:r w:rsidR="002D0E99" w:rsidRPr="0032264F">
          <w:rPr>
            <w:rStyle w:val="Hyperlink"/>
            <w:lang w:val="lt-LT"/>
          </w:rPr>
          <w:t>https://osp.stat.gov.lt/statistiniu-rodikliu-analize?hash=8cf6d6f6-e862-443a-bb2a-8d30445238a9#/</w:t>
        </w:r>
      </w:hyperlink>
    </w:p>
    <w:p w:rsidR="005F3D22" w:rsidRPr="0032264F" w:rsidRDefault="005F3D22" w:rsidP="005F3D22">
      <w:pPr>
        <w:spacing w:before="60"/>
        <w:outlineLvl w:val="1"/>
        <w:rPr>
          <w:b/>
          <w:sz w:val="18"/>
          <w:szCs w:val="18"/>
          <w:lang w:val="lt-LT"/>
        </w:rPr>
      </w:pPr>
      <w:r w:rsidRPr="0032264F">
        <w:rPr>
          <w:sz w:val="18"/>
          <w:szCs w:val="18"/>
          <w:lang w:val="lt-LT"/>
        </w:rPr>
        <w:t>EUR</w:t>
      </w:r>
    </w:p>
    <w:p w:rsidR="00015862" w:rsidRPr="0032264F" w:rsidRDefault="00015862" w:rsidP="007C041B">
      <w:pPr>
        <w:rPr>
          <w:lang w:val="lt-LT" w:eastAsia="lt-LT"/>
        </w:rPr>
      </w:pPr>
      <w:r w:rsidRPr="0032264F">
        <w:rPr>
          <w:noProof/>
          <w:lang w:val="lt-LT" w:eastAsia="lt-LT"/>
        </w:rPr>
        <w:drawing>
          <wp:inline distT="0" distB="0" distL="0" distR="0" wp14:anchorId="62CA8E84" wp14:editId="0FCA53BE">
            <wp:extent cx="6487200" cy="24480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D5772" w:rsidRPr="0032264F" w:rsidRDefault="00BD5772" w:rsidP="00EB2360">
      <w:pPr>
        <w:pStyle w:val="Lentelespav"/>
        <w:jc w:val="left"/>
        <w:rPr>
          <w:b w:val="0"/>
          <w:sz w:val="16"/>
          <w:szCs w:val="16"/>
          <w:lang w:val="lt-LT" w:eastAsia="lt-LT"/>
        </w:rPr>
      </w:pPr>
    </w:p>
    <w:p w:rsidR="00497C1B" w:rsidRPr="0032264F" w:rsidRDefault="00497C1B" w:rsidP="00EB2360">
      <w:pPr>
        <w:pStyle w:val="Lentelespav"/>
        <w:jc w:val="left"/>
        <w:rPr>
          <w:lang w:val="lt-LT" w:eastAsia="lt-LT"/>
        </w:rPr>
      </w:pPr>
      <w:r w:rsidRPr="0032264F">
        <w:rPr>
          <w:lang w:val="lt-LT" w:eastAsia="lt-LT"/>
        </w:rPr>
        <w:t xml:space="preserve">4 pav. Vidutinio mėnesinio </w:t>
      </w:r>
      <w:proofErr w:type="spellStart"/>
      <w:r w:rsidRPr="0032264F">
        <w:rPr>
          <w:lang w:val="lt-LT" w:eastAsia="lt-LT"/>
        </w:rPr>
        <w:t>bruto</w:t>
      </w:r>
      <w:proofErr w:type="spellEnd"/>
      <w:r w:rsidRPr="0032264F">
        <w:rPr>
          <w:lang w:val="lt-LT" w:eastAsia="lt-LT"/>
        </w:rPr>
        <w:t xml:space="preserve"> darbo užmokesčio pokytis šalies ūkyje pagal ekonominės veiklos rūšis </w:t>
      </w:r>
      <w:r w:rsidR="007A13F6" w:rsidRPr="0032264F">
        <w:rPr>
          <w:lang w:val="lt-LT" w:eastAsia="lt-LT"/>
        </w:rPr>
        <w:t>2019</w:t>
      </w:r>
      <w:r w:rsidR="00A56B0E" w:rsidRPr="0032264F">
        <w:rPr>
          <w:lang w:val="lt-LT"/>
        </w:rPr>
        <w:t>–</w:t>
      </w:r>
      <w:r w:rsidR="007A13F6" w:rsidRPr="0032264F">
        <w:rPr>
          <w:lang w:val="lt-LT" w:eastAsia="lt-LT"/>
        </w:rPr>
        <w:t>2020</w:t>
      </w:r>
      <w:r w:rsidR="00316E8F" w:rsidRPr="0032264F">
        <w:rPr>
          <w:lang w:val="lt-LT" w:eastAsia="lt-LT"/>
        </w:rPr>
        <w:t> </w:t>
      </w:r>
      <w:r w:rsidRPr="0032264F">
        <w:rPr>
          <w:lang w:val="lt-LT" w:eastAsia="lt-LT"/>
        </w:rPr>
        <w:t>m.</w:t>
      </w:r>
    </w:p>
    <w:p w:rsidR="002D0E99" w:rsidRPr="0032264F" w:rsidRDefault="00D215FC" w:rsidP="002D0E99">
      <w:pPr>
        <w:rPr>
          <w:lang w:val="lt-LT"/>
        </w:rPr>
      </w:pPr>
      <w:hyperlink r:id="rId19" w:anchor="/" w:history="1">
        <w:r w:rsidR="002D0E99" w:rsidRPr="0032264F">
          <w:rPr>
            <w:rStyle w:val="Hyperlink"/>
            <w:lang w:val="lt-LT"/>
          </w:rPr>
          <w:t>https://osp.stat.gov.lt/statistiniu-rodikliu-analize?hash=e79f44b8-a1b0-40fe-b147-525d460fa85f#/</w:t>
        </w:r>
      </w:hyperlink>
    </w:p>
    <w:p w:rsidR="005F3D22" w:rsidRPr="0032264F" w:rsidRDefault="005F3D22" w:rsidP="00665FE8">
      <w:pPr>
        <w:spacing w:after="60"/>
        <w:rPr>
          <w:sz w:val="18"/>
          <w:szCs w:val="18"/>
          <w:lang w:val="lt-LT" w:eastAsia="lt-LT"/>
        </w:rPr>
      </w:pPr>
      <w:r w:rsidRPr="0032264F">
        <w:rPr>
          <w:sz w:val="18"/>
          <w:szCs w:val="18"/>
          <w:lang w:val="lt-LT" w:eastAsia="lt-LT"/>
        </w:rPr>
        <w:t>Palyginti su ankstesniais metais, procentais</w:t>
      </w:r>
    </w:p>
    <w:p w:rsidR="00E02807" w:rsidRPr="0032264F" w:rsidRDefault="00E02807" w:rsidP="00E02807">
      <w:pPr>
        <w:spacing w:after="60"/>
        <w:rPr>
          <w:sz w:val="18"/>
          <w:szCs w:val="18"/>
          <w:lang w:val="lt-LT" w:eastAsia="lt-LT"/>
        </w:rPr>
      </w:pPr>
      <w:r w:rsidRPr="0032264F">
        <w:rPr>
          <w:noProof/>
          <w:sz w:val="18"/>
          <w:szCs w:val="18"/>
          <w:lang w:val="lt-LT" w:eastAsia="lt-LT"/>
        </w:rPr>
        <w:drawing>
          <wp:inline distT="0" distB="0" distL="0" distR="0" wp14:anchorId="5FFB682E" wp14:editId="4AD8837A">
            <wp:extent cx="6484620" cy="225996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4135E" w:rsidRPr="0032264F" w:rsidRDefault="00C4135E" w:rsidP="005F3D22">
      <w:pPr>
        <w:spacing w:after="60"/>
        <w:rPr>
          <w:sz w:val="18"/>
          <w:szCs w:val="18"/>
          <w:lang w:val="lt-LT" w:eastAsia="lt-LT"/>
        </w:rPr>
      </w:pPr>
    </w:p>
    <w:p w:rsidR="002501F9" w:rsidRPr="0032264F" w:rsidRDefault="00765DBB" w:rsidP="00A33F6A">
      <w:pPr>
        <w:pStyle w:val="Lentelespav"/>
        <w:spacing w:before="40"/>
        <w:jc w:val="both"/>
        <w:rPr>
          <w:spacing w:val="-2"/>
          <w:lang w:val="lt-LT"/>
        </w:rPr>
      </w:pPr>
      <w:r w:rsidRPr="0032264F">
        <w:rPr>
          <w:lang w:val="lt-LT"/>
        </w:rPr>
        <w:br w:type="page"/>
      </w:r>
      <w:r w:rsidR="007A13F6" w:rsidRPr="0032264F">
        <w:rPr>
          <w:spacing w:val="-2"/>
          <w:lang w:val="lt-LT"/>
        </w:rPr>
        <w:t>2020</w:t>
      </w:r>
      <w:r w:rsidR="00822A07" w:rsidRPr="0032264F">
        <w:rPr>
          <w:spacing w:val="-2"/>
          <w:lang w:val="lt-LT"/>
        </w:rPr>
        <w:t> </w:t>
      </w:r>
      <w:r w:rsidR="00AC722A" w:rsidRPr="0032264F">
        <w:rPr>
          <w:spacing w:val="-2"/>
          <w:lang w:val="lt-LT"/>
        </w:rPr>
        <w:t xml:space="preserve">m. </w:t>
      </w:r>
      <w:r w:rsidR="00627D38" w:rsidRPr="0032264F">
        <w:rPr>
          <w:spacing w:val="-2"/>
          <w:lang w:val="lt-LT"/>
        </w:rPr>
        <w:t xml:space="preserve">vidutinis </w:t>
      </w:r>
      <w:r w:rsidR="00923997" w:rsidRPr="0032264F">
        <w:rPr>
          <w:spacing w:val="-2"/>
          <w:lang w:val="lt-LT"/>
        </w:rPr>
        <w:t xml:space="preserve">darbuotojų skaičius </w:t>
      </w:r>
      <w:r w:rsidR="001E4A4B" w:rsidRPr="0032264F">
        <w:rPr>
          <w:spacing w:val="-2"/>
          <w:lang w:val="lt-LT"/>
        </w:rPr>
        <w:t>ša</w:t>
      </w:r>
      <w:r w:rsidR="00506D8E">
        <w:rPr>
          <w:spacing w:val="-2"/>
          <w:lang w:val="lt-LT"/>
        </w:rPr>
        <w:t>lies</w:t>
      </w:r>
      <w:r w:rsidR="001E4A4B" w:rsidRPr="0032264F">
        <w:rPr>
          <w:spacing w:val="-2"/>
          <w:lang w:val="lt-LT"/>
        </w:rPr>
        <w:t xml:space="preserve"> ūkyje sumažėjo 7</w:t>
      </w:r>
      <w:r w:rsidR="00923997" w:rsidRPr="0032264F">
        <w:rPr>
          <w:spacing w:val="-2"/>
          <w:lang w:val="lt-LT"/>
        </w:rPr>
        <w:t>,</w:t>
      </w:r>
      <w:r w:rsidR="001E4A4B" w:rsidRPr="0032264F">
        <w:rPr>
          <w:spacing w:val="-2"/>
          <w:lang w:val="lt-LT"/>
        </w:rPr>
        <w:t>7</w:t>
      </w:r>
      <w:r w:rsidR="00822A07" w:rsidRPr="0032264F">
        <w:rPr>
          <w:spacing w:val="-2"/>
          <w:lang w:val="lt-LT"/>
        </w:rPr>
        <w:t> </w:t>
      </w:r>
      <w:r w:rsidR="001E4A4B" w:rsidRPr="0032264F">
        <w:rPr>
          <w:spacing w:val="-2"/>
          <w:lang w:val="lt-LT"/>
        </w:rPr>
        <w:t>tūkst.</w:t>
      </w:r>
    </w:p>
    <w:p w:rsidR="002501F9" w:rsidRPr="0032264F" w:rsidRDefault="002501F9" w:rsidP="00FD4E48">
      <w:pPr>
        <w:pStyle w:val="ListParagraph"/>
        <w:numPr>
          <w:ilvl w:val="0"/>
          <w:numId w:val="12"/>
        </w:numPr>
        <w:spacing w:before="120" w:after="120"/>
        <w:ind w:left="568" w:hanging="284"/>
        <w:contextualSpacing w:val="0"/>
        <w:jc w:val="both"/>
        <w:rPr>
          <w:rFonts w:cs="Arial"/>
          <w:lang w:val="lt-LT"/>
        </w:rPr>
      </w:pPr>
      <w:r w:rsidRPr="0032264F">
        <w:rPr>
          <w:rFonts w:cs="Arial"/>
          <w:spacing w:val="-2"/>
          <w:lang w:val="lt-LT"/>
        </w:rPr>
        <w:t xml:space="preserve">Vidutinis </w:t>
      </w:r>
      <w:r w:rsidR="00D51303" w:rsidRPr="0032264F">
        <w:rPr>
          <w:rFonts w:cs="Arial"/>
          <w:spacing w:val="-2"/>
          <w:lang w:val="lt-LT"/>
        </w:rPr>
        <w:t>darbuotojų skaičius šalies ūkyje, įskaita</w:t>
      </w:r>
      <w:r w:rsidR="00923997" w:rsidRPr="0032264F">
        <w:rPr>
          <w:rFonts w:cs="Arial"/>
          <w:spacing w:val="-2"/>
          <w:lang w:val="lt-LT"/>
        </w:rPr>
        <w:t xml:space="preserve">nt individualiąsias įmones, </w:t>
      </w:r>
      <w:r w:rsidR="007A13F6" w:rsidRPr="0032264F">
        <w:rPr>
          <w:rFonts w:cs="Arial"/>
          <w:spacing w:val="-2"/>
          <w:lang w:val="lt-LT"/>
        </w:rPr>
        <w:t>2020</w:t>
      </w:r>
      <w:r w:rsidR="001704AF" w:rsidRPr="0032264F">
        <w:rPr>
          <w:rFonts w:cs="Arial"/>
          <w:spacing w:val="-2"/>
          <w:lang w:val="lt-LT"/>
        </w:rPr>
        <w:t> </w:t>
      </w:r>
      <w:r w:rsidR="00923997" w:rsidRPr="0032264F">
        <w:rPr>
          <w:rFonts w:cs="Arial"/>
          <w:spacing w:val="-2"/>
          <w:lang w:val="lt-LT"/>
        </w:rPr>
        <w:t>m. sudarė 1 mln. 2</w:t>
      </w:r>
      <w:r w:rsidR="00FD0D9E" w:rsidRPr="0032264F">
        <w:rPr>
          <w:rFonts w:cs="Arial"/>
          <w:spacing w:val="-2"/>
          <w:lang w:val="lt-LT"/>
        </w:rPr>
        <w:t>80,2</w:t>
      </w:r>
      <w:r w:rsidR="00D51303" w:rsidRPr="0032264F">
        <w:rPr>
          <w:rFonts w:cs="Arial"/>
          <w:spacing w:val="-2"/>
          <w:lang w:val="lt-LT"/>
        </w:rPr>
        <w:t> tūkst.,</w:t>
      </w:r>
      <w:r w:rsidR="00D51303" w:rsidRPr="0032264F">
        <w:rPr>
          <w:rFonts w:cs="Arial"/>
          <w:lang w:val="lt-LT"/>
        </w:rPr>
        <w:t xml:space="preserve"> </w:t>
      </w:r>
      <w:r w:rsidR="00FD0D9E" w:rsidRPr="0032264F">
        <w:rPr>
          <w:rFonts w:cs="Arial"/>
          <w:lang w:val="lt-LT"/>
        </w:rPr>
        <w:t>iš jų viešajame sektoriuje</w:t>
      </w:r>
      <w:r w:rsidR="00316E8F" w:rsidRPr="0032264F">
        <w:rPr>
          <w:rFonts w:cs="Arial"/>
          <w:lang w:val="lt-LT"/>
        </w:rPr>
        <w:t> </w:t>
      </w:r>
      <w:r w:rsidR="00FD0D9E" w:rsidRPr="0032264F">
        <w:rPr>
          <w:rFonts w:cs="Arial"/>
          <w:lang w:val="lt-LT"/>
        </w:rPr>
        <w:t>– 364</w:t>
      </w:r>
      <w:r w:rsidR="0010115D" w:rsidRPr="0032264F">
        <w:rPr>
          <w:rFonts w:cs="Arial"/>
          <w:lang w:val="lt-LT"/>
        </w:rPr>
        <w:t>,2</w:t>
      </w:r>
      <w:r w:rsidR="001704AF" w:rsidRPr="0032264F">
        <w:rPr>
          <w:rFonts w:cs="Arial"/>
          <w:lang w:val="lt-LT"/>
        </w:rPr>
        <w:t> </w:t>
      </w:r>
      <w:r w:rsidR="0010115D" w:rsidRPr="0032264F">
        <w:rPr>
          <w:rFonts w:cs="Arial"/>
          <w:lang w:val="lt-LT"/>
        </w:rPr>
        <w:t>tūkst. (28,5</w:t>
      </w:r>
      <w:r w:rsidR="001704AF" w:rsidRPr="0032264F">
        <w:rPr>
          <w:rFonts w:cs="Arial"/>
          <w:lang w:val="lt-LT"/>
        </w:rPr>
        <w:t> </w:t>
      </w:r>
      <w:r w:rsidR="00D51303" w:rsidRPr="0032264F">
        <w:rPr>
          <w:rFonts w:cs="Arial"/>
          <w:lang w:val="lt-LT"/>
        </w:rPr>
        <w:t>proc. šalies ūkio darbuotojų)</w:t>
      </w:r>
      <w:r w:rsidR="009F7FE3" w:rsidRPr="0032264F">
        <w:rPr>
          <w:rFonts w:cs="Arial"/>
          <w:lang w:val="lt-LT"/>
        </w:rPr>
        <w:t xml:space="preserve">, </w:t>
      </w:r>
      <w:r w:rsidR="00FD0D9E" w:rsidRPr="0032264F">
        <w:rPr>
          <w:rFonts w:cs="Arial"/>
          <w:lang w:val="lt-LT"/>
        </w:rPr>
        <w:t>privačiajame – 916</w:t>
      </w:r>
      <w:r w:rsidR="0010115D" w:rsidRPr="0032264F">
        <w:rPr>
          <w:rFonts w:cs="Arial"/>
          <w:lang w:val="lt-LT"/>
        </w:rPr>
        <w:t> tūkst. (71,5</w:t>
      </w:r>
      <w:r w:rsidR="00FD4E48" w:rsidRPr="0032264F">
        <w:rPr>
          <w:rFonts w:cs="Arial"/>
          <w:lang w:val="lt-LT"/>
        </w:rPr>
        <w:t> </w:t>
      </w:r>
      <w:r w:rsidR="00D51303" w:rsidRPr="0032264F">
        <w:rPr>
          <w:rFonts w:cs="Arial"/>
          <w:lang w:val="lt-LT"/>
        </w:rPr>
        <w:t xml:space="preserve">proc.). </w:t>
      </w:r>
      <w:r w:rsidR="00F9559C" w:rsidRPr="0032264F">
        <w:rPr>
          <w:rFonts w:cs="Arial"/>
          <w:lang w:val="lt-LT"/>
        </w:rPr>
        <w:t>Vidutinis d</w:t>
      </w:r>
      <w:r w:rsidR="008C3D19" w:rsidRPr="0032264F">
        <w:rPr>
          <w:rFonts w:cs="Arial"/>
          <w:lang w:val="lt-LT"/>
        </w:rPr>
        <w:t xml:space="preserve">arbuotojų skaičius, palyginti </w:t>
      </w:r>
      <w:r w:rsidR="0010115D" w:rsidRPr="0032264F">
        <w:rPr>
          <w:rFonts w:cs="Arial"/>
          <w:lang w:val="lt-LT"/>
        </w:rPr>
        <w:t xml:space="preserve">su </w:t>
      </w:r>
      <w:r w:rsidR="007A13F6" w:rsidRPr="0032264F">
        <w:rPr>
          <w:rFonts w:cs="Arial"/>
          <w:lang w:val="lt-LT"/>
        </w:rPr>
        <w:t>2019</w:t>
      </w:r>
      <w:r w:rsidR="001704AF" w:rsidRPr="0032264F">
        <w:rPr>
          <w:rFonts w:cs="Arial"/>
          <w:lang w:val="lt-LT"/>
        </w:rPr>
        <w:t> </w:t>
      </w:r>
      <w:r w:rsidR="0010115D" w:rsidRPr="0032264F">
        <w:rPr>
          <w:rFonts w:cs="Arial"/>
          <w:lang w:val="lt-LT"/>
        </w:rPr>
        <w:t xml:space="preserve">m., </w:t>
      </w:r>
      <w:r w:rsidR="00F9559C" w:rsidRPr="0032264F">
        <w:rPr>
          <w:rFonts w:cs="Arial"/>
          <w:lang w:val="lt-LT"/>
        </w:rPr>
        <w:t xml:space="preserve">šalies ūkyje </w:t>
      </w:r>
      <w:r w:rsidR="00FD0D9E" w:rsidRPr="0032264F">
        <w:rPr>
          <w:rFonts w:cs="Arial"/>
          <w:lang w:val="lt-LT"/>
        </w:rPr>
        <w:t>sumažėjo</w:t>
      </w:r>
      <w:r w:rsidR="0010115D" w:rsidRPr="0032264F">
        <w:rPr>
          <w:rFonts w:cs="Arial"/>
          <w:lang w:val="lt-LT"/>
        </w:rPr>
        <w:t xml:space="preserve"> </w:t>
      </w:r>
      <w:r w:rsidR="00FD0D9E" w:rsidRPr="0032264F">
        <w:rPr>
          <w:rFonts w:cs="Arial"/>
          <w:lang w:val="lt-LT"/>
        </w:rPr>
        <w:t>7,7</w:t>
      </w:r>
      <w:r w:rsidR="00F54C6D" w:rsidRPr="0032264F">
        <w:rPr>
          <w:rFonts w:cs="Arial"/>
          <w:lang w:val="lt-LT"/>
        </w:rPr>
        <w:t> tūkst</w:t>
      </w:r>
      <w:r w:rsidR="0010115D" w:rsidRPr="0032264F">
        <w:rPr>
          <w:rFonts w:cs="Arial"/>
          <w:lang w:val="lt-LT"/>
        </w:rPr>
        <w:t>. (</w:t>
      </w:r>
      <w:r w:rsidR="00971514" w:rsidRPr="0032264F">
        <w:rPr>
          <w:rFonts w:cs="Arial"/>
          <w:lang w:val="lt-LT"/>
        </w:rPr>
        <w:t>0,6</w:t>
      </w:r>
      <w:r w:rsidR="00F54C6D" w:rsidRPr="0032264F">
        <w:rPr>
          <w:rFonts w:cs="Arial"/>
          <w:lang w:val="lt-LT"/>
        </w:rPr>
        <w:t> proc</w:t>
      </w:r>
      <w:r w:rsidR="00D51303" w:rsidRPr="0032264F">
        <w:rPr>
          <w:rFonts w:cs="Arial"/>
          <w:lang w:val="lt-LT"/>
        </w:rPr>
        <w:t xml:space="preserve">.): </w:t>
      </w:r>
      <w:r w:rsidR="00FD0D9E" w:rsidRPr="0032264F">
        <w:rPr>
          <w:rFonts w:cs="Arial"/>
          <w:lang w:val="lt-LT"/>
        </w:rPr>
        <w:t xml:space="preserve">viešajame </w:t>
      </w:r>
      <w:r w:rsidR="00D51303" w:rsidRPr="0032264F">
        <w:rPr>
          <w:rFonts w:cs="Arial"/>
          <w:lang w:val="lt-LT"/>
        </w:rPr>
        <w:t>sektoriuje</w:t>
      </w:r>
      <w:r w:rsidR="00316E8F" w:rsidRPr="0032264F">
        <w:rPr>
          <w:rFonts w:cs="Arial"/>
          <w:lang w:val="lt-LT"/>
        </w:rPr>
        <w:t> </w:t>
      </w:r>
      <w:r w:rsidR="00D51303" w:rsidRPr="0032264F">
        <w:rPr>
          <w:rFonts w:cs="Arial"/>
          <w:lang w:val="lt-LT"/>
        </w:rPr>
        <w:t>–</w:t>
      </w:r>
      <w:r w:rsidR="001704AF" w:rsidRPr="0032264F">
        <w:rPr>
          <w:rFonts w:cs="Arial"/>
          <w:lang w:val="lt-LT"/>
        </w:rPr>
        <w:t xml:space="preserve"> </w:t>
      </w:r>
      <w:r w:rsidR="00FD0D9E" w:rsidRPr="0032264F">
        <w:rPr>
          <w:rFonts w:cs="Arial"/>
          <w:lang w:val="lt-LT"/>
        </w:rPr>
        <w:t>3</w:t>
      </w:r>
      <w:r w:rsidR="001704AF" w:rsidRPr="0032264F">
        <w:rPr>
          <w:rFonts w:cs="Arial"/>
          <w:lang w:val="lt-LT"/>
        </w:rPr>
        <w:t> </w:t>
      </w:r>
      <w:r w:rsidR="00F54C6D" w:rsidRPr="0032264F">
        <w:rPr>
          <w:rFonts w:cs="Arial"/>
          <w:lang w:val="lt-LT"/>
        </w:rPr>
        <w:t xml:space="preserve">tūkst. </w:t>
      </w:r>
      <w:r w:rsidR="0010115D" w:rsidRPr="0032264F">
        <w:rPr>
          <w:rFonts w:cs="Arial"/>
          <w:lang w:val="lt-LT"/>
        </w:rPr>
        <w:t>(</w:t>
      </w:r>
      <w:r w:rsidR="00FD0D9E" w:rsidRPr="0032264F">
        <w:rPr>
          <w:rFonts w:cs="Arial"/>
          <w:lang w:val="lt-LT"/>
        </w:rPr>
        <w:t>0,</w:t>
      </w:r>
      <w:r w:rsidR="00F54C6D" w:rsidRPr="0032264F">
        <w:rPr>
          <w:rFonts w:cs="Arial"/>
          <w:lang w:val="lt-LT"/>
        </w:rPr>
        <w:t>8</w:t>
      </w:r>
      <w:r w:rsidR="001704AF" w:rsidRPr="0032264F">
        <w:rPr>
          <w:rFonts w:cs="Arial"/>
          <w:lang w:val="lt-LT"/>
        </w:rPr>
        <w:t> </w:t>
      </w:r>
      <w:r w:rsidR="00F54C6D" w:rsidRPr="0032264F">
        <w:rPr>
          <w:rFonts w:cs="Arial"/>
          <w:lang w:val="lt-LT"/>
        </w:rPr>
        <w:t>proc</w:t>
      </w:r>
      <w:r w:rsidR="00D51303" w:rsidRPr="0032264F">
        <w:rPr>
          <w:rFonts w:cs="Arial"/>
          <w:lang w:val="lt-LT"/>
        </w:rPr>
        <w:t>.),</w:t>
      </w:r>
      <w:r w:rsidR="00AD58B8" w:rsidRPr="0032264F">
        <w:rPr>
          <w:rFonts w:cs="Arial"/>
          <w:lang w:val="lt-LT"/>
        </w:rPr>
        <w:t xml:space="preserve"> </w:t>
      </w:r>
      <w:r w:rsidR="00FD0D9E" w:rsidRPr="0032264F">
        <w:rPr>
          <w:rFonts w:cs="Arial"/>
          <w:lang w:val="lt-LT"/>
        </w:rPr>
        <w:t>privačiajame sektoriuje</w:t>
      </w:r>
      <w:r w:rsidR="00316E8F" w:rsidRPr="0032264F">
        <w:rPr>
          <w:rFonts w:cs="Arial"/>
          <w:lang w:val="lt-LT"/>
        </w:rPr>
        <w:t> </w:t>
      </w:r>
      <w:r w:rsidR="002B2F2C" w:rsidRPr="0032264F">
        <w:rPr>
          <w:rFonts w:cs="Arial"/>
          <w:lang w:val="lt-LT"/>
        </w:rPr>
        <w:t>–</w:t>
      </w:r>
      <w:r w:rsidR="00D51303" w:rsidRPr="0032264F">
        <w:rPr>
          <w:rFonts w:cs="Arial"/>
          <w:lang w:val="lt-LT"/>
        </w:rPr>
        <w:t xml:space="preserve"> </w:t>
      </w:r>
      <w:r w:rsidR="00FD0D9E" w:rsidRPr="0032264F">
        <w:rPr>
          <w:rFonts w:cs="Arial"/>
          <w:lang w:val="lt-LT"/>
        </w:rPr>
        <w:t>4,7</w:t>
      </w:r>
      <w:r w:rsidR="00F54C6D" w:rsidRPr="0032264F">
        <w:rPr>
          <w:rFonts w:cs="Arial"/>
          <w:lang w:val="lt-LT"/>
        </w:rPr>
        <w:t> tūkst</w:t>
      </w:r>
      <w:r w:rsidR="003A19DE" w:rsidRPr="0032264F">
        <w:rPr>
          <w:rFonts w:cs="Arial"/>
          <w:lang w:val="lt-LT"/>
        </w:rPr>
        <w:t>.</w:t>
      </w:r>
      <w:r w:rsidR="00F54C6D" w:rsidRPr="0032264F">
        <w:rPr>
          <w:rFonts w:cs="Arial"/>
          <w:lang w:val="lt-LT"/>
        </w:rPr>
        <w:t xml:space="preserve"> </w:t>
      </w:r>
      <w:r w:rsidR="0010115D" w:rsidRPr="0032264F">
        <w:rPr>
          <w:rFonts w:cs="Arial"/>
          <w:lang w:val="lt-LT"/>
        </w:rPr>
        <w:t>(</w:t>
      </w:r>
      <w:r w:rsidR="003B0A2C" w:rsidRPr="0032264F">
        <w:rPr>
          <w:rFonts w:cs="Arial"/>
          <w:lang w:val="lt-LT"/>
        </w:rPr>
        <w:t>0,5</w:t>
      </w:r>
      <w:r w:rsidR="00F54C6D" w:rsidRPr="0032264F">
        <w:rPr>
          <w:rFonts w:cs="Arial"/>
          <w:lang w:val="lt-LT"/>
        </w:rPr>
        <w:t> proc.</w:t>
      </w:r>
      <w:r w:rsidR="00D51303" w:rsidRPr="0032264F">
        <w:rPr>
          <w:rFonts w:cs="Arial"/>
          <w:lang w:val="lt-LT"/>
        </w:rPr>
        <w:t>).</w:t>
      </w:r>
    </w:p>
    <w:p w:rsidR="00EE4094" w:rsidRPr="0032264F" w:rsidRDefault="003D6E56" w:rsidP="00FD4E48">
      <w:pPr>
        <w:pStyle w:val="ListParagraph"/>
        <w:numPr>
          <w:ilvl w:val="0"/>
          <w:numId w:val="12"/>
        </w:numPr>
        <w:spacing w:before="120" w:after="120"/>
        <w:ind w:left="568" w:hanging="284"/>
        <w:contextualSpacing w:val="0"/>
        <w:jc w:val="both"/>
        <w:rPr>
          <w:rFonts w:cs="Arial"/>
          <w:lang w:val="lt-LT"/>
        </w:rPr>
      </w:pPr>
      <w:r w:rsidRPr="0032264F">
        <w:rPr>
          <w:lang w:val="lt-LT"/>
        </w:rPr>
        <w:t>Vidutinis</w:t>
      </w:r>
      <w:r w:rsidR="002501F9" w:rsidRPr="0032264F">
        <w:rPr>
          <w:lang w:val="lt-LT"/>
        </w:rPr>
        <w:t xml:space="preserve"> </w:t>
      </w:r>
      <w:r w:rsidRPr="0032264F">
        <w:rPr>
          <w:lang w:val="lt-LT"/>
        </w:rPr>
        <w:t>darbuotojų skaičius skirtingose ekonominės veiklos rūšių įmonėse</w:t>
      </w:r>
      <w:r w:rsidR="00F9559C" w:rsidRPr="0032264F">
        <w:rPr>
          <w:lang w:val="lt-LT"/>
        </w:rPr>
        <w:t>,</w:t>
      </w:r>
      <w:r w:rsidR="00905EE0" w:rsidRPr="0032264F">
        <w:rPr>
          <w:lang w:val="lt-LT"/>
        </w:rPr>
        <w:t xml:space="preserve"> </w:t>
      </w:r>
      <w:r w:rsidRPr="0032264F">
        <w:rPr>
          <w:lang w:val="lt-LT"/>
        </w:rPr>
        <w:t>įstaigose</w:t>
      </w:r>
      <w:r w:rsidR="00F9559C" w:rsidRPr="0032264F">
        <w:rPr>
          <w:lang w:val="lt-LT"/>
        </w:rPr>
        <w:t xml:space="preserve"> ir organizacijose</w:t>
      </w:r>
      <w:r w:rsidRPr="0032264F">
        <w:rPr>
          <w:lang w:val="lt-LT"/>
        </w:rPr>
        <w:t xml:space="preserve"> kito nevienodai. </w:t>
      </w:r>
      <w:r w:rsidR="00905EE0" w:rsidRPr="0032264F">
        <w:rPr>
          <w:lang w:val="lt-LT"/>
        </w:rPr>
        <w:t>Labiausiai</w:t>
      </w:r>
      <w:r w:rsidR="00905EE0" w:rsidRPr="0032264F">
        <w:rPr>
          <w:color w:val="333333"/>
          <w:shd w:val="clear" w:color="auto" w:fill="FFFFFF"/>
          <w:lang w:val="lt-LT"/>
        </w:rPr>
        <w:t xml:space="preserve"> – </w:t>
      </w:r>
      <w:r w:rsidR="0086695D" w:rsidRPr="0032264F">
        <w:rPr>
          <w:lang w:val="lt-LT"/>
        </w:rPr>
        <w:t>6</w:t>
      </w:r>
      <w:r w:rsidR="00905EE0" w:rsidRPr="0032264F">
        <w:rPr>
          <w:lang w:val="lt-LT"/>
        </w:rPr>
        <w:t>,5 tūkst.</w:t>
      </w:r>
      <w:r w:rsidR="00316E8F" w:rsidRPr="0032264F">
        <w:rPr>
          <w:lang w:val="lt-LT"/>
        </w:rPr>
        <w:t> </w:t>
      </w:r>
      <w:r w:rsidR="00905EE0" w:rsidRPr="0032264F">
        <w:rPr>
          <w:color w:val="333333"/>
          <w:shd w:val="clear" w:color="auto" w:fill="FFFFFF"/>
          <w:lang w:val="lt-LT"/>
        </w:rPr>
        <w:t>–</w:t>
      </w:r>
      <w:r w:rsidR="00905EE0" w:rsidRPr="0032264F">
        <w:rPr>
          <w:lang w:val="lt-LT"/>
        </w:rPr>
        <w:t xml:space="preserve"> </w:t>
      </w:r>
      <w:r w:rsidR="0086695D" w:rsidRPr="0032264F">
        <w:rPr>
          <w:lang w:val="lt-LT"/>
        </w:rPr>
        <w:t>vidutinis darbuotojų skaičius sumažėjo</w:t>
      </w:r>
      <w:r w:rsidR="00905EE0" w:rsidRPr="0032264F">
        <w:rPr>
          <w:lang w:val="lt-LT"/>
        </w:rPr>
        <w:t xml:space="preserve"> </w:t>
      </w:r>
      <w:r w:rsidR="0086695D" w:rsidRPr="0032264F">
        <w:rPr>
          <w:lang w:val="lt-LT"/>
        </w:rPr>
        <w:t>didmeninės ir mažmeninės prekybos; variklinių transporto priemonių ir motociklų remonto įmonėse, o labiausiai padidėjo</w:t>
      </w:r>
      <w:r w:rsidR="00905EE0" w:rsidRPr="0032264F">
        <w:rPr>
          <w:lang w:val="lt-LT"/>
        </w:rPr>
        <w:t xml:space="preserve"> </w:t>
      </w:r>
      <w:r w:rsidR="0086695D" w:rsidRPr="0032264F">
        <w:rPr>
          <w:lang w:val="lt-LT"/>
        </w:rPr>
        <w:t>transporto veiklos įmonėse</w:t>
      </w:r>
      <w:r w:rsidR="00316E8F" w:rsidRPr="0032264F">
        <w:rPr>
          <w:lang w:val="lt-LT"/>
        </w:rPr>
        <w:t> </w:t>
      </w:r>
      <w:r w:rsidR="0086695D" w:rsidRPr="0032264F">
        <w:rPr>
          <w:color w:val="333333"/>
          <w:shd w:val="clear" w:color="auto" w:fill="FFFFFF"/>
          <w:lang w:val="lt-LT"/>
        </w:rPr>
        <w:t xml:space="preserve">– </w:t>
      </w:r>
      <w:r w:rsidR="0086695D" w:rsidRPr="0032264F">
        <w:rPr>
          <w:lang w:val="lt-LT"/>
        </w:rPr>
        <w:t xml:space="preserve">3,7 tūkst. </w:t>
      </w:r>
    </w:p>
    <w:p w:rsidR="002501F9" w:rsidRPr="0032264F" w:rsidRDefault="007A13F6" w:rsidP="00FD4E48">
      <w:pPr>
        <w:pStyle w:val="ListParagraph"/>
        <w:numPr>
          <w:ilvl w:val="0"/>
          <w:numId w:val="12"/>
        </w:numPr>
        <w:spacing w:before="120"/>
        <w:ind w:left="568" w:hanging="284"/>
        <w:contextualSpacing w:val="0"/>
        <w:jc w:val="both"/>
        <w:rPr>
          <w:rFonts w:cs="Arial"/>
          <w:lang w:val="lt-LT"/>
        </w:rPr>
      </w:pPr>
      <w:r w:rsidRPr="0032264F">
        <w:rPr>
          <w:rFonts w:cs="Arial"/>
          <w:lang w:val="lt-LT"/>
        </w:rPr>
        <w:t>2020</w:t>
      </w:r>
      <w:r w:rsidR="00127A88" w:rsidRPr="0032264F">
        <w:rPr>
          <w:rFonts w:cs="Arial"/>
          <w:lang w:val="lt-LT"/>
        </w:rPr>
        <w:t> </w:t>
      </w:r>
      <w:r w:rsidR="00B22E90" w:rsidRPr="0032264F">
        <w:rPr>
          <w:rFonts w:cs="Arial"/>
          <w:lang w:val="lt-LT"/>
        </w:rPr>
        <w:t xml:space="preserve">m. </w:t>
      </w:r>
      <w:r w:rsidR="00B22E90" w:rsidRPr="0032264F">
        <w:rPr>
          <w:lang w:val="lt-LT"/>
        </w:rPr>
        <w:t>ne visą darbo laiką dirbusių darbuotojų skaičius sud</w:t>
      </w:r>
      <w:r w:rsidR="0029143E" w:rsidRPr="0032264F">
        <w:rPr>
          <w:lang w:val="lt-LT"/>
        </w:rPr>
        <w:t>arė 223</w:t>
      </w:r>
      <w:r w:rsidR="001704AF" w:rsidRPr="0032264F">
        <w:rPr>
          <w:lang w:val="lt-LT"/>
        </w:rPr>
        <w:t> </w:t>
      </w:r>
      <w:r w:rsidR="00B22E90" w:rsidRPr="0032264F">
        <w:rPr>
          <w:lang w:val="lt-LT"/>
        </w:rPr>
        <w:t xml:space="preserve">tūkst., </w:t>
      </w:r>
      <w:r w:rsidR="0029143E" w:rsidRPr="0032264F">
        <w:rPr>
          <w:lang w:val="lt-LT"/>
        </w:rPr>
        <w:t>arba 17,4</w:t>
      </w:r>
      <w:r w:rsidR="00127A88" w:rsidRPr="0032264F">
        <w:rPr>
          <w:lang w:val="lt-LT"/>
        </w:rPr>
        <w:t> </w:t>
      </w:r>
      <w:r w:rsidR="00B22E90" w:rsidRPr="0032264F">
        <w:rPr>
          <w:lang w:val="lt-LT"/>
        </w:rPr>
        <w:t xml:space="preserve">proc. šalies ūkio darbuotojų, ir, </w:t>
      </w:r>
      <w:r w:rsidR="00955E4E" w:rsidRPr="0032264F">
        <w:rPr>
          <w:lang w:val="lt-LT"/>
        </w:rPr>
        <w:t xml:space="preserve">palyginti su </w:t>
      </w:r>
      <w:r w:rsidRPr="0032264F">
        <w:rPr>
          <w:lang w:val="lt-LT"/>
        </w:rPr>
        <w:t>2019</w:t>
      </w:r>
      <w:r w:rsidR="00E02766" w:rsidRPr="0032264F">
        <w:rPr>
          <w:lang w:val="lt-LT"/>
        </w:rPr>
        <w:t> </w:t>
      </w:r>
      <w:r w:rsidR="00B22E90" w:rsidRPr="0032264F">
        <w:rPr>
          <w:lang w:val="lt-LT"/>
        </w:rPr>
        <w:t xml:space="preserve">m., </w:t>
      </w:r>
      <w:r w:rsidR="0029143E" w:rsidRPr="0032264F">
        <w:rPr>
          <w:lang w:val="lt-LT"/>
        </w:rPr>
        <w:t>sumažėjo</w:t>
      </w:r>
      <w:r w:rsidR="00B22E90" w:rsidRPr="0032264F">
        <w:rPr>
          <w:lang w:val="lt-LT"/>
        </w:rPr>
        <w:t xml:space="preserve"> </w:t>
      </w:r>
      <w:r w:rsidR="0029143E" w:rsidRPr="0032264F">
        <w:rPr>
          <w:lang w:val="lt-LT"/>
        </w:rPr>
        <w:t>2,2</w:t>
      </w:r>
      <w:r w:rsidR="001704AF" w:rsidRPr="0032264F">
        <w:rPr>
          <w:lang w:val="lt-LT"/>
        </w:rPr>
        <w:t> </w:t>
      </w:r>
      <w:r w:rsidR="00AE1BF4" w:rsidRPr="0032264F">
        <w:rPr>
          <w:lang w:val="lt-LT"/>
        </w:rPr>
        <w:t xml:space="preserve">tūkst. </w:t>
      </w:r>
      <w:r w:rsidR="002E53B7" w:rsidRPr="0032264F">
        <w:rPr>
          <w:lang w:val="lt-LT"/>
        </w:rPr>
        <w:t>(</w:t>
      </w:r>
      <w:r w:rsidR="0029143E" w:rsidRPr="0032264F">
        <w:rPr>
          <w:lang w:val="lt-LT"/>
        </w:rPr>
        <w:t>1</w:t>
      </w:r>
      <w:r w:rsidR="00AE1BF4" w:rsidRPr="0032264F">
        <w:rPr>
          <w:lang w:val="lt-LT"/>
        </w:rPr>
        <w:t> proc.</w:t>
      </w:r>
      <w:r w:rsidR="00B22E90" w:rsidRPr="0032264F">
        <w:rPr>
          <w:lang w:val="lt-LT"/>
        </w:rPr>
        <w:t>).</w:t>
      </w:r>
    </w:p>
    <w:p w:rsidR="00970BAB" w:rsidRPr="0032264F" w:rsidRDefault="00970BAB" w:rsidP="00316E8F">
      <w:pPr>
        <w:jc w:val="both"/>
        <w:rPr>
          <w:sz w:val="18"/>
          <w:szCs w:val="18"/>
          <w:lang w:val="lt-LT"/>
        </w:rPr>
      </w:pPr>
    </w:p>
    <w:p w:rsidR="00F07311" w:rsidRPr="0032264F" w:rsidRDefault="008261E0" w:rsidP="00F07311">
      <w:pPr>
        <w:rPr>
          <w:b/>
          <w:snapToGrid w:val="0"/>
          <w:lang w:val="lt-LT"/>
        </w:rPr>
      </w:pPr>
      <w:r w:rsidRPr="0032264F">
        <w:rPr>
          <w:rFonts w:cs="Arial"/>
          <w:b/>
          <w:bCs/>
          <w:lang w:val="lt-LT" w:eastAsia="lt-LT"/>
        </w:rPr>
        <w:t>5</w:t>
      </w:r>
      <w:r w:rsidR="00F07311" w:rsidRPr="0032264F">
        <w:rPr>
          <w:rFonts w:cs="Arial"/>
          <w:b/>
          <w:bCs/>
          <w:lang w:val="lt-LT" w:eastAsia="lt-LT"/>
        </w:rPr>
        <w:t xml:space="preserve"> pav. </w:t>
      </w:r>
      <w:r w:rsidR="00DD4605" w:rsidRPr="0032264F">
        <w:rPr>
          <w:b/>
          <w:snapToGrid w:val="0"/>
          <w:lang w:val="lt-LT"/>
        </w:rPr>
        <w:t>Vidutinio darbuotojų skaičiaus pokytis pagal sektorius 201</w:t>
      </w:r>
      <w:r w:rsidR="00971514" w:rsidRPr="0032264F">
        <w:rPr>
          <w:b/>
          <w:snapToGrid w:val="0"/>
          <w:lang w:val="lt-LT"/>
        </w:rPr>
        <w:t>6</w:t>
      </w:r>
      <w:r w:rsidR="006A258D" w:rsidRPr="0032264F">
        <w:rPr>
          <w:b/>
          <w:snapToGrid w:val="0"/>
          <w:lang w:val="lt-LT"/>
        </w:rPr>
        <w:t>–</w:t>
      </w:r>
      <w:r w:rsidR="007A13F6" w:rsidRPr="0032264F">
        <w:rPr>
          <w:b/>
          <w:snapToGrid w:val="0"/>
          <w:lang w:val="lt-LT"/>
        </w:rPr>
        <w:t>2020</w:t>
      </w:r>
      <w:r w:rsidR="00DD4605" w:rsidRPr="0032264F">
        <w:rPr>
          <w:b/>
          <w:snapToGrid w:val="0"/>
          <w:lang w:val="lt-LT"/>
        </w:rPr>
        <w:t xml:space="preserve"> m.</w:t>
      </w:r>
    </w:p>
    <w:p w:rsidR="00A427CB" w:rsidRPr="0032264F" w:rsidRDefault="00D215FC" w:rsidP="00A427CB">
      <w:pPr>
        <w:spacing w:after="120"/>
        <w:rPr>
          <w:rFonts w:cs="Arial"/>
          <w:lang w:val="lt-LT" w:eastAsia="lt-LT"/>
        </w:rPr>
      </w:pPr>
      <w:hyperlink r:id="rId21" w:anchor="/" w:history="1">
        <w:r w:rsidR="00A427CB" w:rsidRPr="0032264F">
          <w:rPr>
            <w:rStyle w:val="Hyperlink"/>
            <w:lang w:val="lt-LT"/>
          </w:rPr>
          <w:t>https://osp.stat.gov.lt/statistiniu-rodikliu-analize?hash=a75f415a-b635-48fd-89ef-ab1c019b9252#/</w:t>
        </w:r>
      </w:hyperlink>
    </w:p>
    <w:p w:rsidR="00DD4605" w:rsidRPr="0032264F" w:rsidRDefault="00DD4605" w:rsidP="00DD4605">
      <w:pPr>
        <w:spacing w:after="60"/>
        <w:rPr>
          <w:snapToGrid w:val="0"/>
          <w:lang w:val="lt-LT"/>
        </w:rPr>
      </w:pPr>
      <w:r w:rsidRPr="0032264F">
        <w:rPr>
          <w:snapToGrid w:val="0"/>
          <w:lang w:val="lt-LT"/>
        </w:rPr>
        <w:t>Palyginti su ankstesniais metais</w:t>
      </w:r>
      <w:r w:rsidR="00DA2B6A" w:rsidRPr="0032264F">
        <w:rPr>
          <w:snapToGrid w:val="0"/>
          <w:lang w:val="lt-LT"/>
        </w:rPr>
        <w:t>, procentais</w:t>
      </w:r>
    </w:p>
    <w:p w:rsidR="00625524" w:rsidRPr="0032264F" w:rsidRDefault="00DD4605" w:rsidP="00764DC9">
      <w:pPr>
        <w:rPr>
          <w:lang w:val="lt-LT"/>
        </w:rPr>
      </w:pPr>
      <w:r w:rsidRPr="0032264F">
        <w:rPr>
          <w:i/>
          <w:noProof/>
          <w:color w:val="000000"/>
          <w:sz w:val="16"/>
          <w:lang w:val="lt-LT" w:eastAsia="lt-LT"/>
        </w:rPr>
        <w:drawing>
          <wp:inline distT="0" distB="0" distL="0" distR="0" wp14:anchorId="6F38C632" wp14:editId="70185510">
            <wp:extent cx="6489865" cy="2339439"/>
            <wp:effectExtent l="0" t="0" r="635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9053D" w:rsidRPr="0032264F" w:rsidRDefault="0069053D" w:rsidP="00487E54">
      <w:pPr>
        <w:pStyle w:val="Lentelespav"/>
        <w:jc w:val="left"/>
        <w:rPr>
          <w:rFonts w:cs="Arial"/>
          <w:b w:val="0"/>
          <w:bCs/>
          <w:lang w:val="lt-LT" w:eastAsia="lt-LT"/>
        </w:rPr>
      </w:pPr>
    </w:p>
    <w:p w:rsidR="00487E54" w:rsidRPr="0032264F" w:rsidRDefault="008261E0" w:rsidP="001704AF">
      <w:pPr>
        <w:pStyle w:val="Lentelespav"/>
        <w:jc w:val="left"/>
        <w:rPr>
          <w:lang w:val="lt-LT" w:eastAsia="lt-LT"/>
        </w:rPr>
      </w:pPr>
      <w:r w:rsidRPr="0032264F">
        <w:rPr>
          <w:rFonts w:cs="Arial"/>
          <w:bCs/>
          <w:lang w:val="lt-LT" w:eastAsia="lt-LT"/>
        </w:rPr>
        <w:t>6</w:t>
      </w:r>
      <w:r w:rsidR="00C65BC6" w:rsidRPr="0032264F">
        <w:rPr>
          <w:rFonts w:cs="Arial"/>
          <w:bCs/>
          <w:lang w:val="lt-LT" w:eastAsia="lt-LT"/>
        </w:rPr>
        <w:t xml:space="preserve"> pav. </w:t>
      </w:r>
      <w:r w:rsidR="00487E54" w:rsidRPr="0032264F">
        <w:rPr>
          <w:lang w:val="lt-LT" w:eastAsia="lt-LT"/>
        </w:rPr>
        <w:t xml:space="preserve">Vidutinio darbuotojų skaičiaus pokytis šalies ūkyje pagal ekonominės veiklos rūšis </w:t>
      </w:r>
      <w:r w:rsidR="007A13F6" w:rsidRPr="0032264F">
        <w:rPr>
          <w:lang w:val="lt-LT" w:eastAsia="lt-LT"/>
        </w:rPr>
        <w:t>2020</w:t>
      </w:r>
      <w:r w:rsidR="00487E54" w:rsidRPr="0032264F">
        <w:rPr>
          <w:lang w:val="lt-LT" w:eastAsia="lt-LT"/>
        </w:rPr>
        <w:t> m.</w:t>
      </w:r>
    </w:p>
    <w:p w:rsidR="00AB7E75" w:rsidRPr="0032264F" w:rsidRDefault="00D215FC" w:rsidP="00AB7E75">
      <w:pPr>
        <w:spacing w:after="120"/>
        <w:rPr>
          <w:lang w:val="lt-LT"/>
        </w:rPr>
      </w:pPr>
      <w:hyperlink r:id="rId23" w:anchor="/" w:history="1">
        <w:r w:rsidR="00AB7E75" w:rsidRPr="0032264F">
          <w:rPr>
            <w:rStyle w:val="Hyperlink"/>
            <w:lang w:val="lt-LT"/>
          </w:rPr>
          <w:t>https://osp.stat.gov.lt/statistiniu-rodikliu-analize?hash=b445dfd4-bc8b-43cc-a646-cee38766989b#/</w:t>
        </w:r>
      </w:hyperlink>
    </w:p>
    <w:p w:rsidR="00C65BC6" w:rsidRPr="0032264F" w:rsidRDefault="00487E54" w:rsidP="001704AF">
      <w:pPr>
        <w:rPr>
          <w:lang w:val="lt-LT" w:eastAsia="lt-LT"/>
        </w:rPr>
      </w:pPr>
      <w:r w:rsidRPr="0032264F">
        <w:rPr>
          <w:lang w:val="lt-LT" w:eastAsia="lt-LT"/>
        </w:rPr>
        <w:t>Palyginti su ankstesniais metais</w:t>
      </w:r>
      <w:r w:rsidR="00DA2B6A" w:rsidRPr="0032264F">
        <w:rPr>
          <w:lang w:val="lt-LT" w:eastAsia="lt-LT"/>
        </w:rPr>
        <w:t>, procentais</w:t>
      </w:r>
    </w:p>
    <w:p w:rsidR="00F80BC4" w:rsidRPr="00F9078A" w:rsidRDefault="00F2543B" w:rsidP="001704AF">
      <w:pPr>
        <w:spacing w:after="120"/>
        <w:rPr>
          <w:lang w:val="lt-LT"/>
        </w:rPr>
      </w:pPr>
      <w:r w:rsidRPr="0032264F">
        <w:rPr>
          <w:noProof/>
          <w:lang w:val="lt-LT" w:eastAsia="lt-LT"/>
        </w:rPr>
        <w:drawing>
          <wp:inline distT="0" distB="0" distL="0" distR="0" wp14:anchorId="70842C0A" wp14:editId="199A64C3">
            <wp:extent cx="6489865" cy="2725387"/>
            <wp:effectExtent l="0" t="0" r="0" b="0"/>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F05C8" w:rsidRPr="0032264F" w:rsidRDefault="009F05C8">
      <w:pPr>
        <w:rPr>
          <w:rFonts w:cs="Arial"/>
          <w:bCs/>
          <w:lang w:val="lt-LT" w:eastAsia="lt-LT"/>
        </w:rPr>
      </w:pPr>
      <w:r w:rsidRPr="0032264F">
        <w:rPr>
          <w:rFonts w:cs="Arial"/>
          <w:bCs/>
          <w:lang w:val="lt-LT" w:eastAsia="lt-LT"/>
        </w:rPr>
        <w:br w:type="page"/>
      </w:r>
    </w:p>
    <w:p w:rsidR="009F05C8" w:rsidRPr="0032264F" w:rsidRDefault="009F05C8" w:rsidP="009F05C8">
      <w:pPr>
        <w:spacing w:after="60"/>
        <w:rPr>
          <w:rFonts w:cs="Arial"/>
          <w:bCs/>
          <w:lang w:val="lt-LT" w:eastAsia="lt-LT"/>
        </w:rPr>
      </w:pPr>
      <w:r w:rsidRPr="0032264F">
        <w:rPr>
          <w:rFonts w:cs="Arial"/>
          <w:bCs/>
          <w:lang w:val="lt-LT" w:eastAsia="lt-LT"/>
        </w:rPr>
        <w:t>Ekonominės veiklos rūšys pagal Ekonominės veiklos rūšių klasifikatorių:</w:t>
      </w:r>
    </w:p>
    <w:tbl>
      <w:tblPr>
        <w:tblW w:w="5000" w:type="pct"/>
        <w:tblLook w:val="04A0" w:firstRow="1" w:lastRow="0" w:firstColumn="1" w:lastColumn="0" w:noHBand="0" w:noVBand="1"/>
      </w:tblPr>
      <w:tblGrid>
        <w:gridCol w:w="5102"/>
        <w:gridCol w:w="5102"/>
      </w:tblGrid>
      <w:tr w:rsidR="009F05C8" w:rsidRPr="0032264F" w:rsidTr="00127A88">
        <w:trPr>
          <w:trHeight w:val="2528"/>
        </w:trPr>
        <w:tc>
          <w:tcPr>
            <w:tcW w:w="2500" w:type="pct"/>
            <w:hideMark/>
          </w:tcPr>
          <w:p w:rsidR="009F05C8" w:rsidRPr="0032264F" w:rsidRDefault="009F05C8" w:rsidP="00730965">
            <w:pPr>
              <w:spacing w:before="40"/>
              <w:rPr>
                <w:rFonts w:cs="Arial"/>
                <w:bCs/>
                <w:sz w:val="18"/>
                <w:szCs w:val="18"/>
                <w:lang w:val="lt-LT" w:eastAsia="en-GB"/>
              </w:rPr>
            </w:pPr>
            <w:r w:rsidRPr="0032264F">
              <w:rPr>
                <w:rFonts w:cs="Arial"/>
                <w:sz w:val="18"/>
                <w:szCs w:val="18"/>
                <w:lang w:val="lt-LT" w:eastAsia="en-GB"/>
              </w:rPr>
              <w:t>A – žemės ūkis, miškininkystė ir žuvininkystė</w:t>
            </w:r>
          </w:p>
          <w:p w:rsidR="009F05C8" w:rsidRPr="0032264F" w:rsidRDefault="009F05C8" w:rsidP="00730965">
            <w:pPr>
              <w:spacing w:before="40"/>
              <w:rPr>
                <w:snapToGrid w:val="0"/>
                <w:sz w:val="18"/>
                <w:szCs w:val="18"/>
                <w:lang w:val="lt-LT"/>
              </w:rPr>
            </w:pPr>
            <w:r w:rsidRPr="0032264F">
              <w:rPr>
                <w:rFonts w:cs="Arial"/>
                <w:sz w:val="18"/>
                <w:szCs w:val="18"/>
                <w:lang w:val="lt-LT" w:eastAsia="en-GB"/>
              </w:rPr>
              <w:t>B – kasyba ir karjerų eksploatavimas</w:t>
            </w:r>
          </w:p>
          <w:p w:rsidR="009F05C8" w:rsidRPr="0032264F" w:rsidRDefault="009F05C8" w:rsidP="00730965">
            <w:pPr>
              <w:spacing w:before="40"/>
              <w:rPr>
                <w:snapToGrid w:val="0"/>
                <w:sz w:val="18"/>
                <w:szCs w:val="18"/>
                <w:lang w:val="lt-LT"/>
              </w:rPr>
            </w:pPr>
            <w:r w:rsidRPr="0032264F">
              <w:rPr>
                <w:rFonts w:cs="Arial"/>
                <w:bCs/>
                <w:sz w:val="18"/>
                <w:szCs w:val="18"/>
                <w:lang w:val="lt-LT" w:eastAsia="en-GB"/>
              </w:rPr>
              <w:t xml:space="preserve">C – apdirbamoji gamyba </w:t>
            </w:r>
          </w:p>
          <w:p w:rsidR="009F05C8" w:rsidRPr="0032264F" w:rsidRDefault="009F05C8" w:rsidP="00730965">
            <w:pPr>
              <w:spacing w:before="40"/>
              <w:rPr>
                <w:snapToGrid w:val="0"/>
                <w:sz w:val="18"/>
                <w:szCs w:val="18"/>
                <w:lang w:val="lt-LT"/>
              </w:rPr>
            </w:pPr>
            <w:r w:rsidRPr="0032264F">
              <w:rPr>
                <w:rFonts w:eastAsia="Arial Unicode MS" w:cs="Arial"/>
                <w:bCs/>
                <w:sz w:val="18"/>
                <w:szCs w:val="18"/>
                <w:lang w:val="lt-LT" w:eastAsia="en-GB"/>
              </w:rPr>
              <w:t>D – elektros, dujų, garo tiekimas ir oro kondicionavimas</w:t>
            </w:r>
            <w:r w:rsidRPr="0032264F">
              <w:rPr>
                <w:rFonts w:cs="Arial"/>
                <w:bCs/>
                <w:sz w:val="18"/>
                <w:szCs w:val="18"/>
                <w:lang w:val="lt-LT" w:eastAsia="en-GB"/>
              </w:rPr>
              <w:t xml:space="preserve"> </w:t>
            </w:r>
          </w:p>
          <w:p w:rsidR="009F05C8" w:rsidRPr="0032264F" w:rsidRDefault="009F05C8" w:rsidP="00730965">
            <w:pPr>
              <w:spacing w:before="40"/>
              <w:rPr>
                <w:snapToGrid w:val="0"/>
                <w:sz w:val="18"/>
                <w:szCs w:val="18"/>
                <w:lang w:val="lt-LT"/>
              </w:rPr>
            </w:pPr>
            <w:r w:rsidRPr="0032264F">
              <w:rPr>
                <w:rFonts w:cs="Arial"/>
                <w:bCs/>
                <w:sz w:val="18"/>
                <w:szCs w:val="18"/>
                <w:lang w:val="lt-LT" w:eastAsia="en-GB"/>
              </w:rPr>
              <w:t>E – vandens tiekimas, nuotekų valymas, atliekų tvarkymas ir regeneravimas</w:t>
            </w:r>
          </w:p>
          <w:p w:rsidR="009F05C8" w:rsidRPr="0032264F" w:rsidRDefault="009F05C8" w:rsidP="00730965">
            <w:pPr>
              <w:spacing w:before="40"/>
              <w:rPr>
                <w:rFonts w:cs="Arial"/>
                <w:bCs/>
                <w:sz w:val="18"/>
                <w:szCs w:val="18"/>
                <w:lang w:val="lt-LT" w:eastAsia="en-GB"/>
              </w:rPr>
            </w:pPr>
            <w:r w:rsidRPr="0032264F">
              <w:rPr>
                <w:rFonts w:cs="Arial"/>
                <w:bCs/>
                <w:sz w:val="18"/>
                <w:szCs w:val="18"/>
                <w:lang w:val="lt-LT" w:eastAsia="en-GB"/>
              </w:rPr>
              <w:t>F – statyba</w:t>
            </w:r>
          </w:p>
          <w:p w:rsidR="009F05C8" w:rsidRPr="0032264F" w:rsidRDefault="009F05C8" w:rsidP="00730965">
            <w:pPr>
              <w:spacing w:before="40"/>
              <w:rPr>
                <w:snapToGrid w:val="0"/>
                <w:sz w:val="18"/>
                <w:szCs w:val="18"/>
                <w:lang w:val="lt-LT"/>
              </w:rPr>
            </w:pPr>
            <w:r w:rsidRPr="0032264F">
              <w:rPr>
                <w:rFonts w:cs="Arial"/>
                <w:bCs/>
                <w:sz w:val="18"/>
                <w:szCs w:val="18"/>
                <w:lang w:val="lt-LT" w:eastAsia="en-GB"/>
              </w:rPr>
              <w:t>G – didmeninė ir mažmeninė prekyba; variklinių transporto priemonių ir motociklų remontas</w:t>
            </w:r>
          </w:p>
          <w:p w:rsidR="009F05C8" w:rsidRPr="0032264F" w:rsidRDefault="009F05C8" w:rsidP="00730965">
            <w:pPr>
              <w:spacing w:before="40"/>
              <w:rPr>
                <w:snapToGrid w:val="0"/>
                <w:sz w:val="18"/>
                <w:szCs w:val="18"/>
                <w:lang w:val="lt-LT"/>
              </w:rPr>
            </w:pPr>
            <w:r w:rsidRPr="0032264F">
              <w:rPr>
                <w:rFonts w:cs="Arial"/>
                <w:bCs/>
                <w:sz w:val="18"/>
                <w:szCs w:val="18"/>
                <w:lang w:val="lt-LT" w:eastAsia="en-GB"/>
              </w:rPr>
              <w:t>H – transportas ir saugojimas</w:t>
            </w:r>
          </w:p>
          <w:p w:rsidR="009F05C8" w:rsidRPr="0032264F" w:rsidRDefault="009F05C8" w:rsidP="00730965">
            <w:pPr>
              <w:spacing w:before="40"/>
              <w:rPr>
                <w:snapToGrid w:val="0"/>
                <w:sz w:val="18"/>
                <w:szCs w:val="18"/>
                <w:lang w:val="lt-LT"/>
              </w:rPr>
            </w:pPr>
            <w:r w:rsidRPr="0032264F">
              <w:rPr>
                <w:snapToGrid w:val="0"/>
                <w:sz w:val="18"/>
                <w:szCs w:val="18"/>
                <w:lang w:val="lt-LT"/>
              </w:rPr>
              <w:t>I – apgyvendinimo ir maitinimo paslaugų veikla</w:t>
            </w:r>
          </w:p>
        </w:tc>
        <w:tc>
          <w:tcPr>
            <w:tcW w:w="2500" w:type="pct"/>
            <w:hideMark/>
          </w:tcPr>
          <w:p w:rsidR="009F05C8" w:rsidRPr="0032264F" w:rsidRDefault="009F05C8" w:rsidP="00730965">
            <w:pPr>
              <w:spacing w:before="40"/>
              <w:rPr>
                <w:snapToGrid w:val="0"/>
                <w:sz w:val="18"/>
                <w:szCs w:val="18"/>
                <w:lang w:val="lt-LT"/>
              </w:rPr>
            </w:pPr>
            <w:r w:rsidRPr="0032264F">
              <w:rPr>
                <w:rFonts w:cs="Arial"/>
                <w:bCs/>
                <w:sz w:val="18"/>
                <w:szCs w:val="18"/>
                <w:lang w:val="lt-LT" w:eastAsia="en-GB"/>
              </w:rPr>
              <w:t>J – informacija ir ryšiai</w:t>
            </w:r>
          </w:p>
          <w:p w:rsidR="009F05C8" w:rsidRPr="0032264F" w:rsidRDefault="009F05C8" w:rsidP="00730965">
            <w:pPr>
              <w:spacing w:before="40"/>
              <w:rPr>
                <w:rFonts w:cs="Arial"/>
                <w:bCs/>
                <w:sz w:val="18"/>
                <w:szCs w:val="18"/>
                <w:lang w:val="lt-LT" w:eastAsia="en-GB"/>
              </w:rPr>
            </w:pPr>
            <w:r w:rsidRPr="0032264F">
              <w:rPr>
                <w:rFonts w:cs="Arial"/>
                <w:bCs/>
                <w:sz w:val="18"/>
                <w:szCs w:val="18"/>
                <w:lang w:val="lt-LT" w:eastAsia="en-GB"/>
              </w:rPr>
              <w:t>K – finansinė ir draudimo veikla</w:t>
            </w:r>
          </w:p>
          <w:p w:rsidR="009F05C8" w:rsidRPr="0032264F" w:rsidRDefault="009F05C8" w:rsidP="00730965">
            <w:pPr>
              <w:spacing w:before="40"/>
              <w:rPr>
                <w:rFonts w:cs="Arial"/>
                <w:bCs/>
                <w:sz w:val="18"/>
                <w:szCs w:val="18"/>
                <w:lang w:val="lt-LT" w:eastAsia="en-GB"/>
              </w:rPr>
            </w:pPr>
            <w:r w:rsidRPr="0032264F">
              <w:rPr>
                <w:rFonts w:cs="Arial"/>
                <w:bCs/>
                <w:sz w:val="18"/>
                <w:szCs w:val="18"/>
                <w:lang w:val="lt-LT" w:eastAsia="en-GB"/>
              </w:rPr>
              <w:t>L – nekilnojamojo turto operacijos</w:t>
            </w:r>
          </w:p>
          <w:p w:rsidR="009F05C8" w:rsidRPr="0032264F" w:rsidRDefault="009F05C8" w:rsidP="00730965">
            <w:pPr>
              <w:spacing w:before="40"/>
              <w:rPr>
                <w:snapToGrid w:val="0"/>
                <w:sz w:val="18"/>
                <w:szCs w:val="18"/>
                <w:lang w:val="lt-LT"/>
              </w:rPr>
            </w:pPr>
            <w:r w:rsidRPr="0032264F">
              <w:rPr>
                <w:rFonts w:cs="Arial"/>
                <w:bCs/>
                <w:sz w:val="18"/>
                <w:szCs w:val="18"/>
                <w:lang w:val="lt-LT" w:eastAsia="en-GB"/>
              </w:rPr>
              <w:t>M – profesinė, mokslinė ir techninė veikla</w:t>
            </w:r>
          </w:p>
          <w:p w:rsidR="009F05C8" w:rsidRPr="0032264F" w:rsidRDefault="009F05C8" w:rsidP="00730965">
            <w:pPr>
              <w:spacing w:before="40"/>
              <w:rPr>
                <w:snapToGrid w:val="0"/>
                <w:sz w:val="18"/>
                <w:szCs w:val="18"/>
                <w:lang w:val="lt-LT"/>
              </w:rPr>
            </w:pPr>
            <w:r w:rsidRPr="0032264F">
              <w:rPr>
                <w:rFonts w:cs="Arial"/>
                <w:bCs/>
                <w:sz w:val="18"/>
                <w:szCs w:val="18"/>
                <w:lang w:val="lt-LT" w:eastAsia="en-GB"/>
              </w:rPr>
              <w:t>N – administracinė ir aptarnavimo veikla</w:t>
            </w:r>
          </w:p>
          <w:p w:rsidR="009F05C8" w:rsidRPr="0032264F" w:rsidRDefault="009F05C8" w:rsidP="00730965">
            <w:pPr>
              <w:spacing w:before="40"/>
              <w:rPr>
                <w:rFonts w:cs="Arial"/>
                <w:bCs/>
                <w:sz w:val="18"/>
                <w:szCs w:val="18"/>
                <w:lang w:val="lt-LT" w:eastAsia="en-GB"/>
              </w:rPr>
            </w:pPr>
            <w:r w:rsidRPr="0032264F">
              <w:rPr>
                <w:rFonts w:cs="Arial"/>
                <w:bCs/>
                <w:sz w:val="18"/>
                <w:szCs w:val="18"/>
                <w:lang w:val="lt-LT" w:eastAsia="en-GB"/>
              </w:rPr>
              <w:t>O – viešasis valdymas ir gynyba; privalomasis socialinis draudimas</w:t>
            </w:r>
          </w:p>
          <w:p w:rsidR="009F05C8" w:rsidRPr="0032264F" w:rsidRDefault="009F05C8" w:rsidP="00730965">
            <w:pPr>
              <w:spacing w:before="40"/>
              <w:rPr>
                <w:rFonts w:cs="Arial"/>
                <w:bCs/>
                <w:sz w:val="18"/>
                <w:szCs w:val="18"/>
                <w:lang w:val="lt-LT" w:eastAsia="en-GB"/>
              </w:rPr>
            </w:pPr>
            <w:r w:rsidRPr="0032264F">
              <w:rPr>
                <w:rFonts w:cs="Arial"/>
                <w:bCs/>
                <w:sz w:val="18"/>
                <w:szCs w:val="18"/>
                <w:lang w:val="lt-LT" w:eastAsia="en-GB"/>
              </w:rPr>
              <w:t>P – švietimas</w:t>
            </w:r>
          </w:p>
          <w:p w:rsidR="009F05C8" w:rsidRPr="0032264F" w:rsidRDefault="009F05C8" w:rsidP="00730965">
            <w:pPr>
              <w:spacing w:before="40"/>
              <w:rPr>
                <w:snapToGrid w:val="0"/>
                <w:sz w:val="18"/>
                <w:szCs w:val="18"/>
                <w:lang w:val="lt-LT"/>
              </w:rPr>
            </w:pPr>
            <w:r w:rsidRPr="0032264F">
              <w:rPr>
                <w:rFonts w:cs="Arial"/>
                <w:bCs/>
                <w:sz w:val="18"/>
                <w:szCs w:val="18"/>
                <w:lang w:val="lt-LT" w:eastAsia="en-GB"/>
              </w:rPr>
              <w:t>Q – žmonių sveikatos priežiūra ir socialinis darbas</w:t>
            </w:r>
          </w:p>
          <w:p w:rsidR="009F05C8" w:rsidRPr="0032264F" w:rsidRDefault="009F05C8" w:rsidP="00730965">
            <w:pPr>
              <w:spacing w:before="40"/>
              <w:rPr>
                <w:snapToGrid w:val="0"/>
                <w:sz w:val="18"/>
                <w:szCs w:val="18"/>
                <w:lang w:val="lt-LT"/>
              </w:rPr>
            </w:pPr>
            <w:r w:rsidRPr="0032264F">
              <w:rPr>
                <w:snapToGrid w:val="0"/>
                <w:sz w:val="18"/>
                <w:szCs w:val="18"/>
                <w:lang w:val="lt-LT"/>
              </w:rPr>
              <w:t>R – meninė, pramoginė ir poilsio organizavimo veikla</w:t>
            </w:r>
          </w:p>
          <w:p w:rsidR="009F05C8" w:rsidRPr="0032264F" w:rsidRDefault="009F05C8" w:rsidP="00730965">
            <w:pPr>
              <w:spacing w:before="40"/>
              <w:rPr>
                <w:rFonts w:cs="Arial"/>
                <w:bCs/>
                <w:sz w:val="18"/>
                <w:szCs w:val="18"/>
                <w:lang w:val="lt-LT" w:eastAsia="en-GB"/>
              </w:rPr>
            </w:pPr>
            <w:r w:rsidRPr="0032264F">
              <w:rPr>
                <w:rFonts w:cs="Arial"/>
                <w:sz w:val="18"/>
                <w:szCs w:val="18"/>
                <w:lang w:val="lt-LT" w:eastAsia="en-GB"/>
              </w:rPr>
              <w:t>S – kita aptarnavimo veikla</w:t>
            </w:r>
          </w:p>
        </w:tc>
      </w:tr>
    </w:tbl>
    <w:p w:rsidR="009F05C8" w:rsidRPr="0032264F" w:rsidRDefault="009F05C8">
      <w:pPr>
        <w:rPr>
          <w:sz w:val="16"/>
          <w:szCs w:val="16"/>
          <w:lang w:val="lt-LT"/>
        </w:rPr>
      </w:pPr>
    </w:p>
    <w:p w:rsidR="005550AC" w:rsidRPr="0032264F" w:rsidRDefault="007A13F6" w:rsidP="005550AC">
      <w:pPr>
        <w:rPr>
          <w:b/>
          <w:lang w:val="lt-LT"/>
        </w:rPr>
      </w:pPr>
      <w:r w:rsidRPr="0032264F">
        <w:rPr>
          <w:b/>
          <w:lang w:val="lt-LT"/>
        </w:rPr>
        <w:t>2020</w:t>
      </w:r>
      <w:r w:rsidR="00954163" w:rsidRPr="0032264F">
        <w:rPr>
          <w:b/>
          <w:lang w:val="lt-LT"/>
        </w:rPr>
        <w:t xml:space="preserve"> m. </w:t>
      </w:r>
      <w:proofErr w:type="spellStart"/>
      <w:r w:rsidR="00954163" w:rsidRPr="0032264F">
        <w:rPr>
          <w:b/>
          <w:lang w:val="lt-LT"/>
        </w:rPr>
        <w:t>bruto</w:t>
      </w:r>
      <w:proofErr w:type="spellEnd"/>
      <w:r w:rsidR="00954163" w:rsidRPr="0032264F">
        <w:rPr>
          <w:b/>
          <w:lang w:val="lt-LT"/>
        </w:rPr>
        <w:t xml:space="preserve"> darbo užmokesčio</w:t>
      </w:r>
      <w:r w:rsidR="000C0379" w:rsidRPr="0032264F">
        <w:rPr>
          <w:b/>
          <w:lang w:val="lt-LT"/>
        </w:rPr>
        <w:t xml:space="preserve"> </w:t>
      </w:r>
      <w:r w:rsidR="00954163" w:rsidRPr="0032264F">
        <w:rPr>
          <w:b/>
          <w:lang w:val="lt-LT"/>
        </w:rPr>
        <w:t xml:space="preserve">atotrūkis tarp </w:t>
      </w:r>
      <w:r w:rsidR="00D54F74" w:rsidRPr="0032264F">
        <w:rPr>
          <w:b/>
          <w:lang w:val="lt-LT"/>
        </w:rPr>
        <w:t>regionų buvo 286</w:t>
      </w:r>
      <w:r w:rsidR="00316E8F" w:rsidRPr="0032264F">
        <w:rPr>
          <w:b/>
          <w:lang w:val="lt-LT"/>
        </w:rPr>
        <w:t> </w:t>
      </w:r>
      <w:r w:rsidR="00B9681E" w:rsidRPr="0032264F">
        <w:rPr>
          <w:b/>
          <w:lang w:val="lt-LT"/>
        </w:rPr>
        <w:t>EUR</w:t>
      </w:r>
    </w:p>
    <w:p w:rsidR="00F9362A" w:rsidRPr="00F9078A" w:rsidRDefault="00954163" w:rsidP="00BD5772">
      <w:pPr>
        <w:pStyle w:val="ListParagraph"/>
        <w:numPr>
          <w:ilvl w:val="0"/>
          <w:numId w:val="13"/>
        </w:numPr>
        <w:spacing w:before="80"/>
        <w:ind w:left="568" w:hanging="284"/>
        <w:contextualSpacing w:val="0"/>
        <w:jc w:val="both"/>
        <w:rPr>
          <w:lang w:val="lt-LT"/>
        </w:rPr>
      </w:pPr>
      <w:r w:rsidRPr="0032264F">
        <w:rPr>
          <w:lang w:val="lt-LT"/>
        </w:rPr>
        <w:t xml:space="preserve">Didžiausias vidutinis mėnesinis </w:t>
      </w:r>
      <w:proofErr w:type="spellStart"/>
      <w:r w:rsidRPr="0032264F">
        <w:rPr>
          <w:lang w:val="lt-LT"/>
        </w:rPr>
        <w:t>bruto</w:t>
      </w:r>
      <w:proofErr w:type="spellEnd"/>
      <w:r w:rsidRPr="0032264F">
        <w:rPr>
          <w:lang w:val="lt-LT"/>
        </w:rPr>
        <w:t xml:space="preserve"> darbo užmokestis</w:t>
      </w:r>
      <w:r w:rsidR="004C5191" w:rsidRPr="0032264F">
        <w:rPr>
          <w:lang w:val="lt-LT"/>
        </w:rPr>
        <w:t xml:space="preserve"> </w:t>
      </w:r>
      <w:r w:rsidR="007A13F6" w:rsidRPr="0032264F">
        <w:rPr>
          <w:lang w:val="lt-LT"/>
        </w:rPr>
        <w:t>2020</w:t>
      </w:r>
      <w:r w:rsidR="00B83555" w:rsidRPr="0032264F">
        <w:rPr>
          <w:lang w:val="lt-LT"/>
        </w:rPr>
        <w:t> </w:t>
      </w:r>
      <w:r w:rsidRPr="0032264F">
        <w:rPr>
          <w:lang w:val="lt-LT"/>
        </w:rPr>
        <w:t>m. buvo Sostinės regione</w:t>
      </w:r>
      <w:r w:rsidR="00316E8F" w:rsidRPr="0032264F">
        <w:rPr>
          <w:lang w:val="lt-LT"/>
        </w:rPr>
        <w:t> </w:t>
      </w:r>
      <w:r w:rsidR="003B2BFC" w:rsidRPr="0032264F">
        <w:rPr>
          <w:rFonts w:cs="Arial"/>
          <w:lang w:val="lt-LT"/>
        </w:rPr>
        <w:t xml:space="preserve">– </w:t>
      </w:r>
      <w:r w:rsidR="00A35C71" w:rsidRPr="0032264F">
        <w:rPr>
          <w:lang w:val="lt-LT"/>
        </w:rPr>
        <w:t>1</w:t>
      </w:r>
      <w:r w:rsidR="00D54F74" w:rsidRPr="0032264F">
        <w:rPr>
          <w:lang w:val="lt-LT"/>
        </w:rPr>
        <w:t> 590</w:t>
      </w:r>
      <w:r w:rsidR="004C5191" w:rsidRPr="0032264F">
        <w:rPr>
          <w:lang w:val="lt-LT"/>
        </w:rPr>
        <w:t>,6</w:t>
      </w:r>
      <w:r w:rsidR="00422661" w:rsidRPr="0032264F">
        <w:rPr>
          <w:lang w:val="lt-LT"/>
        </w:rPr>
        <w:t> </w:t>
      </w:r>
      <w:r w:rsidR="00A35C71" w:rsidRPr="0032264F">
        <w:rPr>
          <w:lang w:val="lt-LT"/>
        </w:rPr>
        <w:t>EUR</w:t>
      </w:r>
      <w:r w:rsidR="004C5191" w:rsidRPr="0032264F">
        <w:rPr>
          <w:lang w:val="lt-LT"/>
        </w:rPr>
        <w:t xml:space="preserve"> ir, palyginti su </w:t>
      </w:r>
      <w:r w:rsidR="007A13F6" w:rsidRPr="0032264F">
        <w:rPr>
          <w:lang w:val="lt-LT"/>
        </w:rPr>
        <w:t>2019</w:t>
      </w:r>
      <w:r w:rsidR="00B83555" w:rsidRPr="0032264F">
        <w:rPr>
          <w:lang w:val="lt-LT"/>
        </w:rPr>
        <w:t> </w:t>
      </w:r>
      <w:r w:rsidR="00D54F74" w:rsidRPr="0032264F">
        <w:rPr>
          <w:lang w:val="lt-LT"/>
        </w:rPr>
        <w:t>m.</w:t>
      </w:r>
      <w:r w:rsidR="00D229D4">
        <w:rPr>
          <w:lang w:val="lt-LT"/>
        </w:rPr>
        <w:t>,</w:t>
      </w:r>
      <w:r w:rsidR="008F4E30" w:rsidRPr="0032264F">
        <w:rPr>
          <w:lang w:val="lt-LT"/>
        </w:rPr>
        <w:t xml:space="preserve"> </w:t>
      </w:r>
      <w:r w:rsidR="00D54F74" w:rsidRPr="0032264F">
        <w:rPr>
          <w:lang w:val="lt-LT"/>
        </w:rPr>
        <w:t>padidėjo 9,5</w:t>
      </w:r>
      <w:r w:rsidR="00316E8F" w:rsidRPr="0032264F">
        <w:rPr>
          <w:lang w:val="lt-LT"/>
        </w:rPr>
        <w:t> </w:t>
      </w:r>
      <w:r w:rsidR="00422661" w:rsidRPr="0032264F">
        <w:rPr>
          <w:lang w:val="lt-LT"/>
        </w:rPr>
        <w:t xml:space="preserve">proc. </w:t>
      </w:r>
      <w:r w:rsidRPr="0032264F">
        <w:rPr>
          <w:lang w:val="lt-LT"/>
        </w:rPr>
        <w:t xml:space="preserve">Vidurio ir vakarų Lietuvos regione </w:t>
      </w:r>
      <w:proofErr w:type="spellStart"/>
      <w:r w:rsidRPr="0032264F">
        <w:rPr>
          <w:lang w:val="lt-LT"/>
        </w:rPr>
        <w:t>bruto</w:t>
      </w:r>
      <w:proofErr w:type="spellEnd"/>
      <w:r w:rsidRPr="0032264F">
        <w:rPr>
          <w:lang w:val="lt-LT"/>
        </w:rPr>
        <w:t xml:space="preserve"> darbo užmokestis </w:t>
      </w:r>
      <w:r w:rsidR="004C5191" w:rsidRPr="0032264F">
        <w:rPr>
          <w:lang w:val="lt-LT"/>
        </w:rPr>
        <w:t xml:space="preserve">padidėjo </w:t>
      </w:r>
      <w:r w:rsidR="00D54F74" w:rsidRPr="0032264F">
        <w:rPr>
          <w:lang w:val="lt-LT"/>
        </w:rPr>
        <w:t>10,7</w:t>
      </w:r>
      <w:r w:rsidR="00422661" w:rsidRPr="0032264F">
        <w:rPr>
          <w:lang w:val="lt-LT"/>
        </w:rPr>
        <w:t xml:space="preserve"> proc. ir </w:t>
      </w:r>
      <w:r w:rsidRPr="0032264F">
        <w:rPr>
          <w:lang w:val="lt-LT"/>
        </w:rPr>
        <w:t xml:space="preserve">sudarė </w:t>
      </w:r>
      <w:r w:rsidR="00D54F74" w:rsidRPr="0032264F">
        <w:rPr>
          <w:lang w:val="lt-LT"/>
        </w:rPr>
        <w:t>1 304,7</w:t>
      </w:r>
      <w:r w:rsidR="004C5191" w:rsidRPr="0032264F">
        <w:rPr>
          <w:lang w:val="lt-LT"/>
        </w:rPr>
        <w:t> </w:t>
      </w:r>
      <w:r w:rsidRPr="0032264F">
        <w:rPr>
          <w:lang w:val="lt-LT"/>
        </w:rPr>
        <w:t>EUR</w:t>
      </w:r>
      <w:r w:rsidR="00422661" w:rsidRPr="0032264F">
        <w:rPr>
          <w:lang w:val="lt-LT"/>
        </w:rPr>
        <w:t>.</w:t>
      </w:r>
      <w:r w:rsidRPr="0032264F">
        <w:rPr>
          <w:lang w:val="lt-LT"/>
        </w:rPr>
        <w:t xml:space="preserve"> </w:t>
      </w:r>
      <w:proofErr w:type="spellStart"/>
      <w:r w:rsidRPr="0032264F">
        <w:rPr>
          <w:lang w:val="lt-LT"/>
        </w:rPr>
        <w:t>Bruto</w:t>
      </w:r>
      <w:proofErr w:type="spellEnd"/>
      <w:r w:rsidRPr="0032264F">
        <w:rPr>
          <w:lang w:val="lt-LT"/>
        </w:rPr>
        <w:t xml:space="preserve"> darbo užmokesčio atotrūkis tarp </w:t>
      </w:r>
      <w:r w:rsidR="00B76A53" w:rsidRPr="0032264F">
        <w:rPr>
          <w:lang w:val="lt-LT"/>
        </w:rPr>
        <w:t xml:space="preserve">šių </w:t>
      </w:r>
      <w:r w:rsidRPr="0032264F">
        <w:rPr>
          <w:lang w:val="lt-LT"/>
        </w:rPr>
        <w:t xml:space="preserve">regionų </w:t>
      </w:r>
      <w:r w:rsidR="007A13F6" w:rsidRPr="0032264F">
        <w:rPr>
          <w:lang w:val="lt-LT"/>
        </w:rPr>
        <w:t>2020</w:t>
      </w:r>
      <w:r w:rsidR="00D828B9" w:rsidRPr="0032264F">
        <w:rPr>
          <w:lang w:val="lt-LT"/>
        </w:rPr>
        <w:t> </w:t>
      </w:r>
      <w:r w:rsidR="00D54F74" w:rsidRPr="0032264F">
        <w:rPr>
          <w:lang w:val="lt-LT"/>
        </w:rPr>
        <w:t>m. sudarė 285,9</w:t>
      </w:r>
      <w:r w:rsidR="00422661" w:rsidRPr="0032264F">
        <w:rPr>
          <w:lang w:val="lt-LT"/>
        </w:rPr>
        <w:t> </w:t>
      </w:r>
      <w:r w:rsidR="00734D75" w:rsidRPr="0032264F">
        <w:rPr>
          <w:lang w:val="lt-LT"/>
        </w:rPr>
        <w:t>EUR</w:t>
      </w:r>
      <w:r w:rsidRPr="0032264F">
        <w:rPr>
          <w:lang w:val="lt-LT"/>
        </w:rPr>
        <w:t>.</w:t>
      </w:r>
    </w:p>
    <w:p w:rsidR="005550AC" w:rsidRPr="0032264F" w:rsidRDefault="00704411" w:rsidP="00BD5772">
      <w:pPr>
        <w:pStyle w:val="ListParagraph"/>
        <w:numPr>
          <w:ilvl w:val="0"/>
          <w:numId w:val="13"/>
        </w:numPr>
        <w:spacing w:before="80"/>
        <w:ind w:left="568" w:hanging="284"/>
        <w:contextualSpacing w:val="0"/>
        <w:jc w:val="both"/>
        <w:rPr>
          <w:lang w:val="lt-LT"/>
        </w:rPr>
      </w:pPr>
      <w:r w:rsidRPr="0032264F">
        <w:rPr>
          <w:lang w:val="lt-LT"/>
        </w:rPr>
        <w:t xml:space="preserve">Vidutinis mėnesinis </w:t>
      </w:r>
      <w:proofErr w:type="spellStart"/>
      <w:r w:rsidRPr="0032264F">
        <w:rPr>
          <w:lang w:val="lt-LT"/>
        </w:rPr>
        <w:t>bruto</w:t>
      </w:r>
      <w:proofErr w:type="spellEnd"/>
      <w:r w:rsidRPr="0032264F">
        <w:rPr>
          <w:lang w:val="lt-LT"/>
        </w:rPr>
        <w:t xml:space="preserve"> darbo užmokestis šalies ūkyje </w:t>
      </w:r>
      <w:r w:rsidR="007A13F6" w:rsidRPr="0032264F">
        <w:rPr>
          <w:lang w:val="lt-LT"/>
        </w:rPr>
        <w:t>2020</w:t>
      </w:r>
      <w:r w:rsidR="00B83555" w:rsidRPr="0032264F">
        <w:rPr>
          <w:lang w:val="lt-LT"/>
        </w:rPr>
        <w:t> </w:t>
      </w:r>
      <w:r w:rsidRPr="0032264F">
        <w:rPr>
          <w:lang w:val="lt-LT"/>
        </w:rPr>
        <w:t>m., palyginti su ankstesniais metais</w:t>
      </w:r>
      <w:r w:rsidR="00AF4D5F" w:rsidRPr="0032264F">
        <w:rPr>
          <w:lang w:val="lt-LT"/>
        </w:rPr>
        <w:t xml:space="preserve">, </w:t>
      </w:r>
      <w:r w:rsidRPr="0032264F">
        <w:rPr>
          <w:lang w:val="lt-LT"/>
        </w:rPr>
        <w:t xml:space="preserve">padidėjo </w:t>
      </w:r>
      <w:r w:rsidR="00E36E61" w:rsidRPr="0032264F">
        <w:rPr>
          <w:rFonts w:cs="Arial"/>
          <w:color w:val="000000"/>
          <w:shd w:val="clear" w:color="auto" w:fill="FFFFFF"/>
          <w:lang w:val="lt-LT"/>
        </w:rPr>
        <w:t>visose apskrityse – nuo 8,1 proc. Alytaus iki 13,2</w:t>
      </w:r>
      <w:r w:rsidR="001704AF" w:rsidRPr="0032264F">
        <w:rPr>
          <w:rFonts w:cs="Arial"/>
          <w:color w:val="000000"/>
          <w:shd w:val="clear" w:color="auto" w:fill="FFFFFF"/>
          <w:lang w:val="lt-LT"/>
        </w:rPr>
        <w:t> </w:t>
      </w:r>
      <w:r w:rsidR="00E36E61" w:rsidRPr="0032264F">
        <w:rPr>
          <w:rFonts w:cs="Arial"/>
          <w:color w:val="000000"/>
          <w:shd w:val="clear" w:color="auto" w:fill="FFFFFF"/>
          <w:lang w:val="lt-LT"/>
        </w:rPr>
        <w:t>proc. Šiaulių ir Tauragės</w:t>
      </w:r>
      <w:r w:rsidRPr="0032264F">
        <w:rPr>
          <w:lang w:val="lt-LT"/>
        </w:rPr>
        <w:t>.</w:t>
      </w:r>
    </w:p>
    <w:p w:rsidR="00D26186" w:rsidRPr="0032264F" w:rsidRDefault="008F4E30" w:rsidP="00BD5772">
      <w:pPr>
        <w:pStyle w:val="ListParagraph"/>
        <w:numPr>
          <w:ilvl w:val="0"/>
          <w:numId w:val="13"/>
        </w:numPr>
        <w:spacing w:before="80"/>
        <w:ind w:left="568" w:hanging="284"/>
        <w:contextualSpacing w:val="0"/>
        <w:jc w:val="both"/>
        <w:rPr>
          <w:lang w:val="lt-LT"/>
        </w:rPr>
      </w:pPr>
      <w:r w:rsidRPr="0032264F">
        <w:rPr>
          <w:lang w:val="lt-LT"/>
        </w:rPr>
        <w:t>Per metus</w:t>
      </w:r>
      <w:r w:rsidR="009F334A" w:rsidRPr="0032264F">
        <w:rPr>
          <w:lang w:val="lt-LT"/>
        </w:rPr>
        <w:t xml:space="preserve"> vidutinis mėnesinis </w:t>
      </w:r>
      <w:proofErr w:type="spellStart"/>
      <w:r w:rsidR="009F334A" w:rsidRPr="0032264F">
        <w:rPr>
          <w:lang w:val="lt-LT"/>
        </w:rPr>
        <w:t>bruto</w:t>
      </w:r>
      <w:proofErr w:type="spellEnd"/>
      <w:r w:rsidR="009F334A" w:rsidRPr="0032264F">
        <w:rPr>
          <w:lang w:val="lt-LT"/>
        </w:rPr>
        <w:t xml:space="preserve"> darbo užmokestis</w:t>
      </w:r>
      <w:r w:rsidRPr="0032264F">
        <w:rPr>
          <w:lang w:val="lt-LT"/>
        </w:rPr>
        <w:t xml:space="preserve"> </w:t>
      </w:r>
      <w:r w:rsidR="009F334A" w:rsidRPr="0032264F">
        <w:rPr>
          <w:lang w:val="lt-LT"/>
        </w:rPr>
        <w:t>padidėjo visose savivaldybėse</w:t>
      </w:r>
      <w:r w:rsidR="00316E8F" w:rsidRPr="0032264F">
        <w:rPr>
          <w:lang w:val="lt-LT"/>
        </w:rPr>
        <w:t> </w:t>
      </w:r>
      <w:r w:rsidR="00CD3175" w:rsidRPr="0032264F">
        <w:rPr>
          <w:rFonts w:cs="Arial"/>
          <w:lang w:val="lt-LT"/>
        </w:rPr>
        <w:t>– nuo 1</w:t>
      </w:r>
      <w:r w:rsidRPr="0032264F">
        <w:rPr>
          <w:lang w:val="lt-LT"/>
        </w:rPr>
        <w:t> </w:t>
      </w:r>
      <w:r w:rsidR="00496110" w:rsidRPr="0032264F">
        <w:rPr>
          <w:lang w:val="lt-LT"/>
        </w:rPr>
        <w:t xml:space="preserve">proc. </w:t>
      </w:r>
      <w:r w:rsidR="00CD3175" w:rsidRPr="0032264F">
        <w:rPr>
          <w:rFonts w:cs="Arial"/>
          <w:lang w:val="lt-LT"/>
        </w:rPr>
        <w:t>Druskininkų iki 15,5</w:t>
      </w:r>
      <w:r w:rsidR="00B83555" w:rsidRPr="0032264F">
        <w:rPr>
          <w:rFonts w:cs="Arial"/>
          <w:lang w:val="lt-LT"/>
        </w:rPr>
        <w:t> </w:t>
      </w:r>
      <w:r w:rsidR="00A4185B" w:rsidRPr="0032264F">
        <w:rPr>
          <w:rFonts w:cs="Arial"/>
          <w:lang w:val="lt-LT"/>
        </w:rPr>
        <w:t>proc</w:t>
      </w:r>
      <w:r w:rsidR="000F164E" w:rsidRPr="0032264F">
        <w:rPr>
          <w:rFonts w:cs="Arial"/>
          <w:lang w:val="lt-LT"/>
        </w:rPr>
        <w:t>.</w:t>
      </w:r>
      <w:r w:rsidR="00CD3175" w:rsidRPr="0032264F">
        <w:rPr>
          <w:rFonts w:cs="Arial"/>
          <w:lang w:val="lt-LT"/>
        </w:rPr>
        <w:t xml:space="preserve"> Kalvarijos</w:t>
      </w:r>
      <w:r w:rsidR="00A4185B" w:rsidRPr="0032264F">
        <w:rPr>
          <w:rFonts w:cs="Arial"/>
          <w:lang w:val="lt-LT"/>
        </w:rPr>
        <w:t>.</w:t>
      </w:r>
    </w:p>
    <w:p w:rsidR="004E3057" w:rsidRPr="0032264F" w:rsidRDefault="00231FEA" w:rsidP="00BD5772">
      <w:pPr>
        <w:pStyle w:val="ListParagraph"/>
        <w:numPr>
          <w:ilvl w:val="0"/>
          <w:numId w:val="13"/>
        </w:numPr>
        <w:spacing w:before="80"/>
        <w:ind w:left="568" w:hanging="284"/>
        <w:contextualSpacing w:val="0"/>
        <w:jc w:val="both"/>
        <w:rPr>
          <w:lang w:val="lt-LT"/>
        </w:rPr>
      </w:pPr>
      <w:r w:rsidRPr="0032264F">
        <w:rPr>
          <w:lang w:val="lt-LT"/>
        </w:rPr>
        <w:t xml:space="preserve">Didžiausias vidutinis mėnesinis </w:t>
      </w:r>
      <w:proofErr w:type="spellStart"/>
      <w:r w:rsidRPr="0032264F">
        <w:rPr>
          <w:lang w:val="lt-LT"/>
        </w:rPr>
        <w:t>bruto</w:t>
      </w:r>
      <w:proofErr w:type="spellEnd"/>
      <w:r w:rsidRPr="0032264F">
        <w:rPr>
          <w:lang w:val="lt-LT"/>
        </w:rPr>
        <w:t xml:space="preserve"> darbo užmokestis</w:t>
      </w:r>
      <w:r w:rsidR="00F74B22" w:rsidRPr="0032264F">
        <w:rPr>
          <w:lang w:val="lt-LT"/>
        </w:rPr>
        <w:t xml:space="preserve"> </w:t>
      </w:r>
      <w:r w:rsidR="007A13F6" w:rsidRPr="0032264F">
        <w:rPr>
          <w:lang w:val="lt-LT"/>
        </w:rPr>
        <w:t>2020</w:t>
      </w:r>
      <w:r w:rsidR="00AC0126" w:rsidRPr="0032264F">
        <w:rPr>
          <w:lang w:val="lt-LT"/>
        </w:rPr>
        <w:t> </w:t>
      </w:r>
      <w:r w:rsidRPr="0032264F">
        <w:rPr>
          <w:lang w:val="lt-LT"/>
        </w:rPr>
        <w:t>m. buvo Vilniaus mieste ir siekė 1</w:t>
      </w:r>
      <w:r w:rsidR="00F47F5D" w:rsidRPr="0032264F">
        <w:rPr>
          <w:lang w:val="lt-LT"/>
        </w:rPr>
        <w:t> </w:t>
      </w:r>
      <w:r w:rsidR="00807DF0" w:rsidRPr="0032264F">
        <w:rPr>
          <w:lang w:val="lt-LT"/>
        </w:rPr>
        <w:t>643,2</w:t>
      </w:r>
      <w:r w:rsidR="00F712BA" w:rsidRPr="0032264F">
        <w:rPr>
          <w:lang w:val="lt-LT"/>
        </w:rPr>
        <w:t> </w:t>
      </w:r>
      <w:r w:rsidRPr="0032264F">
        <w:rPr>
          <w:lang w:val="lt-LT"/>
        </w:rPr>
        <w:t>EUR, o mažiausias</w:t>
      </w:r>
      <w:r w:rsidR="00316E8F" w:rsidRPr="0032264F">
        <w:rPr>
          <w:lang w:val="lt-LT"/>
        </w:rPr>
        <w:t> </w:t>
      </w:r>
      <w:r w:rsidRPr="0032264F">
        <w:rPr>
          <w:lang w:val="lt-LT"/>
        </w:rPr>
        <w:t xml:space="preserve">– </w:t>
      </w:r>
      <w:r w:rsidR="00807DF0" w:rsidRPr="0032264F">
        <w:rPr>
          <w:lang w:val="lt-LT"/>
        </w:rPr>
        <w:t>99</w:t>
      </w:r>
      <w:r w:rsidR="006E6843" w:rsidRPr="0032264F">
        <w:rPr>
          <w:lang w:val="lt-LT"/>
        </w:rPr>
        <w:t>2,</w:t>
      </w:r>
      <w:r w:rsidR="00807DF0" w:rsidRPr="0032264F">
        <w:rPr>
          <w:lang w:val="lt-LT"/>
        </w:rPr>
        <w:t>9</w:t>
      </w:r>
      <w:r w:rsidR="00316E8F" w:rsidRPr="0032264F">
        <w:rPr>
          <w:lang w:val="lt-LT"/>
        </w:rPr>
        <w:t> </w:t>
      </w:r>
      <w:r w:rsidR="006E6843" w:rsidRPr="0032264F">
        <w:rPr>
          <w:lang w:val="lt-LT"/>
        </w:rPr>
        <w:t>EUR</w:t>
      </w:r>
      <w:r w:rsidR="00316E8F" w:rsidRPr="0032264F">
        <w:rPr>
          <w:lang w:val="lt-LT"/>
        </w:rPr>
        <w:t> </w:t>
      </w:r>
      <w:r w:rsidR="00F47F5D" w:rsidRPr="0032264F">
        <w:rPr>
          <w:lang w:val="lt-LT"/>
        </w:rPr>
        <w:t xml:space="preserve">– </w:t>
      </w:r>
      <w:r w:rsidR="00807DF0" w:rsidRPr="0032264F">
        <w:rPr>
          <w:lang w:val="lt-LT"/>
        </w:rPr>
        <w:t>Zarasų rajono</w:t>
      </w:r>
      <w:r w:rsidR="006E6843" w:rsidRPr="0032264F">
        <w:rPr>
          <w:lang w:val="lt-LT"/>
        </w:rPr>
        <w:t xml:space="preserve"> savivaldybėje</w:t>
      </w:r>
      <w:r w:rsidRPr="0032264F">
        <w:rPr>
          <w:lang w:val="lt-LT"/>
        </w:rPr>
        <w:t xml:space="preserve">. Darbo užmokesčio atotrūkis tarp Vilniaus miesto ir </w:t>
      </w:r>
      <w:r w:rsidR="00807DF0" w:rsidRPr="0032264F">
        <w:rPr>
          <w:lang w:val="lt-LT"/>
        </w:rPr>
        <w:t>Zarasų rajono</w:t>
      </w:r>
      <w:r w:rsidRPr="0032264F">
        <w:rPr>
          <w:lang w:val="lt-LT"/>
        </w:rPr>
        <w:t xml:space="preserve"> savivaldybės sudarė </w:t>
      </w:r>
      <w:r w:rsidR="00807DF0" w:rsidRPr="0032264F">
        <w:rPr>
          <w:lang w:val="lt-LT"/>
        </w:rPr>
        <w:t>650,3</w:t>
      </w:r>
      <w:r w:rsidR="00E02766" w:rsidRPr="0032264F">
        <w:rPr>
          <w:lang w:val="lt-LT"/>
        </w:rPr>
        <w:t> </w:t>
      </w:r>
      <w:r w:rsidRPr="0032264F">
        <w:rPr>
          <w:lang w:val="lt-LT"/>
        </w:rPr>
        <w:t>EUR.</w:t>
      </w:r>
    </w:p>
    <w:p w:rsidR="00231FEA" w:rsidRPr="0032264F" w:rsidRDefault="00717A54" w:rsidP="00BD5772">
      <w:pPr>
        <w:pStyle w:val="ListParagraph"/>
        <w:numPr>
          <w:ilvl w:val="0"/>
          <w:numId w:val="13"/>
        </w:numPr>
        <w:spacing w:before="80"/>
        <w:ind w:left="568" w:hanging="284"/>
        <w:contextualSpacing w:val="0"/>
        <w:jc w:val="both"/>
        <w:rPr>
          <w:lang w:val="lt-LT"/>
        </w:rPr>
      </w:pPr>
      <w:r w:rsidRPr="0032264F">
        <w:rPr>
          <w:lang w:val="lt-LT"/>
        </w:rPr>
        <w:t xml:space="preserve">Vilniaus, </w:t>
      </w:r>
      <w:r w:rsidR="0035275C" w:rsidRPr="0032264F">
        <w:rPr>
          <w:lang w:val="lt-LT"/>
        </w:rPr>
        <w:t>Kauno</w:t>
      </w:r>
      <w:r w:rsidR="00E97767" w:rsidRPr="0032264F">
        <w:rPr>
          <w:lang w:val="lt-LT"/>
        </w:rPr>
        <w:t xml:space="preserve"> ir </w:t>
      </w:r>
      <w:r w:rsidR="0035275C" w:rsidRPr="0032264F">
        <w:rPr>
          <w:lang w:val="lt-LT"/>
        </w:rPr>
        <w:t>Klaipėdos</w:t>
      </w:r>
      <w:r w:rsidRPr="0032264F">
        <w:rPr>
          <w:lang w:val="lt-LT"/>
        </w:rPr>
        <w:t xml:space="preserve"> miestų savivaldybėse vidutinis mėnesinis </w:t>
      </w:r>
      <w:proofErr w:type="spellStart"/>
      <w:r w:rsidRPr="0032264F">
        <w:rPr>
          <w:lang w:val="lt-LT"/>
        </w:rPr>
        <w:t>bruto</w:t>
      </w:r>
      <w:proofErr w:type="spellEnd"/>
      <w:r w:rsidRPr="0032264F">
        <w:rPr>
          <w:lang w:val="lt-LT"/>
        </w:rPr>
        <w:t xml:space="preserve"> darbo užmokestis viršijo šalies vidutinį mėnesinį </w:t>
      </w:r>
      <w:proofErr w:type="spellStart"/>
      <w:r w:rsidRPr="0032264F">
        <w:rPr>
          <w:lang w:val="lt-LT"/>
        </w:rPr>
        <w:t>bruto</w:t>
      </w:r>
      <w:proofErr w:type="spellEnd"/>
      <w:r w:rsidRPr="0032264F">
        <w:rPr>
          <w:lang w:val="lt-LT"/>
        </w:rPr>
        <w:t xml:space="preserve"> darbo užmokestį, atitinkamai </w:t>
      </w:r>
      <w:r w:rsidR="0054575A" w:rsidRPr="0032264F">
        <w:rPr>
          <w:lang w:val="lt-LT"/>
        </w:rPr>
        <w:t>215, 38 ir 31</w:t>
      </w:r>
      <w:r w:rsidR="00316E8F" w:rsidRPr="0032264F">
        <w:rPr>
          <w:lang w:val="lt-LT"/>
        </w:rPr>
        <w:t> </w:t>
      </w:r>
      <w:r w:rsidRPr="0032264F">
        <w:rPr>
          <w:lang w:val="lt-LT"/>
        </w:rPr>
        <w:t>EUR.</w:t>
      </w:r>
    </w:p>
    <w:p w:rsidR="00E02766" w:rsidRPr="00F9078A" w:rsidRDefault="00E02766" w:rsidP="00AC0126">
      <w:pPr>
        <w:pStyle w:val="Lentelespav"/>
        <w:jc w:val="left"/>
        <w:rPr>
          <w:lang w:val="lt-LT"/>
        </w:rPr>
      </w:pPr>
    </w:p>
    <w:p w:rsidR="00ED3F1D" w:rsidRPr="0032264F" w:rsidRDefault="00ED3F1D" w:rsidP="00ED3F1D">
      <w:pPr>
        <w:pStyle w:val="Lentelespav"/>
        <w:spacing w:after="120"/>
        <w:jc w:val="left"/>
        <w:rPr>
          <w:lang w:val="lt-LT"/>
        </w:rPr>
      </w:pPr>
      <w:r w:rsidRPr="0032264F">
        <w:rPr>
          <w:lang w:val="lt-LT"/>
        </w:rPr>
        <w:t xml:space="preserve">1 lentelė. Darbuotojų skaičius, darbo užmokestis ir jų pokytis pagal regionus ir apskritis </w:t>
      </w:r>
      <w:r w:rsidR="007A13F6" w:rsidRPr="0032264F">
        <w:rPr>
          <w:lang w:val="lt-LT"/>
        </w:rPr>
        <w:t>2020</w:t>
      </w:r>
      <w:r w:rsidR="00316E8F" w:rsidRPr="0032264F">
        <w:rPr>
          <w:lang w:val="lt-LT"/>
        </w:rPr>
        <w:t> </w:t>
      </w:r>
      <w:r w:rsidRPr="0032264F">
        <w:rPr>
          <w:lang w:val="lt-LT"/>
        </w:rPr>
        <w:t>m.</w:t>
      </w:r>
    </w:p>
    <w:tbl>
      <w:tblPr>
        <w:tblW w:w="5000" w:type="pct"/>
        <w:tblLayout w:type="fixed"/>
        <w:tblLook w:val="0000" w:firstRow="0" w:lastRow="0" w:firstColumn="0" w:lastColumn="0" w:noHBand="0" w:noVBand="0"/>
      </w:tblPr>
      <w:tblGrid>
        <w:gridCol w:w="2137"/>
        <w:gridCol w:w="926"/>
        <w:gridCol w:w="928"/>
        <w:gridCol w:w="901"/>
        <w:gridCol w:w="1040"/>
        <w:gridCol w:w="901"/>
        <w:gridCol w:w="901"/>
        <w:gridCol w:w="707"/>
        <w:gridCol w:w="860"/>
        <w:gridCol w:w="893"/>
      </w:tblGrid>
      <w:tr w:rsidR="004709B8" w:rsidRPr="0032264F" w:rsidTr="00FB3EAA">
        <w:trPr>
          <w:cantSplit/>
        </w:trPr>
        <w:tc>
          <w:tcPr>
            <w:tcW w:w="1048" w:type="pct"/>
            <w:vMerge w:val="restart"/>
            <w:tcBorders>
              <w:top w:val="single" w:sz="4" w:space="0" w:color="auto"/>
              <w:left w:val="single" w:sz="4" w:space="0" w:color="auto"/>
              <w:right w:val="single" w:sz="4" w:space="0" w:color="auto"/>
            </w:tcBorders>
            <w:shd w:val="clear" w:color="auto" w:fill="FDE3E9"/>
            <w:vAlign w:val="bottom"/>
          </w:tcPr>
          <w:p w:rsidR="00127A88" w:rsidRPr="0032264F" w:rsidRDefault="00127A88" w:rsidP="004709B8">
            <w:pPr>
              <w:spacing w:before="40" w:after="40"/>
              <w:ind w:right="-57"/>
              <w:rPr>
                <w:rFonts w:cs="Arial"/>
                <w:bCs/>
                <w:sz w:val="19"/>
                <w:szCs w:val="18"/>
                <w:lang w:val="lt-LT"/>
              </w:rPr>
            </w:pPr>
          </w:p>
        </w:tc>
        <w:tc>
          <w:tcPr>
            <w:tcW w:w="909" w:type="pct"/>
            <w:gridSpan w:val="2"/>
            <w:tcBorders>
              <w:top w:val="single" w:sz="4" w:space="0" w:color="auto"/>
              <w:left w:val="single" w:sz="4" w:space="0" w:color="auto"/>
              <w:right w:val="single" w:sz="4" w:space="0" w:color="auto"/>
            </w:tcBorders>
            <w:shd w:val="clear" w:color="auto" w:fill="FDE3E9"/>
          </w:tcPr>
          <w:p w:rsidR="00127A88" w:rsidRPr="00F9078A" w:rsidRDefault="00127A88" w:rsidP="004709B8">
            <w:pPr>
              <w:spacing w:before="40" w:after="40"/>
              <w:ind w:left="-57" w:right="-57"/>
              <w:rPr>
                <w:rFonts w:cs="Arial"/>
                <w:sz w:val="19"/>
                <w:szCs w:val="18"/>
                <w:lang w:val="lt-LT"/>
              </w:rPr>
            </w:pPr>
            <w:r w:rsidRPr="0032264F">
              <w:rPr>
                <w:rFonts w:cs="Arial"/>
                <w:snapToGrid w:val="0"/>
                <w:color w:val="000000"/>
                <w:sz w:val="18"/>
                <w:szCs w:val="18"/>
                <w:lang w:val="lt-LT"/>
              </w:rPr>
              <w:t xml:space="preserve">Darbuotojų </w:t>
            </w:r>
            <w:r w:rsidRPr="0032264F">
              <w:rPr>
                <w:rFonts w:cs="Arial"/>
                <w:snapToGrid w:val="0"/>
                <w:color w:val="000000"/>
                <w:sz w:val="18"/>
                <w:szCs w:val="18"/>
                <w:lang w:val="lt-LT"/>
              </w:rPr>
              <w:br/>
              <w:t>skaičius,</w:t>
            </w:r>
            <w:r w:rsidRPr="0032264F">
              <w:rPr>
                <w:rFonts w:cs="Arial"/>
                <w:i/>
                <w:snapToGrid w:val="0"/>
                <w:color w:val="000000"/>
                <w:sz w:val="18"/>
                <w:szCs w:val="18"/>
                <w:lang w:val="lt-LT"/>
              </w:rPr>
              <w:t xml:space="preserve"> </w:t>
            </w:r>
            <w:r w:rsidRPr="0032264F">
              <w:rPr>
                <w:rFonts w:cs="Arial"/>
                <w:snapToGrid w:val="0"/>
                <w:color w:val="000000"/>
                <w:sz w:val="18"/>
                <w:szCs w:val="18"/>
                <w:lang w:val="lt-LT"/>
              </w:rPr>
              <w:t>tūkst</w:t>
            </w:r>
            <w:r w:rsidRPr="0032264F">
              <w:rPr>
                <w:rFonts w:cs="Arial"/>
                <w:i/>
                <w:snapToGrid w:val="0"/>
                <w:color w:val="000000"/>
                <w:sz w:val="18"/>
                <w:szCs w:val="18"/>
                <w:lang w:val="lt-LT"/>
              </w:rPr>
              <w:t>.</w:t>
            </w:r>
          </w:p>
        </w:tc>
        <w:tc>
          <w:tcPr>
            <w:tcW w:w="952" w:type="pct"/>
            <w:gridSpan w:val="2"/>
            <w:tcBorders>
              <w:top w:val="single" w:sz="4" w:space="0" w:color="auto"/>
              <w:left w:val="single" w:sz="4" w:space="0" w:color="auto"/>
              <w:right w:val="single" w:sz="4" w:space="0" w:color="auto"/>
            </w:tcBorders>
            <w:shd w:val="clear" w:color="auto" w:fill="FDE3E9"/>
          </w:tcPr>
          <w:p w:rsidR="00127A88" w:rsidRPr="0032264F" w:rsidRDefault="00127A88" w:rsidP="004709B8">
            <w:pPr>
              <w:spacing w:before="40" w:after="40"/>
              <w:ind w:left="-57" w:right="-57"/>
              <w:rPr>
                <w:rFonts w:cs="Arial"/>
                <w:bCs/>
                <w:sz w:val="19"/>
                <w:szCs w:val="18"/>
                <w:lang w:val="lt-LT"/>
              </w:rPr>
            </w:pPr>
            <w:r w:rsidRPr="0032264F">
              <w:rPr>
                <w:rFonts w:cs="Arial"/>
                <w:snapToGrid w:val="0"/>
                <w:sz w:val="18"/>
                <w:szCs w:val="18"/>
                <w:lang w:val="lt-LT"/>
              </w:rPr>
              <w:t>Darbuotojų skaičiaus pokytis, palyginti su a</w:t>
            </w:r>
            <w:r w:rsidRPr="0032264F">
              <w:rPr>
                <w:rFonts w:cs="Arial"/>
                <w:sz w:val="18"/>
                <w:szCs w:val="18"/>
                <w:lang w:val="lt-LT"/>
              </w:rPr>
              <w:t>nkstesniais metais, %</w:t>
            </w:r>
          </w:p>
        </w:tc>
        <w:tc>
          <w:tcPr>
            <w:tcW w:w="884" w:type="pct"/>
            <w:gridSpan w:val="2"/>
            <w:tcBorders>
              <w:top w:val="single" w:sz="4" w:space="0" w:color="auto"/>
              <w:left w:val="single" w:sz="4" w:space="0" w:color="auto"/>
              <w:right w:val="single" w:sz="4" w:space="0" w:color="auto"/>
            </w:tcBorders>
            <w:shd w:val="clear" w:color="auto" w:fill="FDE3E9"/>
          </w:tcPr>
          <w:p w:rsidR="00127A88" w:rsidRPr="0032264F" w:rsidRDefault="00127A88" w:rsidP="004709B8">
            <w:pPr>
              <w:spacing w:before="40" w:after="40"/>
              <w:ind w:left="-57" w:right="-57"/>
              <w:rPr>
                <w:rFonts w:cs="Arial"/>
                <w:bCs/>
                <w:sz w:val="19"/>
                <w:szCs w:val="18"/>
                <w:lang w:val="lt-LT"/>
              </w:rPr>
            </w:pPr>
            <w:r w:rsidRPr="0032264F">
              <w:rPr>
                <w:rFonts w:cs="Arial"/>
                <w:snapToGrid w:val="0"/>
                <w:color w:val="000000"/>
                <w:sz w:val="18"/>
                <w:szCs w:val="18"/>
                <w:lang w:val="lt-LT"/>
              </w:rPr>
              <w:t>Vidutinis mėnesinis darbo užmokestis, EUR</w:t>
            </w:r>
          </w:p>
        </w:tc>
        <w:tc>
          <w:tcPr>
            <w:tcW w:w="1207" w:type="pct"/>
            <w:gridSpan w:val="3"/>
            <w:tcBorders>
              <w:top w:val="single" w:sz="4" w:space="0" w:color="auto"/>
              <w:left w:val="single" w:sz="4" w:space="0" w:color="auto"/>
              <w:right w:val="single" w:sz="4" w:space="0" w:color="auto"/>
            </w:tcBorders>
            <w:shd w:val="clear" w:color="auto" w:fill="FDE3E9"/>
          </w:tcPr>
          <w:p w:rsidR="00127A88" w:rsidRPr="0032264F" w:rsidRDefault="00127A88" w:rsidP="004709B8">
            <w:pPr>
              <w:spacing w:before="40" w:after="40"/>
              <w:ind w:left="-57" w:right="-57"/>
              <w:rPr>
                <w:rFonts w:cs="Arial"/>
                <w:bCs/>
                <w:sz w:val="19"/>
                <w:szCs w:val="18"/>
                <w:lang w:val="lt-LT"/>
              </w:rPr>
            </w:pPr>
            <w:r w:rsidRPr="0032264F">
              <w:rPr>
                <w:rFonts w:cs="Arial"/>
                <w:snapToGrid w:val="0"/>
                <w:color w:val="000000"/>
                <w:sz w:val="18"/>
                <w:szCs w:val="18"/>
                <w:lang w:val="lt-LT"/>
              </w:rPr>
              <w:t>Vidutinio mėnesinio darbo užmokesčio pokytis, palyginti su ankstesniais metais, %</w:t>
            </w:r>
          </w:p>
        </w:tc>
      </w:tr>
      <w:tr w:rsidR="004709B8" w:rsidRPr="0032264F" w:rsidTr="00FB3EAA">
        <w:trPr>
          <w:cantSplit/>
        </w:trPr>
        <w:tc>
          <w:tcPr>
            <w:tcW w:w="1048" w:type="pct"/>
            <w:vMerge/>
            <w:tcBorders>
              <w:left w:val="single" w:sz="4" w:space="0" w:color="auto"/>
              <w:right w:val="single" w:sz="4" w:space="0" w:color="auto"/>
            </w:tcBorders>
            <w:shd w:val="clear" w:color="auto" w:fill="FDE3E9"/>
            <w:vAlign w:val="bottom"/>
          </w:tcPr>
          <w:p w:rsidR="00127A88" w:rsidRPr="0032264F" w:rsidRDefault="00127A88" w:rsidP="004709B8">
            <w:pPr>
              <w:spacing w:before="40" w:after="40"/>
              <w:ind w:right="-57"/>
              <w:rPr>
                <w:rFonts w:cs="Arial"/>
                <w:bCs/>
                <w:sz w:val="19"/>
                <w:szCs w:val="18"/>
                <w:lang w:val="lt-LT"/>
              </w:rPr>
            </w:pPr>
          </w:p>
        </w:tc>
        <w:tc>
          <w:tcPr>
            <w:tcW w:w="454" w:type="pct"/>
            <w:tcBorders>
              <w:top w:val="single" w:sz="4" w:space="0" w:color="auto"/>
              <w:left w:val="single" w:sz="4" w:space="0" w:color="auto"/>
              <w:right w:val="single" w:sz="4" w:space="0" w:color="auto"/>
            </w:tcBorders>
            <w:shd w:val="clear" w:color="auto" w:fill="FDE3E9"/>
          </w:tcPr>
          <w:p w:rsidR="00127A88" w:rsidRPr="0032264F" w:rsidRDefault="00127A88" w:rsidP="004709B8">
            <w:pPr>
              <w:spacing w:before="40" w:after="40"/>
              <w:ind w:left="-57" w:right="-57"/>
              <w:rPr>
                <w:rFonts w:cs="Arial"/>
                <w:snapToGrid w:val="0"/>
                <w:color w:val="000000"/>
                <w:sz w:val="18"/>
                <w:szCs w:val="18"/>
                <w:lang w:val="lt-LT"/>
              </w:rPr>
            </w:pPr>
            <w:r w:rsidRPr="0032264F">
              <w:rPr>
                <w:rFonts w:cs="Arial"/>
                <w:snapToGrid w:val="0"/>
                <w:color w:val="000000"/>
                <w:sz w:val="18"/>
                <w:szCs w:val="18"/>
                <w:lang w:val="lt-LT"/>
              </w:rPr>
              <w:t>vidutinis</w:t>
            </w:r>
          </w:p>
        </w:tc>
        <w:tc>
          <w:tcPr>
            <w:tcW w:w="455" w:type="pct"/>
            <w:tcBorders>
              <w:top w:val="single" w:sz="4" w:space="0" w:color="auto"/>
              <w:left w:val="single" w:sz="4" w:space="0" w:color="auto"/>
              <w:right w:val="single" w:sz="4" w:space="0" w:color="auto"/>
            </w:tcBorders>
            <w:shd w:val="clear" w:color="auto" w:fill="FDE3E9"/>
          </w:tcPr>
          <w:p w:rsidR="00127A88" w:rsidRPr="0032264F" w:rsidRDefault="00127A88" w:rsidP="004709B8">
            <w:pPr>
              <w:spacing w:before="40" w:after="40"/>
              <w:ind w:left="-57" w:right="-57"/>
              <w:rPr>
                <w:rFonts w:cs="Arial"/>
                <w:snapToGrid w:val="0"/>
                <w:color w:val="000000"/>
                <w:sz w:val="18"/>
                <w:szCs w:val="18"/>
                <w:lang w:val="lt-LT"/>
              </w:rPr>
            </w:pPr>
            <w:r w:rsidRPr="0032264F">
              <w:rPr>
                <w:rFonts w:cs="Arial"/>
                <w:snapToGrid w:val="0"/>
                <w:color w:val="000000"/>
                <w:sz w:val="18"/>
                <w:szCs w:val="18"/>
                <w:lang w:val="lt-LT"/>
              </w:rPr>
              <w:t>vidutinis sąlyginis</w:t>
            </w:r>
          </w:p>
        </w:tc>
        <w:tc>
          <w:tcPr>
            <w:tcW w:w="442" w:type="pct"/>
            <w:tcBorders>
              <w:top w:val="single" w:sz="4" w:space="0" w:color="auto"/>
              <w:left w:val="single" w:sz="4" w:space="0" w:color="auto"/>
              <w:right w:val="single" w:sz="4" w:space="0" w:color="auto"/>
            </w:tcBorders>
            <w:shd w:val="clear" w:color="auto" w:fill="FDE3E9"/>
          </w:tcPr>
          <w:p w:rsidR="00127A88" w:rsidRPr="0032264F" w:rsidRDefault="00127A88" w:rsidP="004709B8">
            <w:pPr>
              <w:spacing w:before="40" w:after="40"/>
              <w:ind w:left="-57" w:right="-57"/>
              <w:rPr>
                <w:rFonts w:cs="Arial"/>
                <w:i/>
                <w:snapToGrid w:val="0"/>
                <w:color w:val="000000"/>
                <w:sz w:val="18"/>
                <w:szCs w:val="18"/>
                <w:lang w:val="lt-LT"/>
              </w:rPr>
            </w:pPr>
            <w:r w:rsidRPr="0032264F">
              <w:rPr>
                <w:rFonts w:cs="Arial"/>
                <w:snapToGrid w:val="0"/>
                <w:color w:val="000000"/>
                <w:sz w:val="18"/>
                <w:szCs w:val="18"/>
                <w:lang w:val="lt-LT"/>
              </w:rPr>
              <w:t xml:space="preserve">vidutinio </w:t>
            </w:r>
          </w:p>
        </w:tc>
        <w:tc>
          <w:tcPr>
            <w:tcW w:w="510" w:type="pct"/>
            <w:tcBorders>
              <w:top w:val="single" w:sz="4" w:space="0" w:color="auto"/>
              <w:left w:val="single" w:sz="4" w:space="0" w:color="auto"/>
              <w:right w:val="single" w:sz="4" w:space="0" w:color="auto"/>
            </w:tcBorders>
            <w:shd w:val="clear" w:color="auto" w:fill="FDE3E9"/>
          </w:tcPr>
          <w:p w:rsidR="00127A88" w:rsidRPr="0032264F" w:rsidRDefault="00127A88" w:rsidP="004709B8">
            <w:pPr>
              <w:spacing w:before="40" w:after="40"/>
              <w:ind w:left="-57" w:right="-57"/>
              <w:rPr>
                <w:rFonts w:cs="Arial"/>
                <w:i/>
                <w:snapToGrid w:val="0"/>
                <w:color w:val="000000"/>
                <w:sz w:val="18"/>
                <w:szCs w:val="18"/>
                <w:lang w:val="lt-LT"/>
              </w:rPr>
            </w:pPr>
            <w:r w:rsidRPr="0032264F">
              <w:rPr>
                <w:rFonts w:cs="Arial"/>
                <w:snapToGrid w:val="0"/>
                <w:color w:val="000000"/>
                <w:sz w:val="18"/>
                <w:szCs w:val="18"/>
                <w:lang w:val="lt-LT"/>
              </w:rPr>
              <w:t>vidutinio sąlyginio</w:t>
            </w:r>
          </w:p>
        </w:tc>
        <w:tc>
          <w:tcPr>
            <w:tcW w:w="442" w:type="pct"/>
            <w:tcBorders>
              <w:top w:val="single" w:sz="4" w:space="0" w:color="auto"/>
              <w:left w:val="single" w:sz="4" w:space="0" w:color="auto"/>
              <w:right w:val="single" w:sz="4" w:space="0" w:color="auto"/>
            </w:tcBorders>
            <w:shd w:val="clear" w:color="auto" w:fill="FDE3E9"/>
          </w:tcPr>
          <w:p w:rsidR="00127A88" w:rsidRPr="0032264F" w:rsidRDefault="00127A88" w:rsidP="004709B8">
            <w:pPr>
              <w:spacing w:before="40" w:after="40"/>
              <w:ind w:left="-57" w:right="-57"/>
              <w:rPr>
                <w:rFonts w:cs="Arial"/>
                <w:snapToGrid w:val="0"/>
                <w:color w:val="000000"/>
                <w:sz w:val="18"/>
                <w:szCs w:val="18"/>
                <w:lang w:val="lt-LT"/>
              </w:rPr>
            </w:pPr>
            <w:proofErr w:type="spellStart"/>
            <w:r w:rsidRPr="0032264F">
              <w:rPr>
                <w:rFonts w:cs="Arial"/>
                <w:snapToGrid w:val="0"/>
                <w:color w:val="000000"/>
                <w:sz w:val="18"/>
                <w:szCs w:val="18"/>
                <w:lang w:val="lt-LT"/>
              </w:rPr>
              <w:t>bruto</w:t>
            </w:r>
            <w:proofErr w:type="spellEnd"/>
          </w:p>
        </w:tc>
        <w:tc>
          <w:tcPr>
            <w:tcW w:w="442" w:type="pct"/>
            <w:tcBorders>
              <w:top w:val="single" w:sz="4" w:space="0" w:color="auto"/>
              <w:left w:val="single" w:sz="4" w:space="0" w:color="auto"/>
              <w:right w:val="single" w:sz="4" w:space="0" w:color="auto"/>
            </w:tcBorders>
            <w:shd w:val="clear" w:color="auto" w:fill="FDE3E9"/>
          </w:tcPr>
          <w:p w:rsidR="00127A88" w:rsidRPr="0032264F" w:rsidRDefault="00127A88" w:rsidP="004709B8">
            <w:pPr>
              <w:spacing w:before="40" w:after="40"/>
              <w:ind w:left="-57" w:right="-57"/>
              <w:rPr>
                <w:rFonts w:cs="Arial"/>
                <w:snapToGrid w:val="0"/>
                <w:color w:val="000000"/>
                <w:sz w:val="18"/>
                <w:szCs w:val="18"/>
                <w:lang w:val="lt-LT"/>
              </w:rPr>
            </w:pPr>
            <w:proofErr w:type="spellStart"/>
            <w:r w:rsidRPr="0032264F">
              <w:rPr>
                <w:rFonts w:cs="Arial"/>
                <w:sz w:val="18"/>
                <w:szCs w:val="18"/>
                <w:lang w:val="lt-LT"/>
              </w:rPr>
              <w:t>neto</w:t>
            </w:r>
            <w:proofErr w:type="spellEnd"/>
          </w:p>
        </w:tc>
        <w:tc>
          <w:tcPr>
            <w:tcW w:w="347" w:type="pct"/>
            <w:tcBorders>
              <w:top w:val="single" w:sz="4" w:space="0" w:color="auto"/>
              <w:left w:val="single" w:sz="4" w:space="0" w:color="auto"/>
              <w:right w:val="single" w:sz="4" w:space="0" w:color="auto"/>
            </w:tcBorders>
            <w:shd w:val="clear" w:color="auto" w:fill="FDE3E9"/>
          </w:tcPr>
          <w:p w:rsidR="00127A88" w:rsidRPr="0032264F" w:rsidRDefault="00127A88" w:rsidP="004709B8">
            <w:pPr>
              <w:spacing w:before="40" w:after="40"/>
              <w:ind w:left="-57" w:right="-57"/>
              <w:rPr>
                <w:rFonts w:cs="Arial"/>
                <w:snapToGrid w:val="0"/>
                <w:color w:val="000000"/>
                <w:sz w:val="18"/>
                <w:szCs w:val="18"/>
                <w:lang w:val="lt-LT"/>
              </w:rPr>
            </w:pPr>
            <w:proofErr w:type="spellStart"/>
            <w:r w:rsidRPr="0032264F">
              <w:rPr>
                <w:rFonts w:cs="Arial"/>
                <w:snapToGrid w:val="0"/>
                <w:color w:val="000000"/>
                <w:sz w:val="18"/>
                <w:szCs w:val="18"/>
                <w:lang w:val="lt-LT"/>
              </w:rPr>
              <w:t>bruto</w:t>
            </w:r>
            <w:proofErr w:type="spellEnd"/>
          </w:p>
        </w:tc>
        <w:tc>
          <w:tcPr>
            <w:tcW w:w="422" w:type="pct"/>
            <w:tcBorders>
              <w:top w:val="single" w:sz="4" w:space="0" w:color="auto"/>
              <w:left w:val="single" w:sz="4" w:space="0" w:color="auto"/>
              <w:right w:val="single" w:sz="4" w:space="0" w:color="auto"/>
            </w:tcBorders>
            <w:shd w:val="clear" w:color="auto" w:fill="FDE3E9"/>
          </w:tcPr>
          <w:p w:rsidR="00127A88" w:rsidRPr="0032264F" w:rsidRDefault="00127A88" w:rsidP="004709B8">
            <w:pPr>
              <w:spacing w:before="40" w:after="40"/>
              <w:ind w:left="-57" w:right="-57"/>
              <w:rPr>
                <w:rFonts w:cs="Arial"/>
                <w:snapToGrid w:val="0"/>
                <w:color w:val="000000"/>
                <w:sz w:val="18"/>
                <w:szCs w:val="18"/>
                <w:lang w:val="lt-LT"/>
              </w:rPr>
            </w:pPr>
            <w:proofErr w:type="spellStart"/>
            <w:r w:rsidRPr="0032264F">
              <w:rPr>
                <w:rFonts w:cs="Arial"/>
                <w:sz w:val="18"/>
                <w:szCs w:val="18"/>
                <w:lang w:val="lt-LT"/>
              </w:rPr>
              <w:t>neto</w:t>
            </w:r>
            <w:proofErr w:type="spellEnd"/>
          </w:p>
        </w:tc>
        <w:tc>
          <w:tcPr>
            <w:tcW w:w="438" w:type="pct"/>
            <w:tcBorders>
              <w:top w:val="single" w:sz="4" w:space="0" w:color="auto"/>
              <w:left w:val="single" w:sz="4" w:space="0" w:color="auto"/>
              <w:right w:val="single" w:sz="4" w:space="0" w:color="auto"/>
            </w:tcBorders>
            <w:shd w:val="clear" w:color="auto" w:fill="FDE3E9"/>
          </w:tcPr>
          <w:p w:rsidR="00127A88" w:rsidRPr="0032264F" w:rsidRDefault="00127A88" w:rsidP="004709B8">
            <w:pPr>
              <w:spacing w:before="40" w:after="40"/>
              <w:ind w:left="-57" w:right="-57"/>
              <w:rPr>
                <w:rFonts w:cs="Arial"/>
                <w:snapToGrid w:val="0"/>
                <w:color w:val="000000"/>
                <w:sz w:val="18"/>
                <w:szCs w:val="18"/>
                <w:lang w:val="lt-LT"/>
              </w:rPr>
            </w:pPr>
            <w:r w:rsidRPr="0032264F">
              <w:rPr>
                <w:rFonts w:cs="Arial"/>
                <w:snapToGrid w:val="0"/>
                <w:color w:val="000000"/>
                <w:sz w:val="18"/>
                <w:szCs w:val="18"/>
                <w:lang w:val="lt-LT"/>
              </w:rPr>
              <w:t>realiojo</w:t>
            </w:r>
          </w:p>
        </w:tc>
      </w:tr>
      <w:tr w:rsidR="00E51F9F" w:rsidRPr="0032264F" w:rsidTr="00FB3EAA">
        <w:trPr>
          <w:cantSplit/>
        </w:trPr>
        <w:tc>
          <w:tcPr>
            <w:tcW w:w="1048" w:type="pct"/>
            <w:tcBorders>
              <w:top w:val="single" w:sz="4" w:space="0" w:color="auto"/>
              <w:left w:val="single" w:sz="4" w:space="0" w:color="auto"/>
              <w:right w:val="single" w:sz="4" w:space="0" w:color="auto"/>
            </w:tcBorders>
            <w:shd w:val="clear" w:color="auto" w:fill="F7A7B8"/>
            <w:vAlign w:val="bottom"/>
          </w:tcPr>
          <w:p w:rsidR="00E51F9F" w:rsidRPr="0032264F" w:rsidRDefault="00E51F9F" w:rsidP="00E51F9F">
            <w:pPr>
              <w:spacing w:before="40" w:after="40"/>
              <w:ind w:right="-57"/>
              <w:rPr>
                <w:rFonts w:cs="Arial"/>
                <w:b/>
                <w:bCs/>
                <w:sz w:val="19"/>
                <w:szCs w:val="18"/>
                <w:lang w:val="lt-LT"/>
              </w:rPr>
            </w:pPr>
            <w:r w:rsidRPr="0032264F">
              <w:rPr>
                <w:rFonts w:cs="Arial"/>
                <w:b/>
                <w:bCs/>
                <w:sz w:val="19"/>
                <w:szCs w:val="18"/>
                <w:lang w:val="lt-LT"/>
              </w:rPr>
              <w:t>Šalies ūkis</w:t>
            </w:r>
          </w:p>
        </w:tc>
        <w:tc>
          <w:tcPr>
            <w:tcW w:w="454" w:type="pct"/>
            <w:tcBorders>
              <w:top w:val="single" w:sz="4" w:space="0" w:color="auto"/>
              <w:left w:val="single" w:sz="4" w:space="0" w:color="auto"/>
              <w:right w:val="single" w:sz="4" w:space="0" w:color="auto"/>
            </w:tcBorders>
            <w:shd w:val="clear" w:color="auto" w:fill="F7A7B8"/>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1 280,2</w:t>
            </w:r>
          </w:p>
        </w:tc>
        <w:tc>
          <w:tcPr>
            <w:tcW w:w="455" w:type="pct"/>
            <w:tcBorders>
              <w:top w:val="single" w:sz="4" w:space="0" w:color="auto"/>
              <w:left w:val="single" w:sz="4" w:space="0" w:color="auto"/>
              <w:right w:val="single" w:sz="4" w:space="0" w:color="auto"/>
            </w:tcBorders>
            <w:shd w:val="clear" w:color="auto" w:fill="F7A7B8"/>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1 085,1</w:t>
            </w:r>
          </w:p>
        </w:tc>
        <w:tc>
          <w:tcPr>
            <w:tcW w:w="442" w:type="pct"/>
            <w:tcBorders>
              <w:top w:val="single" w:sz="4" w:space="0" w:color="auto"/>
              <w:left w:val="single" w:sz="4" w:space="0" w:color="auto"/>
              <w:right w:val="single" w:sz="4" w:space="0" w:color="auto"/>
            </w:tcBorders>
            <w:shd w:val="clear" w:color="auto" w:fill="F7A7B8"/>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–0,6</w:t>
            </w:r>
          </w:p>
        </w:tc>
        <w:tc>
          <w:tcPr>
            <w:tcW w:w="510" w:type="pct"/>
            <w:tcBorders>
              <w:top w:val="single" w:sz="4" w:space="0" w:color="auto"/>
              <w:left w:val="single" w:sz="4" w:space="0" w:color="auto"/>
              <w:right w:val="single" w:sz="4" w:space="0" w:color="auto"/>
            </w:tcBorders>
            <w:shd w:val="clear" w:color="auto" w:fill="F7A7B8"/>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–2,0</w:t>
            </w:r>
          </w:p>
        </w:tc>
        <w:tc>
          <w:tcPr>
            <w:tcW w:w="442" w:type="pct"/>
            <w:tcBorders>
              <w:top w:val="single" w:sz="4" w:space="0" w:color="auto"/>
              <w:left w:val="single" w:sz="4" w:space="0" w:color="auto"/>
              <w:right w:val="single" w:sz="4" w:space="0" w:color="auto"/>
            </w:tcBorders>
            <w:shd w:val="clear" w:color="auto" w:fill="F7A7B8"/>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1 428,6</w:t>
            </w:r>
          </w:p>
        </w:tc>
        <w:tc>
          <w:tcPr>
            <w:tcW w:w="442" w:type="pct"/>
            <w:tcBorders>
              <w:top w:val="single" w:sz="4" w:space="0" w:color="auto"/>
              <w:left w:val="single" w:sz="4" w:space="0" w:color="auto"/>
              <w:right w:val="single" w:sz="4" w:space="0" w:color="auto"/>
            </w:tcBorders>
            <w:shd w:val="clear" w:color="auto" w:fill="F7A7B8"/>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913,1</w:t>
            </w:r>
          </w:p>
        </w:tc>
        <w:tc>
          <w:tcPr>
            <w:tcW w:w="347" w:type="pct"/>
            <w:tcBorders>
              <w:top w:val="single" w:sz="4" w:space="0" w:color="auto"/>
              <w:left w:val="single" w:sz="4" w:space="0" w:color="auto"/>
              <w:right w:val="single" w:sz="4" w:space="0" w:color="auto"/>
            </w:tcBorders>
            <w:shd w:val="clear" w:color="auto" w:fill="F7A7B8"/>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10,2</w:t>
            </w:r>
          </w:p>
        </w:tc>
        <w:tc>
          <w:tcPr>
            <w:tcW w:w="422" w:type="pct"/>
            <w:tcBorders>
              <w:top w:val="single" w:sz="4" w:space="0" w:color="auto"/>
              <w:left w:val="single" w:sz="4" w:space="0" w:color="auto"/>
              <w:right w:val="single" w:sz="4" w:space="0" w:color="auto"/>
            </w:tcBorders>
            <w:shd w:val="clear" w:color="auto" w:fill="F7A7B8"/>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11,1</w:t>
            </w:r>
          </w:p>
        </w:tc>
        <w:tc>
          <w:tcPr>
            <w:tcW w:w="438" w:type="pct"/>
            <w:tcBorders>
              <w:top w:val="single" w:sz="4" w:space="0" w:color="auto"/>
              <w:left w:val="single" w:sz="4" w:space="0" w:color="auto"/>
              <w:right w:val="single" w:sz="4" w:space="0" w:color="auto"/>
            </w:tcBorders>
            <w:shd w:val="clear" w:color="auto" w:fill="F7A7B8"/>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9,8</w:t>
            </w:r>
          </w:p>
        </w:tc>
      </w:tr>
      <w:tr w:rsidR="00E51F9F" w:rsidRPr="0032264F" w:rsidTr="00FB3EAA">
        <w:trPr>
          <w:cantSplit/>
        </w:trPr>
        <w:tc>
          <w:tcPr>
            <w:tcW w:w="1048" w:type="pct"/>
            <w:tcBorders>
              <w:left w:val="single" w:sz="4" w:space="0" w:color="auto"/>
              <w:right w:val="single" w:sz="4" w:space="0" w:color="auto"/>
            </w:tcBorders>
            <w:shd w:val="clear" w:color="auto" w:fill="FBD1DA"/>
            <w:vAlign w:val="bottom"/>
          </w:tcPr>
          <w:p w:rsidR="00E51F9F" w:rsidRPr="0032264F" w:rsidRDefault="00E51F9F" w:rsidP="00E51F9F">
            <w:pPr>
              <w:spacing w:before="40" w:after="40"/>
              <w:ind w:right="-57"/>
              <w:rPr>
                <w:rFonts w:cs="Arial"/>
                <w:bCs/>
                <w:sz w:val="19"/>
                <w:szCs w:val="18"/>
                <w:lang w:val="lt-LT"/>
              </w:rPr>
            </w:pPr>
            <w:r w:rsidRPr="0032264F">
              <w:rPr>
                <w:rFonts w:cs="Arial"/>
                <w:bCs/>
                <w:sz w:val="19"/>
                <w:szCs w:val="18"/>
                <w:lang w:val="lt-LT"/>
              </w:rPr>
              <w:t>Sostinės regionas / Vilniaus apskritis</w:t>
            </w:r>
          </w:p>
        </w:tc>
        <w:tc>
          <w:tcPr>
            <w:tcW w:w="454"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549,5</w:t>
            </w:r>
          </w:p>
        </w:tc>
        <w:tc>
          <w:tcPr>
            <w:tcW w:w="455"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470,5</w:t>
            </w:r>
          </w:p>
        </w:tc>
        <w:tc>
          <w:tcPr>
            <w:tcW w:w="442"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0,1</w:t>
            </w:r>
          </w:p>
        </w:tc>
        <w:tc>
          <w:tcPr>
            <w:tcW w:w="510"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–1,0</w:t>
            </w:r>
          </w:p>
        </w:tc>
        <w:tc>
          <w:tcPr>
            <w:tcW w:w="442"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1 590,6</w:t>
            </w:r>
          </w:p>
        </w:tc>
        <w:tc>
          <w:tcPr>
            <w:tcW w:w="442"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1 004,9</w:t>
            </w:r>
          </w:p>
        </w:tc>
        <w:tc>
          <w:tcPr>
            <w:tcW w:w="347"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9,5</w:t>
            </w:r>
          </w:p>
        </w:tc>
        <w:tc>
          <w:tcPr>
            <w:tcW w:w="422"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10,2</w:t>
            </w:r>
          </w:p>
        </w:tc>
        <w:tc>
          <w:tcPr>
            <w:tcW w:w="438"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8,9</w:t>
            </w:r>
          </w:p>
        </w:tc>
      </w:tr>
      <w:tr w:rsidR="00E51F9F" w:rsidRPr="0032264F" w:rsidTr="00FB3EAA">
        <w:trPr>
          <w:cantSplit/>
        </w:trPr>
        <w:tc>
          <w:tcPr>
            <w:tcW w:w="1048" w:type="pct"/>
            <w:tcBorders>
              <w:left w:val="single" w:sz="4" w:space="0" w:color="auto"/>
              <w:right w:val="single" w:sz="4" w:space="0" w:color="auto"/>
            </w:tcBorders>
            <w:shd w:val="clear" w:color="auto" w:fill="FBD1DA"/>
            <w:vAlign w:val="bottom"/>
          </w:tcPr>
          <w:p w:rsidR="00E51F9F" w:rsidRPr="0032264F" w:rsidRDefault="00E51F9F" w:rsidP="00E51F9F">
            <w:pPr>
              <w:spacing w:before="40" w:after="40"/>
              <w:ind w:right="-57"/>
              <w:rPr>
                <w:rFonts w:cs="Arial"/>
                <w:bCs/>
                <w:sz w:val="19"/>
                <w:szCs w:val="18"/>
                <w:lang w:val="lt-LT"/>
              </w:rPr>
            </w:pPr>
            <w:r w:rsidRPr="0032264F">
              <w:rPr>
                <w:rFonts w:cs="Arial"/>
                <w:bCs/>
                <w:sz w:val="19"/>
                <w:szCs w:val="18"/>
                <w:lang w:val="lt-LT"/>
              </w:rPr>
              <w:t>Vidurio ir vakarų Lietuvos regionas</w:t>
            </w:r>
          </w:p>
        </w:tc>
        <w:tc>
          <w:tcPr>
            <w:tcW w:w="454"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730,7</w:t>
            </w:r>
          </w:p>
        </w:tc>
        <w:tc>
          <w:tcPr>
            <w:tcW w:w="455"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614,6</w:t>
            </w:r>
          </w:p>
        </w:tc>
        <w:tc>
          <w:tcPr>
            <w:tcW w:w="442"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–1,1</w:t>
            </w:r>
          </w:p>
        </w:tc>
        <w:tc>
          <w:tcPr>
            <w:tcW w:w="510"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–2,7</w:t>
            </w:r>
          </w:p>
        </w:tc>
        <w:tc>
          <w:tcPr>
            <w:tcW w:w="442"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1 304,7</w:t>
            </w:r>
          </w:p>
        </w:tc>
        <w:tc>
          <w:tcPr>
            <w:tcW w:w="442"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842,8</w:t>
            </w:r>
          </w:p>
        </w:tc>
        <w:tc>
          <w:tcPr>
            <w:tcW w:w="347"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10,7</w:t>
            </w:r>
          </w:p>
        </w:tc>
        <w:tc>
          <w:tcPr>
            <w:tcW w:w="422"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11,7</w:t>
            </w:r>
          </w:p>
        </w:tc>
        <w:tc>
          <w:tcPr>
            <w:tcW w:w="438" w:type="pct"/>
            <w:tcBorders>
              <w:left w:val="single" w:sz="4" w:space="0" w:color="auto"/>
              <w:right w:val="single" w:sz="4" w:space="0" w:color="auto"/>
            </w:tcBorders>
            <w:shd w:val="clear" w:color="auto" w:fill="FBD1DA"/>
            <w:vAlign w:val="bottom"/>
          </w:tcPr>
          <w:p w:rsidR="00E51F9F" w:rsidRPr="00F9078A" w:rsidRDefault="00E51F9F" w:rsidP="00E51F9F">
            <w:pPr>
              <w:spacing w:before="40" w:after="40"/>
              <w:jc w:val="right"/>
              <w:rPr>
                <w:rFonts w:cs="Arial"/>
                <w:b/>
                <w:sz w:val="19"/>
                <w:lang w:val="lt-LT"/>
              </w:rPr>
            </w:pPr>
            <w:r w:rsidRPr="00F9078A">
              <w:rPr>
                <w:rFonts w:cs="Arial"/>
                <w:b/>
                <w:sz w:val="19"/>
                <w:lang w:val="lt-LT"/>
              </w:rPr>
              <w:t>10,4</w:t>
            </w:r>
          </w:p>
        </w:tc>
      </w:tr>
      <w:tr w:rsidR="00E51F9F" w:rsidRPr="0032264F" w:rsidTr="00FB3EAA">
        <w:trPr>
          <w:cantSplit/>
        </w:trPr>
        <w:tc>
          <w:tcPr>
            <w:tcW w:w="1048" w:type="pct"/>
            <w:tcBorders>
              <w:left w:val="single" w:sz="4" w:space="0" w:color="auto"/>
              <w:right w:val="single" w:sz="4" w:space="0" w:color="auto"/>
            </w:tcBorders>
            <w:vAlign w:val="bottom"/>
          </w:tcPr>
          <w:p w:rsidR="00E51F9F" w:rsidRPr="0032264F" w:rsidRDefault="00E51F9F" w:rsidP="00E51F9F">
            <w:pPr>
              <w:spacing w:before="40" w:after="40"/>
              <w:ind w:right="-57"/>
              <w:rPr>
                <w:rFonts w:cs="Arial"/>
                <w:bCs/>
                <w:sz w:val="19"/>
                <w:szCs w:val="18"/>
                <w:lang w:val="lt-LT"/>
              </w:rPr>
            </w:pPr>
            <w:r w:rsidRPr="0032264F">
              <w:rPr>
                <w:rFonts w:cs="Arial"/>
                <w:bCs/>
                <w:sz w:val="19"/>
                <w:szCs w:val="18"/>
                <w:lang w:val="lt-LT"/>
              </w:rPr>
              <w:t>Alytaus apskritis</w:t>
            </w:r>
          </w:p>
        </w:tc>
        <w:tc>
          <w:tcPr>
            <w:tcW w:w="454"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38,7</w:t>
            </w:r>
          </w:p>
        </w:tc>
        <w:tc>
          <w:tcPr>
            <w:tcW w:w="455"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33,2</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–1,9</w:t>
            </w:r>
          </w:p>
        </w:tc>
        <w:tc>
          <w:tcPr>
            <w:tcW w:w="510"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–2,3</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1 166,4</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764,4</w:t>
            </w:r>
          </w:p>
        </w:tc>
        <w:tc>
          <w:tcPr>
            <w:tcW w:w="347"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8,1</w:t>
            </w:r>
          </w:p>
        </w:tc>
        <w:tc>
          <w:tcPr>
            <w:tcW w:w="42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9,6</w:t>
            </w:r>
          </w:p>
        </w:tc>
        <w:tc>
          <w:tcPr>
            <w:tcW w:w="438"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8,3</w:t>
            </w:r>
          </w:p>
        </w:tc>
      </w:tr>
      <w:tr w:rsidR="00E51F9F" w:rsidRPr="0032264F" w:rsidTr="00FB3EAA">
        <w:trPr>
          <w:cantSplit/>
        </w:trPr>
        <w:tc>
          <w:tcPr>
            <w:tcW w:w="1048" w:type="pct"/>
            <w:tcBorders>
              <w:left w:val="single" w:sz="4" w:space="0" w:color="auto"/>
              <w:right w:val="single" w:sz="4" w:space="0" w:color="auto"/>
            </w:tcBorders>
            <w:vAlign w:val="bottom"/>
          </w:tcPr>
          <w:p w:rsidR="00E51F9F" w:rsidRPr="0032264F" w:rsidRDefault="00E51F9F" w:rsidP="00E51F9F">
            <w:pPr>
              <w:spacing w:before="40" w:after="40"/>
              <w:ind w:right="-57"/>
              <w:rPr>
                <w:rFonts w:cs="Arial"/>
                <w:bCs/>
                <w:sz w:val="19"/>
                <w:szCs w:val="18"/>
                <w:lang w:val="lt-LT"/>
              </w:rPr>
            </w:pPr>
            <w:r w:rsidRPr="0032264F">
              <w:rPr>
                <w:rFonts w:cs="Arial"/>
                <w:bCs/>
                <w:sz w:val="19"/>
                <w:szCs w:val="18"/>
                <w:lang w:val="lt-LT"/>
              </w:rPr>
              <w:t>Kauno apskritis</w:t>
            </w:r>
          </w:p>
        </w:tc>
        <w:tc>
          <w:tcPr>
            <w:tcW w:w="454"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258,5</w:t>
            </w:r>
          </w:p>
        </w:tc>
        <w:tc>
          <w:tcPr>
            <w:tcW w:w="455"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217,3</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–0,7</w:t>
            </w:r>
          </w:p>
        </w:tc>
        <w:tc>
          <w:tcPr>
            <w:tcW w:w="510"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–2,6</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1 419,2</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907,8</w:t>
            </w:r>
          </w:p>
        </w:tc>
        <w:tc>
          <w:tcPr>
            <w:tcW w:w="347"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10,5</w:t>
            </w:r>
          </w:p>
        </w:tc>
        <w:tc>
          <w:tcPr>
            <w:tcW w:w="42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11,3</w:t>
            </w:r>
          </w:p>
        </w:tc>
        <w:tc>
          <w:tcPr>
            <w:tcW w:w="438"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10,0</w:t>
            </w:r>
          </w:p>
        </w:tc>
      </w:tr>
      <w:tr w:rsidR="00E51F9F" w:rsidRPr="0032264F" w:rsidTr="00FB3EAA">
        <w:trPr>
          <w:cantSplit/>
        </w:trPr>
        <w:tc>
          <w:tcPr>
            <w:tcW w:w="1048" w:type="pct"/>
            <w:tcBorders>
              <w:left w:val="single" w:sz="4" w:space="0" w:color="auto"/>
              <w:right w:val="single" w:sz="4" w:space="0" w:color="auto"/>
            </w:tcBorders>
            <w:vAlign w:val="bottom"/>
          </w:tcPr>
          <w:p w:rsidR="00E51F9F" w:rsidRPr="0032264F" w:rsidRDefault="00E51F9F" w:rsidP="00E51F9F">
            <w:pPr>
              <w:spacing w:before="40" w:after="40"/>
              <w:ind w:right="-57"/>
              <w:rPr>
                <w:rFonts w:cs="Arial"/>
                <w:bCs/>
                <w:sz w:val="19"/>
                <w:szCs w:val="18"/>
                <w:lang w:val="lt-LT"/>
              </w:rPr>
            </w:pPr>
            <w:r w:rsidRPr="0032264F">
              <w:rPr>
                <w:rFonts w:cs="Arial"/>
                <w:bCs/>
                <w:sz w:val="19"/>
                <w:szCs w:val="18"/>
                <w:lang w:val="lt-LT"/>
              </w:rPr>
              <w:t>Klaipėdos apskritis</w:t>
            </w:r>
          </w:p>
        </w:tc>
        <w:tc>
          <w:tcPr>
            <w:tcW w:w="454"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131,1</w:t>
            </w:r>
          </w:p>
        </w:tc>
        <w:tc>
          <w:tcPr>
            <w:tcW w:w="455"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108,7</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–0,6</w:t>
            </w:r>
          </w:p>
        </w:tc>
        <w:tc>
          <w:tcPr>
            <w:tcW w:w="510"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–2,6</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1 350,5</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868,8</w:t>
            </w:r>
          </w:p>
        </w:tc>
        <w:tc>
          <w:tcPr>
            <w:tcW w:w="347"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10,2</w:t>
            </w:r>
          </w:p>
        </w:tc>
        <w:tc>
          <w:tcPr>
            <w:tcW w:w="42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11,2</w:t>
            </w:r>
          </w:p>
        </w:tc>
        <w:tc>
          <w:tcPr>
            <w:tcW w:w="438"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9,9</w:t>
            </w:r>
          </w:p>
        </w:tc>
      </w:tr>
      <w:tr w:rsidR="00E51F9F" w:rsidRPr="0032264F" w:rsidTr="00FB3EAA">
        <w:trPr>
          <w:cantSplit/>
        </w:trPr>
        <w:tc>
          <w:tcPr>
            <w:tcW w:w="1048" w:type="pct"/>
            <w:tcBorders>
              <w:left w:val="single" w:sz="4" w:space="0" w:color="auto"/>
              <w:right w:val="single" w:sz="4" w:space="0" w:color="auto"/>
            </w:tcBorders>
            <w:vAlign w:val="bottom"/>
          </w:tcPr>
          <w:p w:rsidR="00E51F9F" w:rsidRPr="0032264F" w:rsidRDefault="00E51F9F" w:rsidP="00E51F9F">
            <w:pPr>
              <w:spacing w:before="40" w:after="40"/>
              <w:ind w:right="-57"/>
              <w:rPr>
                <w:rFonts w:cs="Arial"/>
                <w:bCs/>
                <w:sz w:val="19"/>
                <w:szCs w:val="18"/>
                <w:lang w:val="lt-LT"/>
              </w:rPr>
            </w:pPr>
            <w:r w:rsidRPr="0032264F">
              <w:rPr>
                <w:rFonts w:cs="Arial"/>
                <w:bCs/>
                <w:sz w:val="19"/>
                <w:szCs w:val="18"/>
                <w:lang w:val="lt-LT"/>
              </w:rPr>
              <w:t>Marijampolės apskritis</w:t>
            </w:r>
          </w:p>
        </w:tc>
        <w:tc>
          <w:tcPr>
            <w:tcW w:w="454"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38,3</w:t>
            </w:r>
          </w:p>
        </w:tc>
        <w:tc>
          <w:tcPr>
            <w:tcW w:w="455"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32,2</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–1,0</w:t>
            </w:r>
          </w:p>
        </w:tc>
        <w:tc>
          <w:tcPr>
            <w:tcW w:w="510"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–2,3</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1 173,3</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768,3</w:t>
            </w:r>
          </w:p>
        </w:tc>
        <w:tc>
          <w:tcPr>
            <w:tcW w:w="347"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11,0</w:t>
            </w:r>
          </w:p>
        </w:tc>
        <w:tc>
          <w:tcPr>
            <w:tcW w:w="42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12,2</w:t>
            </w:r>
          </w:p>
        </w:tc>
        <w:tc>
          <w:tcPr>
            <w:tcW w:w="438"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10,9</w:t>
            </w:r>
          </w:p>
        </w:tc>
      </w:tr>
      <w:tr w:rsidR="00E51F9F" w:rsidRPr="0032264F" w:rsidTr="00FB3EAA">
        <w:trPr>
          <w:cantSplit/>
        </w:trPr>
        <w:tc>
          <w:tcPr>
            <w:tcW w:w="1048" w:type="pct"/>
            <w:tcBorders>
              <w:left w:val="single" w:sz="4" w:space="0" w:color="auto"/>
              <w:right w:val="single" w:sz="4" w:space="0" w:color="auto"/>
            </w:tcBorders>
            <w:vAlign w:val="bottom"/>
          </w:tcPr>
          <w:p w:rsidR="00E51F9F" w:rsidRPr="0032264F" w:rsidRDefault="00E51F9F" w:rsidP="00E51F9F">
            <w:pPr>
              <w:spacing w:before="40" w:after="40"/>
              <w:ind w:right="-57"/>
              <w:rPr>
                <w:rFonts w:cs="Arial"/>
                <w:bCs/>
                <w:sz w:val="19"/>
                <w:szCs w:val="18"/>
                <w:lang w:val="lt-LT"/>
              </w:rPr>
            </w:pPr>
            <w:r w:rsidRPr="0032264F">
              <w:rPr>
                <w:rFonts w:cs="Arial"/>
                <w:bCs/>
                <w:sz w:val="19"/>
                <w:szCs w:val="18"/>
                <w:lang w:val="lt-LT"/>
              </w:rPr>
              <w:t>Panevėžio apskritis</w:t>
            </w:r>
          </w:p>
        </w:tc>
        <w:tc>
          <w:tcPr>
            <w:tcW w:w="454"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67,9</w:t>
            </w:r>
          </w:p>
        </w:tc>
        <w:tc>
          <w:tcPr>
            <w:tcW w:w="455"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58,4</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–2,6</w:t>
            </w:r>
          </w:p>
        </w:tc>
        <w:tc>
          <w:tcPr>
            <w:tcW w:w="510"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–2,5</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1 224,8</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797,5</w:t>
            </w:r>
          </w:p>
        </w:tc>
        <w:tc>
          <w:tcPr>
            <w:tcW w:w="347"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9,6</w:t>
            </w:r>
          </w:p>
        </w:tc>
        <w:tc>
          <w:tcPr>
            <w:tcW w:w="42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10,9</w:t>
            </w:r>
          </w:p>
        </w:tc>
        <w:tc>
          <w:tcPr>
            <w:tcW w:w="438"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9,6</w:t>
            </w:r>
          </w:p>
        </w:tc>
      </w:tr>
      <w:tr w:rsidR="00E51F9F" w:rsidRPr="0032264F" w:rsidTr="00FB3EAA">
        <w:trPr>
          <w:cantSplit/>
        </w:trPr>
        <w:tc>
          <w:tcPr>
            <w:tcW w:w="1048" w:type="pct"/>
            <w:tcBorders>
              <w:left w:val="single" w:sz="4" w:space="0" w:color="auto"/>
              <w:right w:val="single" w:sz="4" w:space="0" w:color="auto"/>
            </w:tcBorders>
            <w:vAlign w:val="bottom"/>
          </w:tcPr>
          <w:p w:rsidR="00E51F9F" w:rsidRPr="0032264F" w:rsidRDefault="00E51F9F" w:rsidP="00E51F9F">
            <w:pPr>
              <w:spacing w:before="40" w:after="40"/>
              <w:ind w:right="-57"/>
              <w:rPr>
                <w:rFonts w:cs="Arial"/>
                <w:bCs/>
                <w:sz w:val="19"/>
                <w:szCs w:val="18"/>
                <w:lang w:val="lt-LT"/>
              </w:rPr>
            </w:pPr>
            <w:r w:rsidRPr="0032264F">
              <w:rPr>
                <w:rFonts w:cs="Arial"/>
                <w:bCs/>
                <w:sz w:val="19"/>
                <w:szCs w:val="18"/>
                <w:lang w:val="lt-LT"/>
              </w:rPr>
              <w:t>Šiaulių apskritis</w:t>
            </w:r>
          </w:p>
        </w:tc>
        <w:tc>
          <w:tcPr>
            <w:tcW w:w="454"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93,0</w:t>
            </w:r>
          </w:p>
        </w:tc>
        <w:tc>
          <w:tcPr>
            <w:tcW w:w="455"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77,5</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–1,2</w:t>
            </w:r>
          </w:p>
        </w:tc>
        <w:tc>
          <w:tcPr>
            <w:tcW w:w="510"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–2,8</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1 210,5</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789,4</w:t>
            </w:r>
          </w:p>
        </w:tc>
        <w:tc>
          <w:tcPr>
            <w:tcW w:w="347"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13,2</w:t>
            </w:r>
          </w:p>
        </w:tc>
        <w:tc>
          <w:tcPr>
            <w:tcW w:w="42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14,1</w:t>
            </w:r>
          </w:p>
        </w:tc>
        <w:tc>
          <w:tcPr>
            <w:tcW w:w="438"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12,7</w:t>
            </w:r>
          </w:p>
        </w:tc>
      </w:tr>
      <w:tr w:rsidR="00E51F9F" w:rsidRPr="0032264F" w:rsidTr="00FB3EAA">
        <w:trPr>
          <w:cantSplit/>
        </w:trPr>
        <w:tc>
          <w:tcPr>
            <w:tcW w:w="1048" w:type="pct"/>
            <w:tcBorders>
              <w:left w:val="single" w:sz="4" w:space="0" w:color="auto"/>
              <w:right w:val="single" w:sz="4" w:space="0" w:color="auto"/>
            </w:tcBorders>
            <w:vAlign w:val="bottom"/>
          </w:tcPr>
          <w:p w:rsidR="00E51F9F" w:rsidRPr="0032264F" w:rsidRDefault="00E51F9F" w:rsidP="00E51F9F">
            <w:pPr>
              <w:spacing w:before="40" w:after="40"/>
              <w:ind w:right="-57"/>
              <w:rPr>
                <w:rFonts w:cs="Arial"/>
                <w:bCs/>
                <w:sz w:val="19"/>
                <w:szCs w:val="18"/>
                <w:lang w:val="lt-LT"/>
              </w:rPr>
            </w:pPr>
            <w:r w:rsidRPr="0032264F">
              <w:rPr>
                <w:rFonts w:cs="Arial"/>
                <w:bCs/>
                <w:sz w:val="19"/>
                <w:szCs w:val="18"/>
                <w:lang w:val="lt-LT"/>
              </w:rPr>
              <w:t>Tauragės apskritis</w:t>
            </w:r>
          </w:p>
        </w:tc>
        <w:tc>
          <w:tcPr>
            <w:tcW w:w="454"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23,6</w:t>
            </w:r>
          </w:p>
        </w:tc>
        <w:tc>
          <w:tcPr>
            <w:tcW w:w="455"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19,7</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–3,1</w:t>
            </w:r>
          </w:p>
        </w:tc>
        <w:tc>
          <w:tcPr>
            <w:tcW w:w="510"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–5,4</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1 142,0</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750,6</w:t>
            </w:r>
          </w:p>
        </w:tc>
        <w:tc>
          <w:tcPr>
            <w:tcW w:w="347"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13,2</w:t>
            </w:r>
          </w:p>
        </w:tc>
        <w:tc>
          <w:tcPr>
            <w:tcW w:w="42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14,3</w:t>
            </w:r>
          </w:p>
        </w:tc>
        <w:tc>
          <w:tcPr>
            <w:tcW w:w="438"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12,9</w:t>
            </w:r>
          </w:p>
        </w:tc>
      </w:tr>
      <w:tr w:rsidR="00E51F9F" w:rsidRPr="0032264F" w:rsidTr="00FB3EAA">
        <w:trPr>
          <w:cantSplit/>
        </w:trPr>
        <w:tc>
          <w:tcPr>
            <w:tcW w:w="1048" w:type="pct"/>
            <w:tcBorders>
              <w:left w:val="single" w:sz="4" w:space="0" w:color="auto"/>
              <w:right w:val="single" w:sz="4" w:space="0" w:color="auto"/>
            </w:tcBorders>
            <w:vAlign w:val="bottom"/>
          </w:tcPr>
          <w:p w:rsidR="00E51F9F" w:rsidRPr="0032264F" w:rsidRDefault="00E51F9F" w:rsidP="00E51F9F">
            <w:pPr>
              <w:spacing w:before="40" w:after="40"/>
              <w:ind w:right="-57"/>
              <w:rPr>
                <w:rFonts w:cs="Arial"/>
                <w:bCs/>
                <w:sz w:val="19"/>
                <w:szCs w:val="18"/>
                <w:lang w:val="lt-LT"/>
              </w:rPr>
            </w:pPr>
            <w:r w:rsidRPr="0032264F">
              <w:rPr>
                <w:rFonts w:cs="Arial"/>
                <w:bCs/>
                <w:sz w:val="19"/>
                <w:szCs w:val="18"/>
                <w:lang w:val="lt-LT"/>
              </w:rPr>
              <w:t>Telšių apskritis</w:t>
            </w:r>
          </w:p>
        </w:tc>
        <w:tc>
          <w:tcPr>
            <w:tcW w:w="454"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44,5</w:t>
            </w:r>
          </w:p>
        </w:tc>
        <w:tc>
          <w:tcPr>
            <w:tcW w:w="455"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37,7</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0,4</w:t>
            </w:r>
          </w:p>
        </w:tc>
        <w:tc>
          <w:tcPr>
            <w:tcW w:w="510"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–1,5</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1 243,8</w:t>
            </w:r>
          </w:p>
        </w:tc>
        <w:tc>
          <w:tcPr>
            <w:tcW w:w="44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808,3</w:t>
            </w:r>
          </w:p>
        </w:tc>
        <w:tc>
          <w:tcPr>
            <w:tcW w:w="347"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10,8</w:t>
            </w:r>
          </w:p>
        </w:tc>
        <w:tc>
          <w:tcPr>
            <w:tcW w:w="422"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11,9</w:t>
            </w:r>
          </w:p>
        </w:tc>
        <w:tc>
          <w:tcPr>
            <w:tcW w:w="438" w:type="pct"/>
            <w:tcBorders>
              <w:left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10,6</w:t>
            </w:r>
          </w:p>
        </w:tc>
      </w:tr>
      <w:tr w:rsidR="00E51F9F" w:rsidRPr="0032264F" w:rsidTr="00FB3EAA">
        <w:trPr>
          <w:cantSplit/>
        </w:trPr>
        <w:tc>
          <w:tcPr>
            <w:tcW w:w="1048" w:type="pct"/>
            <w:tcBorders>
              <w:left w:val="single" w:sz="4" w:space="0" w:color="auto"/>
              <w:bottom w:val="single" w:sz="4" w:space="0" w:color="auto"/>
              <w:right w:val="single" w:sz="4" w:space="0" w:color="auto"/>
            </w:tcBorders>
            <w:vAlign w:val="bottom"/>
          </w:tcPr>
          <w:p w:rsidR="00E51F9F" w:rsidRPr="0032264F" w:rsidRDefault="00E51F9F" w:rsidP="00E51F9F">
            <w:pPr>
              <w:spacing w:before="40" w:after="40"/>
              <w:ind w:right="-57"/>
              <w:rPr>
                <w:rFonts w:cs="Arial"/>
                <w:bCs/>
                <w:sz w:val="19"/>
                <w:szCs w:val="18"/>
                <w:lang w:val="lt-LT"/>
              </w:rPr>
            </w:pPr>
            <w:r w:rsidRPr="0032264F">
              <w:rPr>
                <w:rFonts w:cs="Arial"/>
                <w:bCs/>
                <w:sz w:val="19"/>
                <w:szCs w:val="18"/>
                <w:lang w:val="lt-LT"/>
              </w:rPr>
              <w:t>Utenos apskritis</w:t>
            </w:r>
          </w:p>
        </w:tc>
        <w:tc>
          <w:tcPr>
            <w:tcW w:w="454" w:type="pct"/>
            <w:tcBorders>
              <w:left w:val="single" w:sz="4" w:space="0" w:color="auto"/>
              <w:bottom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35,2</w:t>
            </w:r>
          </w:p>
        </w:tc>
        <w:tc>
          <w:tcPr>
            <w:tcW w:w="455" w:type="pct"/>
            <w:tcBorders>
              <w:left w:val="single" w:sz="4" w:space="0" w:color="auto"/>
              <w:bottom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30,1</w:t>
            </w:r>
          </w:p>
        </w:tc>
        <w:tc>
          <w:tcPr>
            <w:tcW w:w="442" w:type="pct"/>
            <w:tcBorders>
              <w:left w:val="single" w:sz="4" w:space="0" w:color="auto"/>
              <w:bottom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–2,4</w:t>
            </w:r>
          </w:p>
        </w:tc>
        <w:tc>
          <w:tcPr>
            <w:tcW w:w="510" w:type="pct"/>
            <w:tcBorders>
              <w:left w:val="single" w:sz="4" w:space="0" w:color="auto"/>
              <w:bottom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–3,4</w:t>
            </w:r>
          </w:p>
        </w:tc>
        <w:tc>
          <w:tcPr>
            <w:tcW w:w="442" w:type="pct"/>
            <w:tcBorders>
              <w:left w:val="single" w:sz="4" w:space="0" w:color="auto"/>
              <w:bottom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1 184,8</w:t>
            </w:r>
          </w:p>
        </w:tc>
        <w:tc>
          <w:tcPr>
            <w:tcW w:w="442" w:type="pct"/>
            <w:tcBorders>
              <w:left w:val="single" w:sz="4" w:space="0" w:color="auto"/>
              <w:bottom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774,9</w:t>
            </w:r>
          </w:p>
        </w:tc>
        <w:tc>
          <w:tcPr>
            <w:tcW w:w="347" w:type="pct"/>
            <w:tcBorders>
              <w:left w:val="single" w:sz="4" w:space="0" w:color="auto"/>
              <w:bottom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10,8</w:t>
            </w:r>
          </w:p>
        </w:tc>
        <w:tc>
          <w:tcPr>
            <w:tcW w:w="422" w:type="pct"/>
            <w:tcBorders>
              <w:left w:val="single" w:sz="4" w:space="0" w:color="auto"/>
              <w:bottom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12,1</w:t>
            </w:r>
          </w:p>
        </w:tc>
        <w:tc>
          <w:tcPr>
            <w:tcW w:w="438" w:type="pct"/>
            <w:tcBorders>
              <w:left w:val="single" w:sz="4" w:space="0" w:color="auto"/>
              <w:bottom w:val="single" w:sz="4" w:space="0" w:color="auto"/>
              <w:right w:val="single" w:sz="4" w:space="0" w:color="auto"/>
            </w:tcBorders>
            <w:vAlign w:val="bottom"/>
          </w:tcPr>
          <w:p w:rsidR="00E51F9F" w:rsidRPr="00F9078A" w:rsidRDefault="00E51F9F" w:rsidP="00E51F9F">
            <w:pPr>
              <w:spacing w:before="40" w:after="40"/>
              <w:jc w:val="right"/>
              <w:rPr>
                <w:rFonts w:cs="Arial"/>
                <w:sz w:val="19"/>
                <w:lang w:val="lt-LT"/>
              </w:rPr>
            </w:pPr>
            <w:r w:rsidRPr="00F9078A">
              <w:rPr>
                <w:rFonts w:cs="Arial"/>
                <w:sz w:val="19"/>
                <w:lang w:val="lt-LT"/>
              </w:rPr>
              <w:t>10,8</w:t>
            </w:r>
          </w:p>
        </w:tc>
      </w:tr>
    </w:tbl>
    <w:p w:rsidR="004709B8" w:rsidRPr="0032264F" w:rsidRDefault="004709B8">
      <w:pPr>
        <w:rPr>
          <w:sz w:val="16"/>
          <w:szCs w:val="16"/>
          <w:lang w:val="lt-LT"/>
        </w:rPr>
      </w:pPr>
    </w:p>
    <w:p w:rsidR="00127A88" w:rsidRPr="00F9078A" w:rsidRDefault="00127A88">
      <w:pPr>
        <w:rPr>
          <w:b/>
          <w:sz w:val="16"/>
          <w:szCs w:val="16"/>
          <w:lang w:val="lt-LT"/>
        </w:rPr>
      </w:pPr>
      <w:r w:rsidRPr="0032264F">
        <w:rPr>
          <w:sz w:val="16"/>
          <w:szCs w:val="16"/>
          <w:lang w:val="lt-LT"/>
        </w:rPr>
        <w:br w:type="page"/>
      </w:r>
    </w:p>
    <w:p w:rsidR="00BD59FC" w:rsidRPr="0032264F" w:rsidRDefault="001E3C61" w:rsidP="001704AF">
      <w:pPr>
        <w:pStyle w:val="Lentelespav"/>
        <w:spacing w:after="120"/>
        <w:ind w:right="-57"/>
        <w:jc w:val="left"/>
        <w:rPr>
          <w:spacing w:val="-2"/>
          <w:lang w:val="lt-LT"/>
        </w:rPr>
      </w:pPr>
      <w:r w:rsidRPr="0032264F">
        <w:rPr>
          <w:spacing w:val="-2"/>
          <w:lang w:val="lt-LT"/>
        </w:rPr>
        <w:t>2</w:t>
      </w:r>
      <w:r w:rsidR="00BD59FC" w:rsidRPr="0032264F">
        <w:rPr>
          <w:spacing w:val="-2"/>
          <w:lang w:val="lt-LT"/>
        </w:rPr>
        <w:t xml:space="preserve"> lentelė. Darbuotojų skaičius, darbo užmokestis ir jų pokytis pagal savivaldybes </w:t>
      </w:r>
      <w:r w:rsidR="007A13F6" w:rsidRPr="0032264F">
        <w:rPr>
          <w:spacing w:val="-2"/>
          <w:lang w:val="lt-LT"/>
        </w:rPr>
        <w:t>2020</w:t>
      </w:r>
      <w:r w:rsidR="00B83555" w:rsidRPr="0032264F">
        <w:rPr>
          <w:spacing w:val="-2"/>
          <w:lang w:val="lt-LT"/>
        </w:rPr>
        <w:t> </w:t>
      </w:r>
      <w:r w:rsidR="00BD59FC" w:rsidRPr="0032264F">
        <w:rPr>
          <w:spacing w:val="-2"/>
          <w:lang w:val="lt-LT"/>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1017"/>
        <w:gridCol w:w="1015"/>
        <w:gridCol w:w="899"/>
        <w:gridCol w:w="901"/>
        <w:gridCol w:w="901"/>
        <w:gridCol w:w="897"/>
        <w:gridCol w:w="834"/>
        <w:gridCol w:w="834"/>
        <w:gridCol w:w="1209"/>
      </w:tblGrid>
      <w:tr w:rsidR="00AC0126" w:rsidRPr="0032264F" w:rsidTr="00FB3EAA">
        <w:trPr>
          <w:cantSplit/>
          <w:tblHeader/>
        </w:trPr>
        <w:tc>
          <w:tcPr>
            <w:tcW w:w="827" w:type="pct"/>
            <w:vMerge w:val="restart"/>
            <w:shd w:val="clear" w:color="auto" w:fill="FDE3E9"/>
          </w:tcPr>
          <w:p w:rsidR="00BD59FC" w:rsidRPr="0032264F" w:rsidRDefault="00BD59FC" w:rsidP="00FB3EAA">
            <w:pPr>
              <w:pStyle w:val="galva0"/>
              <w:ind w:left="0" w:right="-57"/>
              <w:rPr>
                <w:snapToGrid w:val="0"/>
                <w:sz w:val="18"/>
                <w:szCs w:val="18"/>
                <w:lang w:val="lt-LT" w:eastAsia="en-US"/>
              </w:rPr>
            </w:pPr>
          </w:p>
        </w:tc>
        <w:tc>
          <w:tcPr>
            <w:tcW w:w="997" w:type="pct"/>
            <w:gridSpan w:val="2"/>
            <w:shd w:val="clear" w:color="auto" w:fill="FDE3E9"/>
          </w:tcPr>
          <w:p w:rsidR="00BD59FC" w:rsidRPr="0032264F" w:rsidRDefault="00BD59FC" w:rsidP="00FB3EAA">
            <w:pPr>
              <w:spacing w:before="40" w:after="40"/>
              <w:ind w:left="-57" w:right="-57"/>
              <w:rPr>
                <w:rFonts w:cs="Arial"/>
                <w:snapToGrid w:val="0"/>
                <w:color w:val="000000"/>
                <w:sz w:val="18"/>
                <w:szCs w:val="18"/>
                <w:lang w:val="lt-LT"/>
              </w:rPr>
            </w:pPr>
            <w:r w:rsidRPr="0032264F">
              <w:rPr>
                <w:rFonts w:cs="Arial"/>
                <w:snapToGrid w:val="0"/>
                <w:color w:val="000000"/>
                <w:sz w:val="18"/>
                <w:szCs w:val="18"/>
                <w:lang w:val="lt-LT"/>
              </w:rPr>
              <w:t xml:space="preserve">Darbuotojų </w:t>
            </w:r>
            <w:r w:rsidRPr="0032264F">
              <w:rPr>
                <w:rFonts w:cs="Arial"/>
                <w:snapToGrid w:val="0"/>
                <w:color w:val="000000"/>
                <w:sz w:val="18"/>
                <w:szCs w:val="18"/>
                <w:lang w:val="lt-LT"/>
              </w:rPr>
              <w:br/>
              <w:t>skaičius</w:t>
            </w:r>
          </w:p>
        </w:tc>
        <w:tc>
          <w:tcPr>
            <w:tcW w:w="883" w:type="pct"/>
            <w:gridSpan w:val="2"/>
            <w:shd w:val="clear" w:color="auto" w:fill="FDE3E9"/>
          </w:tcPr>
          <w:p w:rsidR="00BD59FC" w:rsidRPr="0032264F" w:rsidRDefault="00BD59FC" w:rsidP="00FB3EAA">
            <w:pPr>
              <w:spacing w:before="40" w:after="40"/>
              <w:ind w:left="-57" w:right="-57"/>
              <w:rPr>
                <w:rFonts w:cs="Arial"/>
                <w:snapToGrid w:val="0"/>
                <w:color w:val="000000"/>
                <w:sz w:val="18"/>
                <w:szCs w:val="18"/>
                <w:lang w:val="lt-LT"/>
              </w:rPr>
            </w:pPr>
            <w:r w:rsidRPr="0032264F">
              <w:rPr>
                <w:rFonts w:cs="Arial"/>
                <w:snapToGrid w:val="0"/>
                <w:sz w:val="18"/>
                <w:szCs w:val="18"/>
                <w:lang w:val="lt-LT"/>
              </w:rPr>
              <w:t>Darbuotojų skaičiaus pokytis, palyginti su a</w:t>
            </w:r>
            <w:r w:rsidRPr="0032264F">
              <w:rPr>
                <w:rFonts w:cs="Arial"/>
                <w:sz w:val="18"/>
                <w:szCs w:val="18"/>
                <w:lang w:val="lt-LT"/>
              </w:rPr>
              <w:t>nkstesniais metais, %</w:t>
            </w:r>
          </w:p>
        </w:tc>
        <w:tc>
          <w:tcPr>
            <w:tcW w:w="882" w:type="pct"/>
            <w:gridSpan w:val="2"/>
            <w:shd w:val="clear" w:color="auto" w:fill="FDE3E9"/>
          </w:tcPr>
          <w:p w:rsidR="00BD59FC" w:rsidRPr="0032264F" w:rsidRDefault="00BD59FC" w:rsidP="00FB3EAA">
            <w:pPr>
              <w:spacing w:before="40" w:after="40"/>
              <w:ind w:left="-57" w:right="-57"/>
              <w:rPr>
                <w:rFonts w:cs="Arial"/>
                <w:sz w:val="18"/>
                <w:szCs w:val="18"/>
                <w:lang w:val="lt-LT"/>
              </w:rPr>
            </w:pPr>
            <w:r w:rsidRPr="0032264F">
              <w:rPr>
                <w:rFonts w:cs="Arial"/>
                <w:snapToGrid w:val="0"/>
                <w:color w:val="000000"/>
                <w:sz w:val="18"/>
                <w:szCs w:val="18"/>
                <w:lang w:val="lt-LT"/>
              </w:rPr>
              <w:t>Vidutinis mėnesinis darbo užmokestis, EUR</w:t>
            </w:r>
          </w:p>
        </w:tc>
        <w:tc>
          <w:tcPr>
            <w:tcW w:w="818" w:type="pct"/>
            <w:gridSpan w:val="2"/>
            <w:shd w:val="clear" w:color="auto" w:fill="FDE3E9"/>
          </w:tcPr>
          <w:p w:rsidR="00BD59FC" w:rsidRPr="0032264F" w:rsidRDefault="00BD59FC" w:rsidP="00FB3EAA">
            <w:pPr>
              <w:spacing w:before="40" w:after="40"/>
              <w:ind w:left="-57" w:right="-57"/>
              <w:rPr>
                <w:rFonts w:cs="Arial"/>
                <w:sz w:val="18"/>
                <w:szCs w:val="18"/>
                <w:lang w:val="lt-LT"/>
              </w:rPr>
            </w:pPr>
            <w:r w:rsidRPr="0032264F">
              <w:rPr>
                <w:rFonts w:cs="Arial"/>
                <w:snapToGrid w:val="0"/>
                <w:color w:val="000000"/>
                <w:sz w:val="18"/>
                <w:szCs w:val="18"/>
                <w:lang w:val="lt-LT"/>
              </w:rPr>
              <w:t>Vidutinio mėnesinio darbo užmokesčio pokytis, palyginti su ankstesniais metais, %</w:t>
            </w:r>
          </w:p>
        </w:tc>
        <w:tc>
          <w:tcPr>
            <w:tcW w:w="593" w:type="pct"/>
            <w:vMerge w:val="restart"/>
            <w:shd w:val="clear" w:color="auto" w:fill="FDE3E9"/>
          </w:tcPr>
          <w:p w:rsidR="00BD59FC" w:rsidRPr="0032264F" w:rsidRDefault="00BD59FC" w:rsidP="00FB3EAA">
            <w:pPr>
              <w:spacing w:before="40" w:after="40"/>
              <w:ind w:left="-57" w:right="-57"/>
              <w:rPr>
                <w:rFonts w:cs="Arial"/>
                <w:sz w:val="18"/>
                <w:szCs w:val="18"/>
                <w:lang w:val="lt-LT"/>
              </w:rPr>
            </w:pPr>
            <w:r w:rsidRPr="0032264F">
              <w:rPr>
                <w:rFonts w:cs="Arial"/>
                <w:bCs/>
                <w:sz w:val="18"/>
                <w:szCs w:val="18"/>
                <w:lang w:val="lt-LT" w:eastAsia="lt-LT"/>
              </w:rPr>
              <w:t xml:space="preserve">Savivaldybės vieta pagal </w:t>
            </w:r>
            <w:proofErr w:type="spellStart"/>
            <w:r w:rsidRPr="0032264F">
              <w:rPr>
                <w:rFonts w:cs="Arial"/>
                <w:bCs/>
                <w:sz w:val="18"/>
                <w:szCs w:val="18"/>
                <w:lang w:val="lt-LT" w:eastAsia="lt-LT"/>
              </w:rPr>
              <w:t>bruto</w:t>
            </w:r>
            <w:proofErr w:type="spellEnd"/>
            <w:r w:rsidRPr="0032264F">
              <w:rPr>
                <w:rFonts w:cs="Arial"/>
                <w:bCs/>
                <w:sz w:val="18"/>
                <w:szCs w:val="18"/>
                <w:lang w:val="lt-LT" w:eastAsia="lt-LT"/>
              </w:rPr>
              <w:t xml:space="preserve"> darbo užmokestį</w:t>
            </w:r>
            <w:r w:rsidR="006F3839" w:rsidRPr="0032264F">
              <w:rPr>
                <w:rFonts w:cs="Arial"/>
                <w:bCs/>
                <w:sz w:val="18"/>
                <w:szCs w:val="18"/>
                <w:vertAlign w:val="superscript"/>
                <w:lang w:val="lt-LT" w:eastAsia="lt-LT"/>
              </w:rPr>
              <w:t>1</w:t>
            </w:r>
          </w:p>
        </w:tc>
      </w:tr>
      <w:tr w:rsidR="0047755F" w:rsidRPr="0032264F" w:rsidTr="00FB3EAA">
        <w:trPr>
          <w:cantSplit/>
          <w:tblHeader/>
        </w:trPr>
        <w:tc>
          <w:tcPr>
            <w:tcW w:w="827" w:type="pct"/>
            <w:vMerge/>
            <w:shd w:val="clear" w:color="auto" w:fill="FDE3E9"/>
          </w:tcPr>
          <w:p w:rsidR="00BD59FC" w:rsidRPr="0032264F" w:rsidRDefault="00BD59FC" w:rsidP="00FB3EAA">
            <w:pPr>
              <w:pStyle w:val="galva0"/>
              <w:ind w:left="0" w:right="-57"/>
              <w:rPr>
                <w:snapToGrid w:val="0"/>
                <w:sz w:val="18"/>
                <w:szCs w:val="18"/>
                <w:lang w:val="lt-LT" w:eastAsia="en-US"/>
              </w:rPr>
            </w:pPr>
          </w:p>
        </w:tc>
        <w:tc>
          <w:tcPr>
            <w:tcW w:w="499" w:type="pct"/>
            <w:shd w:val="clear" w:color="auto" w:fill="FDE3E9"/>
          </w:tcPr>
          <w:p w:rsidR="00BD59FC" w:rsidRPr="0032264F" w:rsidRDefault="00BD59FC" w:rsidP="00FB3EAA">
            <w:pPr>
              <w:spacing w:before="40" w:after="40"/>
              <w:ind w:left="-57" w:right="-57"/>
              <w:rPr>
                <w:rFonts w:cs="Arial"/>
                <w:snapToGrid w:val="0"/>
                <w:color w:val="000000"/>
                <w:sz w:val="18"/>
                <w:szCs w:val="18"/>
                <w:lang w:val="lt-LT"/>
              </w:rPr>
            </w:pPr>
            <w:r w:rsidRPr="0032264F">
              <w:rPr>
                <w:rFonts w:cs="Arial"/>
                <w:snapToGrid w:val="0"/>
                <w:color w:val="000000"/>
                <w:sz w:val="18"/>
                <w:szCs w:val="18"/>
                <w:lang w:val="lt-LT"/>
              </w:rPr>
              <w:t xml:space="preserve">vidutinis </w:t>
            </w:r>
          </w:p>
        </w:tc>
        <w:tc>
          <w:tcPr>
            <w:tcW w:w="498" w:type="pct"/>
            <w:shd w:val="clear" w:color="auto" w:fill="FDE3E9"/>
          </w:tcPr>
          <w:p w:rsidR="00BD59FC" w:rsidRPr="0032264F" w:rsidRDefault="00BD59FC" w:rsidP="00FB3EAA">
            <w:pPr>
              <w:spacing w:before="40" w:after="40"/>
              <w:ind w:left="-57" w:right="-57"/>
              <w:rPr>
                <w:rFonts w:cs="Arial"/>
                <w:snapToGrid w:val="0"/>
                <w:color w:val="000000"/>
                <w:sz w:val="18"/>
                <w:szCs w:val="18"/>
                <w:lang w:val="lt-LT"/>
              </w:rPr>
            </w:pPr>
            <w:r w:rsidRPr="0032264F">
              <w:rPr>
                <w:rFonts w:cs="Arial"/>
                <w:snapToGrid w:val="0"/>
                <w:color w:val="000000"/>
                <w:sz w:val="18"/>
                <w:szCs w:val="18"/>
                <w:lang w:val="lt-LT"/>
              </w:rPr>
              <w:t>vidutinis sąlyginis</w:t>
            </w:r>
          </w:p>
        </w:tc>
        <w:tc>
          <w:tcPr>
            <w:tcW w:w="441" w:type="pct"/>
            <w:shd w:val="clear" w:color="auto" w:fill="FDE3E9"/>
          </w:tcPr>
          <w:p w:rsidR="00BD59FC" w:rsidRPr="0032264F" w:rsidRDefault="00BD59FC" w:rsidP="00FB3EAA">
            <w:pPr>
              <w:spacing w:before="40" w:after="40"/>
              <w:ind w:left="-57" w:right="-57"/>
              <w:rPr>
                <w:rFonts w:cs="Arial"/>
                <w:i/>
                <w:snapToGrid w:val="0"/>
                <w:color w:val="000000"/>
                <w:sz w:val="18"/>
                <w:szCs w:val="18"/>
                <w:lang w:val="lt-LT"/>
              </w:rPr>
            </w:pPr>
            <w:r w:rsidRPr="0032264F">
              <w:rPr>
                <w:rFonts w:cs="Arial"/>
                <w:snapToGrid w:val="0"/>
                <w:color w:val="000000"/>
                <w:sz w:val="18"/>
                <w:szCs w:val="18"/>
                <w:lang w:val="lt-LT"/>
              </w:rPr>
              <w:t>vidutinio</w:t>
            </w:r>
          </w:p>
        </w:tc>
        <w:tc>
          <w:tcPr>
            <w:tcW w:w="442" w:type="pct"/>
            <w:shd w:val="clear" w:color="auto" w:fill="FDE3E9"/>
          </w:tcPr>
          <w:p w:rsidR="00BD59FC" w:rsidRPr="0032264F" w:rsidRDefault="00BD59FC" w:rsidP="00FB3EAA">
            <w:pPr>
              <w:spacing w:before="40" w:after="40"/>
              <w:ind w:left="-57" w:right="-57"/>
              <w:rPr>
                <w:rFonts w:cs="Arial"/>
                <w:i/>
                <w:snapToGrid w:val="0"/>
                <w:color w:val="000000"/>
                <w:sz w:val="18"/>
                <w:szCs w:val="18"/>
                <w:lang w:val="lt-LT"/>
              </w:rPr>
            </w:pPr>
            <w:r w:rsidRPr="0032264F">
              <w:rPr>
                <w:rFonts w:cs="Arial"/>
                <w:snapToGrid w:val="0"/>
                <w:color w:val="000000"/>
                <w:sz w:val="18"/>
                <w:szCs w:val="18"/>
                <w:lang w:val="lt-LT"/>
              </w:rPr>
              <w:t>vidutinio sąlyginio</w:t>
            </w:r>
          </w:p>
        </w:tc>
        <w:tc>
          <w:tcPr>
            <w:tcW w:w="442" w:type="pct"/>
            <w:shd w:val="clear" w:color="auto" w:fill="FDE3E9"/>
          </w:tcPr>
          <w:p w:rsidR="00BD59FC" w:rsidRPr="0032264F" w:rsidRDefault="00BD59FC" w:rsidP="00FB3EAA">
            <w:pPr>
              <w:spacing w:before="40" w:after="40"/>
              <w:ind w:left="-57" w:right="-57"/>
              <w:rPr>
                <w:rFonts w:cs="Arial"/>
                <w:snapToGrid w:val="0"/>
                <w:color w:val="000000"/>
                <w:sz w:val="18"/>
                <w:szCs w:val="18"/>
                <w:lang w:val="lt-LT"/>
              </w:rPr>
            </w:pPr>
            <w:proofErr w:type="spellStart"/>
            <w:r w:rsidRPr="0032264F">
              <w:rPr>
                <w:rFonts w:cs="Arial"/>
                <w:snapToGrid w:val="0"/>
                <w:color w:val="000000"/>
                <w:sz w:val="18"/>
                <w:szCs w:val="18"/>
                <w:lang w:val="lt-LT"/>
              </w:rPr>
              <w:t>bruto</w:t>
            </w:r>
            <w:proofErr w:type="spellEnd"/>
          </w:p>
        </w:tc>
        <w:tc>
          <w:tcPr>
            <w:tcW w:w="440" w:type="pct"/>
            <w:shd w:val="clear" w:color="auto" w:fill="FDE3E9"/>
          </w:tcPr>
          <w:p w:rsidR="00BD59FC" w:rsidRPr="0032264F" w:rsidRDefault="00BD59FC" w:rsidP="00FB3EAA">
            <w:pPr>
              <w:spacing w:before="40" w:after="40"/>
              <w:ind w:left="-57" w:right="-57"/>
              <w:rPr>
                <w:rFonts w:cs="Arial"/>
                <w:snapToGrid w:val="0"/>
                <w:color w:val="000000"/>
                <w:sz w:val="18"/>
                <w:szCs w:val="18"/>
                <w:lang w:val="lt-LT"/>
              </w:rPr>
            </w:pPr>
            <w:proofErr w:type="spellStart"/>
            <w:r w:rsidRPr="0032264F">
              <w:rPr>
                <w:rFonts w:cs="Arial"/>
                <w:sz w:val="18"/>
                <w:szCs w:val="18"/>
                <w:lang w:val="lt-LT"/>
              </w:rPr>
              <w:t>neto</w:t>
            </w:r>
            <w:proofErr w:type="spellEnd"/>
          </w:p>
        </w:tc>
        <w:tc>
          <w:tcPr>
            <w:tcW w:w="409" w:type="pct"/>
            <w:shd w:val="clear" w:color="auto" w:fill="FDE3E9"/>
          </w:tcPr>
          <w:p w:rsidR="00BD59FC" w:rsidRPr="0032264F" w:rsidRDefault="00BD59FC" w:rsidP="00FB3EAA">
            <w:pPr>
              <w:spacing w:before="40" w:after="40"/>
              <w:ind w:left="-57" w:right="-57"/>
              <w:rPr>
                <w:rFonts w:cs="Arial"/>
                <w:snapToGrid w:val="0"/>
                <w:color w:val="000000"/>
                <w:sz w:val="18"/>
                <w:szCs w:val="18"/>
                <w:lang w:val="lt-LT"/>
              </w:rPr>
            </w:pPr>
            <w:proofErr w:type="spellStart"/>
            <w:r w:rsidRPr="0032264F">
              <w:rPr>
                <w:rFonts w:cs="Arial"/>
                <w:snapToGrid w:val="0"/>
                <w:color w:val="000000"/>
                <w:sz w:val="18"/>
                <w:szCs w:val="18"/>
                <w:lang w:val="lt-LT"/>
              </w:rPr>
              <w:t>bruto</w:t>
            </w:r>
            <w:proofErr w:type="spellEnd"/>
          </w:p>
        </w:tc>
        <w:tc>
          <w:tcPr>
            <w:tcW w:w="409" w:type="pct"/>
            <w:shd w:val="clear" w:color="auto" w:fill="FDE3E9"/>
          </w:tcPr>
          <w:p w:rsidR="00BD59FC" w:rsidRPr="0032264F" w:rsidRDefault="00BD59FC" w:rsidP="00FB3EAA">
            <w:pPr>
              <w:spacing w:before="40" w:after="40"/>
              <w:ind w:left="-57" w:right="-57"/>
              <w:rPr>
                <w:rFonts w:cs="Arial"/>
                <w:snapToGrid w:val="0"/>
                <w:color w:val="000000"/>
                <w:sz w:val="18"/>
                <w:szCs w:val="18"/>
                <w:lang w:val="lt-LT"/>
              </w:rPr>
            </w:pPr>
            <w:proofErr w:type="spellStart"/>
            <w:r w:rsidRPr="0032264F">
              <w:rPr>
                <w:rFonts w:cs="Arial"/>
                <w:sz w:val="18"/>
                <w:szCs w:val="18"/>
                <w:lang w:val="lt-LT"/>
              </w:rPr>
              <w:t>neto</w:t>
            </w:r>
            <w:proofErr w:type="spellEnd"/>
          </w:p>
        </w:tc>
        <w:tc>
          <w:tcPr>
            <w:tcW w:w="593" w:type="pct"/>
            <w:vMerge/>
            <w:shd w:val="clear" w:color="auto" w:fill="FDE3E9"/>
          </w:tcPr>
          <w:p w:rsidR="00BD59FC" w:rsidRPr="0032264F" w:rsidRDefault="00BD59FC" w:rsidP="00FB3EAA">
            <w:pPr>
              <w:spacing w:before="40" w:after="40"/>
              <w:ind w:left="-57" w:right="-57"/>
              <w:rPr>
                <w:rFonts w:cs="Arial"/>
                <w:snapToGrid w:val="0"/>
                <w:color w:val="000000"/>
                <w:sz w:val="18"/>
                <w:szCs w:val="18"/>
                <w:lang w:val="lt-LT"/>
              </w:rPr>
            </w:pPr>
          </w:p>
        </w:tc>
      </w:tr>
      <w:tr w:rsidR="004709B8" w:rsidRPr="0032264F" w:rsidTr="00FB3EAA">
        <w:tblPrEx>
          <w:tblBorders>
            <w:insideH w:val="none" w:sz="0" w:space="0" w:color="auto"/>
          </w:tblBorders>
        </w:tblPrEx>
        <w:trPr>
          <w:cantSplit/>
        </w:trPr>
        <w:tc>
          <w:tcPr>
            <w:tcW w:w="827" w:type="pct"/>
            <w:tcBorders>
              <w:top w:val="nil"/>
            </w:tcBorders>
            <w:shd w:val="clear" w:color="auto" w:fill="F7A7B8"/>
            <w:vAlign w:val="bottom"/>
          </w:tcPr>
          <w:p w:rsidR="004709B8" w:rsidRPr="0032264F" w:rsidRDefault="004709B8" w:rsidP="00FB3EAA">
            <w:pPr>
              <w:spacing w:before="40" w:after="40"/>
              <w:ind w:right="-57"/>
              <w:rPr>
                <w:rFonts w:cs="Arial"/>
                <w:b/>
                <w:bCs/>
                <w:sz w:val="19"/>
                <w:szCs w:val="18"/>
                <w:lang w:val="lt-LT"/>
              </w:rPr>
            </w:pPr>
            <w:r w:rsidRPr="0032264F">
              <w:rPr>
                <w:rFonts w:cs="Arial"/>
                <w:b/>
                <w:bCs/>
                <w:sz w:val="19"/>
                <w:szCs w:val="18"/>
                <w:lang w:val="lt-LT"/>
              </w:rPr>
              <w:t>Šalies ūkis</w:t>
            </w:r>
          </w:p>
        </w:tc>
        <w:tc>
          <w:tcPr>
            <w:tcW w:w="499" w:type="pct"/>
            <w:tcBorders>
              <w:top w:val="nil"/>
            </w:tcBorders>
            <w:shd w:val="clear" w:color="auto" w:fill="F7A7B8"/>
            <w:vAlign w:val="bottom"/>
          </w:tcPr>
          <w:p w:rsidR="004709B8" w:rsidRPr="00F9078A" w:rsidRDefault="004709B8" w:rsidP="00FB3EAA">
            <w:pPr>
              <w:spacing w:before="40" w:after="40"/>
              <w:ind w:left="-57"/>
              <w:jc w:val="right"/>
              <w:rPr>
                <w:rFonts w:cs="Arial"/>
                <w:b/>
                <w:bCs/>
                <w:sz w:val="19"/>
                <w:szCs w:val="18"/>
                <w:lang w:val="lt-LT"/>
              </w:rPr>
            </w:pPr>
            <w:r w:rsidRPr="00F9078A">
              <w:rPr>
                <w:rFonts w:cs="Arial"/>
                <w:b/>
                <w:bCs/>
                <w:sz w:val="19"/>
                <w:szCs w:val="18"/>
                <w:lang w:val="lt-LT"/>
              </w:rPr>
              <w:t>1 280 207</w:t>
            </w:r>
          </w:p>
        </w:tc>
        <w:tc>
          <w:tcPr>
            <w:tcW w:w="498" w:type="pct"/>
            <w:tcBorders>
              <w:top w:val="nil"/>
            </w:tcBorders>
            <w:shd w:val="clear" w:color="auto" w:fill="F7A7B8"/>
            <w:vAlign w:val="bottom"/>
          </w:tcPr>
          <w:p w:rsidR="004709B8" w:rsidRPr="00F9078A" w:rsidRDefault="004709B8" w:rsidP="00FB3EAA">
            <w:pPr>
              <w:spacing w:before="40" w:after="40"/>
              <w:ind w:left="-57"/>
              <w:jc w:val="right"/>
              <w:rPr>
                <w:rFonts w:cs="Arial"/>
                <w:b/>
                <w:bCs/>
                <w:sz w:val="19"/>
                <w:szCs w:val="18"/>
                <w:lang w:val="lt-LT"/>
              </w:rPr>
            </w:pPr>
            <w:r w:rsidRPr="00F9078A">
              <w:rPr>
                <w:rFonts w:cs="Arial"/>
                <w:b/>
                <w:bCs/>
                <w:sz w:val="19"/>
                <w:szCs w:val="18"/>
                <w:lang w:val="lt-LT"/>
              </w:rPr>
              <w:t>1 085 112</w:t>
            </w:r>
          </w:p>
        </w:tc>
        <w:tc>
          <w:tcPr>
            <w:tcW w:w="441" w:type="pct"/>
            <w:tcBorders>
              <w:top w:val="nil"/>
            </w:tcBorders>
            <w:shd w:val="clear" w:color="auto" w:fill="F7A7B8"/>
            <w:vAlign w:val="bottom"/>
          </w:tcPr>
          <w:p w:rsidR="004709B8" w:rsidRPr="00F9078A" w:rsidRDefault="004709B8" w:rsidP="00FB3EAA">
            <w:pPr>
              <w:spacing w:before="40" w:after="40"/>
              <w:ind w:left="-57"/>
              <w:jc w:val="right"/>
              <w:rPr>
                <w:rFonts w:cs="Arial"/>
                <w:b/>
                <w:bCs/>
                <w:sz w:val="19"/>
                <w:szCs w:val="18"/>
                <w:lang w:val="lt-LT"/>
              </w:rPr>
            </w:pPr>
            <w:r w:rsidRPr="00F9078A">
              <w:rPr>
                <w:rFonts w:cs="Arial"/>
                <w:b/>
                <w:bCs/>
                <w:sz w:val="19"/>
                <w:szCs w:val="18"/>
                <w:lang w:val="lt-LT"/>
              </w:rPr>
              <w:t>–0,6</w:t>
            </w:r>
          </w:p>
        </w:tc>
        <w:tc>
          <w:tcPr>
            <w:tcW w:w="442" w:type="pct"/>
            <w:tcBorders>
              <w:top w:val="nil"/>
            </w:tcBorders>
            <w:shd w:val="clear" w:color="auto" w:fill="F7A7B8"/>
            <w:vAlign w:val="bottom"/>
          </w:tcPr>
          <w:p w:rsidR="004709B8" w:rsidRPr="00F9078A" w:rsidRDefault="004709B8" w:rsidP="00FB3EAA">
            <w:pPr>
              <w:spacing w:before="40" w:after="40"/>
              <w:ind w:left="-57"/>
              <w:jc w:val="right"/>
              <w:rPr>
                <w:rFonts w:cs="Arial"/>
                <w:b/>
                <w:bCs/>
                <w:sz w:val="19"/>
                <w:szCs w:val="18"/>
                <w:lang w:val="lt-LT"/>
              </w:rPr>
            </w:pPr>
            <w:r w:rsidRPr="00F9078A">
              <w:rPr>
                <w:rFonts w:cs="Arial"/>
                <w:b/>
                <w:bCs/>
                <w:sz w:val="19"/>
                <w:szCs w:val="18"/>
                <w:lang w:val="lt-LT"/>
              </w:rPr>
              <w:t>–2,0</w:t>
            </w:r>
          </w:p>
        </w:tc>
        <w:tc>
          <w:tcPr>
            <w:tcW w:w="442" w:type="pct"/>
            <w:tcBorders>
              <w:top w:val="nil"/>
            </w:tcBorders>
            <w:shd w:val="clear" w:color="auto" w:fill="F7A7B8"/>
            <w:vAlign w:val="bottom"/>
          </w:tcPr>
          <w:p w:rsidR="004709B8" w:rsidRPr="00F9078A" w:rsidRDefault="004709B8" w:rsidP="00FB3EAA">
            <w:pPr>
              <w:spacing w:before="40" w:after="40"/>
              <w:ind w:left="-57"/>
              <w:jc w:val="right"/>
              <w:rPr>
                <w:rFonts w:cs="Arial"/>
                <w:b/>
                <w:bCs/>
                <w:sz w:val="19"/>
                <w:szCs w:val="18"/>
                <w:lang w:val="lt-LT"/>
              </w:rPr>
            </w:pPr>
            <w:r w:rsidRPr="00F9078A">
              <w:rPr>
                <w:rFonts w:cs="Arial"/>
                <w:b/>
                <w:bCs/>
                <w:sz w:val="19"/>
                <w:szCs w:val="18"/>
                <w:lang w:val="lt-LT"/>
              </w:rPr>
              <w:t>1 428,6</w:t>
            </w:r>
          </w:p>
        </w:tc>
        <w:tc>
          <w:tcPr>
            <w:tcW w:w="440" w:type="pct"/>
            <w:tcBorders>
              <w:top w:val="nil"/>
            </w:tcBorders>
            <w:shd w:val="clear" w:color="auto" w:fill="F7A7B8"/>
            <w:vAlign w:val="bottom"/>
          </w:tcPr>
          <w:p w:rsidR="004709B8" w:rsidRPr="00F9078A" w:rsidRDefault="004709B8" w:rsidP="00FB3EAA">
            <w:pPr>
              <w:spacing w:before="40" w:after="40"/>
              <w:ind w:left="-57"/>
              <w:jc w:val="right"/>
              <w:rPr>
                <w:rFonts w:cs="Arial"/>
                <w:b/>
                <w:bCs/>
                <w:sz w:val="19"/>
                <w:szCs w:val="18"/>
                <w:lang w:val="lt-LT"/>
              </w:rPr>
            </w:pPr>
            <w:r w:rsidRPr="00F9078A">
              <w:rPr>
                <w:rFonts w:cs="Arial"/>
                <w:b/>
                <w:bCs/>
                <w:sz w:val="19"/>
                <w:szCs w:val="18"/>
                <w:lang w:val="lt-LT"/>
              </w:rPr>
              <w:t>913,1</w:t>
            </w:r>
          </w:p>
        </w:tc>
        <w:tc>
          <w:tcPr>
            <w:tcW w:w="409" w:type="pct"/>
            <w:tcBorders>
              <w:top w:val="nil"/>
            </w:tcBorders>
            <w:shd w:val="clear" w:color="auto" w:fill="F7A7B8"/>
            <w:vAlign w:val="bottom"/>
          </w:tcPr>
          <w:p w:rsidR="004709B8" w:rsidRPr="00F9078A" w:rsidRDefault="004709B8" w:rsidP="00FB3EAA">
            <w:pPr>
              <w:spacing w:before="40" w:after="40"/>
              <w:ind w:left="-57"/>
              <w:jc w:val="right"/>
              <w:rPr>
                <w:rFonts w:cs="Arial"/>
                <w:b/>
                <w:bCs/>
                <w:sz w:val="19"/>
                <w:szCs w:val="18"/>
                <w:lang w:val="lt-LT"/>
              </w:rPr>
            </w:pPr>
            <w:r w:rsidRPr="00F9078A">
              <w:rPr>
                <w:rFonts w:cs="Arial"/>
                <w:b/>
                <w:bCs/>
                <w:sz w:val="19"/>
                <w:szCs w:val="18"/>
                <w:lang w:val="lt-LT"/>
              </w:rPr>
              <w:t>10,2</w:t>
            </w:r>
          </w:p>
        </w:tc>
        <w:tc>
          <w:tcPr>
            <w:tcW w:w="409" w:type="pct"/>
            <w:tcBorders>
              <w:top w:val="nil"/>
            </w:tcBorders>
            <w:shd w:val="clear" w:color="auto" w:fill="F7A7B8"/>
            <w:vAlign w:val="bottom"/>
          </w:tcPr>
          <w:p w:rsidR="004709B8" w:rsidRPr="00F9078A" w:rsidRDefault="004709B8" w:rsidP="00FB3EAA">
            <w:pPr>
              <w:spacing w:before="40" w:after="40"/>
              <w:ind w:left="-57"/>
              <w:jc w:val="right"/>
              <w:rPr>
                <w:rFonts w:cs="Arial"/>
                <w:b/>
                <w:bCs/>
                <w:sz w:val="19"/>
                <w:szCs w:val="18"/>
                <w:lang w:val="lt-LT"/>
              </w:rPr>
            </w:pPr>
            <w:r w:rsidRPr="00F9078A">
              <w:rPr>
                <w:rFonts w:cs="Arial"/>
                <w:b/>
                <w:bCs/>
                <w:sz w:val="19"/>
                <w:szCs w:val="18"/>
                <w:lang w:val="lt-LT"/>
              </w:rPr>
              <w:t>11,1</w:t>
            </w:r>
          </w:p>
        </w:tc>
        <w:tc>
          <w:tcPr>
            <w:tcW w:w="593" w:type="pct"/>
            <w:tcBorders>
              <w:top w:val="nil"/>
            </w:tcBorders>
            <w:shd w:val="clear" w:color="auto" w:fill="F7A7B8"/>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Akmenės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4 600</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4 041</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–2,9</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1 259,0</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816,9</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12,9</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13,8</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15</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Alytaus m.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18 993</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16 382</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–3,3</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1 253,4</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813,7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10,8</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11,9</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17</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Alytaus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4 762</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4 034</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1 198,8</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782,8</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8,6</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10,1</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23</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Anykščių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5 051</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4 207</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–4,9</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1 117,8</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736,9</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11,5</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12,9</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44</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Birštono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1 593</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1 262</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0,8</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–6,0</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1 176,4</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770,1</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10,5</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11,8</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27</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Biržų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5 303</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4 458</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–3,3</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1 121,1</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738,7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13,9</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43</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Druskininkų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7 602</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6 565</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1 054,8</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701,2</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3,6</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56</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Elektrėnų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9 610</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7 958</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0,2</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1 312,5</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847,2</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12,9</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13,7</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8</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Ignalinos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2 611</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2 076</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–6,5</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1 076,5</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713,4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11,9</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50</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Jonavos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11 467</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10 157</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1 347,8</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867,3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8,9</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7</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Joniškio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4 807</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4 153</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–0,8</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–1,9</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1 141,7</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750,4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12,6</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36</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Jurbarko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6 239</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5 174</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–7,8</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1 135,3</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746,8</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13,8</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14,8</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39</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Kaišiadorių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8 696</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7 431</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–1,9</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1 253,8</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814,0</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10,9</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12,0</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16</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Kalvarijos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1 734</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1 464</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–1,5</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–5,9</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1 064,6</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706,7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15,5</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16,4</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54</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Kauno m.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176 720</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147 920</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–1,9</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–3,9</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1 466,6</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934,6</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11,2</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2</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Kauno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32 835</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27 133</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7,5</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5,5</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1 376,3</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883,4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12,2</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5</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Kazlų Rūdos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3 172</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2 703</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1 228,7</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799,7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5,9</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7,6</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19</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Kėdainių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13 880</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12 169</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1 391,6</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892,1</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12,6</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13,3</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4</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Kelmės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5 116</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4 087</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1 146,1</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752,9</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15,0</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15,8</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34</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Klaipėdos m.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80 633</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67 194</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–0,5</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–2,8</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1 459,5</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930,6</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11,2</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3</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Klaipėdos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19 969</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15 953</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–0,9</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1 272,8</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824,8</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11,0</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12,0</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13</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Kretingos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9 563</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7 888</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–3,9</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1 099,2</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726,3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11,8</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46</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Kupiškio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3 762</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3 154</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1 130,9</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744,3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13,6</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14,6</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42</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Lazdijų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3 026</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2 489</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–4,3</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1 050,3</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698,6</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9,0</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10,8</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57</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440F41">
            <w:pPr>
              <w:spacing w:before="40" w:after="40"/>
              <w:ind w:right="-113"/>
              <w:rPr>
                <w:rFonts w:cs="Arial"/>
                <w:sz w:val="19"/>
                <w:szCs w:val="18"/>
                <w:lang w:val="lt-LT" w:eastAsia="lt-LT"/>
              </w:rPr>
            </w:pPr>
            <w:r w:rsidRPr="0032264F">
              <w:rPr>
                <w:rFonts w:cs="Arial"/>
                <w:sz w:val="19"/>
                <w:szCs w:val="18"/>
                <w:lang w:val="lt-LT" w:eastAsia="lt-LT"/>
              </w:rPr>
              <w:t>Marijampolės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21 099</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17 528</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–0,9</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1 216,3</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792,7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11,1</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12,3</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21</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Mažeikių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19 103</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16 212</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1 311,3</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846,6</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12,3</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9</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Molėtų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3 714</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3 103</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3,9</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1 083,8</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717,6</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9,5</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11,2</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49</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Neringos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1 651</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1 385</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16,7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15,4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1 178,1</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771,1</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5,6</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7,4</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26</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Pagėgių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1 731</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1 450</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1 157,6</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759,4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13,0</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14,1</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31</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Pakruojo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5 026</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4 462</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1 217,2</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793,2</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12,5</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13,6</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20</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Palangos m.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6 588</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5 386</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3,0</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1 067,9</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708,5</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10,2</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53</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85"/>
              <w:rPr>
                <w:rFonts w:cs="Arial"/>
                <w:sz w:val="19"/>
                <w:szCs w:val="18"/>
                <w:lang w:val="lt-LT" w:eastAsia="lt-LT"/>
              </w:rPr>
            </w:pPr>
            <w:r w:rsidRPr="0032264F">
              <w:rPr>
                <w:rFonts w:cs="Arial"/>
                <w:sz w:val="19"/>
                <w:szCs w:val="18"/>
                <w:lang w:val="lt-LT" w:eastAsia="lt-LT"/>
              </w:rPr>
              <w:t>Panevėžio m.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37 039</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31 993</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1 295,7</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837,7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9,7</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12</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Panevėžio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8 762</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7 521</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0,0</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1 140,6</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749,8</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11,1</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12,5</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37</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Pasvalio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5 331</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4 619</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–4,2</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1 134,3</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746,2</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11,1</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12,4</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40</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Plungės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11 041</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9 275</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2,3</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1 207,0</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787,4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9,2</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10,6</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22</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Prienų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5 343</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4 471</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0,0</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–1,5</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1 114,9</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735,2</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11,9</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13,2</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45</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Radviliškio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7 817</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6 617</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1 063,3</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706,0</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11,9</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13,3</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55</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Raseinių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7 918</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6 722</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–1,5</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1 138,3</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748,5</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11,2</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38</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Rietavo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1 867</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1 589</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1 175,6</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769,6</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8,0</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9,5</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28</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Rokiškio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7 653</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6 625</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–2,5</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1 155,3</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758,1</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11,6</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32</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Skuodo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2 490</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2 222</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1 068,6</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709,0</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12,2</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13,5</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52</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Šakių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6 135</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5 195</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1 131,7</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744,8</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10,3</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41</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Šalčininkų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6 429</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5 230</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1 048,0</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697,3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12,0</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13,4</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58</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Šiaulių m.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56 079</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46 087</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–3,8</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1 259,4</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817,2</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13,8</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14,6</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14</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Šiaulių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9 541</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8 019</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1 090,6</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721,5</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12,7</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48</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Šilalės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4 637</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3 932</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–5,2</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1 097,7</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725,4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12,6</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13,8</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47</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Šilutės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10 166</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8 674</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–2,2</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1 152,8</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756,7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10,8</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33</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Širvintų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3 157</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2 665</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1 190,7</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778,2</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12,0</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24</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Švenčionių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6 592</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5 773</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0,2</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–0,8</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1 143,3</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751,3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11,1</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12,4</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35</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Tauragės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11 008</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9 132</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–1,5</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–3,0</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1 162,3</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762,1</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13,0</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14,1</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30</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Telšių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12 538</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10 589</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–1,9</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1 182,9</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773,8</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11,6</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12,8</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25</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Trakų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8 483</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7 365</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0,0</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1 351,2</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869,2</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6,9</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8,2</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6</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Ukmergės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9 562</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8 237</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–2,3</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1 170,4</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766,7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5,5</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7,3</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29</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Utenos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13 544</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11 761</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–2,4</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–5,2</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1 234,5</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803,0</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14,2</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18</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Varėnos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4 268</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3 686</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–3,7</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–0,6</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1 021,6</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682,3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6,6</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8,7</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59</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Vilkaviškio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6 205</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5 307</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–2,8</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–5,1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1 073,5</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711,7</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13,9</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15,0</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51</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Vilniaus m.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473 793</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406 706</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0,0</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1 643,2</w:t>
            </w:r>
          </w:p>
        </w:tc>
        <w:tc>
          <w:tcPr>
            <w:tcW w:w="440" w:type="pct"/>
            <w:shd w:val="clear" w:color="auto" w:fill="auto"/>
            <w:vAlign w:val="bottom"/>
          </w:tcPr>
          <w:p w:rsidR="004709B8" w:rsidRPr="00F9078A" w:rsidRDefault="004709B8" w:rsidP="00FB3EAA">
            <w:pPr>
              <w:spacing w:before="40" w:after="40"/>
              <w:ind w:left="-113"/>
              <w:jc w:val="right"/>
              <w:rPr>
                <w:rFonts w:cs="Arial"/>
                <w:sz w:val="19"/>
                <w:szCs w:val="18"/>
                <w:lang w:val="lt-LT"/>
              </w:rPr>
            </w:pPr>
            <w:r w:rsidRPr="00F9078A">
              <w:rPr>
                <w:rFonts w:cs="Arial"/>
                <w:sz w:val="19"/>
                <w:szCs w:val="18"/>
                <w:lang w:val="lt-LT"/>
              </w:rPr>
              <w:t>1 034,8</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10,1</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1</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Vilniaus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31 888</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26 580</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1,5</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0,0</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1 309,0</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845,3</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11,2</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12,2</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10</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Visagino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7 270</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6 343</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–1,5</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–1,8</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1 300,7</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840,5</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7,9</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9,2</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11</w:t>
            </w:r>
          </w:p>
        </w:tc>
      </w:tr>
      <w:tr w:rsidR="004709B8" w:rsidRPr="0032264F" w:rsidTr="00FB3EAA">
        <w:tblPrEx>
          <w:tblBorders>
            <w:insideH w:val="none" w:sz="0" w:space="0" w:color="auto"/>
          </w:tblBorders>
        </w:tblPrEx>
        <w:trPr>
          <w:cantSplit/>
        </w:trPr>
        <w:tc>
          <w:tcPr>
            <w:tcW w:w="827" w:type="pct"/>
            <w:shd w:val="clear" w:color="auto" w:fill="auto"/>
            <w:vAlign w:val="bottom"/>
          </w:tcPr>
          <w:p w:rsidR="004709B8" w:rsidRPr="0032264F" w:rsidRDefault="004709B8" w:rsidP="00FB3EAA">
            <w:pPr>
              <w:spacing w:before="40" w:after="40"/>
              <w:ind w:right="-57"/>
              <w:rPr>
                <w:rFonts w:cs="Arial"/>
                <w:sz w:val="19"/>
                <w:szCs w:val="18"/>
                <w:lang w:val="lt-LT" w:eastAsia="lt-LT"/>
              </w:rPr>
            </w:pPr>
            <w:r w:rsidRPr="0032264F">
              <w:rPr>
                <w:rFonts w:cs="Arial"/>
                <w:sz w:val="19"/>
                <w:szCs w:val="18"/>
                <w:lang w:val="lt-LT" w:eastAsia="lt-LT"/>
              </w:rPr>
              <w:t>Zarasų r. sav.</w:t>
            </w:r>
          </w:p>
        </w:tc>
        <w:tc>
          <w:tcPr>
            <w:tcW w:w="49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2 996</w:t>
            </w:r>
          </w:p>
        </w:tc>
        <w:tc>
          <w:tcPr>
            <w:tcW w:w="498"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2 599</w:t>
            </w:r>
          </w:p>
        </w:tc>
        <w:tc>
          <w:tcPr>
            <w:tcW w:w="441"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–2,1</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–0,5</w:t>
            </w:r>
          </w:p>
        </w:tc>
        <w:tc>
          <w:tcPr>
            <w:tcW w:w="442"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992,9</w:t>
            </w:r>
          </w:p>
        </w:tc>
        <w:tc>
          <w:tcPr>
            <w:tcW w:w="440"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666,0</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7,4</w:t>
            </w:r>
          </w:p>
        </w:tc>
        <w:tc>
          <w:tcPr>
            <w:tcW w:w="409" w:type="pct"/>
            <w:shd w:val="clear" w:color="auto" w:fill="auto"/>
            <w:vAlign w:val="bottom"/>
          </w:tcPr>
          <w:p w:rsidR="004709B8" w:rsidRPr="00F9078A" w:rsidRDefault="004709B8" w:rsidP="00FB3EAA">
            <w:pPr>
              <w:spacing w:before="40" w:after="40"/>
              <w:ind w:left="-57"/>
              <w:jc w:val="right"/>
              <w:rPr>
                <w:rFonts w:cs="Arial"/>
                <w:sz w:val="19"/>
                <w:szCs w:val="18"/>
                <w:lang w:val="lt-LT"/>
              </w:rPr>
            </w:pPr>
            <w:r w:rsidRPr="00F9078A">
              <w:rPr>
                <w:rFonts w:cs="Arial"/>
                <w:sz w:val="19"/>
                <w:szCs w:val="18"/>
                <w:lang w:val="lt-LT"/>
              </w:rPr>
              <w:t>9,5</w:t>
            </w:r>
          </w:p>
        </w:tc>
        <w:tc>
          <w:tcPr>
            <w:tcW w:w="593" w:type="pct"/>
            <w:shd w:val="clear" w:color="auto" w:fill="auto"/>
            <w:vAlign w:val="bottom"/>
          </w:tcPr>
          <w:p w:rsidR="004709B8" w:rsidRPr="00F9078A" w:rsidRDefault="004709B8" w:rsidP="00FB3EAA">
            <w:pPr>
              <w:spacing w:before="40" w:after="40"/>
              <w:ind w:left="-57"/>
              <w:jc w:val="right"/>
              <w:rPr>
                <w:rFonts w:cs="Arial"/>
                <w:color w:val="000000"/>
                <w:sz w:val="19"/>
                <w:szCs w:val="22"/>
                <w:lang w:val="lt-LT"/>
              </w:rPr>
            </w:pPr>
            <w:r w:rsidRPr="00F9078A">
              <w:rPr>
                <w:rFonts w:cs="Arial"/>
                <w:color w:val="000000"/>
                <w:sz w:val="19"/>
                <w:szCs w:val="22"/>
                <w:lang w:val="lt-LT"/>
              </w:rPr>
              <w:t>60</w:t>
            </w:r>
          </w:p>
        </w:tc>
      </w:tr>
    </w:tbl>
    <w:p w:rsidR="002C2F14" w:rsidRPr="0032264F" w:rsidRDefault="002B3115" w:rsidP="00316E8F">
      <w:pPr>
        <w:spacing w:before="20"/>
        <w:jc w:val="both"/>
        <w:rPr>
          <w:lang w:val="lt-LT"/>
        </w:rPr>
      </w:pPr>
      <w:r w:rsidRPr="0032264F">
        <w:rPr>
          <w:sz w:val="16"/>
          <w:szCs w:val="16"/>
          <w:lang w:val="lt-LT"/>
        </w:rPr>
        <w:t>__________________________</w:t>
      </w:r>
      <w:r w:rsidRPr="0032264F">
        <w:rPr>
          <w:sz w:val="16"/>
          <w:szCs w:val="16"/>
          <w:lang w:val="lt-LT"/>
        </w:rPr>
        <w:br/>
      </w:r>
      <w:r w:rsidR="006F3839" w:rsidRPr="0032264F">
        <w:rPr>
          <w:rFonts w:cs="Arial"/>
          <w:color w:val="333333"/>
          <w:sz w:val="16"/>
          <w:szCs w:val="16"/>
          <w:shd w:val="clear" w:color="auto" w:fill="FFFFFF"/>
          <w:vertAlign w:val="superscript"/>
          <w:lang w:val="lt-LT"/>
        </w:rPr>
        <w:t>1</w:t>
      </w:r>
      <w:r w:rsidR="002C2F14" w:rsidRPr="0032264F">
        <w:rPr>
          <w:rFonts w:cs="Arial"/>
          <w:color w:val="333333"/>
          <w:sz w:val="16"/>
          <w:szCs w:val="16"/>
          <w:shd w:val="clear" w:color="auto" w:fill="FFFFFF"/>
          <w:vertAlign w:val="superscript"/>
          <w:lang w:val="lt-LT"/>
        </w:rPr>
        <w:t> </w:t>
      </w:r>
      <w:r w:rsidR="002C2F14" w:rsidRPr="0032264F">
        <w:rPr>
          <w:rFonts w:cs="Arial"/>
          <w:color w:val="333333"/>
          <w:sz w:val="16"/>
          <w:szCs w:val="16"/>
          <w:shd w:val="clear" w:color="auto" w:fill="FFFFFF"/>
          <w:lang w:val="lt-LT"/>
        </w:rPr>
        <w:t>Reikšmių eilutė surūšiuota mažėjančia tvarka.</w:t>
      </w:r>
    </w:p>
    <w:p w:rsidR="00ED3F1D" w:rsidRPr="0032264F" w:rsidRDefault="00ED3F1D" w:rsidP="0047755F">
      <w:pPr>
        <w:rPr>
          <w:sz w:val="16"/>
          <w:szCs w:val="16"/>
          <w:lang w:val="lt-LT"/>
        </w:rPr>
      </w:pPr>
    </w:p>
    <w:p w:rsidR="009559E2" w:rsidRPr="0032264F" w:rsidRDefault="009559E2" w:rsidP="004B3FB7">
      <w:pPr>
        <w:outlineLvl w:val="1"/>
        <w:rPr>
          <w:szCs w:val="19"/>
          <w:u w:val="single"/>
          <w:lang w:val="lt-LT"/>
        </w:rPr>
      </w:pPr>
      <w:r w:rsidRPr="0032264F">
        <w:rPr>
          <w:lang w:val="lt-LT"/>
        </w:rPr>
        <w:t xml:space="preserve">Daugiau informacijos šia tema rasite </w:t>
      </w:r>
      <w:hyperlink r:id="rId25" w:history="1">
        <w:r w:rsidRPr="0032264F">
          <w:rPr>
            <w:szCs w:val="19"/>
            <w:u w:val="single"/>
            <w:lang w:val="lt-LT"/>
          </w:rPr>
          <w:t>Rodiklių duomenų bazėje</w:t>
        </w:r>
      </w:hyperlink>
      <w:r w:rsidRPr="0032264F">
        <w:rPr>
          <w:szCs w:val="19"/>
          <w:u w:val="single"/>
          <w:lang w:val="lt-LT"/>
        </w:rPr>
        <w:t>.</w:t>
      </w:r>
    </w:p>
    <w:p w:rsidR="00FB3EAA" w:rsidRPr="0032264F" w:rsidRDefault="00FB3EAA" w:rsidP="004B3FB7">
      <w:pPr>
        <w:outlineLvl w:val="1"/>
        <w:rPr>
          <w:lang w:val="lt-LT"/>
        </w:rPr>
      </w:pPr>
    </w:p>
    <w:p w:rsidR="009559E2" w:rsidRPr="0032264F" w:rsidRDefault="009559E2" w:rsidP="009559E2">
      <w:pPr>
        <w:spacing w:before="40" w:after="40"/>
        <w:rPr>
          <w:color w:val="1F497D"/>
          <w:lang w:val="lt-LT"/>
        </w:rPr>
      </w:pPr>
      <w:r w:rsidRPr="0032264F">
        <w:rPr>
          <w:lang w:val="lt-LT"/>
        </w:rPr>
        <w:t>Statistinė informacija rengiama ir skleidžiama vadovaujantis</w:t>
      </w:r>
      <w:r w:rsidRPr="0032264F">
        <w:rPr>
          <w:rFonts w:cs="Arial"/>
          <w:color w:val="1F497D"/>
          <w:lang w:val="lt-LT"/>
        </w:rPr>
        <w:t xml:space="preserve"> </w:t>
      </w:r>
      <w:hyperlink r:id="rId26" w:history="1">
        <w:r w:rsidRPr="0032264F">
          <w:rPr>
            <w:color w:val="0000FF"/>
            <w:u w:val="single"/>
            <w:lang w:val="lt-LT"/>
          </w:rPr>
          <w:t>Europos statistikos praktikos kodeksu</w:t>
        </w:r>
      </w:hyperlink>
      <w:r w:rsidRPr="0032264F">
        <w:rPr>
          <w:color w:val="1F497D"/>
          <w:lang w:val="lt-LT"/>
        </w:rPr>
        <w:t>.</w:t>
      </w:r>
    </w:p>
    <w:p w:rsidR="00FB3EAA" w:rsidRPr="0032264F" w:rsidRDefault="00FB3EAA" w:rsidP="009559E2">
      <w:pPr>
        <w:spacing w:before="40" w:after="40"/>
        <w:rPr>
          <w:color w:val="1F497D"/>
          <w:lang w:val="lt-LT"/>
        </w:rPr>
      </w:pPr>
    </w:p>
    <w:p w:rsidR="009559E2" w:rsidRPr="0032264F" w:rsidRDefault="009559E2" w:rsidP="00BC42A7">
      <w:pPr>
        <w:spacing w:before="20"/>
        <w:jc w:val="both"/>
        <w:rPr>
          <w:lang w:val="lt-LT"/>
        </w:rPr>
      </w:pPr>
      <w:r w:rsidRPr="0032264F">
        <w:rPr>
          <w:lang w:val="lt-LT"/>
        </w:rPr>
        <w:t>Daugiau susijusių terminų</w:t>
      </w:r>
      <w:r w:rsidR="00C875AC" w:rsidRPr="0032264F">
        <w:rPr>
          <w:lang w:val="lt-LT"/>
        </w:rPr>
        <w:t xml:space="preserve"> ir paaiškinimų</w:t>
      </w:r>
      <w:r w:rsidRPr="0032264F">
        <w:rPr>
          <w:lang w:val="lt-LT"/>
        </w:rPr>
        <w:t xml:space="preserve"> ieškokite </w:t>
      </w:r>
      <w:hyperlink r:id="rId27" w:history="1">
        <w:r w:rsidRPr="0032264F">
          <w:rPr>
            <w:color w:val="0000FF"/>
            <w:u w:val="single"/>
            <w:lang w:val="lt-LT"/>
          </w:rPr>
          <w:t>Statistikos terminų žodyne</w:t>
        </w:r>
      </w:hyperlink>
      <w:r w:rsidRPr="0032264F">
        <w:rPr>
          <w:lang w:val="lt-LT"/>
        </w:rPr>
        <w:t xml:space="preserve">. </w:t>
      </w:r>
    </w:p>
    <w:p w:rsidR="009559E2" w:rsidRPr="0032264F" w:rsidRDefault="009559E2" w:rsidP="009559E2">
      <w:pPr>
        <w:rPr>
          <w:sz w:val="16"/>
          <w:szCs w:val="16"/>
          <w:lang w:val="lt-LT"/>
        </w:rPr>
      </w:pPr>
    </w:p>
    <w:p w:rsidR="009559E2" w:rsidRPr="0032264F" w:rsidRDefault="009559E2" w:rsidP="00F9078A">
      <w:pPr>
        <w:spacing w:after="60"/>
        <w:ind w:firstLine="709"/>
        <w:rPr>
          <w:b/>
          <w:spacing w:val="2"/>
          <w:lang w:val="lt-LT"/>
        </w:rPr>
      </w:pPr>
      <w:r w:rsidRPr="0032264F">
        <w:rPr>
          <w:b/>
          <w:spacing w:val="2"/>
          <w:lang w:val="lt-LT"/>
        </w:rPr>
        <w:t>Paaiškinimai</w:t>
      </w:r>
    </w:p>
    <w:p w:rsidR="009559E2" w:rsidRPr="0032264F" w:rsidRDefault="009559E2" w:rsidP="00F9078A">
      <w:pPr>
        <w:ind w:firstLine="709"/>
        <w:jc w:val="both"/>
        <w:rPr>
          <w:lang w:val="lt-LT"/>
        </w:rPr>
      </w:pPr>
      <w:proofErr w:type="spellStart"/>
      <w:r w:rsidRPr="0032264F">
        <w:rPr>
          <w:b/>
          <w:lang w:val="lt-LT"/>
        </w:rPr>
        <w:t>Bruto</w:t>
      </w:r>
      <w:proofErr w:type="spellEnd"/>
      <w:r w:rsidRPr="0032264F">
        <w:rPr>
          <w:b/>
          <w:lang w:val="lt-LT"/>
        </w:rPr>
        <w:t xml:space="preserve"> darbo užmokestis</w:t>
      </w:r>
      <w:r w:rsidRPr="0032264F">
        <w:rPr>
          <w:lang w:val="lt-LT"/>
        </w:rPr>
        <w:t xml:space="preserve"> – atlyginimas pinigais, apimantis tiesiogiai darbdavio darbuotojui mokamą pagrindinį darbo užmokestį ir papildomą uždarbį, įskaitant darbuotojo mokamas valstybinio socialinio draudimo įmokas ir gyventojų pajamų mokestį. Neįskaitoma materialinė, laikinojo nedarbingumo pašalpa, mokama </w:t>
      </w:r>
      <w:r w:rsidRPr="0032264F">
        <w:rPr>
          <w:spacing w:val="-2"/>
          <w:lang w:val="lt-LT"/>
        </w:rPr>
        <w:t>neatsižvelgiant į finansavimo šaltinį, kompensacija už nepanaudotas kasmetines atostogas, išeitinė išmoka ir pan.</w:t>
      </w:r>
      <w:r w:rsidRPr="0032264F">
        <w:rPr>
          <w:lang w:val="lt-LT"/>
        </w:rPr>
        <w:t xml:space="preserve"> </w:t>
      </w:r>
    </w:p>
    <w:p w:rsidR="009559E2" w:rsidRPr="0032264F" w:rsidRDefault="009559E2" w:rsidP="00F9078A">
      <w:pPr>
        <w:ind w:firstLine="709"/>
        <w:jc w:val="both"/>
        <w:rPr>
          <w:lang w:val="lt-LT"/>
        </w:rPr>
      </w:pPr>
      <w:proofErr w:type="spellStart"/>
      <w:r w:rsidRPr="0032264F">
        <w:rPr>
          <w:b/>
          <w:lang w:val="lt-LT"/>
        </w:rPr>
        <w:t>Neto</w:t>
      </w:r>
      <w:proofErr w:type="spellEnd"/>
      <w:r w:rsidRPr="0032264F">
        <w:rPr>
          <w:b/>
          <w:lang w:val="lt-LT"/>
        </w:rPr>
        <w:t xml:space="preserve"> darbo užmokestis</w:t>
      </w:r>
      <w:r w:rsidRPr="0032264F">
        <w:rPr>
          <w:lang w:val="lt-LT"/>
        </w:rPr>
        <w:t xml:space="preserve"> – atlyginimas pinigais, apimantis tiesiogiai darbdavio darbuotojui mokamą pagrindinį darbo užmokestį ir papildomą uždarbį, atskaičius darbuotojo mokamas valstybinio socialinio draudimo įmokas ir gyventojų pajamų mokestį.</w:t>
      </w:r>
    </w:p>
    <w:p w:rsidR="0092620C" w:rsidRPr="006B4678" w:rsidRDefault="0092620C" w:rsidP="0092620C">
      <w:pPr>
        <w:ind w:firstLine="720"/>
        <w:jc w:val="both"/>
        <w:rPr>
          <w:lang w:val="lt-LT"/>
        </w:rPr>
      </w:pPr>
      <w:r>
        <w:rPr>
          <w:b/>
          <w:lang w:val="lt-LT"/>
        </w:rPr>
        <w:t>Realiojo</w:t>
      </w:r>
      <w:r w:rsidR="009559E2" w:rsidRPr="0032264F">
        <w:rPr>
          <w:b/>
          <w:lang w:val="lt-LT"/>
        </w:rPr>
        <w:t xml:space="preserve"> darbo užmokes</w:t>
      </w:r>
      <w:r>
        <w:rPr>
          <w:b/>
          <w:lang w:val="lt-LT"/>
        </w:rPr>
        <w:t>čio indeksas</w:t>
      </w:r>
      <w:r w:rsidR="009559E2" w:rsidRPr="0032264F">
        <w:rPr>
          <w:lang w:val="lt-LT"/>
        </w:rPr>
        <w:t xml:space="preserve"> –</w:t>
      </w:r>
      <w:r w:rsidRPr="0092620C">
        <w:rPr>
          <w:lang w:val="lt-LT"/>
        </w:rPr>
        <w:t xml:space="preserve"> </w:t>
      </w:r>
      <w:r w:rsidRPr="006B4678">
        <w:rPr>
          <w:lang w:val="lt-LT"/>
        </w:rPr>
        <w:t>s</w:t>
      </w:r>
      <w:r w:rsidRPr="006B4678">
        <w:rPr>
          <w:lang w:val="lt-LT" w:eastAsia="lt-LT"/>
        </w:rPr>
        <w:t xml:space="preserve">antykinis rodiklis, kuriuo išreiškiamas </w:t>
      </w:r>
      <w:proofErr w:type="spellStart"/>
      <w:r w:rsidRPr="006B4678">
        <w:rPr>
          <w:lang w:val="lt-LT" w:eastAsia="lt-LT"/>
        </w:rPr>
        <w:t>neto</w:t>
      </w:r>
      <w:proofErr w:type="spellEnd"/>
      <w:r w:rsidRPr="006B4678">
        <w:rPr>
          <w:lang w:val="lt-LT" w:eastAsia="lt-LT"/>
        </w:rPr>
        <w:t xml:space="preserve"> darbo užmokesčio pokytis, pašalinus vartotojų </w:t>
      </w:r>
      <w:r w:rsidRPr="006B4678">
        <w:rPr>
          <w:lang w:val="lt-LT"/>
        </w:rPr>
        <w:t xml:space="preserve">kainų pasikeitimo įtaką. Apskaičiuojamas </w:t>
      </w:r>
      <w:proofErr w:type="spellStart"/>
      <w:r w:rsidRPr="006B4678">
        <w:rPr>
          <w:lang w:val="lt-LT"/>
        </w:rPr>
        <w:t>neto</w:t>
      </w:r>
      <w:proofErr w:type="spellEnd"/>
      <w:r w:rsidRPr="006B4678">
        <w:rPr>
          <w:lang w:val="lt-LT"/>
        </w:rPr>
        <w:t xml:space="preserve"> darbo užmokesčio indeksą dalijant iš vartotojų kainų indekso.</w:t>
      </w:r>
    </w:p>
    <w:p w:rsidR="009559E2" w:rsidRPr="0032264F" w:rsidRDefault="009559E2" w:rsidP="00F9078A">
      <w:pPr>
        <w:ind w:firstLine="709"/>
        <w:jc w:val="both"/>
        <w:rPr>
          <w:lang w:val="lt-LT"/>
        </w:rPr>
      </w:pPr>
      <w:r w:rsidRPr="0032264F">
        <w:rPr>
          <w:b/>
          <w:lang w:val="lt-LT"/>
        </w:rPr>
        <w:t>Viešasis sektorius</w:t>
      </w:r>
      <w:r w:rsidRPr="0032264F">
        <w:rPr>
          <w:lang w:val="lt-LT"/>
        </w:rPr>
        <w:t xml:space="preserve"> apima biudžetines įstaigas ir organizacijas (švietimo, sveikatos priežiūros, socialinio darbo, kultūros, viešojo valdymo ir kt.), taip pat viešąsias įstaigas, įmones, kurių 50 proc. ar daugiau subjekto įstatinio kapitalo sudaro valstybės ar savivaldybės nuosavybė.</w:t>
      </w:r>
    </w:p>
    <w:p w:rsidR="007A629B" w:rsidRPr="0032264F" w:rsidRDefault="007A629B" w:rsidP="004325E5">
      <w:pPr>
        <w:outlineLvl w:val="0"/>
        <w:rPr>
          <w:sz w:val="16"/>
          <w:szCs w:val="16"/>
          <w:lang w:val="lt-LT"/>
        </w:rPr>
      </w:pPr>
    </w:p>
    <w:p w:rsidR="00927770" w:rsidRPr="0032264F" w:rsidRDefault="00927770" w:rsidP="00F9078A">
      <w:pPr>
        <w:pStyle w:val="Pasiteirauti"/>
        <w:spacing w:after="120"/>
      </w:pPr>
      <w:r w:rsidRPr="0032264F">
        <w:t>Kontaktinė informacija</w:t>
      </w:r>
      <w:r w:rsidR="00F22FB0" w:rsidRPr="0032264F">
        <w:t xml:space="preserve"> </w:t>
      </w:r>
    </w:p>
    <w:p w:rsidR="00F22FB0" w:rsidRPr="0032264F" w:rsidRDefault="00F22FB0" w:rsidP="00F22FB0">
      <w:pPr>
        <w:pStyle w:val="Pasiteirauti"/>
      </w:pPr>
      <w:r w:rsidRPr="0032264F">
        <w:t>Virginija Bankietienė</w:t>
      </w:r>
    </w:p>
    <w:p w:rsidR="00F22FB0" w:rsidRPr="0032264F" w:rsidRDefault="00F22FB0" w:rsidP="00F22FB0">
      <w:pPr>
        <w:pStyle w:val="Pasiteirauti"/>
      </w:pPr>
      <w:r w:rsidRPr="0032264F">
        <w:t>Darbo statistikos skyriaus vedėja</w:t>
      </w:r>
    </w:p>
    <w:p w:rsidR="00F22FB0" w:rsidRPr="0032264F" w:rsidRDefault="00F22FB0" w:rsidP="00F22FB0">
      <w:pPr>
        <w:pStyle w:val="Pasiteirauti"/>
      </w:pPr>
      <w:r w:rsidRPr="0032264F">
        <w:t xml:space="preserve">Tel. (8 5) </w:t>
      </w:r>
      <w:r w:rsidR="00E8104F">
        <w:t xml:space="preserve"> </w:t>
      </w:r>
      <w:r w:rsidRPr="0032264F">
        <w:t>236 4836</w:t>
      </w:r>
    </w:p>
    <w:p w:rsidR="00F22FB0" w:rsidRPr="0032264F" w:rsidRDefault="00F22FB0" w:rsidP="00F22FB0">
      <w:pPr>
        <w:pStyle w:val="Pasiteirauti"/>
      </w:pPr>
      <w:r w:rsidRPr="0032264F">
        <w:t xml:space="preserve">El. p. </w:t>
      </w:r>
      <w:hyperlink r:id="rId28" w:history="1">
        <w:r w:rsidRPr="0032264F">
          <w:rPr>
            <w:rStyle w:val="Hyperlink"/>
            <w:color w:val="auto"/>
          </w:rPr>
          <w:t>virginija.bankietiene@stat.gov.lt</w:t>
        </w:r>
      </w:hyperlink>
    </w:p>
    <w:p w:rsidR="00432970" w:rsidRPr="0032264F" w:rsidRDefault="00432970" w:rsidP="00F22FB0">
      <w:pPr>
        <w:pStyle w:val="Pasiteirauti"/>
        <w:rPr>
          <w:sz w:val="16"/>
          <w:szCs w:val="16"/>
        </w:rPr>
      </w:pPr>
    </w:p>
    <w:p w:rsidR="00316E8F" w:rsidRPr="0032264F" w:rsidRDefault="00316E8F" w:rsidP="00F22FB0">
      <w:pPr>
        <w:pStyle w:val="Pasiteirauti"/>
        <w:rPr>
          <w:sz w:val="16"/>
          <w:szCs w:val="16"/>
        </w:rPr>
      </w:pPr>
    </w:p>
    <w:p w:rsidR="00432970" w:rsidRPr="0032264F" w:rsidRDefault="00432970" w:rsidP="00432970">
      <w:pPr>
        <w:pStyle w:val="Pasiteirauti"/>
      </w:pPr>
      <w:r w:rsidRPr="0032264F">
        <w:t>© Lietuvos statistikos departamentas</w:t>
      </w:r>
    </w:p>
    <w:p w:rsidR="00432970" w:rsidRPr="0032264F" w:rsidRDefault="00432970" w:rsidP="00F22FB0">
      <w:pPr>
        <w:pStyle w:val="Pasiteirauti"/>
      </w:pPr>
      <w:r w:rsidRPr="0032264F">
        <w:t>Naudojant Lietuvos statistikos departamento duomenis, būtina nurodyti šaltinį.</w:t>
      </w:r>
    </w:p>
    <w:p w:rsidR="009F05C8" w:rsidRPr="0032264F" w:rsidRDefault="009F05C8" w:rsidP="00F22FB0">
      <w:pPr>
        <w:pStyle w:val="Pasiteirauti"/>
        <w:rPr>
          <w:sz w:val="16"/>
          <w:szCs w:val="16"/>
        </w:rPr>
      </w:pPr>
    </w:p>
    <w:p w:rsidR="004F4EDF" w:rsidRPr="0032264F" w:rsidRDefault="002F07BD" w:rsidP="00D26186">
      <w:pPr>
        <w:pStyle w:val="Pasiteirauti"/>
        <w:spacing w:before="60"/>
      </w:pPr>
      <w:r w:rsidRPr="0032264F">
        <w:t>Žymos: darbo užmokestis</w:t>
      </w:r>
      <w:r w:rsidR="007E7A30" w:rsidRPr="0032264F">
        <w:t xml:space="preserve">, </w:t>
      </w:r>
      <w:proofErr w:type="spellStart"/>
      <w:r w:rsidR="007E7A30" w:rsidRPr="0032264F">
        <w:t>bruto</w:t>
      </w:r>
      <w:proofErr w:type="spellEnd"/>
      <w:r w:rsidR="007E7A30" w:rsidRPr="0032264F">
        <w:t xml:space="preserve">, </w:t>
      </w:r>
      <w:proofErr w:type="spellStart"/>
      <w:r w:rsidR="007E7A30" w:rsidRPr="0032264F">
        <w:t>neto</w:t>
      </w:r>
      <w:proofErr w:type="spellEnd"/>
      <w:r w:rsidR="007E7A30" w:rsidRPr="0032264F">
        <w:t>, darbuotojų skaičius.</w:t>
      </w:r>
      <w:r w:rsidR="004F4EDF" w:rsidRPr="0032264F">
        <w:rPr>
          <w:rFonts w:ascii="Calibri" w:eastAsia="Calibri" w:hAnsi="Calibri"/>
          <w:sz w:val="22"/>
          <w:szCs w:val="22"/>
        </w:rPr>
        <w:t xml:space="preserve"> </w:t>
      </w:r>
    </w:p>
    <w:sectPr w:rsidR="004F4EDF" w:rsidRPr="0032264F" w:rsidSect="00316E8F">
      <w:headerReference w:type="even" r:id="rId29"/>
      <w:headerReference w:type="default" r:id="rId30"/>
      <w:headerReference w:type="first" r:id="rId31"/>
      <w:footerReference w:type="first" r:id="rId32"/>
      <w:footnotePr>
        <w:numRestart w:val="eachPage"/>
      </w:footnotePr>
      <w:pgSz w:w="11906" w:h="16838" w:code="9"/>
      <w:pgMar w:top="851" w:right="851" w:bottom="567" w:left="851" w:header="510"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5FC" w:rsidRDefault="00D215FC">
      <w:r>
        <w:separator/>
      </w:r>
    </w:p>
  </w:endnote>
  <w:endnote w:type="continuationSeparator" w:id="0">
    <w:p w:rsidR="00D215FC" w:rsidRDefault="00D2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embedRegular r:id="rId1" w:subsetted="1" w:fontKey="{87B7DC95-DCC7-4957-9A29-E723EBAE68DB}"/>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78A" w:rsidRDefault="00F9078A" w:rsidP="007F74C2">
    <w:pPr>
      <w:ind w:right="-113"/>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5FC" w:rsidRDefault="00D215FC">
      <w:r>
        <w:separator/>
      </w:r>
    </w:p>
  </w:footnote>
  <w:footnote w:type="continuationSeparator" w:id="0">
    <w:p w:rsidR="00D215FC" w:rsidRDefault="00D2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78A" w:rsidRDefault="00F907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078A" w:rsidRDefault="00F90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78A" w:rsidRPr="00317478" w:rsidRDefault="00F9078A">
    <w:pPr>
      <w:pStyle w:val="Header"/>
      <w:framePr w:wrap="around" w:vAnchor="text" w:hAnchor="margin" w:xAlign="center" w:y="1"/>
      <w:rPr>
        <w:rStyle w:val="PageNumber"/>
        <w:sz w:val="18"/>
        <w:szCs w:val="18"/>
      </w:rPr>
    </w:pPr>
    <w:r w:rsidRPr="00317478">
      <w:rPr>
        <w:rStyle w:val="PageNumber"/>
        <w:sz w:val="18"/>
        <w:szCs w:val="18"/>
      </w:rPr>
      <w:fldChar w:fldCharType="begin"/>
    </w:r>
    <w:r w:rsidRPr="00317478">
      <w:rPr>
        <w:rStyle w:val="PageNumber"/>
        <w:sz w:val="18"/>
        <w:szCs w:val="18"/>
      </w:rPr>
      <w:instrText xml:space="preserve">PAGE  </w:instrText>
    </w:r>
    <w:r w:rsidRPr="00317478">
      <w:rPr>
        <w:rStyle w:val="PageNumber"/>
        <w:sz w:val="18"/>
        <w:szCs w:val="18"/>
      </w:rPr>
      <w:fldChar w:fldCharType="separate"/>
    </w:r>
    <w:r w:rsidR="009B638C">
      <w:rPr>
        <w:rStyle w:val="PageNumber"/>
        <w:noProof/>
        <w:sz w:val="18"/>
        <w:szCs w:val="18"/>
      </w:rPr>
      <w:t>6</w:t>
    </w:r>
    <w:r w:rsidRPr="00317478">
      <w:rPr>
        <w:rStyle w:val="PageNumber"/>
        <w:sz w:val="18"/>
        <w:szCs w:val="18"/>
      </w:rPr>
      <w:fldChar w:fldCharType="end"/>
    </w:r>
  </w:p>
  <w:p w:rsidR="00F9078A" w:rsidRPr="00317478" w:rsidRDefault="00F9078A">
    <w:pPr>
      <w:pStyle w:val="Header"/>
      <w:ind w:left="-57" w:right="-57"/>
      <w:rPr>
        <w:sz w:val="18"/>
        <w:szCs w:val="18"/>
      </w:rPr>
    </w:pPr>
  </w:p>
  <w:p w:rsidR="00F9078A" w:rsidRPr="00317478" w:rsidRDefault="00F9078A">
    <w:pPr>
      <w:pStyle w:val="Header"/>
      <w:ind w:left="-57" w:right="-57"/>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57" w:type="pct"/>
      <w:tblLook w:val="0000" w:firstRow="0" w:lastRow="0" w:firstColumn="0" w:lastColumn="0" w:noHBand="0" w:noVBand="0"/>
    </w:tblPr>
    <w:tblGrid>
      <w:gridCol w:w="5160"/>
      <w:gridCol w:w="5160"/>
    </w:tblGrid>
    <w:tr w:rsidR="00F9078A" w:rsidTr="004D6BE0">
      <w:tc>
        <w:tcPr>
          <w:tcW w:w="2500" w:type="pct"/>
          <w:vAlign w:val="center"/>
        </w:tcPr>
        <w:p w:rsidR="00F9078A" w:rsidRDefault="00F9078A" w:rsidP="004D6BE0">
          <w:pPr>
            <w:pStyle w:val="Header"/>
            <w:ind w:right="-113"/>
          </w:pPr>
          <w:r>
            <w:rPr>
              <w:noProof/>
              <w:lang w:val="lt-LT" w:eastAsia="lt-LT"/>
            </w:rPr>
            <w:drawing>
              <wp:inline distT="0" distB="0" distL="0" distR="0" wp14:anchorId="5C1AA22A" wp14:editId="04CC1C79">
                <wp:extent cx="1358900" cy="429260"/>
                <wp:effectExtent l="0" t="0" r="0" b="8890"/>
                <wp:docPr id="4" name="Picture 5" descr="Q:\Exchange\SSKS\Firminis stilius\Galutinės priemonės\LS ir OSP\LS ir OSP Logopack\LS\Skaitmeninems priemonems\Spalvoti\LT\PNG\LS-horizontalus-spalvotas-baltam fonui-L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Exchange\SSKS\Firminis stilius\Galutinės priemonės\LS ir OSP\LS ir OSP Logopack\LS\Skaitmeninems priemonems\Spalvoti\LT\PNG\LS-horizontalus-spalvotas-baltam fonui-LT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29260"/>
                        </a:xfrm>
                        <a:prstGeom prst="rect">
                          <a:avLst/>
                        </a:prstGeom>
                        <a:noFill/>
                        <a:ln>
                          <a:noFill/>
                        </a:ln>
                      </pic:spPr>
                    </pic:pic>
                  </a:graphicData>
                </a:graphic>
              </wp:inline>
            </w:drawing>
          </w:r>
        </w:p>
      </w:tc>
      <w:tc>
        <w:tcPr>
          <w:tcW w:w="2500" w:type="pct"/>
          <w:vAlign w:val="center"/>
        </w:tcPr>
        <w:p w:rsidR="00F9078A" w:rsidRPr="00991C9F" w:rsidRDefault="00F9078A" w:rsidP="004D6BE0">
          <w:pPr>
            <w:jc w:val="right"/>
            <w:rPr>
              <w:lang w:val="lt-LT"/>
            </w:rPr>
          </w:pPr>
          <w:r>
            <w:rPr>
              <w:noProof/>
              <w:lang w:val="lt-LT" w:eastAsia="lt-LT"/>
            </w:rPr>
            <w:drawing>
              <wp:inline distT="0" distB="0" distL="0" distR="0" wp14:anchorId="256D010F" wp14:editId="61CE71A4">
                <wp:extent cx="1338580" cy="434340"/>
                <wp:effectExtent l="0" t="0" r="0" b="3810"/>
                <wp:docPr id="10" name="Picture 10" descr="C:\Users\BiruteGa\Documents\11_BLANKAI\Mediu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iruteGa\Documents\11_BLANKAI\Medium-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8580" cy="434340"/>
                        </a:xfrm>
                        <a:prstGeom prst="rect">
                          <a:avLst/>
                        </a:prstGeom>
                        <a:noFill/>
                        <a:ln>
                          <a:noFill/>
                        </a:ln>
                      </pic:spPr>
                    </pic:pic>
                  </a:graphicData>
                </a:graphic>
              </wp:inline>
            </w:drawing>
          </w:r>
        </w:p>
      </w:tc>
    </w:tr>
  </w:tbl>
  <w:p w:rsidR="00F9078A" w:rsidRDefault="00F9078A">
    <w:pPr>
      <w:pStyle w:val="Header"/>
      <w:pBdr>
        <w:bottom w:val="double" w:sz="6" w:space="1" w:color="auto"/>
      </w:pBdr>
      <w:rPr>
        <w:sz w:val="16"/>
      </w:rPr>
    </w:pPr>
  </w:p>
  <w:p w:rsidR="00F9078A" w:rsidRDefault="00F9078A">
    <w:pPr>
      <w:pStyle w:val="Header"/>
      <w:ind w:left="-57" w:right="-57"/>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679"/>
    <w:multiLevelType w:val="hybridMultilevel"/>
    <w:tmpl w:val="31DC3A6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5C57FAD"/>
    <w:multiLevelType w:val="hybridMultilevel"/>
    <w:tmpl w:val="212051E6"/>
    <w:lvl w:ilvl="0" w:tplc="04270001">
      <w:start w:val="1"/>
      <w:numFmt w:val="bullet"/>
      <w:lvlText w:val=""/>
      <w:lvlJc w:val="left"/>
      <w:pPr>
        <w:ind w:left="928" w:hanging="360"/>
      </w:pPr>
      <w:rPr>
        <w:rFonts w:ascii="Symbol" w:hAnsi="Symbol" w:hint="default"/>
      </w:rPr>
    </w:lvl>
    <w:lvl w:ilvl="1" w:tplc="4E66187E">
      <w:numFmt w:val="bullet"/>
      <w:lvlText w:val="•"/>
      <w:lvlJc w:val="left"/>
      <w:pPr>
        <w:ind w:left="2008" w:hanging="720"/>
      </w:pPr>
      <w:rPr>
        <w:rFonts w:ascii="Arial" w:eastAsia="Times New Roman" w:hAnsi="Arial" w:cs="Arial"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2" w15:restartNumberingAfterBreak="0">
    <w:nsid w:val="1B5A7EC2"/>
    <w:multiLevelType w:val="hybridMultilevel"/>
    <w:tmpl w:val="40520F6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B710192"/>
    <w:multiLevelType w:val="hybridMultilevel"/>
    <w:tmpl w:val="CF0CBDC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E072AED"/>
    <w:multiLevelType w:val="hybridMultilevel"/>
    <w:tmpl w:val="18CA5D2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323DC8"/>
    <w:multiLevelType w:val="hybridMultilevel"/>
    <w:tmpl w:val="AF98D0FE"/>
    <w:lvl w:ilvl="0" w:tplc="04270001">
      <w:start w:val="1"/>
      <w:numFmt w:val="bullet"/>
      <w:lvlText w:val=""/>
      <w:lvlJc w:val="left"/>
      <w:pPr>
        <w:ind w:left="1117" w:hanging="360"/>
      </w:pPr>
      <w:rPr>
        <w:rFonts w:ascii="Symbol" w:hAnsi="Symbol" w:hint="default"/>
      </w:rPr>
    </w:lvl>
    <w:lvl w:ilvl="1" w:tplc="04270001">
      <w:start w:val="1"/>
      <w:numFmt w:val="bullet"/>
      <w:lvlText w:val=""/>
      <w:lvlJc w:val="left"/>
      <w:pPr>
        <w:ind w:left="1837" w:hanging="360"/>
      </w:pPr>
      <w:rPr>
        <w:rFonts w:ascii="Symbol" w:hAnsi="Symbol"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6" w15:restartNumberingAfterBreak="0">
    <w:nsid w:val="45E52626"/>
    <w:multiLevelType w:val="hybridMultilevel"/>
    <w:tmpl w:val="5EE29EFA"/>
    <w:lvl w:ilvl="0" w:tplc="04270001">
      <w:start w:val="1"/>
      <w:numFmt w:val="bullet"/>
      <w:lvlText w:val=""/>
      <w:lvlJc w:val="left"/>
      <w:pPr>
        <w:ind w:left="1117" w:hanging="360"/>
      </w:pPr>
      <w:rPr>
        <w:rFonts w:ascii="Symbol" w:hAnsi="Symbol" w:hint="default"/>
      </w:rPr>
    </w:lvl>
    <w:lvl w:ilvl="1" w:tplc="04270003">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7" w15:restartNumberingAfterBreak="0">
    <w:nsid w:val="587000E7"/>
    <w:multiLevelType w:val="hybridMultilevel"/>
    <w:tmpl w:val="787CC0D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5C736571"/>
    <w:multiLevelType w:val="hybridMultilevel"/>
    <w:tmpl w:val="F40AD570"/>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9" w15:restartNumberingAfterBreak="0">
    <w:nsid w:val="65E97AD4"/>
    <w:multiLevelType w:val="hybridMultilevel"/>
    <w:tmpl w:val="F384D1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BC53440"/>
    <w:multiLevelType w:val="hybridMultilevel"/>
    <w:tmpl w:val="589A805E"/>
    <w:lvl w:ilvl="0" w:tplc="042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87A5D"/>
    <w:multiLevelType w:val="hybridMultilevel"/>
    <w:tmpl w:val="104485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7F442411"/>
    <w:multiLevelType w:val="hybridMultilevel"/>
    <w:tmpl w:val="9DE843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2"/>
  </w:num>
  <w:num w:numId="3">
    <w:abstractNumId w:val="11"/>
  </w:num>
  <w:num w:numId="4">
    <w:abstractNumId w:val="1"/>
  </w:num>
  <w:num w:numId="5">
    <w:abstractNumId w:val="2"/>
  </w:num>
  <w:num w:numId="6">
    <w:abstractNumId w:val="8"/>
  </w:num>
  <w:num w:numId="7">
    <w:abstractNumId w:val="3"/>
  </w:num>
  <w:num w:numId="8">
    <w:abstractNumId w:val="6"/>
  </w:num>
  <w:num w:numId="9">
    <w:abstractNumId w:val="5"/>
  </w:num>
  <w:num w:numId="10">
    <w:abstractNumId w:val="9"/>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CE"/>
    <w:rsid w:val="000014F8"/>
    <w:rsid w:val="00001BA1"/>
    <w:rsid w:val="0000337D"/>
    <w:rsid w:val="00005226"/>
    <w:rsid w:val="00007720"/>
    <w:rsid w:val="000123AC"/>
    <w:rsid w:val="00012685"/>
    <w:rsid w:val="00013EB5"/>
    <w:rsid w:val="0001479C"/>
    <w:rsid w:val="0001532B"/>
    <w:rsid w:val="00015862"/>
    <w:rsid w:val="00016016"/>
    <w:rsid w:val="00016EA8"/>
    <w:rsid w:val="00017CCF"/>
    <w:rsid w:val="000207A0"/>
    <w:rsid w:val="0002241C"/>
    <w:rsid w:val="000302CA"/>
    <w:rsid w:val="00030799"/>
    <w:rsid w:val="000314CD"/>
    <w:rsid w:val="0003347E"/>
    <w:rsid w:val="00036F3D"/>
    <w:rsid w:val="00037837"/>
    <w:rsid w:val="00037B37"/>
    <w:rsid w:val="000403A3"/>
    <w:rsid w:val="0004069B"/>
    <w:rsid w:val="00040BAD"/>
    <w:rsid w:val="000410A6"/>
    <w:rsid w:val="000417FF"/>
    <w:rsid w:val="000427C1"/>
    <w:rsid w:val="00043576"/>
    <w:rsid w:val="00043A7C"/>
    <w:rsid w:val="000448A8"/>
    <w:rsid w:val="00044CF3"/>
    <w:rsid w:val="00046BCB"/>
    <w:rsid w:val="00046E7C"/>
    <w:rsid w:val="00047643"/>
    <w:rsid w:val="00047B07"/>
    <w:rsid w:val="0005121A"/>
    <w:rsid w:val="00051F98"/>
    <w:rsid w:val="00052726"/>
    <w:rsid w:val="00052B8C"/>
    <w:rsid w:val="00052DFC"/>
    <w:rsid w:val="00053957"/>
    <w:rsid w:val="000543B1"/>
    <w:rsid w:val="00055030"/>
    <w:rsid w:val="00056667"/>
    <w:rsid w:val="00060B4D"/>
    <w:rsid w:val="0006135D"/>
    <w:rsid w:val="0006201F"/>
    <w:rsid w:val="00062810"/>
    <w:rsid w:val="00062CAE"/>
    <w:rsid w:val="0006353B"/>
    <w:rsid w:val="00064828"/>
    <w:rsid w:val="00065F89"/>
    <w:rsid w:val="0006681F"/>
    <w:rsid w:val="00071CF9"/>
    <w:rsid w:val="00074DA8"/>
    <w:rsid w:val="00075253"/>
    <w:rsid w:val="000779C2"/>
    <w:rsid w:val="000812D3"/>
    <w:rsid w:val="00084793"/>
    <w:rsid w:val="000847BD"/>
    <w:rsid w:val="00085570"/>
    <w:rsid w:val="00094090"/>
    <w:rsid w:val="00095E25"/>
    <w:rsid w:val="000A13D9"/>
    <w:rsid w:val="000A1AC3"/>
    <w:rsid w:val="000A1AE0"/>
    <w:rsid w:val="000A2F5E"/>
    <w:rsid w:val="000A35C1"/>
    <w:rsid w:val="000A3F92"/>
    <w:rsid w:val="000A3FBE"/>
    <w:rsid w:val="000A5A6C"/>
    <w:rsid w:val="000A61D1"/>
    <w:rsid w:val="000A6468"/>
    <w:rsid w:val="000A677E"/>
    <w:rsid w:val="000A792F"/>
    <w:rsid w:val="000A7D67"/>
    <w:rsid w:val="000B0653"/>
    <w:rsid w:val="000B13ED"/>
    <w:rsid w:val="000B1E32"/>
    <w:rsid w:val="000B339B"/>
    <w:rsid w:val="000B3A61"/>
    <w:rsid w:val="000B41C6"/>
    <w:rsid w:val="000B50CC"/>
    <w:rsid w:val="000B553B"/>
    <w:rsid w:val="000B5546"/>
    <w:rsid w:val="000B7D9E"/>
    <w:rsid w:val="000C0379"/>
    <w:rsid w:val="000C0B83"/>
    <w:rsid w:val="000C1181"/>
    <w:rsid w:val="000C2DA3"/>
    <w:rsid w:val="000C3661"/>
    <w:rsid w:val="000C443A"/>
    <w:rsid w:val="000C5969"/>
    <w:rsid w:val="000C5974"/>
    <w:rsid w:val="000C5D08"/>
    <w:rsid w:val="000C77BC"/>
    <w:rsid w:val="000C7D9C"/>
    <w:rsid w:val="000D006A"/>
    <w:rsid w:val="000D0BE3"/>
    <w:rsid w:val="000D20AF"/>
    <w:rsid w:val="000D2273"/>
    <w:rsid w:val="000D3E46"/>
    <w:rsid w:val="000D63B6"/>
    <w:rsid w:val="000D69E9"/>
    <w:rsid w:val="000D6E6C"/>
    <w:rsid w:val="000D7094"/>
    <w:rsid w:val="000D7B3B"/>
    <w:rsid w:val="000E0267"/>
    <w:rsid w:val="000E1169"/>
    <w:rsid w:val="000E1609"/>
    <w:rsid w:val="000E238D"/>
    <w:rsid w:val="000E2AD6"/>
    <w:rsid w:val="000E325C"/>
    <w:rsid w:val="000E56AC"/>
    <w:rsid w:val="000E5ED5"/>
    <w:rsid w:val="000E66B3"/>
    <w:rsid w:val="000E6915"/>
    <w:rsid w:val="000E704C"/>
    <w:rsid w:val="000E7CC1"/>
    <w:rsid w:val="000F164E"/>
    <w:rsid w:val="000F23F4"/>
    <w:rsid w:val="000F29F4"/>
    <w:rsid w:val="000F32ED"/>
    <w:rsid w:val="000F46F4"/>
    <w:rsid w:val="000F4848"/>
    <w:rsid w:val="000F48E3"/>
    <w:rsid w:val="000F4B75"/>
    <w:rsid w:val="000F5424"/>
    <w:rsid w:val="000F660B"/>
    <w:rsid w:val="000F6B54"/>
    <w:rsid w:val="000F7064"/>
    <w:rsid w:val="00100671"/>
    <w:rsid w:val="00100B25"/>
    <w:rsid w:val="0010115D"/>
    <w:rsid w:val="001013D1"/>
    <w:rsid w:val="001037A3"/>
    <w:rsid w:val="00103E01"/>
    <w:rsid w:val="00104F2E"/>
    <w:rsid w:val="00106704"/>
    <w:rsid w:val="00106C10"/>
    <w:rsid w:val="001070F2"/>
    <w:rsid w:val="00111294"/>
    <w:rsid w:val="00111DB9"/>
    <w:rsid w:val="0011365D"/>
    <w:rsid w:val="0011420B"/>
    <w:rsid w:val="00114342"/>
    <w:rsid w:val="001206D5"/>
    <w:rsid w:val="00121075"/>
    <w:rsid w:val="001229BF"/>
    <w:rsid w:val="001231F0"/>
    <w:rsid w:val="00127A88"/>
    <w:rsid w:val="001301C8"/>
    <w:rsid w:val="001319C1"/>
    <w:rsid w:val="00132DA6"/>
    <w:rsid w:val="00134AC4"/>
    <w:rsid w:val="00136154"/>
    <w:rsid w:val="00136426"/>
    <w:rsid w:val="00136FCF"/>
    <w:rsid w:val="00137EB3"/>
    <w:rsid w:val="00140268"/>
    <w:rsid w:val="00140A55"/>
    <w:rsid w:val="00140F27"/>
    <w:rsid w:val="00141A48"/>
    <w:rsid w:val="00141E48"/>
    <w:rsid w:val="001445D5"/>
    <w:rsid w:val="0014498B"/>
    <w:rsid w:val="00144B80"/>
    <w:rsid w:val="001470B1"/>
    <w:rsid w:val="0014753A"/>
    <w:rsid w:val="00153A0F"/>
    <w:rsid w:val="00153CF7"/>
    <w:rsid w:val="001541E6"/>
    <w:rsid w:val="00154803"/>
    <w:rsid w:val="00154A62"/>
    <w:rsid w:val="001556AD"/>
    <w:rsid w:val="00155B16"/>
    <w:rsid w:val="001568BA"/>
    <w:rsid w:val="00156F1F"/>
    <w:rsid w:val="00160933"/>
    <w:rsid w:val="00161C20"/>
    <w:rsid w:val="001632C8"/>
    <w:rsid w:val="00164490"/>
    <w:rsid w:val="00166630"/>
    <w:rsid w:val="00166B3C"/>
    <w:rsid w:val="00167536"/>
    <w:rsid w:val="001704AF"/>
    <w:rsid w:val="001706C7"/>
    <w:rsid w:val="00171174"/>
    <w:rsid w:val="00173EE2"/>
    <w:rsid w:val="0017517E"/>
    <w:rsid w:val="00175D10"/>
    <w:rsid w:val="00181B02"/>
    <w:rsid w:val="001825D1"/>
    <w:rsid w:val="001827FB"/>
    <w:rsid w:val="00182871"/>
    <w:rsid w:val="00182ADD"/>
    <w:rsid w:val="0018451D"/>
    <w:rsid w:val="00184876"/>
    <w:rsid w:val="001853BA"/>
    <w:rsid w:val="00186035"/>
    <w:rsid w:val="00186136"/>
    <w:rsid w:val="00186C74"/>
    <w:rsid w:val="00186F2E"/>
    <w:rsid w:val="00190BA1"/>
    <w:rsid w:val="001918A6"/>
    <w:rsid w:val="00191B69"/>
    <w:rsid w:val="001942FD"/>
    <w:rsid w:val="00197E9C"/>
    <w:rsid w:val="001A0CCA"/>
    <w:rsid w:val="001A1DA4"/>
    <w:rsid w:val="001A200A"/>
    <w:rsid w:val="001A27E0"/>
    <w:rsid w:val="001A365C"/>
    <w:rsid w:val="001A3CF8"/>
    <w:rsid w:val="001A3E7B"/>
    <w:rsid w:val="001A3F85"/>
    <w:rsid w:val="001A3FD0"/>
    <w:rsid w:val="001A443D"/>
    <w:rsid w:val="001A5944"/>
    <w:rsid w:val="001A62FF"/>
    <w:rsid w:val="001A77DA"/>
    <w:rsid w:val="001B05BE"/>
    <w:rsid w:val="001B3679"/>
    <w:rsid w:val="001B65A7"/>
    <w:rsid w:val="001B75A3"/>
    <w:rsid w:val="001B7ECB"/>
    <w:rsid w:val="001C1B33"/>
    <w:rsid w:val="001C1F14"/>
    <w:rsid w:val="001C23C5"/>
    <w:rsid w:val="001C472B"/>
    <w:rsid w:val="001C49AE"/>
    <w:rsid w:val="001C5090"/>
    <w:rsid w:val="001C5F28"/>
    <w:rsid w:val="001C6A9F"/>
    <w:rsid w:val="001C7A7F"/>
    <w:rsid w:val="001D1B9E"/>
    <w:rsid w:val="001D29AB"/>
    <w:rsid w:val="001D4289"/>
    <w:rsid w:val="001D4659"/>
    <w:rsid w:val="001D4ACE"/>
    <w:rsid w:val="001D6C8D"/>
    <w:rsid w:val="001D7AD7"/>
    <w:rsid w:val="001E1CD9"/>
    <w:rsid w:val="001E3C61"/>
    <w:rsid w:val="001E494C"/>
    <w:rsid w:val="001E4A4B"/>
    <w:rsid w:val="001E7ED9"/>
    <w:rsid w:val="001E7FE5"/>
    <w:rsid w:val="001F0A9F"/>
    <w:rsid w:val="001F1848"/>
    <w:rsid w:val="001F2C19"/>
    <w:rsid w:val="00200C63"/>
    <w:rsid w:val="00202E4C"/>
    <w:rsid w:val="00205AD9"/>
    <w:rsid w:val="00206A01"/>
    <w:rsid w:val="00207396"/>
    <w:rsid w:val="0020772A"/>
    <w:rsid w:val="00207B7A"/>
    <w:rsid w:val="00210E9A"/>
    <w:rsid w:val="00213B3A"/>
    <w:rsid w:val="00213DD4"/>
    <w:rsid w:val="00213E1A"/>
    <w:rsid w:val="00213F22"/>
    <w:rsid w:val="002142DB"/>
    <w:rsid w:val="0021565B"/>
    <w:rsid w:val="00215ED2"/>
    <w:rsid w:val="002163B3"/>
    <w:rsid w:val="00217152"/>
    <w:rsid w:val="0022188A"/>
    <w:rsid w:val="00221B2C"/>
    <w:rsid w:val="00221DEC"/>
    <w:rsid w:val="00222C96"/>
    <w:rsid w:val="00223E17"/>
    <w:rsid w:val="00224C3A"/>
    <w:rsid w:val="0023024A"/>
    <w:rsid w:val="00230B7C"/>
    <w:rsid w:val="00231ABB"/>
    <w:rsid w:val="00231FEA"/>
    <w:rsid w:val="00234A87"/>
    <w:rsid w:val="00236362"/>
    <w:rsid w:val="002364FE"/>
    <w:rsid w:val="002367F6"/>
    <w:rsid w:val="00236AF8"/>
    <w:rsid w:val="00237257"/>
    <w:rsid w:val="002402E1"/>
    <w:rsid w:val="00240444"/>
    <w:rsid w:val="00241FCC"/>
    <w:rsid w:val="0024306A"/>
    <w:rsid w:val="0024611C"/>
    <w:rsid w:val="002501F9"/>
    <w:rsid w:val="00250DF3"/>
    <w:rsid w:val="0025137F"/>
    <w:rsid w:val="002520BF"/>
    <w:rsid w:val="00252438"/>
    <w:rsid w:val="002524AF"/>
    <w:rsid w:val="00252A3F"/>
    <w:rsid w:val="00253E8F"/>
    <w:rsid w:val="002549A7"/>
    <w:rsid w:val="00256F51"/>
    <w:rsid w:val="00257036"/>
    <w:rsid w:val="0026133C"/>
    <w:rsid w:val="00262452"/>
    <w:rsid w:val="0026312D"/>
    <w:rsid w:val="00263C3E"/>
    <w:rsid w:val="0026477D"/>
    <w:rsid w:val="00267102"/>
    <w:rsid w:val="00267DD8"/>
    <w:rsid w:val="00270EC0"/>
    <w:rsid w:val="002722BD"/>
    <w:rsid w:val="002729B5"/>
    <w:rsid w:val="00272A89"/>
    <w:rsid w:val="00273020"/>
    <w:rsid w:val="00273456"/>
    <w:rsid w:val="00273EBE"/>
    <w:rsid w:val="00274070"/>
    <w:rsid w:val="00274417"/>
    <w:rsid w:val="0027619E"/>
    <w:rsid w:val="00277EEA"/>
    <w:rsid w:val="002821A0"/>
    <w:rsid w:val="00283640"/>
    <w:rsid w:val="00283A41"/>
    <w:rsid w:val="002842B1"/>
    <w:rsid w:val="00285092"/>
    <w:rsid w:val="0028556F"/>
    <w:rsid w:val="00286DCF"/>
    <w:rsid w:val="002878F8"/>
    <w:rsid w:val="00287DCB"/>
    <w:rsid w:val="002907C2"/>
    <w:rsid w:val="00290E87"/>
    <w:rsid w:val="0029143E"/>
    <w:rsid w:val="0029163C"/>
    <w:rsid w:val="00293578"/>
    <w:rsid w:val="00295DFC"/>
    <w:rsid w:val="002977B5"/>
    <w:rsid w:val="002A02D2"/>
    <w:rsid w:val="002A2A66"/>
    <w:rsid w:val="002A3A71"/>
    <w:rsid w:val="002A4595"/>
    <w:rsid w:val="002A6141"/>
    <w:rsid w:val="002A66AA"/>
    <w:rsid w:val="002A76E7"/>
    <w:rsid w:val="002B11B6"/>
    <w:rsid w:val="002B2F2C"/>
    <w:rsid w:val="002B3115"/>
    <w:rsid w:val="002B55C1"/>
    <w:rsid w:val="002B5B4B"/>
    <w:rsid w:val="002B6634"/>
    <w:rsid w:val="002B7293"/>
    <w:rsid w:val="002C01CA"/>
    <w:rsid w:val="002C0AF3"/>
    <w:rsid w:val="002C0E97"/>
    <w:rsid w:val="002C13CC"/>
    <w:rsid w:val="002C1676"/>
    <w:rsid w:val="002C2D5A"/>
    <w:rsid w:val="002C2F14"/>
    <w:rsid w:val="002C398B"/>
    <w:rsid w:val="002C3BEC"/>
    <w:rsid w:val="002C4074"/>
    <w:rsid w:val="002C40DE"/>
    <w:rsid w:val="002C43AF"/>
    <w:rsid w:val="002C4707"/>
    <w:rsid w:val="002C5C42"/>
    <w:rsid w:val="002C5EDB"/>
    <w:rsid w:val="002C6326"/>
    <w:rsid w:val="002D0E99"/>
    <w:rsid w:val="002D1115"/>
    <w:rsid w:val="002D19AD"/>
    <w:rsid w:val="002D2463"/>
    <w:rsid w:val="002D6BE5"/>
    <w:rsid w:val="002D7C05"/>
    <w:rsid w:val="002E2C47"/>
    <w:rsid w:val="002E53B7"/>
    <w:rsid w:val="002E65E8"/>
    <w:rsid w:val="002E7538"/>
    <w:rsid w:val="002F07BD"/>
    <w:rsid w:val="002F1340"/>
    <w:rsid w:val="002F1E53"/>
    <w:rsid w:val="002F391D"/>
    <w:rsid w:val="002F3BB7"/>
    <w:rsid w:val="002F44FF"/>
    <w:rsid w:val="002F4EF0"/>
    <w:rsid w:val="002F5C2C"/>
    <w:rsid w:val="00300024"/>
    <w:rsid w:val="003019C6"/>
    <w:rsid w:val="00302AF0"/>
    <w:rsid w:val="00302BD9"/>
    <w:rsid w:val="003065B1"/>
    <w:rsid w:val="00306FDA"/>
    <w:rsid w:val="00310C35"/>
    <w:rsid w:val="00311F15"/>
    <w:rsid w:val="00312E6C"/>
    <w:rsid w:val="00314CB2"/>
    <w:rsid w:val="003150F5"/>
    <w:rsid w:val="00316E8F"/>
    <w:rsid w:val="00317478"/>
    <w:rsid w:val="00321B92"/>
    <w:rsid w:val="00321BEF"/>
    <w:rsid w:val="003225EE"/>
    <w:rsid w:val="0032264F"/>
    <w:rsid w:val="00322D57"/>
    <w:rsid w:val="00324749"/>
    <w:rsid w:val="00324F79"/>
    <w:rsid w:val="0032771E"/>
    <w:rsid w:val="00330413"/>
    <w:rsid w:val="00331F71"/>
    <w:rsid w:val="00332031"/>
    <w:rsid w:val="003345AE"/>
    <w:rsid w:val="003355EC"/>
    <w:rsid w:val="00343CA6"/>
    <w:rsid w:val="0034495D"/>
    <w:rsid w:val="003455FF"/>
    <w:rsid w:val="00346A39"/>
    <w:rsid w:val="00346FBF"/>
    <w:rsid w:val="0034779E"/>
    <w:rsid w:val="00351349"/>
    <w:rsid w:val="0035275C"/>
    <w:rsid w:val="00352A7A"/>
    <w:rsid w:val="00352B31"/>
    <w:rsid w:val="00352F2F"/>
    <w:rsid w:val="00355B13"/>
    <w:rsid w:val="00360758"/>
    <w:rsid w:val="00361540"/>
    <w:rsid w:val="00362092"/>
    <w:rsid w:val="00362CE5"/>
    <w:rsid w:val="00364067"/>
    <w:rsid w:val="00367FCE"/>
    <w:rsid w:val="00370CC6"/>
    <w:rsid w:val="00372557"/>
    <w:rsid w:val="003727A4"/>
    <w:rsid w:val="003753E9"/>
    <w:rsid w:val="0037680E"/>
    <w:rsid w:val="003813CF"/>
    <w:rsid w:val="00381E29"/>
    <w:rsid w:val="00381F7F"/>
    <w:rsid w:val="00382FEE"/>
    <w:rsid w:val="00383B8B"/>
    <w:rsid w:val="00384602"/>
    <w:rsid w:val="00384691"/>
    <w:rsid w:val="00384755"/>
    <w:rsid w:val="00385597"/>
    <w:rsid w:val="00386D81"/>
    <w:rsid w:val="00391FB0"/>
    <w:rsid w:val="0039239C"/>
    <w:rsid w:val="00393632"/>
    <w:rsid w:val="00395A19"/>
    <w:rsid w:val="00396444"/>
    <w:rsid w:val="00396528"/>
    <w:rsid w:val="00396B87"/>
    <w:rsid w:val="00396E69"/>
    <w:rsid w:val="003A19DE"/>
    <w:rsid w:val="003A2C6D"/>
    <w:rsid w:val="003A42B9"/>
    <w:rsid w:val="003A57F5"/>
    <w:rsid w:val="003A5EA4"/>
    <w:rsid w:val="003B0999"/>
    <w:rsid w:val="003B0A2C"/>
    <w:rsid w:val="003B0F87"/>
    <w:rsid w:val="003B13C1"/>
    <w:rsid w:val="003B2BFC"/>
    <w:rsid w:val="003B30CE"/>
    <w:rsid w:val="003B4318"/>
    <w:rsid w:val="003B46BD"/>
    <w:rsid w:val="003B543B"/>
    <w:rsid w:val="003B5E45"/>
    <w:rsid w:val="003B60E4"/>
    <w:rsid w:val="003B7F1D"/>
    <w:rsid w:val="003C10BD"/>
    <w:rsid w:val="003C2098"/>
    <w:rsid w:val="003C2387"/>
    <w:rsid w:val="003C37D2"/>
    <w:rsid w:val="003C523B"/>
    <w:rsid w:val="003C5E27"/>
    <w:rsid w:val="003C7D5B"/>
    <w:rsid w:val="003D1CDE"/>
    <w:rsid w:val="003D1D79"/>
    <w:rsid w:val="003D3BE4"/>
    <w:rsid w:val="003D432E"/>
    <w:rsid w:val="003D4A52"/>
    <w:rsid w:val="003D4D58"/>
    <w:rsid w:val="003D4E35"/>
    <w:rsid w:val="003D551E"/>
    <w:rsid w:val="003D5A03"/>
    <w:rsid w:val="003D6E56"/>
    <w:rsid w:val="003D72BC"/>
    <w:rsid w:val="003D7599"/>
    <w:rsid w:val="003D767B"/>
    <w:rsid w:val="003E10B7"/>
    <w:rsid w:val="003E2AD7"/>
    <w:rsid w:val="003E2DA5"/>
    <w:rsid w:val="003E3C06"/>
    <w:rsid w:val="003E4A0C"/>
    <w:rsid w:val="003E4FB3"/>
    <w:rsid w:val="003E550B"/>
    <w:rsid w:val="003E6509"/>
    <w:rsid w:val="003E740F"/>
    <w:rsid w:val="003F0787"/>
    <w:rsid w:val="003F2B62"/>
    <w:rsid w:val="003F2F30"/>
    <w:rsid w:val="003F3598"/>
    <w:rsid w:val="003F3EB6"/>
    <w:rsid w:val="003F7CCA"/>
    <w:rsid w:val="004001BB"/>
    <w:rsid w:val="00405220"/>
    <w:rsid w:val="00406ABD"/>
    <w:rsid w:val="00410E6B"/>
    <w:rsid w:val="00411028"/>
    <w:rsid w:val="00414880"/>
    <w:rsid w:val="00417287"/>
    <w:rsid w:val="0042244E"/>
    <w:rsid w:val="00422661"/>
    <w:rsid w:val="004247AC"/>
    <w:rsid w:val="00426F68"/>
    <w:rsid w:val="004278E8"/>
    <w:rsid w:val="00427AF1"/>
    <w:rsid w:val="004306C3"/>
    <w:rsid w:val="0043093E"/>
    <w:rsid w:val="00431D50"/>
    <w:rsid w:val="004325E5"/>
    <w:rsid w:val="00432970"/>
    <w:rsid w:val="00433546"/>
    <w:rsid w:val="00433D4C"/>
    <w:rsid w:val="004348D7"/>
    <w:rsid w:val="00435B93"/>
    <w:rsid w:val="00436258"/>
    <w:rsid w:val="00437586"/>
    <w:rsid w:val="00437894"/>
    <w:rsid w:val="004379EE"/>
    <w:rsid w:val="004405CD"/>
    <w:rsid w:val="00440F41"/>
    <w:rsid w:val="00441903"/>
    <w:rsid w:val="00443E30"/>
    <w:rsid w:val="00444B63"/>
    <w:rsid w:val="0044616B"/>
    <w:rsid w:val="00446E23"/>
    <w:rsid w:val="0045204D"/>
    <w:rsid w:val="004529D7"/>
    <w:rsid w:val="0045411C"/>
    <w:rsid w:val="0045449E"/>
    <w:rsid w:val="004548AE"/>
    <w:rsid w:val="00455FD0"/>
    <w:rsid w:val="00456756"/>
    <w:rsid w:val="0045766E"/>
    <w:rsid w:val="0045773B"/>
    <w:rsid w:val="0046053E"/>
    <w:rsid w:val="004671D6"/>
    <w:rsid w:val="004673BA"/>
    <w:rsid w:val="004676F2"/>
    <w:rsid w:val="00470961"/>
    <w:rsid w:val="004709B8"/>
    <w:rsid w:val="00470D36"/>
    <w:rsid w:val="00472B8B"/>
    <w:rsid w:val="0047375C"/>
    <w:rsid w:val="00473843"/>
    <w:rsid w:val="00474D7A"/>
    <w:rsid w:val="00475577"/>
    <w:rsid w:val="0047570E"/>
    <w:rsid w:val="00475FCD"/>
    <w:rsid w:val="0047698A"/>
    <w:rsid w:val="0047755F"/>
    <w:rsid w:val="0047779F"/>
    <w:rsid w:val="00480CDE"/>
    <w:rsid w:val="00480E2F"/>
    <w:rsid w:val="004815D7"/>
    <w:rsid w:val="00483BEB"/>
    <w:rsid w:val="00484573"/>
    <w:rsid w:val="00485F3D"/>
    <w:rsid w:val="0048645C"/>
    <w:rsid w:val="004879F0"/>
    <w:rsid w:val="00487E54"/>
    <w:rsid w:val="00491BC0"/>
    <w:rsid w:val="00494C80"/>
    <w:rsid w:val="00496110"/>
    <w:rsid w:val="0049658E"/>
    <w:rsid w:val="00496B60"/>
    <w:rsid w:val="004976A4"/>
    <w:rsid w:val="00497C1B"/>
    <w:rsid w:val="004A0BB4"/>
    <w:rsid w:val="004A0D86"/>
    <w:rsid w:val="004A132E"/>
    <w:rsid w:val="004A247B"/>
    <w:rsid w:val="004A4793"/>
    <w:rsid w:val="004A6CF9"/>
    <w:rsid w:val="004B0FEF"/>
    <w:rsid w:val="004B11DC"/>
    <w:rsid w:val="004B2CBF"/>
    <w:rsid w:val="004B3FB7"/>
    <w:rsid w:val="004B40CB"/>
    <w:rsid w:val="004B4461"/>
    <w:rsid w:val="004B46FF"/>
    <w:rsid w:val="004B4803"/>
    <w:rsid w:val="004B70FB"/>
    <w:rsid w:val="004B72F1"/>
    <w:rsid w:val="004C1AF7"/>
    <w:rsid w:val="004C3FF6"/>
    <w:rsid w:val="004C5191"/>
    <w:rsid w:val="004C5787"/>
    <w:rsid w:val="004C581B"/>
    <w:rsid w:val="004C5D17"/>
    <w:rsid w:val="004C6941"/>
    <w:rsid w:val="004C72CE"/>
    <w:rsid w:val="004C7C4D"/>
    <w:rsid w:val="004D0B48"/>
    <w:rsid w:val="004D0BA6"/>
    <w:rsid w:val="004D4DBF"/>
    <w:rsid w:val="004D4FB7"/>
    <w:rsid w:val="004D6BE0"/>
    <w:rsid w:val="004D73C4"/>
    <w:rsid w:val="004D7EF0"/>
    <w:rsid w:val="004E02FD"/>
    <w:rsid w:val="004E19B3"/>
    <w:rsid w:val="004E28CD"/>
    <w:rsid w:val="004E3057"/>
    <w:rsid w:val="004E43DE"/>
    <w:rsid w:val="004E4BC2"/>
    <w:rsid w:val="004E633D"/>
    <w:rsid w:val="004E700E"/>
    <w:rsid w:val="004E7BB4"/>
    <w:rsid w:val="004F0F6F"/>
    <w:rsid w:val="004F4EDF"/>
    <w:rsid w:val="00500708"/>
    <w:rsid w:val="00500D23"/>
    <w:rsid w:val="0050140A"/>
    <w:rsid w:val="00501616"/>
    <w:rsid w:val="00501813"/>
    <w:rsid w:val="00505323"/>
    <w:rsid w:val="005063A4"/>
    <w:rsid w:val="00506D8E"/>
    <w:rsid w:val="005104C2"/>
    <w:rsid w:val="00510817"/>
    <w:rsid w:val="00512A8E"/>
    <w:rsid w:val="00515863"/>
    <w:rsid w:val="00517623"/>
    <w:rsid w:val="005177E1"/>
    <w:rsid w:val="005213BD"/>
    <w:rsid w:val="00521432"/>
    <w:rsid w:val="005214B5"/>
    <w:rsid w:val="005215EA"/>
    <w:rsid w:val="00521734"/>
    <w:rsid w:val="00524752"/>
    <w:rsid w:val="00525280"/>
    <w:rsid w:val="005254BF"/>
    <w:rsid w:val="005259A9"/>
    <w:rsid w:val="00525AAA"/>
    <w:rsid w:val="0052672C"/>
    <w:rsid w:val="00527202"/>
    <w:rsid w:val="00527292"/>
    <w:rsid w:val="0053106D"/>
    <w:rsid w:val="0053299F"/>
    <w:rsid w:val="00534C9F"/>
    <w:rsid w:val="00534EEA"/>
    <w:rsid w:val="00535B04"/>
    <w:rsid w:val="00535BD0"/>
    <w:rsid w:val="005403BD"/>
    <w:rsid w:val="00542C14"/>
    <w:rsid w:val="005441C8"/>
    <w:rsid w:val="005454A8"/>
    <w:rsid w:val="0054575A"/>
    <w:rsid w:val="00545A3A"/>
    <w:rsid w:val="00547291"/>
    <w:rsid w:val="005474AC"/>
    <w:rsid w:val="00547E24"/>
    <w:rsid w:val="005511CA"/>
    <w:rsid w:val="00554DB6"/>
    <w:rsid w:val="005550AC"/>
    <w:rsid w:val="00555856"/>
    <w:rsid w:val="00556427"/>
    <w:rsid w:val="005565B9"/>
    <w:rsid w:val="005569C3"/>
    <w:rsid w:val="00557107"/>
    <w:rsid w:val="00561950"/>
    <w:rsid w:val="00562E9F"/>
    <w:rsid w:val="005632FE"/>
    <w:rsid w:val="0056701E"/>
    <w:rsid w:val="00570136"/>
    <w:rsid w:val="00570882"/>
    <w:rsid w:val="00571156"/>
    <w:rsid w:val="005711DF"/>
    <w:rsid w:val="005722B1"/>
    <w:rsid w:val="00574B85"/>
    <w:rsid w:val="00575BF6"/>
    <w:rsid w:val="00575D38"/>
    <w:rsid w:val="00576C36"/>
    <w:rsid w:val="0058043D"/>
    <w:rsid w:val="005812F6"/>
    <w:rsid w:val="005815C5"/>
    <w:rsid w:val="00581BFD"/>
    <w:rsid w:val="00582A45"/>
    <w:rsid w:val="005838C4"/>
    <w:rsid w:val="005850AD"/>
    <w:rsid w:val="00585F45"/>
    <w:rsid w:val="00586537"/>
    <w:rsid w:val="00590F6B"/>
    <w:rsid w:val="00591014"/>
    <w:rsid w:val="00591F50"/>
    <w:rsid w:val="00592293"/>
    <w:rsid w:val="005933B3"/>
    <w:rsid w:val="00594684"/>
    <w:rsid w:val="00594DBE"/>
    <w:rsid w:val="00595967"/>
    <w:rsid w:val="00596ED5"/>
    <w:rsid w:val="00597084"/>
    <w:rsid w:val="005971C3"/>
    <w:rsid w:val="00597D4A"/>
    <w:rsid w:val="005A0012"/>
    <w:rsid w:val="005A0CC5"/>
    <w:rsid w:val="005A28B9"/>
    <w:rsid w:val="005A3EEE"/>
    <w:rsid w:val="005A4635"/>
    <w:rsid w:val="005A4B01"/>
    <w:rsid w:val="005A51D7"/>
    <w:rsid w:val="005A621F"/>
    <w:rsid w:val="005A651B"/>
    <w:rsid w:val="005A7008"/>
    <w:rsid w:val="005A77F7"/>
    <w:rsid w:val="005A7816"/>
    <w:rsid w:val="005B0A24"/>
    <w:rsid w:val="005B2B48"/>
    <w:rsid w:val="005B3185"/>
    <w:rsid w:val="005B3708"/>
    <w:rsid w:val="005B4098"/>
    <w:rsid w:val="005B415E"/>
    <w:rsid w:val="005B4C76"/>
    <w:rsid w:val="005B5633"/>
    <w:rsid w:val="005B6ADD"/>
    <w:rsid w:val="005B7135"/>
    <w:rsid w:val="005C0A50"/>
    <w:rsid w:val="005C0B66"/>
    <w:rsid w:val="005C210B"/>
    <w:rsid w:val="005C2F4A"/>
    <w:rsid w:val="005C3B82"/>
    <w:rsid w:val="005C3BA9"/>
    <w:rsid w:val="005C3E12"/>
    <w:rsid w:val="005C5115"/>
    <w:rsid w:val="005C5FF6"/>
    <w:rsid w:val="005C70AE"/>
    <w:rsid w:val="005C7DC9"/>
    <w:rsid w:val="005D0F66"/>
    <w:rsid w:val="005D250C"/>
    <w:rsid w:val="005D6A85"/>
    <w:rsid w:val="005D6ED4"/>
    <w:rsid w:val="005E11E4"/>
    <w:rsid w:val="005E1C9F"/>
    <w:rsid w:val="005E2B5F"/>
    <w:rsid w:val="005E4886"/>
    <w:rsid w:val="005E4935"/>
    <w:rsid w:val="005E49DE"/>
    <w:rsid w:val="005E5014"/>
    <w:rsid w:val="005E5450"/>
    <w:rsid w:val="005E55B5"/>
    <w:rsid w:val="005E5DA8"/>
    <w:rsid w:val="005F070D"/>
    <w:rsid w:val="005F0788"/>
    <w:rsid w:val="005F2240"/>
    <w:rsid w:val="005F2478"/>
    <w:rsid w:val="005F3D22"/>
    <w:rsid w:val="005F42AC"/>
    <w:rsid w:val="005F6496"/>
    <w:rsid w:val="0060093F"/>
    <w:rsid w:val="00600E77"/>
    <w:rsid w:val="00602269"/>
    <w:rsid w:val="006059B6"/>
    <w:rsid w:val="00605C7E"/>
    <w:rsid w:val="006063FB"/>
    <w:rsid w:val="00607FEC"/>
    <w:rsid w:val="0061088C"/>
    <w:rsid w:val="00610D14"/>
    <w:rsid w:val="006121E6"/>
    <w:rsid w:val="00614E8C"/>
    <w:rsid w:val="00620356"/>
    <w:rsid w:val="0062073B"/>
    <w:rsid w:val="006244B5"/>
    <w:rsid w:val="00625524"/>
    <w:rsid w:val="00627D38"/>
    <w:rsid w:val="00630ACE"/>
    <w:rsid w:val="00633120"/>
    <w:rsid w:val="00635B5A"/>
    <w:rsid w:val="0064009F"/>
    <w:rsid w:val="0064064B"/>
    <w:rsid w:val="00644552"/>
    <w:rsid w:val="006445BF"/>
    <w:rsid w:val="00644803"/>
    <w:rsid w:val="00644B9D"/>
    <w:rsid w:val="006458EC"/>
    <w:rsid w:val="00647F9D"/>
    <w:rsid w:val="00651DA6"/>
    <w:rsid w:val="00652316"/>
    <w:rsid w:val="00653C0D"/>
    <w:rsid w:val="006540D8"/>
    <w:rsid w:val="006555B7"/>
    <w:rsid w:val="00655BD7"/>
    <w:rsid w:val="00655C1D"/>
    <w:rsid w:val="0066073B"/>
    <w:rsid w:val="00660E6E"/>
    <w:rsid w:val="00661B43"/>
    <w:rsid w:val="00662EA7"/>
    <w:rsid w:val="00664F28"/>
    <w:rsid w:val="00665520"/>
    <w:rsid w:val="00665FE8"/>
    <w:rsid w:val="0066741F"/>
    <w:rsid w:val="00667E3A"/>
    <w:rsid w:val="006702D9"/>
    <w:rsid w:val="00673819"/>
    <w:rsid w:val="00673836"/>
    <w:rsid w:val="00682BAC"/>
    <w:rsid w:val="00683C55"/>
    <w:rsid w:val="00683FA7"/>
    <w:rsid w:val="00685EDD"/>
    <w:rsid w:val="00686923"/>
    <w:rsid w:val="0069053D"/>
    <w:rsid w:val="00690705"/>
    <w:rsid w:val="00690C06"/>
    <w:rsid w:val="0069190B"/>
    <w:rsid w:val="00692B73"/>
    <w:rsid w:val="00694650"/>
    <w:rsid w:val="0069518F"/>
    <w:rsid w:val="006A0146"/>
    <w:rsid w:val="006A1911"/>
    <w:rsid w:val="006A258D"/>
    <w:rsid w:val="006A4E4B"/>
    <w:rsid w:val="006B0078"/>
    <w:rsid w:val="006B008B"/>
    <w:rsid w:val="006B0D0B"/>
    <w:rsid w:val="006B16F0"/>
    <w:rsid w:val="006B1E40"/>
    <w:rsid w:val="006B3AAA"/>
    <w:rsid w:val="006B683C"/>
    <w:rsid w:val="006B6E09"/>
    <w:rsid w:val="006B7BFA"/>
    <w:rsid w:val="006C0C3A"/>
    <w:rsid w:val="006C254F"/>
    <w:rsid w:val="006C31A3"/>
    <w:rsid w:val="006C34B2"/>
    <w:rsid w:val="006C44D7"/>
    <w:rsid w:val="006C7526"/>
    <w:rsid w:val="006C79BE"/>
    <w:rsid w:val="006D1FCA"/>
    <w:rsid w:val="006D3F35"/>
    <w:rsid w:val="006D4474"/>
    <w:rsid w:val="006D4644"/>
    <w:rsid w:val="006E1983"/>
    <w:rsid w:val="006E499C"/>
    <w:rsid w:val="006E608F"/>
    <w:rsid w:val="006E6843"/>
    <w:rsid w:val="006F3839"/>
    <w:rsid w:val="006F39DC"/>
    <w:rsid w:val="006F4CB4"/>
    <w:rsid w:val="006F513D"/>
    <w:rsid w:val="006F5BF4"/>
    <w:rsid w:val="006F5D2E"/>
    <w:rsid w:val="006F5DFE"/>
    <w:rsid w:val="00700EAC"/>
    <w:rsid w:val="0070203C"/>
    <w:rsid w:val="00704411"/>
    <w:rsid w:val="0070536D"/>
    <w:rsid w:val="00707CAF"/>
    <w:rsid w:val="00711577"/>
    <w:rsid w:val="007140E2"/>
    <w:rsid w:val="007144EB"/>
    <w:rsid w:val="00714DB1"/>
    <w:rsid w:val="007150E1"/>
    <w:rsid w:val="00715BC5"/>
    <w:rsid w:val="0071679F"/>
    <w:rsid w:val="0071788E"/>
    <w:rsid w:val="00717A54"/>
    <w:rsid w:val="00722DDF"/>
    <w:rsid w:val="00724612"/>
    <w:rsid w:val="00730965"/>
    <w:rsid w:val="00730C93"/>
    <w:rsid w:val="0073359A"/>
    <w:rsid w:val="00734D75"/>
    <w:rsid w:val="007405A1"/>
    <w:rsid w:val="0074243A"/>
    <w:rsid w:val="00744878"/>
    <w:rsid w:val="00744A7D"/>
    <w:rsid w:val="00744E4A"/>
    <w:rsid w:val="007450D6"/>
    <w:rsid w:val="007479B4"/>
    <w:rsid w:val="00750D5A"/>
    <w:rsid w:val="00751281"/>
    <w:rsid w:val="00752F39"/>
    <w:rsid w:val="00753EE9"/>
    <w:rsid w:val="00754EB4"/>
    <w:rsid w:val="00760F8D"/>
    <w:rsid w:val="00760FB9"/>
    <w:rsid w:val="00761BC2"/>
    <w:rsid w:val="00762F9D"/>
    <w:rsid w:val="00763F6E"/>
    <w:rsid w:val="0076404D"/>
    <w:rsid w:val="0076491A"/>
    <w:rsid w:val="00764DC9"/>
    <w:rsid w:val="00765DBB"/>
    <w:rsid w:val="00770347"/>
    <w:rsid w:val="00770BA1"/>
    <w:rsid w:val="00774305"/>
    <w:rsid w:val="007743FB"/>
    <w:rsid w:val="00774DE3"/>
    <w:rsid w:val="00775BEF"/>
    <w:rsid w:val="007760FE"/>
    <w:rsid w:val="00776F85"/>
    <w:rsid w:val="007824B5"/>
    <w:rsid w:val="00782E83"/>
    <w:rsid w:val="007839D7"/>
    <w:rsid w:val="007843EA"/>
    <w:rsid w:val="00786F0B"/>
    <w:rsid w:val="00787D4F"/>
    <w:rsid w:val="00791151"/>
    <w:rsid w:val="00791DA3"/>
    <w:rsid w:val="00792992"/>
    <w:rsid w:val="00792F97"/>
    <w:rsid w:val="00793DE3"/>
    <w:rsid w:val="0079548F"/>
    <w:rsid w:val="00795A48"/>
    <w:rsid w:val="00795D65"/>
    <w:rsid w:val="00796FD9"/>
    <w:rsid w:val="007A13F6"/>
    <w:rsid w:val="007A1542"/>
    <w:rsid w:val="007A27E1"/>
    <w:rsid w:val="007A2B05"/>
    <w:rsid w:val="007A2B8C"/>
    <w:rsid w:val="007A2E1C"/>
    <w:rsid w:val="007A3684"/>
    <w:rsid w:val="007A39A0"/>
    <w:rsid w:val="007A3AB3"/>
    <w:rsid w:val="007A49EF"/>
    <w:rsid w:val="007A629B"/>
    <w:rsid w:val="007A6AAD"/>
    <w:rsid w:val="007A748D"/>
    <w:rsid w:val="007B057F"/>
    <w:rsid w:val="007B1E24"/>
    <w:rsid w:val="007B27C4"/>
    <w:rsid w:val="007B42C2"/>
    <w:rsid w:val="007B5D49"/>
    <w:rsid w:val="007B6279"/>
    <w:rsid w:val="007B646A"/>
    <w:rsid w:val="007B74AD"/>
    <w:rsid w:val="007C0165"/>
    <w:rsid w:val="007C041B"/>
    <w:rsid w:val="007C1042"/>
    <w:rsid w:val="007C3D2B"/>
    <w:rsid w:val="007C466C"/>
    <w:rsid w:val="007D0382"/>
    <w:rsid w:val="007D1DF3"/>
    <w:rsid w:val="007D2458"/>
    <w:rsid w:val="007D2DAF"/>
    <w:rsid w:val="007D4091"/>
    <w:rsid w:val="007D6F3C"/>
    <w:rsid w:val="007E05AE"/>
    <w:rsid w:val="007E11AD"/>
    <w:rsid w:val="007E1BBC"/>
    <w:rsid w:val="007E2E2F"/>
    <w:rsid w:val="007E3A9D"/>
    <w:rsid w:val="007E4C9C"/>
    <w:rsid w:val="007E68B8"/>
    <w:rsid w:val="007E79B1"/>
    <w:rsid w:val="007E7A30"/>
    <w:rsid w:val="007F1149"/>
    <w:rsid w:val="007F153C"/>
    <w:rsid w:val="007F217F"/>
    <w:rsid w:val="007F564D"/>
    <w:rsid w:val="007F5688"/>
    <w:rsid w:val="007F74C2"/>
    <w:rsid w:val="007F7575"/>
    <w:rsid w:val="007F7625"/>
    <w:rsid w:val="00803FBA"/>
    <w:rsid w:val="008069E7"/>
    <w:rsid w:val="00807090"/>
    <w:rsid w:val="008079F8"/>
    <w:rsid w:val="00807CDA"/>
    <w:rsid w:val="00807DF0"/>
    <w:rsid w:val="008100C7"/>
    <w:rsid w:val="00810D05"/>
    <w:rsid w:val="00812013"/>
    <w:rsid w:val="0081222D"/>
    <w:rsid w:val="00812232"/>
    <w:rsid w:val="0081346C"/>
    <w:rsid w:val="00814F7D"/>
    <w:rsid w:val="00815291"/>
    <w:rsid w:val="008175EF"/>
    <w:rsid w:val="00821C79"/>
    <w:rsid w:val="0082253E"/>
    <w:rsid w:val="00822A07"/>
    <w:rsid w:val="00823B51"/>
    <w:rsid w:val="00825AB8"/>
    <w:rsid w:val="008261E0"/>
    <w:rsid w:val="00826388"/>
    <w:rsid w:val="008270B6"/>
    <w:rsid w:val="008302AC"/>
    <w:rsid w:val="00832220"/>
    <w:rsid w:val="0083357A"/>
    <w:rsid w:val="00836217"/>
    <w:rsid w:val="0083745D"/>
    <w:rsid w:val="00837799"/>
    <w:rsid w:val="00844060"/>
    <w:rsid w:val="008456FE"/>
    <w:rsid w:val="00846770"/>
    <w:rsid w:val="00847504"/>
    <w:rsid w:val="00847A86"/>
    <w:rsid w:val="00847BD4"/>
    <w:rsid w:val="00847F08"/>
    <w:rsid w:val="00850189"/>
    <w:rsid w:val="008501E4"/>
    <w:rsid w:val="0085086C"/>
    <w:rsid w:val="0085363D"/>
    <w:rsid w:val="00853CD2"/>
    <w:rsid w:val="00855840"/>
    <w:rsid w:val="00855D8A"/>
    <w:rsid w:val="00856F12"/>
    <w:rsid w:val="008600F1"/>
    <w:rsid w:val="008604F1"/>
    <w:rsid w:val="00860882"/>
    <w:rsid w:val="00861D20"/>
    <w:rsid w:val="00862493"/>
    <w:rsid w:val="008624AB"/>
    <w:rsid w:val="008631C9"/>
    <w:rsid w:val="00864674"/>
    <w:rsid w:val="0086695D"/>
    <w:rsid w:val="008674B9"/>
    <w:rsid w:val="00867FB9"/>
    <w:rsid w:val="00870787"/>
    <w:rsid w:val="00871D80"/>
    <w:rsid w:val="008744D3"/>
    <w:rsid w:val="008746A4"/>
    <w:rsid w:val="008765AD"/>
    <w:rsid w:val="00876935"/>
    <w:rsid w:val="008773F2"/>
    <w:rsid w:val="00880D02"/>
    <w:rsid w:val="00880E68"/>
    <w:rsid w:val="0088541A"/>
    <w:rsid w:val="008876B7"/>
    <w:rsid w:val="00894576"/>
    <w:rsid w:val="00896A1C"/>
    <w:rsid w:val="00896E40"/>
    <w:rsid w:val="008976B2"/>
    <w:rsid w:val="008978D2"/>
    <w:rsid w:val="008A0356"/>
    <w:rsid w:val="008A0ED1"/>
    <w:rsid w:val="008A3388"/>
    <w:rsid w:val="008A460D"/>
    <w:rsid w:val="008A5D79"/>
    <w:rsid w:val="008A60F8"/>
    <w:rsid w:val="008A62A1"/>
    <w:rsid w:val="008B2718"/>
    <w:rsid w:val="008B2BDD"/>
    <w:rsid w:val="008B3290"/>
    <w:rsid w:val="008B50C1"/>
    <w:rsid w:val="008B599C"/>
    <w:rsid w:val="008B5B28"/>
    <w:rsid w:val="008B5D6C"/>
    <w:rsid w:val="008B65A3"/>
    <w:rsid w:val="008B7092"/>
    <w:rsid w:val="008B7E59"/>
    <w:rsid w:val="008C05CF"/>
    <w:rsid w:val="008C3D19"/>
    <w:rsid w:val="008C427C"/>
    <w:rsid w:val="008C4EA2"/>
    <w:rsid w:val="008C595E"/>
    <w:rsid w:val="008C5B83"/>
    <w:rsid w:val="008C5D43"/>
    <w:rsid w:val="008C76F9"/>
    <w:rsid w:val="008C7C68"/>
    <w:rsid w:val="008D0E69"/>
    <w:rsid w:val="008D1CFD"/>
    <w:rsid w:val="008D2560"/>
    <w:rsid w:val="008D37CC"/>
    <w:rsid w:val="008D4845"/>
    <w:rsid w:val="008D4A6B"/>
    <w:rsid w:val="008E0652"/>
    <w:rsid w:val="008E3A24"/>
    <w:rsid w:val="008E4500"/>
    <w:rsid w:val="008E5028"/>
    <w:rsid w:val="008E5079"/>
    <w:rsid w:val="008E6499"/>
    <w:rsid w:val="008E6C9F"/>
    <w:rsid w:val="008E7EED"/>
    <w:rsid w:val="008F0359"/>
    <w:rsid w:val="008F2A6D"/>
    <w:rsid w:val="008F2BCD"/>
    <w:rsid w:val="008F3BE7"/>
    <w:rsid w:val="008F3C3C"/>
    <w:rsid w:val="008F46D1"/>
    <w:rsid w:val="008F4E30"/>
    <w:rsid w:val="008F522C"/>
    <w:rsid w:val="008F6FF4"/>
    <w:rsid w:val="008F7CA2"/>
    <w:rsid w:val="0090106C"/>
    <w:rsid w:val="00901596"/>
    <w:rsid w:val="00903383"/>
    <w:rsid w:val="0090460C"/>
    <w:rsid w:val="0090506C"/>
    <w:rsid w:val="00905A41"/>
    <w:rsid w:val="00905EE0"/>
    <w:rsid w:val="009065B0"/>
    <w:rsid w:val="009069F1"/>
    <w:rsid w:val="00907E81"/>
    <w:rsid w:val="00910034"/>
    <w:rsid w:val="0091078E"/>
    <w:rsid w:val="00912966"/>
    <w:rsid w:val="00912DFF"/>
    <w:rsid w:val="00913F5D"/>
    <w:rsid w:val="00914BB2"/>
    <w:rsid w:val="00915194"/>
    <w:rsid w:val="00915D3F"/>
    <w:rsid w:val="00917858"/>
    <w:rsid w:val="00920226"/>
    <w:rsid w:val="0092097C"/>
    <w:rsid w:val="009224A4"/>
    <w:rsid w:val="0092309E"/>
    <w:rsid w:val="00923997"/>
    <w:rsid w:val="0092620C"/>
    <w:rsid w:val="009268DC"/>
    <w:rsid w:val="00927770"/>
    <w:rsid w:val="00931CED"/>
    <w:rsid w:val="009329E1"/>
    <w:rsid w:val="0093315D"/>
    <w:rsid w:val="00933255"/>
    <w:rsid w:val="00935972"/>
    <w:rsid w:val="00936116"/>
    <w:rsid w:val="00940832"/>
    <w:rsid w:val="009433F3"/>
    <w:rsid w:val="00944937"/>
    <w:rsid w:val="00944964"/>
    <w:rsid w:val="00944F24"/>
    <w:rsid w:val="00945DD1"/>
    <w:rsid w:val="00950A74"/>
    <w:rsid w:val="009513AB"/>
    <w:rsid w:val="00951BEE"/>
    <w:rsid w:val="00953019"/>
    <w:rsid w:val="00953988"/>
    <w:rsid w:val="00954163"/>
    <w:rsid w:val="009559E2"/>
    <w:rsid w:val="00955E4E"/>
    <w:rsid w:val="00956EFD"/>
    <w:rsid w:val="00957656"/>
    <w:rsid w:val="0096419C"/>
    <w:rsid w:val="00964604"/>
    <w:rsid w:val="0096546F"/>
    <w:rsid w:val="00967657"/>
    <w:rsid w:val="00970BAB"/>
    <w:rsid w:val="00970D47"/>
    <w:rsid w:val="0097141D"/>
    <w:rsid w:val="00971514"/>
    <w:rsid w:val="009739F8"/>
    <w:rsid w:val="00973EC9"/>
    <w:rsid w:val="0097518F"/>
    <w:rsid w:val="00975E73"/>
    <w:rsid w:val="00976578"/>
    <w:rsid w:val="00977E42"/>
    <w:rsid w:val="009803BA"/>
    <w:rsid w:val="009814A0"/>
    <w:rsid w:val="00981796"/>
    <w:rsid w:val="00982CCD"/>
    <w:rsid w:val="00983D5A"/>
    <w:rsid w:val="00986ED8"/>
    <w:rsid w:val="009875AE"/>
    <w:rsid w:val="00990A58"/>
    <w:rsid w:val="00991C9F"/>
    <w:rsid w:val="00992255"/>
    <w:rsid w:val="00992733"/>
    <w:rsid w:val="009928A4"/>
    <w:rsid w:val="009937DD"/>
    <w:rsid w:val="00994FD5"/>
    <w:rsid w:val="00995460"/>
    <w:rsid w:val="00995F94"/>
    <w:rsid w:val="00997C70"/>
    <w:rsid w:val="009A3B40"/>
    <w:rsid w:val="009A55BC"/>
    <w:rsid w:val="009A7DFE"/>
    <w:rsid w:val="009B1121"/>
    <w:rsid w:val="009B3A72"/>
    <w:rsid w:val="009B4D4A"/>
    <w:rsid w:val="009B638C"/>
    <w:rsid w:val="009B67D9"/>
    <w:rsid w:val="009B6A0E"/>
    <w:rsid w:val="009B79D4"/>
    <w:rsid w:val="009C14BA"/>
    <w:rsid w:val="009C2EA0"/>
    <w:rsid w:val="009C32DC"/>
    <w:rsid w:val="009C3B66"/>
    <w:rsid w:val="009C53F3"/>
    <w:rsid w:val="009C6013"/>
    <w:rsid w:val="009C6227"/>
    <w:rsid w:val="009C6AC9"/>
    <w:rsid w:val="009C7379"/>
    <w:rsid w:val="009D1EF9"/>
    <w:rsid w:val="009D42E1"/>
    <w:rsid w:val="009D4C9B"/>
    <w:rsid w:val="009D626C"/>
    <w:rsid w:val="009E0057"/>
    <w:rsid w:val="009E1830"/>
    <w:rsid w:val="009E19E0"/>
    <w:rsid w:val="009E3C15"/>
    <w:rsid w:val="009E5665"/>
    <w:rsid w:val="009E6394"/>
    <w:rsid w:val="009E6801"/>
    <w:rsid w:val="009F0547"/>
    <w:rsid w:val="009F05C8"/>
    <w:rsid w:val="009F078A"/>
    <w:rsid w:val="009F08E9"/>
    <w:rsid w:val="009F12EF"/>
    <w:rsid w:val="009F2767"/>
    <w:rsid w:val="009F2B98"/>
    <w:rsid w:val="009F2F3F"/>
    <w:rsid w:val="009F334A"/>
    <w:rsid w:val="009F3EDF"/>
    <w:rsid w:val="009F521C"/>
    <w:rsid w:val="009F60F9"/>
    <w:rsid w:val="009F6B9B"/>
    <w:rsid w:val="009F75A8"/>
    <w:rsid w:val="009F76BE"/>
    <w:rsid w:val="009F7FE3"/>
    <w:rsid w:val="00A0018C"/>
    <w:rsid w:val="00A0136C"/>
    <w:rsid w:val="00A01576"/>
    <w:rsid w:val="00A01781"/>
    <w:rsid w:val="00A02A03"/>
    <w:rsid w:val="00A03201"/>
    <w:rsid w:val="00A032C7"/>
    <w:rsid w:val="00A03EA0"/>
    <w:rsid w:val="00A04751"/>
    <w:rsid w:val="00A04D75"/>
    <w:rsid w:val="00A04E4E"/>
    <w:rsid w:val="00A06A94"/>
    <w:rsid w:val="00A06E46"/>
    <w:rsid w:val="00A10C3E"/>
    <w:rsid w:val="00A13EF3"/>
    <w:rsid w:val="00A146DD"/>
    <w:rsid w:val="00A15941"/>
    <w:rsid w:val="00A172F7"/>
    <w:rsid w:val="00A204DF"/>
    <w:rsid w:val="00A20DFF"/>
    <w:rsid w:val="00A221A3"/>
    <w:rsid w:val="00A2462E"/>
    <w:rsid w:val="00A26651"/>
    <w:rsid w:val="00A279EC"/>
    <w:rsid w:val="00A30117"/>
    <w:rsid w:val="00A3045E"/>
    <w:rsid w:val="00A31950"/>
    <w:rsid w:val="00A33F6A"/>
    <w:rsid w:val="00A35C71"/>
    <w:rsid w:val="00A3650A"/>
    <w:rsid w:val="00A365FF"/>
    <w:rsid w:val="00A367A9"/>
    <w:rsid w:val="00A37A6D"/>
    <w:rsid w:val="00A37AF8"/>
    <w:rsid w:val="00A37D24"/>
    <w:rsid w:val="00A4072E"/>
    <w:rsid w:val="00A411B5"/>
    <w:rsid w:val="00A4185B"/>
    <w:rsid w:val="00A427CB"/>
    <w:rsid w:val="00A42B90"/>
    <w:rsid w:val="00A43242"/>
    <w:rsid w:val="00A435DA"/>
    <w:rsid w:val="00A4422A"/>
    <w:rsid w:val="00A4444F"/>
    <w:rsid w:val="00A449CD"/>
    <w:rsid w:val="00A45757"/>
    <w:rsid w:val="00A47061"/>
    <w:rsid w:val="00A47DF9"/>
    <w:rsid w:val="00A5465D"/>
    <w:rsid w:val="00A56B0E"/>
    <w:rsid w:val="00A57E4B"/>
    <w:rsid w:val="00A60CE6"/>
    <w:rsid w:val="00A63E4B"/>
    <w:rsid w:val="00A658A6"/>
    <w:rsid w:val="00A67680"/>
    <w:rsid w:val="00A70F2D"/>
    <w:rsid w:val="00A730B4"/>
    <w:rsid w:val="00A76163"/>
    <w:rsid w:val="00A764BB"/>
    <w:rsid w:val="00A76AF5"/>
    <w:rsid w:val="00A77DA8"/>
    <w:rsid w:val="00A77EF3"/>
    <w:rsid w:val="00A82A2A"/>
    <w:rsid w:val="00A854A6"/>
    <w:rsid w:val="00A868D3"/>
    <w:rsid w:val="00A86F93"/>
    <w:rsid w:val="00A87392"/>
    <w:rsid w:val="00A902A1"/>
    <w:rsid w:val="00A908FF"/>
    <w:rsid w:val="00A94FB1"/>
    <w:rsid w:val="00A9589C"/>
    <w:rsid w:val="00AA05AA"/>
    <w:rsid w:val="00AA0D49"/>
    <w:rsid w:val="00AA0E2E"/>
    <w:rsid w:val="00AA1427"/>
    <w:rsid w:val="00AA6A82"/>
    <w:rsid w:val="00AA6C02"/>
    <w:rsid w:val="00AB27C6"/>
    <w:rsid w:val="00AB55A5"/>
    <w:rsid w:val="00AB622C"/>
    <w:rsid w:val="00AB7D60"/>
    <w:rsid w:val="00AB7E75"/>
    <w:rsid w:val="00AC0126"/>
    <w:rsid w:val="00AC306B"/>
    <w:rsid w:val="00AC3D77"/>
    <w:rsid w:val="00AC4E99"/>
    <w:rsid w:val="00AC5741"/>
    <w:rsid w:val="00AC63B9"/>
    <w:rsid w:val="00AC722A"/>
    <w:rsid w:val="00AC730C"/>
    <w:rsid w:val="00AC74B1"/>
    <w:rsid w:val="00AD02FC"/>
    <w:rsid w:val="00AD298F"/>
    <w:rsid w:val="00AD45C8"/>
    <w:rsid w:val="00AD4E27"/>
    <w:rsid w:val="00AD4F33"/>
    <w:rsid w:val="00AD5131"/>
    <w:rsid w:val="00AD58B8"/>
    <w:rsid w:val="00AD7AB9"/>
    <w:rsid w:val="00AE1BF4"/>
    <w:rsid w:val="00AE3DA9"/>
    <w:rsid w:val="00AE40C0"/>
    <w:rsid w:val="00AE42FE"/>
    <w:rsid w:val="00AE6D08"/>
    <w:rsid w:val="00AE74EB"/>
    <w:rsid w:val="00AE7E79"/>
    <w:rsid w:val="00AF0049"/>
    <w:rsid w:val="00AF0F8F"/>
    <w:rsid w:val="00AF241A"/>
    <w:rsid w:val="00AF30C0"/>
    <w:rsid w:val="00AF315A"/>
    <w:rsid w:val="00AF494D"/>
    <w:rsid w:val="00AF4D5F"/>
    <w:rsid w:val="00AF66E9"/>
    <w:rsid w:val="00AF6E00"/>
    <w:rsid w:val="00AF7290"/>
    <w:rsid w:val="00B01295"/>
    <w:rsid w:val="00B02760"/>
    <w:rsid w:val="00B036E6"/>
    <w:rsid w:val="00B047D0"/>
    <w:rsid w:val="00B069E6"/>
    <w:rsid w:val="00B10B3F"/>
    <w:rsid w:val="00B10FD0"/>
    <w:rsid w:val="00B11E70"/>
    <w:rsid w:val="00B13436"/>
    <w:rsid w:val="00B14A2D"/>
    <w:rsid w:val="00B14AA6"/>
    <w:rsid w:val="00B15313"/>
    <w:rsid w:val="00B166C4"/>
    <w:rsid w:val="00B16DBD"/>
    <w:rsid w:val="00B228F5"/>
    <w:rsid w:val="00B22E90"/>
    <w:rsid w:val="00B24200"/>
    <w:rsid w:val="00B24859"/>
    <w:rsid w:val="00B258BA"/>
    <w:rsid w:val="00B25D73"/>
    <w:rsid w:val="00B30656"/>
    <w:rsid w:val="00B31881"/>
    <w:rsid w:val="00B3313F"/>
    <w:rsid w:val="00B3342A"/>
    <w:rsid w:val="00B33860"/>
    <w:rsid w:val="00B34ED9"/>
    <w:rsid w:val="00B35A21"/>
    <w:rsid w:val="00B3646D"/>
    <w:rsid w:val="00B36903"/>
    <w:rsid w:val="00B37100"/>
    <w:rsid w:val="00B4242F"/>
    <w:rsid w:val="00B42C6E"/>
    <w:rsid w:val="00B42D6B"/>
    <w:rsid w:val="00B442DF"/>
    <w:rsid w:val="00B44E6D"/>
    <w:rsid w:val="00B4706A"/>
    <w:rsid w:val="00B50C1A"/>
    <w:rsid w:val="00B513F5"/>
    <w:rsid w:val="00B51C20"/>
    <w:rsid w:val="00B535E8"/>
    <w:rsid w:val="00B5467A"/>
    <w:rsid w:val="00B54BD5"/>
    <w:rsid w:val="00B54BFD"/>
    <w:rsid w:val="00B567D2"/>
    <w:rsid w:val="00B56F42"/>
    <w:rsid w:val="00B5772A"/>
    <w:rsid w:val="00B6054F"/>
    <w:rsid w:val="00B60816"/>
    <w:rsid w:val="00B6123D"/>
    <w:rsid w:val="00B641A5"/>
    <w:rsid w:val="00B65571"/>
    <w:rsid w:val="00B6568D"/>
    <w:rsid w:val="00B65CE2"/>
    <w:rsid w:val="00B66EF0"/>
    <w:rsid w:val="00B71D23"/>
    <w:rsid w:val="00B72533"/>
    <w:rsid w:val="00B73787"/>
    <w:rsid w:val="00B76A53"/>
    <w:rsid w:val="00B771A6"/>
    <w:rsid w:val="00B80F81"/>
    <w:rsid w:val="00B81912"/>
    <w:rsid w:val="00B82044"/>
    <w:rsid w:val="00B83555"/>
    <w:rsid w:val="00B837E5"/>
    <w:rsid w:val="00B84B50"/>
    <w:rsid w:val="00B85896"/>
    <w:rsid w:val="00B91761"/>
    <w:rsid w:val="00B93808"/>
    <w:rsid w:val="00B94800"/>
    <w:rsid w:val="00B94A17"/>
    <w:rsid w:val="00B95F73"/>
    <w:rsid w:val="00B9681E"/>
    <w:rsid w:val="00B975F0"/>
    <w:rsid w:val="00BA2754"/>
    <w:rsid w:val="00BA3C7D"/>
    <w:rsid w:val="00BA4774"/>
    <w:rsid w:val="00BA55F4"/>
    <w:rsid w:val="00BA56EE"/>
    <w:rsid w:val="00BA6534"/>
    <w:rsid w:val="00BA6C44"/>
    <w:rsid w:val="00BA77E0"/>
    <w:rsid w:val="00BB0397"/>
    <w:rsid w:val="00BB0B36"/>
    <w:rsid w:val="00BB0DE3"/>
    <w:rsid w:val="00BB0E81"/>
    <w:rsid w:val="00BB0F7D"/>
    <w:rsid w:val="00BB1200"/>
    <w:rsid w:val="00BB5377"/>
    <w:rsid w:val="00BB579B"/>
    <w:rsid w:val="00BB6409"/>
    <w:rsid w:val="00BC0034"/>
    <w:rsid w:val="00BC0359"/>
    <w:rsid w:val="00BC058D"/>
    <w:rsid w:val="00BC1DF5"/>
    <w:rsid w:val="00BC42A7"/>
    <w:rsid w:val="00BC51D3"/>
    <w:rsid w:val="00BC5462"/>
    <w:rsid w:val="00BC5D0D"/>
    <w:rsid w:val="00BC62D5"/>
    <w:rsid w:val="00BD119D"/>
    <w:rsid w:val="00BD1F90"/>
    <w:rsid w:val="00BD35B9"/>
    <w:rsid w:val="00BD5586"/>
    <w:rsid w:val="00BD5772"/>
    <w:rsid w:val="00BD59FC"/>
    <w:rsid w:val="00BD6470"/>
    <w:rsid w:val="00BD67C6"/>
    <w:rsid w:val="00BD7111"/>
    <w:rsid w:val="00BD7700"/>
    <w:rsid w:val="00BE1C83"/>
    <w:rsid w:val="00BE20DA"/>
    <w:rsid w:val="00BE320E"/>
    <w:rsid w:val="00BE3785"/>
    <w:rsid w:val="00BE3A38"/>
    <w:rsid w:val="00BE4E42"/>
    <w:rsid w:val="00BE59D0"/>
    <w:rsid w:val="00BE59EE"/>
    <w:rsid w:val="00BE5E55"/>
    <w:rsid w:val="00BE63ED"/>
    <w:rsid w:val="00BE7271"/>
    <w:rsid w:val="00BF02A0"/>
    <w:rsid w:val="00BF1F46"/>
    <w:rsid w:val="00BF6A6F"/>
    <w:rsid w:val="00C00BBE"/>
    <w:rsid w:val="00C023ED"/>
    <w:rsid w:val="00C03771"/>
    <w:rsid w:val="00C04126"/>
    <w:rsid w:val="00C0449E"/>
    <w:rsid w:val="00C049DA"/>
    <w:rsid w:val="00C05F79"/>
    <w:rsid w:val="00C12490"/>
    <w:rsid w:val="00C12A2C"/>
    <w:rsid w:val="00C1375A"/>
    <w:rsid w:val="00C13C77"/>
    <w:rsid w:val="00C14407"/>
    <w:rsid w:val="00C207C1"/>
    <w:rsid w:val="00C21249"/>
    <w:rsid w:val="00C24226"/>
    <w:rsid w:val="00C24926"/>
    <w:rsid w:val="00C24D86"/>
    <w:rsid w:val="00C2519E"/>
    <w:rsid w:val="00C3119B"/>
    <w:rsid w:val="00C31A43"/>
    <w:rsid w:val="00C31BCA"/>
    <w:rsid w:val="00C3263E"/>
    <w:rsid w:val="00C34848"/>
    <w:rsid w:val="00C34E72"/>
    <w:rsid w:val="00C356BE"/>
    <w:rsid w:val="00C35DF9"/>
    <w:rsid w:val="00C3678C"/>
    <w:rsid w:val="00C36FCC"/>
    <w:rsid w:val="00C37DA7"/>
    <w:rsid w:val="00C40196"/>
    <w:rsid w:val="00C4065C"/>
    <w:rsid w:val="00C40F85"/>
    <w:rsid w:val="00C4135E"/>
    <w:rsid w:val="00C43822"/>
    <w:rsid w:val="00C44052"/>
    <w:rsid w:val="00C44A57"/>
    <w:rsid w:val="00C45610"/>
    <w:rsid w:val="00C4654C"/>
    <w:rsid w:val="00C565B1"/>
    <w:rsid w:val="00C56B05"/>
    <w:rsid w:val="00C572D7"/>
    <w:rsid w:val="00C5737C"/>
    <w:rsid w:val="00C61072"/>
    <w:rsid w:val="00C613E3"/>
    <w:rsid w:val="00C61BD0"/>
    <w:rsid w:val="00C61FB3"/>
    <w:rsid w:val="00C6249A"/>
    <w:rsid w:val="00C627C1"/>
    <w:rsid w:val="00C629ED"/>
    <w:rsid w:val="00C62CAF"/>
    <w:rsid w:val="00C62D5A"/>
    <w:rsid w:val="00C63537"/>
    <w:rsid w:val="00C65BC6"/>
    <w:rsid w:val="00C66898"/>
    <w:rsid w:val="00C712D8"/>
    <w:rsid w:val="00C71370"/>
    <w:rsid w:val="00C72D36"/>
    <w:rsid w:val="00C73E53"/>
    <w:rsid w:val="00C754B7"/>
    <w:rsid w:val="00C765E8"/>
    <w:rsid w:val="00C80533"/>
    <w:rsid w:val="00C8436F"/>
    <w:rsid w:val="00C869D1"/>
    <w:rsid w:val="00C874B7"/>
    <w:rsid w:val="00C875AC"/>
    <w:rsid w:val="00C90F3F"/>
    <w:rsid w:val="00C91969"/>
    <w:rsid w:val="00C91975"/>
    <w:rsid w:val="00C93637"/>
    <w:rsid w:val="00C93B29"/>
    <w:rsid w:val="00C93C7E"/>
    <w:rsid w:val="00C941B7"/>
    <w:rsid w:val="00C949E8"/>
    <w:rsid w:val="00C95C8C"/>
    <w:rsid w:val="00C960D7"/>
    <w:rsid w:val="00CA1D6C"/>
    <w:rsid w:val="00CA1D9A"/>
    <w:rsid w:val="00CA1EEE"/>
    <w:rsid w:val="00CA22D8"/>
    <w:rsid w:val="00CA32AE"/>
    <w:rsid w:val="00CA47F8"/>
    <w:rsid w:val="00CB0080"/>
    <w:rsid w:val="00CB0B40"/>
    <w:rsid w:val="00CB1009"/>
    <w:rsid w:val="00CB371B"/>
    <w:rsid w:val="00CB5256"/>
    <w:rsid w:val="00CB60C9"/>
    <w:rsid w:val="00CB7466"/>
    <w:rsid w:val="00CB7F6D"/>
    <w:rsid w:val="00CC0010"/>
    <w:rsid w:val="00CC0501"/>
    <w:rsid w:val="00CC3ECA"/>
    <w:rsid w:val="00CC689F"/>
    <w:rsid w:val="00CC701A"/>
    <w:rsid w:val="00CC760C"/>
    <w:rsid w:val="00CC7A7C"/>
    <w:rsid w:val="00CD16A3"/>
    <w:rsid w:val="00CD1C62"/>
    <w:rsid w:val="00CD1D80"/>
    <w:rsid w:val="00CD3175"/>
    <w:rsid w:val="00CD433A"/>
    <w:rsid w:val="00CD7D09"/>
    <w:rsid w:val="00CD7D30"/>
    <w:rsid w:val="00CE1104"/>
    <w:rsid w:val="00CE3155"/>
    <w:rsid w:val="00CE4A2D"/>
    <w:rsid w:val="00CE6453"/>
    <w:rsid w:val="00CE6624"/>
    <w:rsid w:val="00CE6BFF"/>
    <w:rsid w:val="00CF2116"/>
    <w:rsid w:val="00CF5A12"/>
    <w:rsid w:val="00D00EB9"/>
    <w:rsid w:val="00D01231"/>
    <w:rsid w:val="00D02B7E"/>
    <w:rsid w:val="00D042D8"/>
    <w:rsid w:val="00D057B3"/>
    <w:rsid w:val="00D0610E"/>
    <w:rsid w:val="00D06156"/>
    <w:rsid w:val="00D071C4"/>
    <w:rsid w:val="00D0733F"/>
    <w:rsid w:val="00D112D4"/>
    <w:rsid w:val="00D11632"/>
    <w:rsid w:val="00D130D6"/>
    <w:rsid w:val="00D135DF"/>
    <w:rsid w:val="00D20AD6"/>
    <w:rsid w:val="00D215FC"/>
    <w:rsid w:val="00D21D35"/>
    <w:rsid w:val="00D229D4"/>
    <w:rsid w:val="00D23C47"/>
    <w:rsid w:val="00D24386"/>
    <w:rsid w:val="00D26186"/>
    <w:rsid w:val="00D26E81"/>
    <w:rsid w:val="00D30CAC"/>
    <w:rsid w:val="00D31C0F"/>
    <w:rsid w:val="00D32300"/>
    <w:rsid w:val="00D325AE"/>
    <w:rsid w:val="00D34C20"/>
    <w:rsid w:val="00D35173"/>
    <w:rsid w:val="00D36B38"/>
    <w:rsid w:val="00D37066"/>
    <w:rsid w:val="00D40954"/>
    <w:rsid w:val="00D4287F"/>
    <w:rsid w:val="00D44E69"/>
    <w:rsid w:val="00D45240"/>
    <w:rsid w:val="00D50A8C"/>
    <w:rsid w:val="00D51303"/>
    <w:rsid w:val="00D54F74"/>
    <w:rsid w:val="00D55B1C"/>
    <w:rsid w:val="00D571AD"/>
    <w:rsid w:val="00D57296"/>
    <w:rsid w:val="00D57D75"/>
    <w:rsid w:val="00D57FB1"/>
    <w:rsid w:val="00D60B4E"/>
    <w:rsid w:val="00D61215"/>
    <w:rsid w:val="00D6122E"/>
    <w:rsid w:val="00D61785"/>
    <w:rsid w:val="00D632EE"/>
    <w:rsid w:val="00D63C76"/>
    <w:rsid w:val="00D64631"/>
    <w:rsid w:val="00D6529D"/>
    <w:rsid w:val="00D7172B"/>
    <w:rsid w:val="00D71CA8"/>
    <w:rsid w:val="00D725E4"/>
    <w:rsid w:val="00D728CA"/>
    <w:rsid w:val="00D74756"/>
    <w:rsid w:val="00D75798"/>
    <w:rsid w:val="00D758B5"/>
    <w:rsid w:val="00D7633E"/>
    <w:rsid w:val="00D76783"/>
    <w:rsid w:val="00D8021D"/>
    <w:rsid w:val="00D810B3"/>
    <w:rsid w:val="00D8177C"/>
    <w:rsid w:val="00D81D7F"/>
    <w:rsid w:val="00D828B9"/>
    <w:rsid w:val="00D82D8F"/>
    <w:rsid w:val="00D82EC7"/>
    <w:rsid w:val="00D868CD"/>
    <w:rsid w:val="00D87531"/>
    <w:rsid w:val="00D91200"/>
    <w:rsid w:val="00D91969"/>
    <w:rsid w:val="00D937CC"/>
    <w:rsid w:val="00D95712"/>
    <w:rsid w:val="00D96265"/>
    <w:rsid w:val="00D96A1F"/>
    <w:rsid w:val="00D97F55"/>
    <w:rsid w:val="00DA2B6A"/>
    <w:rsid w:val="00DA2BFD"/>
    <w:rsid w:val="00DA35D7"/>
    <w:rsid w:val="00DA36BE"/>
    <w:rsid w:val="00DA5872"/>
    <w:rsid w:val="00DA712A"/>
    <w:rsid w:val="00DB0EB8"/>
    <w:rsid w:val="00DB171D"/>
    <w:rsid w:val="00DB19E6"/>
    <w:rsid w:val="00DB281A"/>
    <w:rsid w:val="00DB5B7C"/>
    <w:rsid w:val="00DB67FE"/>
    <w:rsid w:val="00DC32C5"/>
    <w:rsid w:val="00DC3396"/>
    <w:rsid w:val="00DC37ED"/>
    <w:rsid w:val="00DC51F9"/>
    <w:rsid w:val="00DC57E0"/>
    <w:rsid w:val="00DC5993"/>
    <w:rsid w:val="00DC6BD3"/>
    <w:rsid w:val="00DC6DCA"/>
    <w:rsid w:val="00DC76EC"/>
    <w:rsid w:val="00DD08C4"/>
    <w:rsid w:val="00DD4605"/>
    <w:rsid w:val="00DD7065"/>
    <w:rsid w:val="00DD76DD"/>
    <w:rsid w:val="00DE09EB"/>
    <w:rsid w:val="00DE2FFB"/>
    <w:rsid w:val="00DE54B8"/>
    <w:rsid w:val="00DE563D"/>
    <w:rsid w:val="00DF13EE"/>
    <w:rsid w:val="00DF1E50"/>
    <w:rsid w:val="00DF2A59"/>
    <w:rsid w:val="00DF3DDA"/>
    <w:rsid w:val="00DF6E6A"/>
    <w:rsid w:val="00DF78CD"/>
    <w:rsid w:val="00E00D6E"/>
    <w:rsid w:val="00E00F4E"/>
    <w:rsid w:val="00E012DA"/>
    <w:rsid w:val="00E024CE"/>
    <w:rsid w:val="00E02766"/>
    <w:rsid w:val="00E02807"/>
    <w:rsid w:val="00E04554"/>
    <w:rsid w:val="00E069AE"/>
    <w:rsid w:val="00E07736"/>
    <w:rsid w:val="00E101D8"/>
    <w:rsid w:val="00E1061F"/>
    <w:rsid w:val="00E1157F"/>
    <w:rsid w:val="00E1782B"/>
    <w:rsid w:val="00E22631"/>
    <w:rsid w:val="00E2496E"/>
    <w:rsid w:val="00E2640B"/>
    <w:rsid w:val="00E26E10"/>
    <w:rsid w:val="00E31271"/>
    <w:rsid w:val="00E33AB3"/>
    <w:rsid w:val="00E36090"/>
    <w:rsid w:val="00E36154"/>
    <w:rsid w:val="00E36769"/>
    <w:rsid w:val="00E36E61"/>
    <w:rsid w:val="00E37752"/>
    <w:rsid w:val="00E378B1"/>
    <w:rsid w:val="00E405CF"/>
    <w:rsid w:val="00E414FB"/>
    <w:rsid w:val="00E41D3D"/>
    <w:rsid w:val="00E428AE"/>
    <w:rsid w:val="00E43321"/>
    <w:rsid w:val="00E433FA"/>
    <w:rsid w:val="00E4588E"/>
    <w:rsid w:val="00E460CC"/>
    <w:rsid w:val="00E46B35"/>
    <w:rsid w:val="00E51F9F"/>
    <w:rsid w:val="00E53E77"/>
    <w:rsid w:val="00E5437E"/>
    <w:rsid w:val="00E5577F"/>
    <w:rsid w:val="00E620D8"/>
    <w:rsid w:val="00E625E3"/>
    <w:rsid w:val="00E62C76"/>
    <w:rsid w:val="00E63675"/>
    <w:rsid w:val="00E656E3"/>
    <w:rsid w:val="00E7002A"/>
    <w:rsid w:val="00E710A3"/>
    <w:rsid w:val="00E7188D"/>
    <w:rsid w:val="00E749EC"/>
    <w:rsid w:val="00E75424"/>
    <w:rsid w:val="00E75F84"/>
    <w:rsid w:val="00E764A9"/>
    <w:rsid w:val="00E77091"/>
    <w:rsid w:val="00E8104F"/>
    <w:rsid w:val="00E82C08"/>
    <w:rsid w:val="00E838D5"/>
    <w:rsid w:val="00E84869"/>
    <w:rsid w:val="00E85FBD"/>
    <w:rsid w:val="00E87031"/>
    <w:rsid w:val="00E87329"/>
    <w:rsid w:val="00E874DA"/>
    <w:rsid w:val="00E87BFD"/>
    <w:rsid w:val="00E87CCB"/>
    <w:rsid w:val="00E918D2"/>
    <w:rsid w:val="00E92063"/>
    <w:rsid w:val="00E92A60"/>
    <w:rsid w:val="00E93470"/>
    <w:rsid w:val="00E934F7"/>
    <w:rsid w:val="00E94BAC"/>
    <w:rsid w:val="00E972E5"/>
    <w:rsid w:val="00E97767"/>
    <w:rsid w:val="00EA13C5"/>
    <w:rsid w:val="00EA3135"/>
    <w:rsid w:val="00EA431E"/>
    <w:rsid w:val="00EA6301"/>
    <w:rsid w:val="00EA6C18"/>
    <w:rsid w:val="00EA6DC3"/>
    <w:rsid w:val="00EA7092"/>
    <w:rsid w:val="00EA7562"/>
    <w:rsid w:val="00EA7646"/>
    <w:rsid w:val="00EB05B7"/>
    <w:rsid w:val="00EB11DA"/>
    <w:rsid w:val="00EB1B5B"/>
    <w:rsid w:val="00EB1E35"/>
    <w:rsid w:val="00EB2360"/>
    <w:rsid w:val="00EB23B4"/>
    <w:rsid w:val="00EB3ABB"/>
    <w:rsid w:val="00EB3AFD"/>
    <w:rsid w:val="00EB504E"/>
    <w:rsid w:val="00EB62D9"/>
    <w:rsid w:val="00EB6788"/>
    <w:rsid w:val="00EB6A70"/>
    <w:rsid w:val="00EC17EC"/>
    <w:rsid w:val="00EC1B45"/>
    <w:rsid w:val="00EC1BB6"/>
    <w:rsid w:val="00EC1C70"/>
    <w:rsid w:val="00EC1DEF"/>
    <w:rsid w:val="00EC315B"/>
    <w:rsid w:val="00EC43B9"/>
    <w:rsid w:val="00EC6D7C"/>
    <w:rsid w:val="00ED18A5"/>
    <w:rsid w:val="00ED24BE"/>
    <w:rsid w:val="00ED3616"/>
    <w:rsid w:val="00ED3849"/>
    <w:rsid w:val="00ED3F1D"/>
    <w:rsid w:val="00ED56EE"/>
    <w:rsid w:val="00ED5A52"/>
    <w:rsid w:val="00ED61D9"/>
    <w:rsid w:val="00EE1376"/>
    <w:rsid w:val="00EE1FA6"/>
    <w:rsid w:val="00EE37E3"/>
    <w:rsid w:val="00EE3E8B"/>
    <w:rsid w:val="00EE4094"/>
    <w:rsid w:val="00EE56DB"/>
    <w:rsid w:val="00EE6264"/>
    <w:rsid w:val="00EE78E1"/>
    <w:rsid w:val="00EF1788"/>
    <w:rsid w:val="00EF1B62"/>
    <w:rsid w:val="00EF42EF"/>
    <w:rsid w:val="00EF4C02"/>
    <w:rsid w:val="00EF4D49"/>
    <w:rsid w:val="00EF7F8B"/>
    <w:rsid w:val="00F00067"/>
    <w:rsid w:val="00F003CD"/>
    <w:rsid w:val="00F0097B"/>
    <w:rsid w:val="00F01D95"/>
    <w:rsid w:val="00F06EE4"/>
    <w:rsid w:val="00F07311"/>
    <w:rsid w:val="00F07C5A"/>
    <w:rsid w:val="00F12092"/>
    <w:rsid w:val="00F13D6A"/>
    <w:rsid w:val="00F169FD"/>
    <w:rsid w:val="00F16A63"/>
    <w:rsid w:val="00F17DA6"/>
    <w:rsid w:val="00F22FB0"/>
    <w:rsid w:val="00F23655"/>
    <w:rsid w:val="00F2436B"/>
    <w:rsid w:val="00F2543B"/>
    <w:rsid w:val="00F26CBB"/>
    <w:rsid w:val="00F3011C"/>
    <w:rsid w:val="00F310FA"/>
    <w:rsid w:val="00F31331"/>
    <w:rsid w:val="00F32357"/>
    <w:rsid w:val="00F32B5D"/>
    <w:rsid w:val="00F37C42"/>
    <w:rsid w:val="00F430F2"/>
    <w:rsid w:val="00F445CD"/>
    <w:rsid w:val="00F451B6"/>
    <w:rsid w:val="00F471CB"/>
    <w:rsid w:val="00F47F5D"/>
    <w:rsid w:val="00F54C6D"/>
    <w:rsid w:val="00F56677"/>
    <w:rsid w:val="00F572AE"/>
    <w:rsid w:val="00F57FAC"/>
    <w:rsid w:val="00F60423"/>
    <w:rsid w:val="00F60EED"/>
    <w:rsid w:val="00F6265E"/>
    <w:rsid w:val="00F64DEE"/>
    <w:rsid w:val="00F666B2"/>
    <w:rsid w:val="00F67EA7"/>
    <w:rsid w:val="00F712BA"/>
    <w:rsid w:val="00F72714"/>
    <w:rsid w:val="00F731D9"/>
    <w:rsid w:val="00F74B22"/>
    <w:rsid w:val="00F802E1"/>
    <w:rsid w:val="00F80BC4"/>
    <w:rsid w:val="00F8325A"/>
    <w:rsid w:val="00F8501C"/>
    <w:rsid w:val="00F85E37"/>
    <w:rsid w:val="00F85EE2"/>
    <w:rsid w:val="00F9078A"/>
    <w:rsid w:val="00F91B81"/>
    <w:rsid w:val="00F92D08"/>
    <w:rsid w:val="00F9362A"/>
    <w:rsid w:val="00F93B53"/>
    <w:rsid w:val="00F943BC"/>
    <w:rsid w:val="00F9559C"/>
    <w:rsid w:val="00F964B3"/>
    <w:rsid w:val="00F97F3A"/>
    <w:rsid w:val="00FA22EC"/>
    <w:rsid w:val="00FA3B4E"/>
    <w:rsid w:val="00FA4B1C"/>
    <w:rsid w:val="00FA534C"/>
    <w:rsid w:val="00FA5F0A"/>
    <w:rsid w:val="00FA66BB"/>
    <w:rsid w:val="00FA6BAE"/>
    <w:rsid w:val="00FB2329"/>
    <w:rsid w:val="00FB2C37"/>
    <w:rsid w:val="00FB3EAA"/>
    <w:rsid w:val="00FB56CC"/>
    <w:rsid w:val="00FB636D"/>
    <w:rsid w:val="00FB79BF"/>
    <w:rsid w:val="00FB7FCF"/>
    <w:rsid w:val="00FC1E2B"/>
    <w:rsid w:val="00FC3102"/>
    <w:rsid w:val="00FC3CF6"/>
    <w:rsid w:val="00FC3FBE"/>
    <w:rsid w:val="00FC4F84"/>
    <w:rsid w:val="00FC50B1"/>
    <w:rsid w:val="00FC61AF"/>
    <w:rsid w:val="00FC71F6"/>
    <w:rsid w:val="00FC7E59"/>
    <w:rsid w:val="00FD0C03"/>
    <w:rsid w:val="00FD0C96"/>
    <w:rsid w:val="00FD0D9E"/>
    <w:rsid w:val="00FD190D"/>
    <w:rsid w:val="00FD230F"/>
    <w:rsid w:val="00FD25EB"/>
    <w:rsid w:val="00FD3C3F"/>
    <w:rsid w:val="00FD47FB"/>
    <w:rsid w:val="00FD4E48"/>
    <w:rsid w:val="00FD563F"/>
    <w:rsid w:val="00FD6183"/>
    <w:rsid w:val="00FD67D5"/>
    <w:rsid w:val="00FD76CF"/>
    <w:rsid w:val="00FD7924"/>
    <w:rsid w:val="00FE146D"/>
    <w:rsid w:val="00FE6D85"/>
    <w:rsid w:val="00FE70D2"/>
    <w:rsid w:val="00FF051C"/>
    <w:rsid w:val="00FF06BD"/>
    <w:rsid w:val="00FF0A69"/>
    <w:rsid w:val="00FF1A73"/>
    <w:rsid w:val="00FF2614"/>
    <w:rsid w:val="00FF3A2D"/>
    <w:rsid w:val="00FF4513"/>
    <w:rsid w:val="00FF45E5"/>
    <w:rsid w:val="00FF5E54"/>
    <w:rsid w:val="00FF619B"/>
    <w:rsid w:val="00FF64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80ADA"/>
  <w15:docId w15:val="{431474D8-FDC7-418C-AC36-2F9459B7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2D2"/>
    <w:rPr>
      <w:rFonts w:ascii="Arial" w:hAnsi="Arial"/>
      <w:lang w:val="en-GB" w:eastAsia="en-US"/>
    </w:rPr>
  </w:style>
  <w:style w:type="paragraph" w:styleId="Heading1">
    <w:name w:val="heading 1"/>
    <w:basedOn w:val="Normal"/>
    <w:next w:val="Normal"/>
    <w:qFormat/>
    <w:rsid w:val="002A02D2"/>
    <w:pPr>
      <w:keepNext/>
      <w:ind w:right="-85"/>
      <w:jc w:val="right"/>
      <w:outlineLvl w:val="0"/>
    </w:pPr>
    <w:rPr>
      <w:rFonts w:ascii="AvantGarde Bk BT" w:hAnsi="AvantGarde Bk BT"/>
      <w:sz w:val="35"/>
    </w:rPr>
  </w:style>
  <w:style w:type="paragraph" w:styleId="Heading2">
    <w:name w:val="heading 2"/>
    <w:basedOn w:val="Normal"/>
    <w:next w:val="Normal"/>
    <w:qFormat/>
    <w:rsid w:val="002A02D2"/>
    <w:pPr>
      <w:keepNext/>
      <w:ind w:right="-113"/>
      <w:outlineLvl w:val="1"/>
    </w:pPr>
    <w:rPr>
      <w:i/>
      <w:sz w:val="18"/>
      <w:lang w:val="en-US"/>
    </w:rPr>
  </w:style>
  <w:style w:type="paragraph" w:styleId="Heading3">
    <w:name w:val="heading 3"/>
    <w:basedOn w:val="Normal"/>
    <w:next w:val="Normal"/>
    <w:qFormat/>
    <w:rsid w:val="002A02D2"/>
    <w:pPr>
      <w:keepNext/>
      <w:jc w:val="right"/>
      <w:outlineLvl w:val="2"/>
    </w:pPr>
    <w:rPr>
      <w:i/>
      <w:sz w:val="17"/>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02D2"/>
    <w:pPr>
      <w:tabs>
        <w:tab w:val="center" w:pos="4153"/>
        <w:tab w:val="right" w:pos="8306"/>
      </w:tabs>
    </w:pPr>
  </w:style>
  <w:style w:type="paragraph" w:styleId="Footer">
    <w:name w:val="footer"/>
    <w:basedOn w:val="Normal"/>
    <w:link w:val="FooterChar"/>
    <w:uiPriority w:val="99"/>
    <w:rsid w:val="002A02D2"/>
    <w:pPr>
      <w:tabs>
        <w:tab w:val="center" w:pos="4153"/>
        <w:tab w:val="right" w:pos="8306"/>
      </w:tabs>
    </w:pPr>
  </w:style>
  <w:style w:type="character" w:styleId="PageNumber">
    <w:name w:val="page number"/>
    <w:rsid w:val="002A02D2"/>
    <w:rPr>
      <w:rFonts w:ascii="Arial" w:hAnsi="Arial"/>
      <w:dstrike w:val="0"/>
      <w:color w:val="auto"/>
      <w:vertAlign w:val="baseline"/>
    </w:rPr>
  </w:style>
  <w:style w:type="character" w:styleId="Hyperlink">
    <w:name w:val="Hyperlink"/>
    <w:rsid w:val="002A02D2"/>
    <w:rPr>
      <w:color w:val="0000FF"/>
      <w:u w:val="single"/>
    </w:rPr>
  </w:style>
  <w:style w:type="paragraph" w:customStyle="1" w:styleId="Pasiteirauti">
    <w:name w:val="Pasiteirauti"/>
    <w:basedOn w:val="Normal"/>
    <w:rsid w:val="002A02D2"/>
    <w:pPr>
      <w:outlineLvl w:val="1"/>
    </w:pPr>
    <w:rPr>
      <w:sz w:val="19"/>
      <w:lang w:val="lt-LT"/>
    </w:rPr>
  </w:style>
  <w:style w:type="paragraph" w:customStyle="1" w:styleId="Nrdata">
    <w:name w:val="Nr_data"/>
    <w:basedOn w:val="Normal"/>
    <w:rsid w:val="002A02D2"/>
    <w:pPr>
      <w:jc w:val="right"/>
    </w:pPr>
    <w:rPr>
      <w:sz w:val="22"/>
    </w:rPr>
  </w:style>
  <w:style w:type="paragraph" w:customStyle="1" w:styleId="Antraste">
    <w:name w:val="Antraste"/>
    <w:basedOn w:val="Heading2"/>
    <w:rsid w:val="002A02D2"/>
    <w:pPr>
      <w:keepNext w:val="0"/>
      <w:ind w:right="0"/>
      <w:jc w:val="center"/>
    </w:pPr>
    <w:rPr>
      <w:b/>
      <w:i w:val="0"/>
      <w:caps/>
      <w:sz w:val="24"/>
    </w:rPr>
  </w:style>
  <w:style w:type="paragraph" w:customStyle="1" w:styleId="Paantraste">
    <w:name w:val="Paantraste"/>
    <w:basedOn w:val="Antraste"/>
    <w:rsid w:val="002A02D2"/>
    <w:rPr>
      <w:sz w:val="20"/>
    </w:rPr>
  </w:style>
  <w:style w:type="paragraph" w:customStyle="1" w:styleId="Galva">
    <w:name w:val="Galva"/>
    <w:basedOn w:val="Normal"/>
    <w:rsid w:val="002A02D2"/>
    <w:pPr>
      <w:spacing w:before="40" w:after="40"/>
      <w:ind w:left="-57" w:right="-57"/>
      <w:jc w:val="center"/>
    </w:pPr>
    <w:rPr>
      <w:sz w:val="19"/>
      <w:lang w:val="lt-LT"/>
    </w:rPr>
  </w:style>
  <w:style w:type="paragraph" w:styleId="BodyText2">
    <w:name w:val="Body Text 2"/>
    <w:basedOn w:val="Normal"/>
    <w:rsid w:val="002A02D2"/>
    <w:pPr>
      <w:widowControl w:val="0"/>
      <w:spacing w:before="40" w:after="20"/>
      <w:jc w:val="center"/>
    </w:pPr>
    <w:rPr>
      <w:sz w:val="22"/>
      <w:lang w:val="en-AU"/>
    </w:rPr>
  </w:style>
  <w:style w:type="paragraph" w:customStyle="1" w:styleId="0atitr">
    <w:name w:val="0_atitr"/>
    <w:basedOn w:val="Normal"/>
    <w:rsid w:val="002A02D2"/>
    <w:pPr>
      <w:spacing w:before="20" w:after="20"/>
      <w:ind w:left="113" w:hanging="113"/>
    </w:pPr>
    <w:rPr>
      <w:sz w:val="19"/>
      <w:lang w:val="lt-LT"/>
    </w:rPr>
  </w:style>
  <w:style w:type="paragraph" w:customStyle="1" w:styleId="1atitr">
    <w:name w:val="1_atitr"/>
    <w:basedOn w:val="0atitr"/>
    <w:rsid w:val="002A02D2"/>
    <w:pPr>
      <w:ind w:left="226"/>
    </w:pPr>
  </w:style>
  <w:style w:type="paragraph" w:customStyle="1" w:styleId="2atitr">
    <w:name w:val="2_atitr"/>
    <w:basedOn w:val="1atitr"/>
    <w:rsid w:val="002A02D2"/>
    <w:pPr>
      <w:ind w:left="340"/>
    </w:pPr>
  </w:style>
  <w:style w:type="paragraph" w:customStyle="1" w:styleId="skaic">
    <w:name w:val="skaic"/>
    <w:basedOn w:val="Normal"/>
    <w:rsid w:val="002A02D2"/>
    <w:pPr>
      <w:spacing w:before="20" w:after="20"/>
      <w:ind w:right="284"/>
      <w:jc w:val="right"/>
    </w:pPr>
    <w:rPr>
      <w:sz w:val="19"/>
      <w:lang w:val="lt-LT"/>
    </w:rPr>
  </w:style>
  <w:style w:type="paragraph" w:customStyle="1" w:styleId="Pagrtekstas">
    <w:name w:val="Pagr_tekstas"/>
    <w:basedOn w:val="Normal"/>
    <w:rsid w:val="002A02D2"/>
    <w:pPr>
      <w:ind w:firstLine="720"/>
      <w:jc w:val="both"/>
    </w:pPr>
  </w:style>
  <w:style w:type="paragraph" w:customStyle="1" w:styleId="Lentelespav">
    <w:name w:val="Lenteles pav"/>
    <w:basedOn w:val="Paantraste"/>
    <w:rsid w:val="002A02D2"/>
    <w:rPr>
      <w:caps w:val="0"/>
      <w:lang w:val="en-GB"/>
    </w:rPr>
  </w:style>
  <w:style w:type="paragraph" w:customStyle="1" w:styleId="Parasas">
    <w:name w:val="Parasas"/>
    <w:basedOn w:val="Normal"/>
    <w:rsid w:val="002A02D2"/>
    <w:rPr>
      <w:lang w:val="lt-LT"/>
    </w:rPr>
  </w:style>
  <w:style w:type="paragraph" w:customStyle="1" w:styleId="Pranesimas">
    <w:name w:val="Pranesimas"/>
    <w:basedOn w:val="Normal"/>
    <w:rsid w:val="002A02D2"/>
    <w:rPr>
      <w:sz w:val="12"/>
      <w:lang w:val="lt-LT"/>
    </w:rPr>
  </w:style>
  <w:style w:type="paragraph" w:customStyle="1" w:styleId="Saltinis">
    <w:name w:val="Saltinis"/>
    <w:basedOn w:val="Normal"/>
    <w:rsid w:val="002A02D2"/>
    <w:rPr>
      <w:sz w:val="18"/>
    </w:rPr>
  </w:style>
  <w:style w:type="paragraph" w:styleId="BalloonText">
    <w:name w:val="Balloon Text"/>
    <w:basedOn w:val="Normal"/>
    <w:link w:val="BalloonTextChar"/>
    <w:rsid w:val="00CB371B"/>
    <w:rPr>
      <w:rFonts w:ascii="Tahoma" w:hAnsi="Tahoma"/>
      <w:sz w:val="16"/>
      <w:szCs w:val="16"/>
    </w:rPr>
  </w:style>
  <w:style w:type="character" w:customStyle="1" w:styleId="BalloonTextChar">
    <w:name w:val="Balloon Text Char"/>
    <w:link w:val="BalloonText"/>
    <w:rsid w:val="00CB371B"/>
    <w:rPr>
      <w:rFonts w:ascii="Tahoma" w:hAnsi="Tahoma" w:cs="Tahoma"/>
      <w:sz w:val="16"/>
      <w:szCs w:val="16"/>
      <w:lang w:val="en-GB" w:eastAsia="en-US"/>
    </w:rPr>
  </w:style>
  <w:style w:type="character" w:styleId="FollowedHyperlink">
    <w:name w:val="FollowedHyperlink"/>
    <w:rsid w:val="00D8021D"/>
    <w:rPr>
      <w:color w:val="800080"/>
      <w:u w:val="single"/>
    </w:rPr>
  </w:style>
  <w:style w:type="paragraph" w:styleId="FootnoteText">
    <w:name w:val="footnote text"/>
    <w:basedOn w:val="Normal"/>
    <w:link w:val="FootnoteTextChar"/>
    <w:rsid w:val="004325E5"/>
  </w:style>
  <w:style w:type="character" w:customStyle="1" w:styleId="FootnoteTextChar">
    <w:name w:val="Footnote Text Char"/>
    <w:link w:val="FootnoteText"/>
    <w:rsid w:val="004325E5"/>
    <w:rPr>
      <w:rFonts w:ascii="Arial" w:hAnsi="Arial"/>
      <w:lang w:val="en-GB" w:eastAsia="en-US"/>
    </w:rPr>
  </w:style>
  <w:style w:type="character" w:styleId="FootnoteReference">
    <w:name w:val="footnote reference"/>
    <w:rsid w:val="004325E5"/>
    <w:rPr>
      <w:vertAlign w:val="superscript"/>
    </w:rPr>
  </w:style>
  <w:style w:type="paragraph" w:customStyle="1" w:styleId="text-15-str">
    <w:name w:val="text-15-str"/>
    <w:basedOn w:val="Normal"/>
    <w:rsid w:val="00903383"/>
    <w:pPr>
      <w:spacing w:before="100" w:beforeAutospacing="1" w:after="100" w:afterAutospacing="1"/>
    </w:pPr>
    <w:rPr>
      <w:rFonts w:ascii="Times New Roman" w:hAnsi="Times New Roman"/>
      <w:sz w:val="24"/>
      <w:szCs w:val="24"/>
      <w:lang w:val="lt-LT" w:eastAsia="lt-LT"/>
    </w:rPr>
  </w:style>
  <w:style w:type="character" w:styleId="Strong">
    <w:name w:val="Strong"/>
    <w:uiPriority w:val="22"/>
    <w:qFormat/>
    <w:rsid w:val="00F07311"/>
    <w:rPr>
      <w:b/>
      <w:bCs/>
    </w:rPr>
  </w:style>
  <w:style w:type="table" w:styleId="TableGrid">
    <w:name w:val="Table Grid"/>
    <w:basedOn w:val="TableNormal"/>
    <w:rsid w:val="00897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DC76EC"/>
  </w:style>
  <w:style w:type="character" w:customStyle="1" w:styleId="EndnoteTextChar">
    <w:name w:val="Endnote Text Char"/>
    <w:link w:val="EndnoteText"/>
    <w:rsid w:val="00DC76EC"/>
    <w:rPr>
      <w:rFonts w:ascii="Arial" w:hAnsi="Arial"/>
      <w:lang w:val="en-GB" w:eastAsia="en-US"/>
    </w:rPr>
  </w:style>
  <w:style w:type="character" w:styleId="EndnoteReference">
    <w:name w:val="endnote reference"/>
    <w:rsid w:val="00DC76EC"/>
    <w:rPr>
      <w:vertAlign w:val="superscript"/>
    </w:rPr>
  </w:style>
  <w:style w:type="character" w:styleId="CommentReference">
    <w:name w:val="annotation reference"/>
    <w:rsid w:val="00D071C4"/>
    <w:rPr>
      <w:sz w:val="16"/>
      <w:szCs w:val="16"/>
    </w:rPr>
  </w:style>
  <w:style w:type="paragraph" w:styleId="CommentText">
    <w:name w:val="annotation text"/>
    <w:basedOn w:val="Normal"/>
    <w:link w:val="CommentTextChar"/>
    <w:rsid w:val="00D071C4"/>
  </w:style>
  <w:style w:type="character" w:customStyle="1" w:styleId="CommentTextChar">
    <w:name w:val="Comment Text Char"/>
    <w:link w:val="CommentText"/>
    <w:rsid w:val="00D071C4"/>
    <w:rPr>
      <w:rFonts w:ascii="Arial" w:hAnsi="Arial"/>
      <w:lang w:val="en-GB" w:eastAsia="en-US"/>
    </w:rPr>
  </w:style>
  <w:style w:type="paragraph" w:styleId="CommentSubject">
    <w:name w:val="annotation subject"/>
    <w:basedOn w:val="CommentText"/>
    <w:next w:val="CommentText"/>
    <w:link w:val="CommentSubjectChar"/>
    <w:rsid w:val="00D071C4"/>
    <w:rPr>
      <w:b/>
      <w:bCs/>
    </w:rPr>
  </w:style>
  <w:style w:type="character" w:customStyle="1" w:styleId="CommentSubjectChar">
    <w:name w:val="Comment Subject Char"/>
    <w:link w:val="CommentSubject"/>
    <w:rsid w:val="00D071C4"/>
    <w:rPr>
      <w:rFonts w:ascii="Arial" w:hAnsi="Arial"/>
      <w:b/>
      <w:bCs/>
      <w:lang w:val="en-GB" w:eastAsia="en-US"/>
    </w:rPr>
  </w:style>
  <w:style w:type="paragraph" w:customStyle="1" w:styleId="data">
    <w:name w:val="data"/>
    <w:basedOn w:val="Heading2"/>
    <w:rsid w:val="00A3650A"/>
  </w:style>
  <w:style w:type="paragraph" w:styleId="ListParagraph">
    <w:name w:val="List Paragraph"/>
    <w:basedOn w:val="Normal"/>
    <w:uiPriority w:val="34"/>
    <w:qFormat/>
    <w:rsid w:val="00D87531"/>
    <w:pPr>
      <w:ind w:left="720"/>
      <w:contextualSpacing/>
    </w:pPr>
  </w:style>
  <w:style w:type="paragraph" w:styleId="NormalWeb">
    <w:name w:val="Normal (Web)"/>
    <w:basedOn w:val="Normal"/>
    <w:uiPriority w:val="99"/>
    <w:unhideWhenUsed/>
    <w:rsid w:val="00C61072"/>
    <w:pPr>
      <w:spacing w:before="100" w:beforeAutospacing="1" w:after="100" w:afterAutospacing="1"/>
    </w:pPr>
    <w:rPr>
      <w:rFonts w:ascii="Times New Roman" w:eastAsiaTheme="minorEastAsia" w:hAnsi="Times New Roman"/>
      <w:sz w:val="24"/>
      <w:szCs w:val="24"/>
      <w:lang w:val="lt-LT" w:eastAsia="lt-LT"/>
    </w:rPr>
  </w:style>
  <w:style w:type="paragraph" w:customStyle="1" w:styleId="lentpav">
    <w:name w:val="lentpav"/>
    <w:basedOn w:val="Normal"/>
    <w:rsid w:val="005511CA"/>
    <w:rPr>
      <w:rFonts w:cs="Arial"/>
      <w:b/>
      <w:bCs/>
      <w:lang w:val="lt-LT" w:eastAsia="lt-LT"/>
    </w:rPr>
  </w:style>
  <w:style w:type="paragraph" w:customStyle="1" w:styleId="galva0">
    <w:name w:val="galva"/>
    <w:basedOn w:val="Normal"/>
    <w:rsid w:val="00ED3F1D"/>
    <w:pPr>
      <w:spacing w:before="40" w:after="40"/>
      <w:ind w:left="57"/>
    </w:pPr>
    <w:rPr>
      <w:rFonts w:cs="Arial"/>
      <w:sz w:val="17"/>
      <w:szCs w:val="17"/>
      <w:lang w:eastAsia="lt-LT"/>
    </w:rPr>
  </w:style>
  <w:style w:type="character" w:customStyle="1" w:styleId="FooterChar">
    <w:name w:val="Footer Char"/>
    <w:basedOn w:val="DefaultParagraphFont"/>
    <w:link w:val="Footer"/>
    <w:uiPriority w:val="99"/>
    <w:rsid w:val="001D1B9E"/>
    <w:rPr>
      <w:rFonts w:ascii="Arial" w:hAnsi="Arial"/>
      <w:lang w:val="en-GB" w:eastAsia="en-US"/>
    </w:rPr>
  </w:style>
  <w:style w:type="paragraph" w:styleId="Revision">
    <w:name w:val="Revision"/>
    <w:hidden/>
    <w:uiPriority w:val="99"/>
    <w:semiHidden/>
    <w:rsid w:val="0032264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2446">
      <w:bodyDiv w:val="1"/>
      <w:marLeft w:val="0"/>
      <w:marRight w:val="0"/>
      <w:marTop w:val="0"/>
      <w:marBottom w:val="0"/>
      <w:divBdr>
        <w:top w:val="none" w:sz="0" w:space="0" w:color="auto"/>
        <w:left w:val="none" w:sz="0" w:space="0" w:color="auto"/>
        <w:bottom w:val="none" w:sz="0" w:space="0" w:color="auto"/>
        <w:right w:val="none" w:sz="0" w:space="0" w:color="auto"/>
      </w:divBdr>
    </w:div>
    <w:div w:id="80371728">
      <w:bodyDiv w:val="1"/>
      <w:marLeft w:val="0"/>
      <w:marRight w:val="0"/>
      <w:marTop w:val="0"/>
      <w:marBottom w:val="0"/>
      <w:divBdr>
        <w:top w:val="none" w:sz="0" w:space="0" w:color="auto"/>
        <w:left w:val="none" w:sz="0" w:space="0" w:color="auto"/>
        <w:bottom w:val="none" w:sz="0" w:space="0" w:color="auto"/>
        <w:right w:val="none" w:sz="0" w:space="0" w:color="auto"/>
      </w:divBdr>
    </w:div>
    <w:div w:id="92895128">
      <w:bodyDiv w:val="1"/>
      <w:marLeft w:val="0"/>
      <w:marRight w:val="0"/>
      <w:marTop w:val="0"/>
      <w:marBottom w:val="0"/>
      <w:divBdr>
        <w:top w:val="none" w:sz="0" w:space="0" w:color="auto"/>
        <w:left w:val="none" w:sz="0" w:space="0" w:color="auto"/>
        <w:bottom w:val="none" w:sz="0" w:space="0" w:color="auto"/>
        <w:right w:val="none" w:sz="0" w:space="0" w:color="auto"/>
      </w:divBdr>
    </w:div>
    <w:div w:id="178350457">
      <w:bodyDiv w:val="1"/>
      <w:marLeft w:val="0"/>
      <w:marRight w:val="0"/>
      <w:marTop w:val="0"/>
      <w:marBottom w:val="0"/>
      <w:divBdr>
        <w:top w:val="none" w:sz="0" w:space="0" w:color="auto"/>
        <w:left w:val="none" w:sz="0" w:space="0" w:color="auto"/>
        <w:bottom w:val="none" w:sz="0" w:space="0" w:color="auto"/>
        <w:right w:val="none" w:sz="0" w:space="0" w:color="auto"/>
      </w:divBdr>
    </w:div>
    <w:div w:id="200484009">
      <w:bodyDiv w:val="1"/>
      <w:marLeft w:val="0"/>
      <w:marRight w:val="0"/>
      <w:marTop w:val="0"/>
      <w:marBottom w:val="0"/>
      <w:divBdr>
        <w:top w:val="none" w:sz="0" w:space="0" w:color="auto"/>
        <w:left w:val="none" w:sz="0" w:space="0" w:color="auto"/>
        <w:bottom w:val="none" w:sz="0" w:space="0" w:color="auto"/>
        <w:right w:val="none" w:sz="0" w:space="0" w:color="auto"/>
      </w:divBdr>
    </w:div>
    <w:div w:id="236477238">
      <w:bodyDiv w:val="1"/>
      <w:marLeft w:val="0"/>
      <w:marRight w:val="0"/>
      <w:marTop w:val="0"/>
      <w:marBottom w:val="0"/>
      <w:divBdr>
        <w:top w:val="none" w:sz="0" w:space="0" w:color="auto"/>
        <w:left w:val="none" w:sz="0" w:space="0" w:color="auto"/>
        <w:bottom w:val="none" w:sz="0" w:space="0" w:color="auto"/>
        <w:right w:val="none" w:sz="0" w:space="0" w:color="auto"/>
      </w:divBdr>
    </w:div>
    <w:div w:id="255552399">
      <w:bodyDiv w:val="1"/>
      <w:marLeft w:val="0"/>
      <w:marRight w:val="0"/>
      <w:marTop w:val="0"/>
      <w:marBottom w:val="0"/>
      <w:divBdr>
        <w:top w:val="none" w:sz="0" w:space="0" w:color="auto"/>
        <w:left w:val="none" w:sz="0" w:space="0" w:color="auto"/>
        <w:bottom w:val="none" w:sz="0" w:space="0" w:color="auto"/>
        <w:right w:val="none" w:sz="0" w:space="0" w:color="auto"/>
      </w:divBdr>
    </w:div>
    <w:div w:id="281421743">
      <w:bodyDiv w:val="1"/>
      <w:marLeft w:val="0"/>
      <w:marRight w:val="0"/>
      <w:marTop w:val="0"/>
      <w:marBottom w:val="0"/>
      <w:divBdr>
        <w:top w:val="none" w:sz="0" w:space="0" w:color="auto"/>
        <w:left w:val="none" w:sz="0" w:space="0" w:color="auto"/>
        <w:bottom w:val="none" w:sz="0" w:space="0" w:color="auto"/>
        <w:right w:val="none" w:sz="0" w:space="0" w:color="auto"/>
      </w:divBdr>
    </w:div>
    <w:div w:id="309873359">
      <w:bodyDiv w:val="1"/>
      <w:marLeft w:val="0"/>
      <w:marRight w:val="0"/>
      <w:marTop w:val="0"/>
      <w:marBottom w:val="0"/>
      <w:divBdr>
        <w:top w:val="none" w:sz="0" w:space="0" w:color="auto"/>
        <w:left w:val="none" w:sz="0" w:space="0" w:color="auto"/>
        <w:bottom w:val="none" w:sz="0" w:space="0" w:color="auto"/>
        <w:right w:val="none" w:sz="0" w:space="0" w:color="auto"/>
      </w:divBdr>
    </w:div>
    <w:div w:id="397747149">
      <w:bodyDiv w:val="1"/>
      <w:marLeft w:val="0"/>
      <w:marRight w:val="0"/>
      <w:marTop w:val="0"/>
      <w:marBottom w:val="0"/>
      <w:divBdr>
        <w:top w:val="none" w:sz="0" w:space="0" w:color="auto"/>
        <w:left w:val="none" w:sz="0" w:space="0" w:color="auto"/>
        <w:bottom w:val="none" w:sz="0" w:space="0" w:color="auto"/>
        <w:right w:val="none" w:sz="0" w:space="0" w:color="auto"/>
      </w:divBdr>
    </w:div>
    <w:div w:id="434784516">
      <w:bodyDiv w:val="1"/>
      <w:marLeft w:val="0"/>
      <w:marRight w:val="0"/>
      <w:marTop w:val="0"/>
      <w:marBottom w:val="0"/>
      <w:divBdr>
        <w:top w:val="none" w:sz="0" w:space="0" w:color="auto"/>
        <w:left w:val="none" w:sz="0" w:space="0" w:color="auto"/>
        <w:bottom w:val="none" w:sz="0" w:space="0" w:color="auto"/>
        <w:right w:val="none" w:sz="0" w:space="0" w:color="auto"/>
      </w:divBdr>
    </w:div>
    <w:div w:id="442312968">
      <w:bodyDiv w:val="1"/>
      <w:marLeft w:val="0"/>
      <w:marRight w:val="0"/>
      <w:marTop w:val="0"/>
      <w:marBottom w:val="0"/>
      <w:divBdr>
        <w:top w:val="none" w:sz="0" w:space="0" w:color="auto"/>
        <w:left w:val="none" w:sz="0" w:space="0" w:color="auto"/>
        <w:bottom w:val="none" w:sz="0" w:space="0" w:color="auto"/>
        <w:right w:val="none" w:sz="0" w:space="0" w:color="auto"/>
      </w:divBdr>
    </w:div>
    <w:div w:id="487325771">
      <w:bodyDiv w:val="1"/>
      <w:marLeft w:val="0"/>
      <w:marRight w:val="0"/>
      <w:marTop w:val="0"/>
      <w:marBottom w:val="0"/>
      <w:divBdr>
        <w:top w:val="none" w:sz="0" w:space="0" w:color="auto"/>
        <w:left w:val="none" w:sz="0" w:space="0" w:color="auto"/>
        <w:bottom w:val="none" w:sz="0" w:space="0" w:color="auto"/>
        <w:right w:val="none" w:sz="0" w:space="0" w:color="auto"/>
      </w:divBdr>
    </w:div>
    <w:div w:id="554003391">
      <w:bodyDiv w:val="1"/>
      <w:marLeft w:val="0"/>
      <w:marRight w:val="0"/>
      <w:marTop w:val="0"/>
      <w:marBottom w:val="0"/>
      <w:divBdr>
        <w:top w:val="none" w:sz="0" w:space="0" w:color="auto"/>
        <w:left w:val="none" w:sz="0" w:space="0" w:color="auto"/>
        <w:bottom w:val="none" w:sz="0" w:space="0" w:color="auto"/>
        <w:right w:val="none" w:sz="0" w:space="0" w:color="auto"/>
      </w:divBdr>
    </w:div>
    <w:div w:id="570579962">
      <w:bodyDiv w:val="1"/>
      <w:marLeft w:val="0"/>
      <w:marRight w:val="0"/>
      <w:marTop w:val="0"/>
      <w:marBottom w:val="0"/>
      <w:divBdr>
        <w:top w:val="none" w:sz="0" w:space="0" w:color="auto"/>
        <w:left w:val="none" w:sz="0" w:space="0" w:color="auto"/>
        <w:bottom w:val="none" w:sz="0" w:space="0" w:color="auto"/>
        <w:right w:val="none" w:sz="0" w:space="0" w:color="auto"/>
      </w:divBdr>
    </w:div>
    <w:div w:id="577180252">
      <w:bodyDiv w:val="1"/>
      <w:marLeft w:val="0"/>
      <w:marRight w:val="0"/>
      <w:marTop w:val="0"/>
      <w:marBottom w:val="0"/>
      <w:divBdr>
        <w:top w:val="none" w:sz="0" w:space="0" w:color="auto"/>
        <w:left w:val="none" w:sz="0" w:space="0" w:color="auto"/>
        <w:bottom w:val="none" w:sz="0" w:space="0" w:color="auto"/>
        <w:right w:val="none" w:sz="0" w:space="0" w:color="auto"/>
      </w:divBdr>
    </w:div>
    <w:div w:id="625240570">
      <w:bodyDiv w:val="1"/>
      <w:marLeft w:val="0"/>
      <w:marRight w:val="0"/>
      <w:marTop w:val="0"/>
      <w:marBottom w:val="0"/>
      <w:divBdr>
        <w:top w:val="none" w:sz="0" w:space="0" w:color="auto"/>
        <w:left w:val="none" w:sz="0" w:space="0" w:color="auto"/>
        <w:bottom w:val="none" w:sz="0" w:space="0" w:color="auto"/>
        <w:right w:val="none" w:sz="0" w:space="0" w:color="auto"/>
      </w:divBdr>
    </w:div>
    <w:div w:id="635842724">
      <w:bodyDiv w:val="1"/>
      <w:marLeft w:val="0"/>
      <w:marRight w:val="0"/>
      <w:marTop w:val="0"/>
      <w:marBottom w:val="0"/>
      <w:divBdr>
        <w:top w:val="none" w:sz="0" w:space="0" w:color="auto"/>
        <w:left w:val="none" w:sz="0" w:space="0" w:color="auto"/>
        <w:bottom w:val="none" w:sz="0" w:space="0" w:color="auto"/>
        <w:right w:val="none" w:sz="0" w:space="0" w:color="auto"/>
      </w:divBdr>
    </w:div>
    <w:div w:id="676351109">
      <w:bodyDiv w:val="1"/>
      <w:marLeft w:val="0"/>
      <w:marRight w:val="0"/>
      <w:marTop w:val="0"/>
      <w:marBottom w:val="0"/>
      <w:divBdr>
        <w:top w:val="none" w:sz="0" w:space="0" w:color="auto"/>
        <w:left w:val="none" w:sz="0" w:space="0" w:color="auto"/>
        <w:bottom w:val="none" w:sz="0" w:space="0" w:color="auto"/>
        <w:right w:val="none" w:sz="0" w:space="0" w:color="auto"/>
      </w:divBdr>
    </w:div>
    <w:div w:id="745766426">
      <w:bodyDiv w:val="1"/>
      <w:marLeft w:val="0"/>
      <w:marRight w:val="0"/>
      <w:marTop w:val="0"/>
      <w:marBottom w:val="0"/>
      <w:divBdr>
        <w:top w:val="none" w:sz="0" w:space="0" w:color="auto"/>
        <w:left w:val="none" w:sz="0" w:space="0" w:color="auto"/>
        <w:bottom w:val="none" w:sz="0" w:space="0" w:color="auto"/>
        <w:right w:val="none" w:sz="0" w:space="0" w:color="auto"/>
      </w:divBdr>
    </w:div>
    <w:div w:id="848057484">
      <w:bodyDiv w:val="1"/>
      <w:marLeft w:val="0"/>
      <w:marRight w:val="0"/>
      <w:marTop w:val="0"/>
      <w:marBottom w:val="0"/>
      <w:divBdr>
        <w:top w:val="none" w:sz="0" w:space="0" w:color="auto"/>
        <w:left w:val="none" w:sz="0" w:space="0" w:color="auto"/>
        <w:bottom w:val="none" w:sz="0" w:space="0" w:color="auto"/>
        <w:right w:val="none" w:sz="0" w:space="0" w:color="auto"/>
      </w:divBdr>
    </w:div>
    <w:div w:id="857351444">
      <w:bodyDiv w:val="1"/>
      <w:marLeft w:val="0"/>
      <w:marRight w:val="0"/>
      <w:marTop w:val="0"/>
      <w:marBottom w:val="0"/>
      <w:divBdr>
        <w:top w:val="none" w:sz="0" w:space="0" w:color="auto"/>
        <w:left w:val="none" w:sz="0" w:space="0" w:color="auto"/>
        <w:bottom w:val="none" w:sz="0" w:space="0" w:color="auto"/>
        <w:right w:val="none" w:sz="0" w:space="0" w:color="auto"/>
      </w:divBdr>
    </w:div>
    <w:div w:id="861165966">
      <w:bodyDiv w:val="1"/>
      <w:marLeft w:val="0"/>
      <w:marRight w:val="0"/>
      <w:marTop w:val="0"/>
      <w:marBottom w:val="0"/>
      <w:divBdr>
        <w:top w:val="none" w:sz="0" w:space="0" w:color="auto"/>
        <w:left w:val="none" w:sz="0" w:space="0" w:color="auto"/>
        <w:bottom w:val="none" w:sz="0" w:space="0" w:color="auto"/>
        <w:right w:val="none" w:sz="0" w:space="0" w:color="auto"/>
      </w:divBdr>
    </w:div>
    <w:div w:id="881668630">
      <w:bodyDiv w:val="1"/>
      <w:marLeft w:val="0"/>
      <w:marRight w:val="0"/>
      <w:marTop w:val="0"/>
      <w:marBottom w:val="0"/>
      <w:divBdr>
        <w:top w:val="none" w:sz="0" w:space="0" w:color="auto"/>
        <w:left w:val="none" w:sz="0" w:space="0" w:color="auto"/>
        <w:bottom w:val="none" w:sz="0" w:space="0" w:color="auto"/>
        <w:right w:val="none" w:sz="0" w:space="0" w:color="auto"/>
      </w:divBdr>
    </w:div>
    <w:div w:id="1011564563">
      <w:bodyDiv w:val="1"/>
      <w:marLeft w:val="0"/>
      <w:marRight w:val="0"/>
      <w:marTop w:val="0"/>
      <w:marBottom w:val="0"/>
      <w:divBdr>
        <w:top w:val="none" w:sz="0" w:space="0" w:color="auto"/>
        <w:left w:val="none" w:sz="0" w:space="0" w:color="auto"/>
        <w:bottom w:val="none" w:sz="0" w:space="0" w:color="auto"/>
        <w:right w:val="none" w:sz="0" w:space="0" w:color="auto"/>
      </w:divBdr>
    </w:div>
    <w:div w:id="1034305962">
      <w:bodyDiv w:val="1"/>
      <w:marLeft w:val="0"/>
      <w:marRight w:val="0"/>
      <w:marTop w:val="0"/>
      <w:marBottom w:val="0"/>
      <w:divBdr>
        <w:top w:val="none" w:sz="0" w:space="0" w:color="auto"/>
        <w:left w:val="none" w:sz="0" w:space="0" w:color="auto"/>
        <w:bottom w:val="none" w:sz="0" w:space="0" w:color="auto"/>
        <w:right w:val="none" w:sz="0" w:space="0" w:color="auto"/>
      </w:divBdr>
    </w:div>
    <w:div w:id="1053238118">
      <w:bodyDiv w:val="1"/>
      <w:marLeft w:val="0"/>
      <w:marRight w:val="0"/>
      <w:marTop w:val="0"/>
      <w:marBottom w:val="0"/>
      <w:divBdr>
        <w:top w:val="none" w:sz="0" w:space="0" w:color="auto"/>
        <w:left w:val="none" w:sz="0" w:space="0" w:color="auto"/>
        <w:bottom w:val="none" w:sz="0" w:space="0" w:color="auto"/>
        <w:right w:val="none" w:sz="0" w:space="0" w:color="auto"/>
      </w:divBdr>
    </w:div>
    <w:div w:id="1166481184">
      <w:bodyDiv w:val="1"/>
      <w:marLeft w:val="0"/>
      <w:marRight w:val="0"/>
      <w:marTop w:val="0"/>
      <w:marBottom w:val="0"/>
      <w:divBdr>
        <w:top w:val="none" w:sz="0" w:space="0" w:color="auto"/>
        <w:left w:val="none" w:sz="0" w:space="0" w:color="auto"/>
        <w:bottom w:val="none" w:sz="0" w:space="0" w:color="auto"/>
        <w:right w:val="none" w:sz="0" w:space="0" w:color="auto"/>
      </w:divBdr>
    </w:div>
    <w:div w:id="1226138814">
      <w:bodyDiv w:val="1"/>
      <w:marLeft w:val="0"/>
      <w:marRight w:val="0"/>
      <w:marTop w:val="0"/>
      <w:marBottom w:val="0"/>
      <w:divBdr>
        <w:top w:val="none" w:sz="0" w:space="0" w:color="auto"/>
        <w:left w:val="none" w:sz="0" w:space="0" w:color="auto"/>
        <w:bottom w:val="none" w:sz="0" w:space="0" w:color="auto"/>
        <w:right w:val="none" w:sz="0" w:space="0" w:color="auto"/>
      </w:divBdr>
    </w:div>
    <w:div w:id="1309283263">
      <w:bodyDiv w:val="1"/>
      <w:marLeft w:val="0"/>
      <w:marRight w:val="0"/>
      <w:marTop w:val="0"/>
      <w:marBottom w:val="0"/>
      <w:divBdr>
        <w:top w:val="none" w:sz="0" w:space="0" w:color="auto"/>
        <w:left w:val="none" w:sz="0" w:space="0" w:color="auto"/>
        <w:bottom w:val="none" w:sz="0" w:space="0" w:color="auto"/>
        <w:right w:val="none" w:sz="0" w:space="0" w:color="auto"/>
      </w:divBdr>
    </w:div>
    <w:div w:id="1351830622">
      <w:bodyDiv w:val="1"/>
      <w:marLeft w:val="0"/>
      <w:marRight w:val="0"/>
      <w:marTop w:val="0"/>
      <w:marBottom w:val="0"/>
      <w:divBdr>
        <w:top w:val="none" w:sz="0" w:space="0" w:color="auto"/>
        <w:left w:val="none" w:sz="0" w:space="0" w:color="auto"/>
        <w:bottom w:val="none" w:sz="0" w:space="0" w:color="auto"/>
        <w:right w:val="none" w:sz="0" w:space="0" w:color="auto"/>
      </w:divBdr>
    </w:div>
    <w:div w:id="1445273317">
      <w:bodyDiv w:val="1"/>
      <w:marLeft w:val="0"/>
      <w:marRight w:val="0"/>
      <w:marTop w:val="0"/>
      <w:marBottom w:val="0"/>
      <w:divBdr>
        <w:top w:val="none" w:sz="0" w:space="0" w:color="auto"/>
        <w:left w:val="none" w:sz="0" w:space="0" w:color="auto"/>
        <w:bottom w:val="none" w:sz="0" w:space="0" w:color="auto"/>
        <w:right w:val="none" w:sz="0" w:space="0" w:color="auto"/>
      </w:divBdr>
    </w:div>
    <w:div w:id="1598950837">
      <w:bodyDiv w:val="1"/>
      <w:marLeft w:val="0"/>
      <w:marRight w:val="0"/>
      <w:marTop w:val="0"/>
      <w:marBottom w:val="0"/>
      <w:divBdr>
        <w:top w:val="none" w:sz="0" w:space="0" w:color="auto"/>
        <w:left w:val="none" w:sz="0" w:space="0" w:color="auto"/>
        <w:bottom w:val="none" w:sz="0" w:space="0" w:color="auto"/>
        <w:right w:val="none" w:sz="0" w:space="0" w:color="auto"/>
      </w:divBdr>
    </w:div>
    <w:div w:id="1684890398">
      <w:bodyDiv w:val="1"/>
      <w:marLeft w:val="0"/>
      <w:marRight w:val="0"/>
      <w:marTop w:val="0"/>
      <w:marBottom w:val="0"/>
      <w:divBdr>
        <w:top w:val="none" w:sz="0" w:space="0" w:color="auto"/>
        <w:left w:val="none" w:sz="0" w:space="0" w:color="auto"/>
        <w:bottom w:val="none" w:sz="0" w:space="0" w:color="auto"/>
        <w:right w:val="none" w:sz="0" w:space="0" w:color="auto"/>
      </w:divBdr>
    </w:div>
    <w:div w:id="1734962131">
      <w:bodyDiv w:val="1"/>
      <w:marLeft w:val="0"/>
      <w:marRight w:val="0"/>
      <w:marTop w:val="0"/>
      <w:marBottom w:val="0"/>
      <w:divBdr>
        <w:top w:val="none" w:sz="0" w:space="0" w:color="auto"/>
        <w:left w:val="none" w:sz="0" w:space="0" w:color="auto"/>
        <w:bottom w:val="none" w:sz="0" w:space="0" w:color="auto"/>
        <w:right w:val="none" w:sz="0" w:space="0" w:color="auto"/>
      </w:divBdr>
    </w:div>
    <w:div w:id="1894543011">
      <w:bodyDiv w:val="1"/>
      <w:marLeft w:val="0"/>
      <w:marRight w:val="0"/>
      <w:marTop w:val="0"/>
      <w:marBottom w:val="0"/>
      <w:divBdr>
        <w:top w:val="none" w:sz="0" w:space="0" w:color="auto"/>
        <w:left w:val="none" w:sz="0" w:space="0" w:color="auto"/>
        <w:bottom w:val="none" w:sz="0" w:space="0" w:color="auto"/>
        <w:right w:val="none" w:sz="0" w:space="0" w:color="auto"/>
      </w:divBdr>
    </w:div>
    <w:div w:id="1951543291">
      <w:bodyDiv w:val="1"/>
      <w:marLeft w:val="0"/>
      <w:marRight w:val="0"/>
      <w:marTop w:val="0"/>
      <w:marBottom w:val="0"/>
      <w:divBdr>
        <w:top w:val="none" w:sz="0" w:space="0" w:color="auto"/>
        <w:left w:val="none" w:sz="0" w:space="0" w:color="auto"/>
        <w:bottom w:val="none" w:sz="0" w:space="0" w:color="auto"/>
        <w:right w:val="none" w:sz="0" w:space="0" w:color="auto"/>
      </w:divBdr>
    </w:div>
    <w:div w:id="2018191899">
      <w:bodyDiv w:val="1"/>
      <w:marLeft w:val="0"/>
      <w:marRight w:val="0"/>
      <w:marTop w:val="0"/>
      <w:marBottom w:val="0"/>
      <w:divBdr>
        <w:top w:val="none" w:sz="0" w:space="0" w:color="auto"/>
        <w:left w:val="none" w:sz="0" w:space="0" w:color="auto"/>
        <w:bottom w:val="none" w:sz="0" w:space="0" w:color="auto"/>
        <w:right w:val="none" w:sz="0" w:space="0" w:color="auto"/>
      </w:divBdr>
    </w:div>
    <w:div w:id="207631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sp.stat.gov.lt/statistiniu-rodikliu-analize?hash=3464c18d-1544-433d-ba83-b8543bca27bb" TargetMode="External"/><Relationship Id="rId18" Type="http://schemas.openxmlformats.org/officeDocument/2006/relationships/chart" Target="charts/chart3.xml"/><Relationship Id="rId26" Type="http://schemas.openxmlformats.org/officeDocument/2006/relationships/hyperlink" Target="https://ec.europa.eu/eurostat/documents/4031688/9394165/KS-02-18-142-LT-N.pdf/2c6787ed-aaf1-4f30-bad1-aa65bf1e964b" TargetMode="External"/><Relationship Id="rId3" Type="http://schemas.openxmlformats.org/officeDocument/2006/relationships/customXml" Target="../customXml/item3.xml"/><Relationship Id="rId21" Type="http://schemas.openxmlformats.org/officeDocument/2006/relationships/hyperlink" Target="https://osp.stat.gov.lt/statistiniu-rodikliu-analize?hash=a75f415a-b635-48fd-89ef-ab1c019b9252"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osp.stat.gov.lt/statistiniu-rodikliu-analize?hash=8cf6d6f6-e862-443a-bb2a-8d30445238a9" TargetMode="External"/><Relationship Id="rId25" Type="http://schemas.openxmlformats.org/officeDocument/2006/relationships/hyperlink" Target="http://osp.stat.gov.lt/statistiniu-rodikliu-analiz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6.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osp.stat.gov.lt/statistiniu-rodikliu-analize?hash=de167e11-1f3d-46d5-bad4-ba6f563eabad" TargetMode="External"/><Relationship Id="rId23" Type="http://schemas.openxmlformats.org/officeDocument/2006/relationships/hyperlink" Target="https://osp.stat.gov.lt/statistiniu-rodikliu-analize?hash=b445dfd4-bc8b-43cc-a646-cee38766989b" TargetMode="External"/><Relationship Id="rId28" Type="http://schemas.openxmlformats.org/officeDocument/2006/relationships/hyperlink" Target="mailto:virginija.bankietiene@stat.gov.lt" TargetMode="External"/><Relationship Id="rId10" Type="http://schemas.openxmlformats.org/officeDocument/2006/relationships/footnotes" Target="footnotes.xml"/><Relationship Id="rId19" Type="http://schemas.openxmlformats.org/officeDocument/2006/relationships/hyperlink" Target="https://osp.stat.gov.lt/statistiniu-rodikliu-analize?hash=e79f44b8-a1b0-40fe-b147-525d460fa85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hyperlink" Target="https://osp.stat.gov.lt/statistikos-terminu-zodynas" TargetMode="External"/><Relationship Id="rId30"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udrap\Local%20Settings\Temporary%20Internet%20Files\OLK8D\Pr_spaudai_lt.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244071439751824E-2"/>
          <c:y val="3.3408902789381176E-2"/>
          <c:w val="0.77437439069030245"/>
          <c:h val="0.85932954320258448"/>
        </c:manualLayout>
      </c:layout>
      <c:lineChart>
        <c:grouping val="standard"/>
        <c:varyColors val="0"/>
        <c:ser>
          <c:idx val="0"/>
          <c:order val="0"/>
          <c:tx>
            <c:strRef>
              <c:f>Sheet1!$B$1</c:f>
              <c:strCache>
                <c:ptCount val="1"/>
                <c:pt idx="0">
                  <c:v>Bruto</c:v>
                </c:pt>
              </c:strCache>
            </c:strRef>
          </c:tx>
          <c:spPr>
            <a:ln w="25381">
              <a:solidFill>
                <a:srgbClr val="28286E"/>
              </a:solidFill>
              <a:prstDash val="solid"/>
            </a:ln>
          </c:spPr>
          <c:marker>
            <c:symbol val="square"/>
            <c:size val="5"/>
            <c:spPr>
              <a:solidFill>
                <a:srgbClr val="28286E"/>
              </a:solidFill>
              <a:ln>
                <a:solidFill>
                  <a:srgbClr val="FFFFFF"/>
                </a:solidFill>
                <a:prstDash val="solid"/>
              </a:ln>
            </c:spPr>
          </c:marker>
          <c:dLbls>
            <c:dLbl>
              <c:idx val="0"/>
              <c:layout>
                <c:manualLayout>
                  <c:x val="-5.7718806116575809E-2"/>
                  <c:y val="-9.812052832109981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A1-4990-A536-833BE9B8D8B6}"/>
                </c:ext>
              </c:extLst>
            </c:dLbl>
            <c:dLbl>
              <c:idx val="1"/>
              <c:layout>
                <c:manualLayout>
                  <c:x val="-2.8859403058287943E-2"/>
                  <c:y val="4.33202132537655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A1-4990-A536-833BE9B8D8B6}"/>
                </c:ext>
              </c:extLst>
            </c:dLbl>
            <c:dLbl>
              <c:idx val="2"/>
              <c:layout>
                <c:manualLayout>
                  <c:x val="-3.3750827305455346E-2"/>
                  <c:y val="-4.49882622352242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A1-4990-A536-833BE9B8D8B6}"/>
                </c:ext>
              </c:extLst>
            </c:dLbl>
            <c:dLbl>
              <c:idx val="3"/>
              <c:layout>
                <c:manualLayout>
                  <c:x val="-2.8859403058287905E-2"/>
                  <c:y val="4.82262396698205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A1-4990-A536-833BE9B8D8B6}"/>
                </c:ext>
              </c:extLst>
            </c:dLbl>
            <c:dLbl>
              <c:idx val="4"/>
              <c:layout>
                <c:manualLayout>
                  <c:x val="-3.9131393977339538E-3"/>
                  <c:y val="-1.9624105664219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7A1-4990-A536-833BE9B8D8B6}"/>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c:v>
                </c:pt>
                <c:pt idx="1">
                  <c:v>2017</c:v>
                </c:pt>
                <c:pt idx="2">
                  <c:v>2018</c:v>
                </c:pt>
                <c:pt idx="3">
                  <c:v>2019</c:v>
                </c:pt>
                <c:pt idx="4">
                  <c:v>2020</c:v>
                </c:pt>
              </c:strCache>
            </c:strRef>
          </c:cat>
          <c:val>
            <c:numRef>
              <c:f>Sheet1!$B$2:$B$6</c:f>
              <c:numCache>
                <c:formatCode>0.0</c:formatCode>
                <c:ptCount val="5"/>
                <c:pt idx="0">
                  <c:v>8.4</c:v>
                </c:pt>
                <c:pt idx="1">
                  <c:v>8.6</c:v>
                </c:pt>
                <c:pt idx="2">
                  <c:v>10</c:v>
                </c:pt>
                <c:pt idx="3">
                  <c:v>8.8000000000000007</c:v>
                </c:pt>
                <c:pt idx="4">
                  <c:v>10.199999999999999</c:v>
                </c:pt>
              </c:numCache>
            </c:numRef>
          </c:val>
          <c:smooth val="0"/>
          <c:extLst>
            <c:ext xmlns:c16="http://schemas.microsoft.com/office/drawing/2014/chart" uri="{C3380CC4-5D6E-409C-BE32-E72D297353CC}">
              <c16:uniqueId val="{00000004-3D0D-457C-9D48-2DB324EA434A}"/>
            </c:ext>
          </c:extLst>
        </c:ser>
        <c:ser>
          <c:idx val="1"/>
          <c:order val="1"/>
          <c:tx>
            <c:strRef>
              <c:f>Sheet1!$C$1</c:f>
              <c:strCache>
                <c:ptCount val="1"/>
                <c:pt idx="0">
                  <c:v>Neto</c:v>
                </c:pt>
              </c:strCache>
            </c:strRef>
          </c:tx>
          <c:spPr>
            <a:ln w="25381">
              <a:solidFill>
                <a:srgbClr val="F06482"/>
              </a:solidFill>
              <a:prstDash val="dash"/>
            </a:ln>
          </c:spPr>
          <c:marker>
            <c:symbol val="triangle"/>
            <c:size val="6"/>
            <c:spPr>
              <a:solidFill>
                <a:srgbClr val="F06482"/>
              </a:solidFill>
              <a:ln>
                <a:solidFill>
                  <a:srgbClr val="FFFFFF"/>
                </a:solidFill>
                <a:prstDash val="solid"/>
              </a:ln>
            </c:spPr>
          </c:marker>
          <c:dLbls>
            <c:dLbl>
              <c:idx val="0"/>
              <c:layout>
                <c:manualLayout>
                  <c:x val="-5.5273093992992094E-2"/>
                  <c:y val="-4.74412754432518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A1-4990-A536-833BE9B8D8B6}"/>
                </c:ext>
              </c:extLst>
            </c:dLbl>
            <c:dLbl>
              <c:idx val="2"/>
              <c:layout>
                <c:manualLayout>
                  <c:x val="-2.592454850998744E-2"/>
                  <c:y val="5.0679252877848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7A1-4990-A536-833BE9B8D8B6}"/>
                </c:ext>
              </c:extLst>
            </c:dLbl>
            <c:dLbl>
              <c:idx val="3"/>
              <c:layout>
                <c:manualLayout>
                  <c:x val="-3.4729112154888837E-2"/>
                  <c:y val="-4.74412754432517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7A1-4990-A536-833BE9B8D8B6}"/>
                </c:ext>
              </c:extLst>
            </c:dLbl>
            <c:dLbl>
              <c:idx val="4"/>
              <c:layout>
                <c:manualLayout>
                  <c:x val="-5.3805666718841861E-3"/>
                  <c:y val="-2.29111433629768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7A1-4990-A536-833BE9B8D8B6}"/>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c:v>
                </c:pt>
                <c:pt idx="1">
                  <c:v>2017</c:v>
                </c:pt>
                <c:pt idx="2">
                  <c:v>2018</c:v>
                </c:pt>
                <c:pt idx="3">
                  <c:v>2019</c:v>
                </c:pt>
                <c:pt idx="4">
                  <c:v>2020</c:v>
                </c:pt>
              </c:strCache>
            </c:strRef>
          </c:cat>
          <c:val>
            <c:numRef>
              <c:f>Sheet1!$C$2:$C$6</c:f>
              <c:numCache>
                <c:formatCode>0.0</c:formatCode>
                <c:ptCount val="5"/>
                <c:pt idx="0">
                  <c:v>8.6999999999999993</c:v>
                </c:pt>
                <c:pt idx="1">
                  <c:v>9.6</c:v>
                </c:pt>
                <c:pt idx="2">
                  <c:v>9.1</c:v>
                </c:pt>
                <c:pt idx="3">
                  <c:v>14.2</c:v>
                </c:pt>
                <c:pt idx="4">
                  <c:v>11.1</c:v>
                </c:pt>
              </c:numCache>
            </c:numRef>
          </c:val>
          <c:smooth val="0"/>
          <c:extLst>
            <c:ext xmlns:c16="http://schemas.microsoft.com/office/drawing/2014/chart" uri="{C3380CC4-5D6E-409C-BE32-E72D297353CC}">
              <c16:uniqueId val="{00000008-3D0D-457C-9D48-2DB324EA434A}"/>
            </c:ext>
          </c:extLst>
        </c:ser>
        <c:ser>
          <c:idx val="2"/>
          <c:order val="2"/>
          <c:tx>
            <c:strRef>
              <c:f>Sheet1!$D$1</c:f>
              <c:strCache>
                <c:ptCount val="1"/>
                <c:pt idx="0">
                  <c:v>Realusis</c:v>
                </c:pt>
              </c:strCache>
            </c:strRef>
          </c:tx>
          <c:spPr>
            <a:ln w="25381">
              <a:solidFill>
                <a:srgbClr val="FABEC3"/>
              </a:solidFill>
              <a:prstDash val="solid"/>
            </a:ln>
          </c:spPr>
          <c:marker>
            <c:symbol val="diamond"/>
            <c:size val="6"/>
            <c:spPr>
              <a:solidFill>
                <a:srgbClr val="FABEC3"/>
              </a:solidFill>
              <a:ln>
                <a:solidFill>
                  <a:srgbClr val="FFFFFF"/>
                </a:solidFill>
                <a:prstDash val="solid"/>
              </a:ln>
            </c:spPr>
          </c:marker>
          <c:dLbls>
            <c:dLbl>
              <c:idx val="0"/>
              <c:layout>
                <c:manualLayout>
                  <c:x val="-5.9675375815442785E-2"/>
                  <c:y val="1.47180792481649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7A1-4990-A536-833BE9B8D8B6}"/>
                </c:ext>
              </c:extLst>
            </c:dLbl>
            <c:dLbl>
              <c:idx val="1"/>
              <c:layout>
                <c:manualLayout>
                  <c:x val="-2.9837687907721431E-2"/>
                  <c:y val="-4.57732264617930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7A1-4990-A536-833BE9B8D8B6}"/>
                </c:ext>
              </c:extLst>
            </c:dLbl>
            <c:dLbl>
              <c:idx val="2"/>
              <c:layout>
                <c:manualLayout>
                  <c:x val="-3.5707397004322322E-2"/>
                  <c:y val="-4.57732264617930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7A1-4990-A536-833BE9B8D8B6}"/>
                </c:ext>
              </c:extLst>
            </c:dLbl>
            <c:dLbl>
              <c:idx val="3"/>
              <c:layout>
                <c:manualLayout>
                  <c:x val="-3.4729112154888837E-2"/>
                  <c:y val="-4.57732264617930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7A1-4990-A536-833BE9B8D8B6}"/>
                </c:ext>
              </c:extLst>
            </c:dLbl>
            <c:dLbl>
              <c:idx val="4"/>
              <c:layout>
                <c:manualLayout>
                  <c:x val="0"/>
                  <c:y val="1.47180792481649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7A1-4990-A536-833BE9B8D8B6}"/>
                </c:ext>
              </c:extLst>
            </c:dLbl>
            <c:numFmt formatCode="#,##0.0" sourceLinked="0"/>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c:v>
                </c:pt>
                <c:pt idx="1">
                  <c:v>2017</c:v>
                </c:pt>
                <c:pt idx="2">
                  <c:v>2018</c:v>
                </c:pt>
                <c:pt idx="3">
                  <c:v>2019</c:v>
                </c:pt>
                <c:pt idx="4">
                  <c:v>2020</c:v>
                </c:pt>
              </c:strCache>
            </c:strRef>
          </c:cat>
          <c:val>
            <c:numRef>
              <c:f>Sheet1!$D$2:$D$6</c:f>
              <c:numCache>
                <c:formatCode>0.0</c:formatCode>
                <c:ptCount val="5"/>
                <c:pt idx="0">
                  <c:v>7.7</c:v>
                </c:pt>
                <c:pt idx="1">
                  <c:v>5.7</c:v>
                </c:pt>
                <c:pt idx="2">
                  <c:v>6.2</c:v>
                </c:pt>
                <c:pt idx="3">
                  <c:v>11.6</c:v>
                </c:pt>
                <c:pt idx="4">
                  <c:v>9.8000000000000007</c:v>
                </c:pt>
              </c:numCache>
            </c:numRef>
          </c:val>
          <c:smooth val="0"/>
          <c:extLst>
            <c:ext xmlns:c16="http://schemas.microsoft.com/office/drawing/2014/chart" uri="{C3380CC4-5D6E-409C-BE32-E72D297353CC}">
              <c16:uniqueId val="{0000000E-3D0D-457C-9D48-2DB324EA434A}"/>
            </c:ext>
          </c:extLst>
        </c:ser>
        <c:dLbls>
          <c:showLegendKey val="0"/>
          <c:showVal val="1"/>
          <c:showCatName val="0"/>
          <c:showSerName val="0"/>
          <c:showPercent val="0"/>
          <c:showBubbleSize val="0"/>
        </c:dLbls>
        <c:marker val="1"/>
        <c:smooth val="0"/>
        <c:axId val="129929600"/>
        <c:axId val="129931136"/>
      </c:lineChart>
      <c:catAx>
        <c:axId val="129929600"/>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lt-LT"/>
          </a:p>
        </c:txPr>
        <c:crossAx val="129931136"/>
        <c:crosses val="autoZero"/>
        <c:auto val="1"/>
        <c:lblAlgn val="ctr"/>
        <c:lblOffset val="100"/>
        <c:tickLblSkip val="1"/>
        <c:tickMarkSkip val="1"/>
        <c:noMultiLvlLbl val="0"/>
      </c:catAx>
      <c:valAx>
        <c:axId val="129931136"/>
        <c:scaling>
          <c:orientation val="minMax"/>
          <c:max val="16"/>
          <c:min val="0"/>
        </c:scaling>
        <c:delete val="0"/>
        <c:axPos val="l"/>
        <c:majorGridlines>
          <c:spPr>
            <a:ln w="3175">
              <a:prstDash val="lgDash"/>
            </a:ln>
          </c:spPr>
        </c:majorGridlines>
        <c:numFmt formatCode="#,##0;\–#,##0" sourceLinked="0"/>
        <c:majorTickMark val="out"/>
        <c:minorTickMark val="none"/>
        <c:tickLblPos val="nextTo"/>
        <c:spPr>
          <a:ln w="3173">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lt-LT"/>
          </a:p>
        </c:txPr>
        <c:crossAx val="129929600"/>
        <c:crosses val="autoZero"/>
        <c:crossBetween val="between"/>
        <c:majorUnit val="2"/>
        <c:minorUnit val="0.5"/>
      </c:valAx>
      <c:spPr>
        <a:noFill/>
        <a:ln w="25381">
          <a:noFill/>
        </a:ln>
      </c:spPr>
    </c:plotArea>
    <c:legend>
      <c:legendPos val="r"/>
      <c:layout>
        <c:manualLayout>
          <c:xMode val="edge"/>
          <c:yMode val="edge"/>
          <c:x val="0.82317986637399265"/>
          <c:y val="0.51389249585654284"/>
          <c:w val="0.16066795748913257"/>
          <c:h val="0.20860569347423175"/>
        </c:manualLayout>
      </c:layout>
      <c:overlay val="0"/>
      <c:spPr>
        <a:noFill/>
        <a:ln w="3173">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899" b="0" i="0" u="none" strike="noStrike" baseline="0">
          <a:solidFill>
            <a:srgbClr val="000000"/>
          </a:solidFill>
          <a:latin typeface="Arial"/>
          <a:ea typeface="Arial"/>
          <a:cs typeface="Arial"/>
        </a:defRPr>
      </a:pPr>
      <a:endParaRPr lang="lt-LT"/>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670508604055576E-2"/>
          <c:y val="4.2151482401598189E-2"/>
          <c:w val="0.71456128469290792"/>
          <c:h val="0.84468539026204614"/>
        </c:manualLayout>
      </c:layout>
      <c:lineChart>
        <c:grouping val="standard"/>
        <c:varyColors val="0"/>
        <c:ser>
          <c:idx val="0"/>
          <c:order val="0"/>
          <c:tx>
            <c:strRef>
              <c:f>Sheet1!$B$1</c:f>
              <c:strCache>
                <c:ptCount val="1"/>
                <c:pt idx="0">
                  <c:v>Šalies ūkis</c:v>
                </c:pt>
              </c:strCache>
            </c:strRef>
          </c:tx>
          <c:spPr>
            <a:ln w="25407">
              <a:solidFill>
                <a:srgbClr val="28286E"/>
              </a:solidFill>
              <a:prstDash val="solid"/>
            </a:ln>
          </c:spPr>
          <c:marker>
            <c:symbol val="square"/>
            <c:size val="5"/>
            <c:spPr>
              <a:solidFill>
                <a:srgbClr val="28286E"/>
              </a:solidFill>
              <a:ln>
                <a:solidFill>
                  <a:srgbClr val="FFFFFF"/>
                </a:solidFill>
                <a:prstDash val="solid"/>
              </a:ln>
            </c:spPr>
          </c:marker>
          <c:dLbls>
            <c:dLbl>
              <c:idx val="0"/>
              <c:layout>
                <c:manualLayout>
                  <c:x val="-5.2348099323489064E-2"/>
                  <c:y val="1.1124062849589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AA-4AA5-AB2E-74E1F66740D4}"/>
                </c:ext>
              </c:extLst>
            </c:dLbl>
            <c:dLbl>
              <c:idx val="1"/>
              <c:layout>
                <c:manualLayout>
                  <c:x val="-4.0608681130287205E-2"/>
                  <c:y val="4.76466872254212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AA-4AA5-AB2E-74E1F66740D4}"/>
                </c:ext>
              </c:extLst>
            </c:dLbl>
            <c:dLbl>
              <c:idx val="2"/>
              <c:layout>
                <c:manualLayout>
                  <c:x val="3.4092071548210492E-3"/>
                  <c:y val="-1.9311457463604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AA-4AA5-AB2E-74E1F66740D4}"/>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c:v>
                </c:pt>
                <c:pt idx="1">
                  <c:v>2017</c:v>
                </c:pt>
                <c:pt idx="2">
                  <c:v>2018</c:v>
                </c:pt>
                <c:pt idx="3">
                  <c:v>2019</c:v>
                </c:pt>
                <c:pt idx="4">
                  <c:v>2020</c:v>
                </c:pt>
              </c:strCache>
            </c:strRef>
          </c:cat>
          <c:val>
            <c:numRef>
              <c:f>Sheet1!$B$2:$B$6</c:f>
              <c:numCache>
                <c:formatCode>0.0</c:formatCode>
                <c:ptCount val="5"/>
                <c:pt idx="0">
                  <c:v>8.4</c:v>
                </c:pt>
                <c:pt idx="1">
                  <c:v>8.6</c:v>
                </c:pt>
                <c:pt idx="2">
                  <c:v>10</c:v>
                </c:pt>
                <c:pt idx="3">
                  <c:v>8.8000000000000007</c:v>
                </c:pt>
                <c:pt idx="4">
                  <c:v>10.199999999999999</c:v>
                </c:pt>
              </c:numCache>
            </c:numRef>
          </c:val>
          <c:smooth val="0"/>
          <c:extLst>
            <c:ext xmlns:c16="http://schemas.microsoft.com/office/drawing/2014/chart" uri="{C3380CC4-5D6E-409C-BE32-E72D297353CC}">
              <c16:uniqueId val="{00000005-BB49-4B76-8BD5-9C41EF19D490}"/>
            </c:ext>
          </c:extLst>
        </c:ser>
        <c:ser>
          <c:idx val="1"/>
          <c:order val="1"/>
          <c:tx>
            <c:strRef>
              <c:f>Sheet1!$C$1</c:f>
              <c:strCache>
                <c:ptCount val="1"/>
                <c:pt idx="0">
                  <c:v>Viešasis sektorius</c:v>
                </c:pt>
              </c:strCache>
            </c:strRef>
          </c:tx>
          <c:spPr>
            <a:ln w="25407">
              <a:solidFill>
                <a:srgbClr val="FABEC3"/>
              </a:solidFill>
              <a:prstDash val="solid"/>
            </a:ln>
          </c:spPr>
          <c:marker>
            <c:symbol val="triangle"/>
            <c:size val="6"/>
            <c:spPr>
              <a:solidFill>
                <a:srgbClr val="FABEC3"/>
              </a:solidFill>
              <a:ln>
                <a:solidFill>
                  <a:srgbClr val="FFFFFF"/>
                </a:solidFill>
                <a:prstDash val="solid"/>
              </a:ln>
            </c:spPr>
          </c:marker>
          <c:dLbls>
            <c:dLbl>
              <c:idx val="0"/>
              <c:layout>
                <c:manualLayout>
                  <c:x val="-5.1369814474055579E-2"/>
                  <c:y val="1.993406755631050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AA-4AA5-AB2E-74E1F66740D4}"/>
                </c:ext>
              </c:extLst>
            </c:dLbl>
            <c:dLbl>
              <c:idx val="1"/>
              <c:layout>
                <c:manualLayout>
                  <c:x val="-3.1804117485385808E-2"/>
                  <c:y val="6.89510721451242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AA-4AA5-AB2E-74E1F66740D4}"/>
                </c:ext>
              </c:extLst>
            </c:dLbl>
            <c:dLbl>
              <c:idx val="2"/>
              <c:layout>
                <c:manualLayout>
                  <c:x val="-3.2787332274218019E-2"/>
                  <c:y val="-5.27905298081172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AA-4AA5-AB2E-74E1F66740D4}"/>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c:v>
                </c:pt>
                <c:pt idx="1">
                  <c:v>2017</c:v>
                </c:pt>
                <c:pt idx="2">
                  <c:v>2018</c:v>
                </c:pt>
                <c:pt idx="3">
                  <c:v>2019</c:v>
                </c:pt>
                <c:pt idx="4">
                  <c:v>2020</c:v>
                </c:pt>
              </c:strCache>
            </c:strRef>
          </c:cat>
          <c:val>
            <c:numRef>
              <c:f>Sheet1!$C$2:$C$6</c:f>
              <c:numCache>
                <c:formatCode>0.0</c:formatCode>
                <c:ptCount val="5"/>
                <c:pt idx="0">
                  <c:v>6.7</c:v>
                </c:pt>
                <c:pt idx="1">
                  <c:v>6.8</c:v>
                </c:pt>
                <c:pt idx="2">
                  <c:v>10.7</c:v>
                </c:pt>
                <c:pt idx="3">
                  <c:v>12.3</c:v>
                </c:pt>
                <c:pt idx="4">
                  <c:v>12.5</c:v>
                </c:pt>
              </c:numCache>
            </c:numRef>
          </c:val>
          <c:smooth val="0"/>
          <c:extLst>
            <c:ext xmlns:c16="http://schemas.microsoft.com/office/drawing/2014/chart" uri="{C3380CC4-5D6E-409C-BE32-E72D297353CC}">
              <c16:uniqueId val="{00000008-BB49-4B76-8BD5-9C41EF19D490}"/>
            </c:ext>
          </c:extLst>
        </c:ser>
        <c:ser>
          <c:idx val="2"/>
          <c:order val="2"/>
          <c:tx>
            <c:strRef>
              <c:f>Sheet1!$D$1</c:f>
              <c:strCache>
                <c:ptCount val="1"/>
                <c:pt idx="0">
                  <c:v>Privatusis sektorius</c:v>
                </c:pt>
              </c:strCache>
            </c:strRef>
          </c:tx>
          <c:spPr>
            <a:ln w="25407">
              <a:solidFill>
                <a:srgbClr val="F06482"/>
              </a:solidFill>
              <a:prstDash val="dash"/>
            </a:ln>
          </c:spPr>
          <c:marker>
            <c:symbol val="diamond"/>
            <c:size val="6"/>
            <c:spPr>
              <a:solidFill>
                <a:srgbClr val="F06482"/>
              </a:solidFill>
              <a:ln>
                <a:solidFill>
                  <a:srgbClr val="FFFFFF"/>
                </a:solidFill>
                <a:prstDash val="solid"/>
              </a:ln>
            </c:spPr>
          </c:marker>
          <c:dLbls>
            <c:dLbl>
              <c:idx val="0"/>
              <c:layout>
                <c:manualLayout>
                  <c:x val="-5.3326384172922556E-2"/>
                  <c:y val="-8.080510818269747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AA-4AA5-AB2E-74E1F66740D4}"/>
                </c:ext>
              </c:extLst>
            </c:dLbl>
            <c:dLbl>
              <c:idx val="1"/>
              <c:layout>
                <c:manualLayout>
                  <c:x val="-3.1804117485385808E-2"/>
                  <c:y val="-5.06902392567406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AA-4AA5-AB2E-74E1F66740D4}"/>
                </c:ext>
              </c:extLst>
            </c:dLbl>
            <c:dLbl>
              <c:idx val="2"/>
              <c:layout>
                <c:manualLayout>
                  <c:x val="-2.9847547786518835E-2"/>
                  <c:y val="5.88776338707559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AA-4AA5-AB2E-74E1F66740D4}"/>
                </c:ext>
              </c:extLst>
            </c:dLbl>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c:v>
                </c:pt>
                <c:pt idx="1">
                  <c:v>2017</c:v>
                </c:pt>
                <c:pt idx="2">
                  <c:v>2018</c:v>
                </c:pt>
                <c:pt idx="3">
                  <c:v>2019</c:v>
                </c:pt>
                <c:pt idx="4">
                  <c:v>2020</c:v>
                </c:pt>
              </c:strCache>
            </c:strRef>
          </c:cat>
          <c:val>
            <c:numRef>
              <c:f>Sheet1!$D$2:$D$6</c:f>
              <c:numCache>
                <c:formatCode>0.0</c:formatCode>
                <c:ptCount val="5"/>
                <c:pt idx="0">
                  <c:v>9.4</c:v>
                </c:pt>
                <c:pt idx="1">
                  <c:v>9.5</c:v>
                </c:pt>
                <c:pt idx="2">
                  <c:v>9.6</c:v>
                </c:pt>
                <c:pt idx="3">
                  <c:v>7.3</c:v>
                </c:pt>
                <c:pt idx="4">
                  <c:v>9.1</c:v>
                </c:pt>
              </c:numCache>
            </c:numRef>
          </c:val>
          <c:smooth val="0"/>
          <c:extLst>
            <c:ext xmlns:c16="http://schemas.microsoft.com/office/drawing/2014/chart" uri="{C3380CC4-5D6E-409C-BE32-E72D297353CC}">
              <c16:uniqueId val="{0000000B-BB49-4B76-8BD5-9C41EF19D490}"/>
            </c:ext>
          </c:extLst>
        </c:ser>
        <c:dLbls>
          <c:showLegendKey val="0"/>
          <c:showVal val="1"/>
          <c:showCatName val="0"/>
          <c:showSerName val="0"/>
          <c:showPercent val="0"/>
          <c:showBubbleSize val="0"/>
        </c:dLbls>
        <c:marker val="1"/>
        <c:smooth val="0"/>
        <c:axId val="130332544"/>
        <c:axId val="130334080"/>
      </c:lineChart>
      <c:catAx>
        <c:axId val="130332544"/>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130334080"/>
        <c:crosses val="autoZero"/>
        <c:auto val="1"/>
        <c:lblAlgn val="ctr"/>
        <c:lblOffset val="100"/>
        <c:tickLblSkip val="1"/>
        <c:tickMarkSkip val="1"/>
        <c:noMultiLvlLbl val="0"/>
      </c:catAx>
      <c:valAx>
        <c:axId val="130334080"/>
        <c:scaling>
          <c:orientation val="minMax"/>
          <c:max val="14"/>
          <c:min val="0"/>
        </c:scaling>
        <c:delete val="0"/>
        <c:axPos val="l"/>
        <c:majorGridlines>
          <c:spPr>
            <a:ln w="3175">
              <a:prstDash val="lgDash"/>
            </a:ln>
          </c:spPr>
        </c:majorGridlines>
        <c:numFmt formatCode="#,##0;\–#,##0" sourceLinked="0"/>
        <c:majorTickMark val="out"/>
        <c:minorTickMark val="none"/>
        <c:tickLblPos val="nextTo"/>
        <c:spPr>
          <a:ln w="3176">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130332544"/>
        <c:crosses val="autoZero"/>
        <c:crossBetween val="between"/>
        <c:majorUnit val="2"/>
      </c:valAx>
      <c:spPr>
        <a:noFill/>
        <a:ln w="25407">
          <a:noFill/>
        </a:ln>
      </c:spPr>
    </c:plotArea>
    <c:legend>
      <c:legendPos val="r"/>
      <c:layout>
        <c:manualLayout>
          <c:xMode val="edge"/>
          <c:yMode val="edge"/>
          <c:x val="0.76942443464998511"/>
          <c:y val="0.46936653447516141"/>
          <c:w val="0.22221257141242473"/>
          <c:h val="0.26112959666310026"/>
        </c:manualLayout>
      </c:layout>
      <c:overlay val="0"/>
      <c:spPr>
        <a:noFill/>
        <a:ln w="3176">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900" b="0" i="0" u="none" strike="noStrike" baseline="0">
          <a:solidFill>
            <a:srgbClr val="000000"/>
          </a:solidFill>
          <a:latin typeface="Arial"/>
          <a:ea typeface="Arial"/>
          <a:cs typeface="Arial"/>
        </a:defRPr>
      </a:pPr>
      <a:endParaRPr lang="lt-LT"/>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595823237624619E-2"/>
          <c:y val="6.5071131511404659E-2"/>
          <c:w val="0.93416136339121991"/>
          <c:h val="0.81108664734443736"/>
        </c:manualLayout>
      </c:layout>
      <c:barChart>
        <c:barDir val="col"/>
        <c:grouping val="clustered"/>
        <c:varyColors val="0"/>
        <c:ser>
          <c:idx val="0"/>
          <c:order val="0"/>
          <c:tx>
            <c:strRef>
              <c:f>Sheet1!$B$1</c:f>
              <c:strCache>
                <c:ptCount val="1"/>
                <c:pt idx="0">
                  <c:v> Bruto</c:v>
                </c:pt>
              </c:strCache>
            </c:strRef>
          </c:tx>
          <c:spPr>
            <a:solidFill>
              <a:srgbClr val="F06482"/>
            </a:solidFill>
            <a:ln w="3175">
              <a:solidFill>
                <a:schemeClr val="bg1"/>
              </a:solidFill>
            </a:ln>
          </c:spPr>
          <c:invertIfNegative val="0"/>
          <c:dLbls>
            <c:numFmt formatCode="#,##0.0" sourceLinked="0"/>
            <c:spPr>
              <a:noFill/>
              <a:ln>
                <a:noFill/>
              </a:ln>
              <a:effectLst/>
            </c:spPr>
            <c:txPr>
              <a:bodyPr rot="-5400000" vert="horz"/>
              <a:lstStyle/>
              <a:p>
                <a:pPr>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Sheet1!$A$2:$A$20</c:f>
              <c:strCache>
                <c:ptCount val="19"/>
                <c:pt idx="0">
                  <c:v>J</c:v>
                </c:pt>
                <c:pt idx="1">
                  <c:v>K</c:v>
                </c:pt>
                <c:pt idx="2">
                  <c:v>D</c:v>
                </c:pt>
                <c:pt idx="3">
                  <c:v>M</c:v>
                </c:pt>
                <c:pt idx="4">
                  <c:v>O</c:v>
                </c:pt>
                <c:pt idx="5">
                  <c:v>Q</c:v>
                </c:pt>
                <c:pt idx="6">
                  <c:v>B</c:v>
                </c:pt>
                <c:pt idx="7">
                  <c:v>C</c:v>
                </c:pt>
                <c:pt idx="8">
                  <c:v>E</c:v>
                </c:pt>
                <c:pt idx="9">
                  <c:v>P</c:v>
                </c:pt>
                <c:pt idx="10">
                  <c:v>G</c:v>
                </c:pt>
                <c:pt idx="11">
                  <c:v>H</c:v>
                </c:pt>
                <c:pt idx="12">
                  <c:v>F</c:v>
                </c:pt>
                <c:pt idx="13">
                  <c:v>L</c:v>
                </c:pt>
                <c:pt idx="14">
                  <c:v>A</c:v>
                </c:pt>
                <c:pt idx="15">
                  <c:v>N</c:v>
                </c:pt>
                <c:pt idx="16">
                  <c:v>R</c:v>
                </c:pt>
                <c:pt idx="17">
                  <c:v>S</c:v>
                </c:pt>
                <c:pt idx="18">
                  <c:v>I</c:v>
                </c:pt>
              </c:strCache>
            </c:strRef>
          </c:cat>
          <c:val>
            <c:numRef>
              <c:f>Sheet1!$B$2:$B$20</c:f>
              <c:numCache>
                <c:formatCode>General</c:formatCode>
                <c:ptCount val="19"/>
                <c:pt idx="0">
                  <c:v>2564.9</c:v>
                </c:pt>
                <c:pt idx="1">
                  <c:v>2451.9</c:v>
                </c:pt>
                <c:pt idx="2">
                  <c:v>1768</c:v>
                </c:pt>
                <c:pt idx="3">
                  <c:v>1765.3</c:v>
                </c:pt>
                <c:pt idx="4">
                  <c:v>1748.9</c:v>
                </c:pt>
                <c:pt idx="5">
                  <c:v>1638</c:v>
                </c:pt>
                <c:pt idx="6">
                  <c:v>1582.6</c:v>
                </c:pt>
                <c:pt idx="7">
                  <c:v>1414.6</c:v>
                </c:pt>
                <c:pt idx="8">
                  <c:v>1337</c:v>
                </c:pt>
                <c:pt idx="9">
                  <c:v>1331.8</c:v>
                </c:pt>
                <c:pt idx="10">
                  <c:v>1288.8</c:v>
                </c:pt>
                <c:pt idx="11">
                  <c:v>1282.5999999999999</c:v>
                </c:pt>
                <c:pt idx="12">
                  <c:v>1257.5</c:v>
                </c:pt>
                <c:pt idx="13">
                  <c:v>1211.7</c:v>
                </c:pt>
                <c:pt idx="14">
                  <c:v>1188.8</c:v>
                </c:pt>
                <c:pt idx="15">
                  <c:v>1179.5</c:v>
                </c:pt>
                <c:pt idx="16">
                  <c:v>1132.5999999999999</c:v>
                </c:pt>
                <c:pt idx="17">
                  <c:v>1128.7</c:v>
                </c:pt>
                <c:pt idx="18">
                  <c:v>889.7</c:v>
                </c:pt>
              </c:numCache>
            </c:numRef>
          </c:val>
          <c:extLst>
            <c:ext xmlns:c16="http://schemas.microsoft.com/office/drawing/2014/chart" uri="{C3380CC4-5D6E-409C-BE32-E72D297353CC}">
              <c16:uniqueId val="{00000000-C3D6-432D-8574-5A9D410D926F}"/>
            </c:ext>
          </c:extLst>
        </c:ser>
        <c:ser>
          <c:idx val="1"/>
          <c:order val="1"/>
          <c:tx>
            <c:strRef>
              <c:f>Sheet1!$C$1</c:f>
              <c:strCache>
                <c:ptCount val="1"/>
                <c:pt idx="0">
                  <c:v> Neto</c:v>
                </c:pt>
              </c:strCache>
            </c:strRef>
          </c:tx>
          <c:spPr>
            <a:solidFill>
              <a:srgbClr val="FABEC3"/>
            </a:solidFill>
            <a:ln w="3175">
              <a:solidFill>
                <a:schemeClr val="bg1"/>
              </a:solidFill>
            </a:ln>
          </c:spPr>
          <c:invertIfNegative val="0"/>
          <c:dLbls>
            <c:dLbl>
              <c:idx val="16"/>
              <c:numFmt formatCode="#,##0.0" sourceLinked="0"/>
              <c:spPr/>
              <c:txPr>
                <a:bodyPr rot="-5400000" vert="horz"/>
                <a:lstStyle/>
                <a:p>
                  <a:pPr>
                    <a:defRPr/>
                  </a:pPr>
                  <a:endParaRPr lang="lt-LT"/>
                </a:p>
              </c:txPr>
              <c:dLblPos val="inBase"/>
              <c:showLegendKey val="0"/>
              <c:showVal val="1"/>
              <c:showCatName val="0"/>
              <c:showSerName val="0"/>
              <c:showPercent val="0"/>
              <c:showBubbleSize val="0"/>
              <c:extLst>
                <c:ext xmlns:c16="http://schemas.microsoft.com/office/drawing/2014/chart" uri="{C3380CC4-5D6E-409C-BE32-E72D297353CC}">
                  <c16:uniqueId val="{00000000-1563-43A7-B7E0-78647002CF21}"/>
                </c:ext>
              </c:extLst>
            </c:dLbl>
            <c:spPr>
              <a:noFill/>
              <a:ln>
                <a:noFill/>
              </a:ln>
              <a:effectLst/>
            </c:spPr>
            <c:txPr>
              <a:bodyPr rot="-5400000" vert="horz"/>
              <a:lstStyle/>
              <a:p>
                <a:pPr>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Sheet1!$A$2:$A$20</c:f>
              <c:strCache>
                <c:ptCount val="19"/>
                <c:pt idx="0">
                  <c:v>J</c:v>
                </c:pt>
                <c:pt idx="1">
                  <c:v>K</c:v>
                </c:pt>
                <c:pt idx="2">
                  <c:v>D</c:v>
                </c:pt>
                <c:pt idx="3">
                  <c:v>M</c:v>
                </c:pt>
                <c:pt idx="4">
                  <c:v>O</c:v>
                </c:pt>
                <c:pt idx="5">
                  <c:v>Q</c:v>
                </c:pt>
                <c:pt idx="6">
                  <c:v>B</c:v>
                </c:pt>
                <c:pt idx="7">
                  <c:v>C</c:v>
                </c:pt>
                <c:pt idx="8">
                  <c:v>E</c:v>
                </c:pt>
                <c:pt idx="9">
                  <c:v>P</c:v>
                </c:pt>
                <c:pt idx="10">
                  <c:v>G</c:v>
                </c:pt>
                <c:pt idx="11">
                  <c:v>H</c:v>
                </c:pt>
                <c:pt idx="12">
                  <c:v>F</c:v>
                </c:pt>
                <c:pt idx="13">
                  <c:v>L</c:v>
                </c:pt>
                <c:pt idx="14">
                  <c:v>A</c:v>
                </c:pt>
                <c:pt idx="15">
                  <c:v>N</c:v>
                </c:pt>
                <c:pt idx="16">
                  <c:v>R</c:v>
                </c:pt>
                <c:pt idx="17">
                  <c:v>S</c:v>
                </c:pt>
                <c:pt idx="18">
                  <c:v>I</c:v>
                </c:pt>
              </c:strCache>
            </c:strRef>
          </c:cat>
          <c:val>
            <c:numRef>
              <c:f>Sheet1!$C$2:$C$20</c:f>
              <c:numCache>
                <c:formatCode>0.0</c:formatCode>
                <c:ptCount val="19"/>
                <c:pt idx="0">
                  <c:v>1557.4</c:v>
                </c:pt>
                <c:pt idx="1">
                  <c:v>1493.3</c:v>
                </c:pt>
                <c:pt idx="2">
                  <c:v>1105.5</c:v>
                </c:pt>
                <c:pt idx="3">
                  <c:v>1104</c:v>
                </c:pt>
                <c:pt idx="4">
                  <c:v>1094.7</c:v>
                </c:pt>
                <c:pt idx="5">
                  <c:v>1031.8</c:v>
                </c:pt>
                <c:pt idx="6">
                  <c:v>1000.4</c:v>
                </c:pt>
                <c:pt idx="7">
                  <c:v>905.2</c:v>
                </c:pt>
                <c:pt idx="8">
                  <c:v>861.2</c:v>
                </c:pt>
                <c:pt idx="9">
                  <c:v>858.2</c:v>
                </c:pt>
                <c:pt idx="10">
                  <c:v>833.8</c:v>
                </c:pt>
                <c:pt idx="11">
                  <c:v>830.3</c:v>
                </c:pt>
                <c:pt idx="12">
                  <c:v>816.1</c:v>
                </c:pt>
                <c:pt idx="13">
                  <c:v>790.1</c:v>
                </c:pt>
                <c:pt idx="14">
                  <c:v>777.1</c:v>
                </c:pt>
                <c:pt idx="15">
                  <c:v>771.8</c:v>
                </c:pt>
                <c:pt idx="16">
                  <c:v>745.2</c:v>
                </c:pt>
                <c:pt idx="17">
                  <c:v>743</c:v>
                </c:pt>
                <c:pt idx="18">
                  <c:v>607.5</c:v>
                </c:pt>
              </c:numCache>
            </c:numRef>
          </c:val>
          <c:extLst>
            <c:ext xmlns:c16="http://schemas.microsoft.com/office/drawing/2014/chart" uri="{C3380CC4-5D6E-409C-BE32-E72D297353CC}">
              <c16:uniqueId val="{00000001-C3D6-432D-8574-5A9D410D926F}"/>
            </c:ext>
          </c:extLst>
        </c:ser>
        <c:dLbls>
          <c:showLegendKey val="0"/>
          <c:showVal val="0"/>
          <c:showCatName val="0"/>
          <c:showSerName val="0"/>
          <c:showPercent val="0"/>
          <c:showBubbleSize val="0"/>
        </c:dLbls>
        <c:gapWidth val="20"/>
        <c:axId val="263017600"/>
        <c:axId val="263019136"/>
      </c:barChart>
      <c:lineChart>
        <c:grouping val="standard"/>
        <c:varyColors val="0"/>
        <c:ser>
          <c:idx val="2"/>
          <c:order val="2"/>
          <c:tx>
            <c:strRef>
              <c:f>Sheet1!$D$1</c:f>
              <c:strCache>
                <c:ptCount val="1"/>
                <c:pt idx="0">
                  <c:v> Bruto darbo užmokestis šalies ūkyje – 1 428,6 EUR</c:v>
                </c:pt>
              </c:strCache>
            </c:strRef>
          </c:tx>
          <c:spPr>
            <a:ln>
              <a:solidFill>
                <a:srgbClr val="28286E"/>
              </a:solidFill>
            </a:ln>
          </c:spPr>
          <c:marker>
            <c:symbol val="none"/>
          </c:marker>
          <c:cat>
            <c:strRef>
              <c:f>Sheet1!$A$2:$A$20</c:f>
              <c:strCache>
                <c:ptCount val="19"/>
                <c:pt idx="0">
                  <c:v>J</c:v>
                </c:pt>
                <c:pt idx="1">
                  <c:v>K</c:v>
                </c:pt>
                <c:pt idx="2">
                  <c:v>D</c:v>
                </c:pt>
                <c:pt idx="3">
                  <c:v>M</c:v>
                </c:pt>
                <c:pt idx="4">
                  <c:v>O</c:v>
                </c:pt>
                <c:pt idx="5">
                  <c:v>Q</c:v>
                </c:pt>
                <c:pt idx="6">
                  <c:v>B</c:v>
                </c:pt>
                <c:pt idx="7">
                  <c:v>C</c:v>
                </c:pt>
                <c:pt idx="8">
                  <c:v>E</c:v>
                </c:pt>
                <c:pt idx="9">
                  <c:v>P</c:v>
                </c:pt>
                <c:pt idx="10">
                  <c:v>G</c:v>
                </c:pt>
                <c:pt idx="11">
                  <c:v>H</c:v>
                </c:pt>
                <c:pt idx="12">
                  <c:v>F</c:v>
                </c:pt>
                <c:pt idx="13">
                  <c:v>L</c:v>
                </c:pt>
                <c:pt idx="14">
                  <c:v>A</c:v>
                </c:pt>
                <c:pt idx="15">
                  <c:v>N</c:v>
                </c:pt>
                <c:pt idx="16">
                  <c:v>R</c:v>
                </c:pt>
                <c:pt idx="17">
                  <c:v>S</c:v>
                </c:pt>
                <c:pt idx="18">
                  <c:v>I</c:v>
                </c:pt>
              </c:strCache>
            </c:strRef>
          </c:cat>
          <c:val>
            <c:numRef>
              <c:f>Sheet1!$D$2:$D$20</c:f>
              <c:numCache>
                <c:formatCode>General</c:formatCode>
                <c:ptCount val="19"/>
                <c:pt idx="0">
                  <c:v>1428.6</c:v>
                </c:pt>
                <c:pt idx="1">
                  <c:v>1428.6</c:v>
                </c:pt>
                <c:pt idx="2">
                  <c:v>1428.6</c:v>
                </c:pt>
                <c:pt idx="3">
                  <c:v>1428.6</c:v>
                </c:pt>
                <c:pt idx="4">
                  <c:v>1428.6</c:v>
                </c:pt>
                <c:pt idx="5">
                  <c:v>1428.6</c:v>
                </c:pt>
                <c:pt idx="6">
                  <c:v>1428.6</c:v>
                </c:pt>
                <c:pt idx="7">
                  <c:v>1428.6</c:v>
                </c:pt>
                <c:pt idx="8">
                  <c:v>1428.6</c:v>
                </c:pt>
                <c:pt idx="9">
                  <c:v>1428.6</c:v>
                </c:pt>
                <c:pt idx="10">
                  <c:v>1428.6</c:v>
                </c:pt>
                <c:pt idx="11">
                  <c:v>1428.6</c:v>
                </c:pt>
                <c:pt idx="12">
                  <c:v>1428.6</c:v>
                </c:pt>
                <c:pt idx="13">
                  <c:v>1428.6</c:v>
                </c:pt>
                <c:pt idx="14">
                  <c:v>1428.6</c:v>
                </c:pt>
                <c:pt idx="15">
                  <c:v>1428.6</c:v>
                </c:pt>
                <c:pt idx="16">
                  <c:v>1428.6</c:v>
                </c:pt>
                <c:pt idx="17">
                  <c:v>1428.6</c:v>
                </c:pt>
                <c:pt idx="18">
                  <c:v>1428.6</c:v>
                </c:pt>
              </c:numCache>
            </c:numRef>
          </c:val>
          <c:smooth val="0"/>
          <c:extLst>
            <c:ext xmlns:c16="http://schemas.microsoft.com/office/drawing/2014/chart" uri="{C3380CC4-5D6E-409C-BE32-E72D297353CC}">
              <c16:uniqueId val="{00000002-C3D6-432D-8574-5A9D410D926F}"/>
            </c:ext>
          </c:extLst>
        </c:ser>
        <c:ser>
          <c:idx val="3"/>
          <c:order val="3"/>
          <c:tx>
            <c:strRef>
              <c:f>Sheet1!$E$1</c:f>
              <c:strCache>
                <c:ptCount val="1"/>
                <c:pt idx="0">
                  <c:v> Neto darbo užmokestis šalies ūkyje – 913,1 EUR</c:v>
                </c:pt>
              </c:strCache>
            </c:strRef>
          </c:tx>
          <c:spPr>
            <a:ln w="22225">
              <a:solidFill>
                <a:srgbClr val="8CAAD7"/>
              </a:solidFill>
            </a:ln>
          </c:spPr>
          <c:marker>
            <c:symbol val="none"/>
          </c:marker>
          <c:cat>
            <c:strRef>
              <c:f>Sheet1!$A$2:$A$20</c:f>
              <c:strCache>
                <c:ptCount val="19"/>
                <c:pt idx="0">
                  <c:v>J</c:v>
                </c:pt>
                <c:pt idx="1">
                  <c:v>K</c:v>
                </c:pt>
                <c:pt idx="2">
                  <c:v>D</c:v>
                </c:pt>
                <c:pt idx="3">
                  <c:v>M</c:v>
                </c:pt>
                <c:pt idx="4">
                  <c:v>O</c:v>
                </c:pt>
                <c:pt idx="5">
                  <c:v>Q</c:v>
                </c:pt>
                <c:pt idx="6">
                  <c:v>B</c:v>
                </c:pt>
                <c:pt idx="7">
                  <c:v>C</c:v>
                </c:pt>
                <c:pt idx="8">
                  <c:v>E</c:v>
                </c:pt>
                <c:pt idx="9">
                  <c:v>P</c:v>
                </c:pt>
                <c:pt idx="10">
                  <c:v>G</c:v>
                </c:pt>
                <c:pt idx="11">
                  <c:v>H</c:v>
                </c:pt>
                <c:pt idx="12">
                  <c:v>F</c:v>
                </c:pt>
                <c:pt idx="13">
                  <c:v>L</c:v>
                </c:pt>
                <c:pt idx="14">
                  <c:v>A</c:v>
                </c:pt>
                <c:pt idx="15">
                  <c:v>N</c:v>
                </c:pt>
                <c:pt idx="16">
                  <c:v>R</c:v>
                </c:pt>
                <c:pt idx="17">
                  <c:v>S</c:v>
                </c:pt>
                <c:pt idx="18">
                  <c:v>I</c:v>
                </c:pt>
              </c:strCache>
            </c:strRef>
          </c:cat>
          <c:val>
            <c:numRef>
              <c:f>Sheet1!$E$2:$E$20</c:f>
              <c:numCache>
                <c:formatCode>General</c:formatCode>
                <c:ptCount val="19"/>
                <c:pt idx="0">
                  <c:v>913.1</c:v>
                </c:pt>
                <c:pt idx="1">
                  <c:v>913.1</c:v>
                </c:pt>
                <c:pt idx="2">
                  <c:v>913.1</c:v>
                </c:pt>
                <c:pt idx="3">
                  <c:v>913.1</c:v>
                </c:pt>
                <c:pt idx="4">
                  <c:v>913.1</c:v>
                </c:pt>
                <c:pt idx="5">
                  <c:v>913.1</c:v>
                </c:pt>
                <c:pt idx="6">
                  <c:v>913.1</c:v>
                </c:pt>
                <c:pt idx="7">
                  <c:v>913.1</c:v>
                </c:pt>
                <c:pt idx="8">
                  <c:v>913.1</c:v>
                </c:pt>
                <c:pt idx="9">
                  <c:v>913.1</c:v>
                </c:pt>
                <c:pt idx="10">
                  <c:v>913.1</c:v>
                </c:pt>
                <c:pt idx="11">
                  <c:v>913.1</c:v>
                </c:pt>
                <c:pt idx="12">
                  <c:v>913.1</c:v>
                </c:pt>
                <c:pt idx="13">
                  <c:v>913.1</c:v>
                </c:pt>
                <c:pt idx="14">
                  <c:v>913.1</c:v>
                </c:pt>
                <c:pt idx="15">
                  <c:v>913.1</c:v>
                </c:pt>
                <c:pt idx="16">
                  <c:v>913.1</c:v>
                </c:pt>
                <c:pt idx="17">
                  <c:v>913.1</c:v>
                </c:pt>
                <c:pt idx="18">
                  <c:v>913.1</c:v>
                </c:pt>
              </c:numCache>
            </c:numRef>
          </c:val>
          <c:smooth val="0"/>
          <c:extLst>
            <c:ext xmlns:c16="http://schemas.microsoft.com/office/drawing/2014/chart" uri="{C3380CC4-5D6E-409C-BE32-E72D297353CC}">
              <c16:uniqueId val="{00000003-C3D6-432D-8574-5A9D410D926F}"/>
            </c:ext>
          </c:extLst>
        </c:ser>
        <c:dLbls>
          <c:showLegendKey val="0"/>
          <c:showVal val="0"/>
          <c:showCatName val="0"/>
          <c:showSerName val="0"/>
          <c:showPercent val="0"/>
          <c:showBubbleSize val="0"/>
        </c:dLbls>
        <c:marker val="1"/>
        <c:smooth val="0"/>
        <c:axId val="263017600"/>
        <c:axId val="263019136"/>
      </c:lineChart>
      <c:catAx>
        <c:axId val="263017600"/>
        <c:scaling>
          <c:orientation val="minMax"/>
        </c:scaling>
        <c:delete val="0"/>
        <c:axPos val="b"/>
        <c:numFmt formatCode="General" sourceLinked="0"/>
        <c:majorTickMark val="out"/>
        <c:minorTickMark val="none"/>
        <c:tickLblPos val="nextTo"/>
        <c:spPr>
          <a:ln w="3175"/>
        </c:spPr>
        <c:crossAx val="263019136"/>
        <c:crosses val="autoZero"/>
        <c:auto val="1"/>
        <c:lblAlgn val="ctr"/>
        <c:lblOffset val="100"/>
        <c:noMultiLvlLbl val="0"/>
      </c:catAx>
      <c:valAx>
        <c:axId val="263019136"/>
        <c:scaling>
          <c:orientation val="minMax"/>
        </c:scaling>
        <c:delete val="0"/>
        <c:axPos val="l"/>
        <c:numFmt formatCode="#,##0;\–#,##0" sourceLinked="0"/>
        <c:majorTickMark val="out"/>
        <c:minorTickMark val="none"/>
        <c:tickLblPos val="nextTo"/>
        <c:spPr>
          <a:ln w="3175"/>
        </c:spPr>
        <c:crossAx val="263017600"/>
        <c:crosses val="autoZero"/>
        <c:crossBetween val="between"/>
      </c:valAx>
    </c:plotArea>
    <c:legend>
      <c:legendPos val="r"/>
      <c:layout>
        <c:manualLayout>
          <c:xMode val="edge"/>
          <c:yMode val="edge"/>
          <c:x val="0.46770295382529692"/>
          <c:y val="2.0046605548713993E-2"/>
          <c:w val="0.52037790810175422"/>
          <c:h val="0.30670618662713189"/>
        </c:manualLayout>
      </c:layout>
      <c:overlay val="0"/>
      <c:spPr>
        <a:ln w="3175">
          <a:solidFill>
            <a:srgbClr val="000000"/>
          </a:solidFill>
        </a:ln>
      </c:spPr>
      <c:txPr>
        <a:bodyPr/>
        <a:lstStyle/>
        <a:p>
          <a:pPr>
            <a:defRPr sz="800"/>
          </a:pPr>
          <a:endParaRPr lang="lt-LT"/>
        </a:p>
      </c:tx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5775975307678294E-2"/>
          <c:y val="3.8846282831661388E-2"/>
          <c:w val="0.94659413075340137"/>
          <c:h val="0.84941138468958588"/>
        </c:manualLayout>
      </c:layout>
      <c:barChart>
        <c:barDir val="col"/>
        <c:grouping val="clustered"/>
        <c:varyColors val="0"/>
        <c:ser>
          <c:idx val="0"/>
          <c:order val="0"/>
          <c:tx>
            <c:strRef>
              <c:f>Sheet1!$A$2</c:f>
              <c:strCache>
                <c:ptCount val="1"/>
                <c:pt idx="0">
                  <c:v>2019</c:v>
                </c:pt>
              </c:strCache>
            </c:strRef>
          </c:tx>
          <c:spPr>
            <a:solidFill>
              <a:srgbClr val="FABEC3"/>
            </a:solidFill>
            <a:ln>
              <a:solidFill>
                <a:schemeClr val="bg1"/>
              </a:solidFill>
            </a:ln>
          </c:spPr>
          <c:invertIfNegative val="0"/>
          <c:dLbls>
            <c:spPr>
              <a:noFill/>
              <a:ln>
                <a:noFill/>
              </a:ln>
              <a:effectLst/>
            </c:spPr>
            <c:txPr>
              <a:bodyPr rot="-5400000" vert="horz"/>
              <a:lstStyle/>
              <a:p>
                <a:pPr>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Sheet1!$B$1:$T$1</c:f>
              <c:strCache>
                <c:ptCount val="19"/>
                <c:pt idx="0">
                  <c:v>Q</c:v>
                </c:pt>
                <c:pt idx="1">
                  <c:v>H</c:v>
                </c:pt>
                <c:pt idx="2">
                  <c:v>D</c:v>
                </c:pt>
                <c:pt idx="3">
                  <c:v>P</c:v>
                </c:pt>
                <c:pt idx="4">
                  <c:v>O</c:v>
                </c:pt>
                <c:pt idx="5">
                  <c:v>J</c:v>
                </c:pt>
                <c:pt idx="6">
                  <c:v>N</c:v>
                </c:pt>
                <c:pt idx="7">
                  <c:v>F</c:v>
                </c:pt>
                <c:pt idx="8">
                  <c:v>G</c:v>
                </c:pt>
                <c:pt idx="9">
                  <c:v>E</c:v>
                </c:pt>
                <c:pt idx="10">
                  <c:v>R</c:v>
                </c:pt>
                <c:pt idx="11">
                  <c:v>C</c:v>
                </c:pt>
                <c:pt idx="12">
                  <c:v>S</c:v>
                </c:pt>
                <c:pt idx="13">
                  <c:v>M</c:v>
                </c:pt>
                <c:pt idx="14">
                  <c:v>B</c:v>
                </c:pt>
                <c:pt idx="15">
                  <c:v>A</c:v>
                </c:pt>
                <c:pt idx="16">
                  <c:v>K</c:v>
                </c:pt>
                <c:pt idx="17">
                  <c:v>L</c:v>
                </c:pt>
                <c:pt idx="18">
                  <c:v>I</c:v>
                </c:pt>
              </c:strCache>
            </c:strRef>
          </c:cat>
          <c:val>
            <c:numRef>
              <c:f>Sheet1!$B$2:$T$2</c:f>
              <c:numCache>
                <c:formatCode>0.0</c:formatCode>
                <c:ptCount val="19"/>
                <c:pt idx="0">
                  <c:v>13.5</c:v>
                </c:pt>
                <c:pt idx="1">
                  <c:v>5.0999999999999996</c:v>
                </c:pt>
                <c:pt idx="2">
                  <c:v>8.3000000000000007</c:v>
                </c:pt>
                <c:pt idx="3">
                  <c:v>13.4</c:v>
                </c:pt>
                <c:pt idx="4">
                  <c:v>11.4</c:v>
                </c:pt>
                <c:pt idx="5">
                  <c:v>9.9</c:v>
                </c:pt>
                <c:pt idx="6">
                  <c:v>6.1</c:v>
                </c:pt>
                <c:pt idx="7">
                  <c:v>5.0999999999999996</c:v>
                </c:pt>
                <c:pt idx="8">
                  <c:v>6.7</c:v>
                </c:pt>
                <c:pt idx="9">
                  <c:v>8.4</c:v>
                </c:pt>
                <c:pt idx="10">
                  <c:v>9.8000000000000007</c:v>
                </c:pt>
                <c:pt idx="11">
                  <c:v>8</c:v>
                </c:pt>
                <c:pt idx="12">
                  <c:v>8</c:v>
                </c:pt>
                <c:pt idx="13">
                  <c:v>8.6999999999999993</c:v>
                </c:pt>
                <c:pt idx="14">
                  <c:v>5.2</c:v>
                </c:pt>
                <c:pt idx="15">
                  <c:v>7.8</c:v>
                </c:pt>
                <c:pt idx="16">
                  <c:v>9</c:v>
                </c:pt>
                <c:pt idx="17">
                  <c:v>8.3000000000000007</c:v>
                </c:pt>
                <c:pt idx="18">
                  <c:v>8.8000000000000007</c:v>
                </c:pt>
              </c:numCache>
            </c:numRef>
          </c:val>
          <c:extLst>
            <c:ext xmlns:c16="http://schemas.microsoft.com/office/drawing/2014/chart" uri="{C3380CC4-5D6E-409C-BE32-E72D297353CC}">
              <c16:uniqueId val="{00000000-E3DD-4763-B426-D8B40B6EF27C}"/>
            </c:ext>
          </c:extLst>
        </c:ser>
        <c:ser>
          <c:idx val="2"/>
          <c:order val="2"/>
          <c:tx>
            <c:strRef>
              <c:f>Sheet1!$A$4</c:f>
              <c:strCache>
                <c:ptCount val="1"/>
                <c:pt idx="0">
                  <c:v>2020</c:v>
                </c:pt>
              </c:strCache>
            </c:strRef>
          </c:tx>
          <c:spPr>
            <a:solidFill>
              <a:srgbClr val="F06482"/>
            </a:solidFill>
            <a:ln>
              <a:solidFill>
                <a:schemeClr val="bg1"/>
              </a:solidFill>
            </a:ln>
          </c:spPr>
          <c:invertIfNegative val="0"/>
          <c:dLbls>
            <c:dLbl>
              <c:idx val="18"/>
              <c:layout>
                <c:manualLayout>
                  <c:x val="0"/>
                  <c:y val="1.3757376422524668E-2"/>
                </c:manualLayout>
              </c:layout>
              <c:numFmt formatCode="#,##0.0;\–#,##0.0" sourceLinked="0"/>
              <c:spPr>
                <a:noFill/>
                <a:ln>
                  <a:noFill/>
                </a:ln>
                <a:effectLst/>
              </c:spPr>
              <c:txPr>
                <a:bodyPr rot="-5400000" vert="horz"/>
                <a:lstStyle/>
                <a:p>
                  <a:pPr>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DD-4763-B426-D8B40B6EF27C}"/>
                </c:ext>
              </c:extLst>
            </c:dLbl>
            <c:spPr>
              <a:noFill/>
              <a:ln>
                <a:noFill/>
              </a:ln>
              <a:effectLst/>
            </c:spPr>
            <c:txPr>
              <a:bodyPr rot="-5400000" vert="horz"/>
              <a:lstStyle/>
              <a:p>
                <a:pPr>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Sheet1!$B$1:$T$1</c:f>
              <c:strCache>
                <c:ptCount val="19"/>
                <c:pt idx="0">
                  <c:v>Q</c:v>
                </c:pt>
                <c:pt idx="1">
                  <c:v>H</c:v>
                </c:pt>
                <c:pt idx="2">
                  <c:v>D</c:v>
                </c:pt>
                <c:pt idx="3">
                  <c:v>P</c:v>
                </c:pt>
                <c:pt idx="4">
                  <c:v>O</c:v>
                </c:pt>
                <c:pt idx="5">
                  <c:v>J</c:v>
                </c:pt>
                <c:pt idx="6">
                  <c:v>N</c:v>
                </c:pt>
                <c:pt idx="7">
                  <c:v>F</c:v>
                </c:pt>
                <c:pt idx="8">
                  <c:v>G</c:v>
                </c:pt>
                <c:pt idx="9">
                  <c:v>E</c:v>
                </c:pt>
                <c:pt idx="10">
                  <c:v>R</c:v>
                </c:pt>
                <c:pt idx="11">
                  <c:v>C</c:v>
                </c:pt>
                <c:pt idx="12">
                  <c:v>S</c:v>
                </c:pt>
                <c:pt idx="13">
                  <c:v>M</c:v>
                </c:pt>
                <c:pt idx="14">
                  <c:v>B</c:v>
                </c:pt>
                <c:pt idx="15">
                  <c:v>A</c:v>
                </c:pt>
                <c:pt idx="16">
                  <c:v>K</c:v>
                </c:pt>
                <c:pt idx="17">
                  <c:v>L</c:v>
                </c:pt>
                <c:pt idx="18">
                  <c:v>I</c:v>
                </c:pt>
              </c:strCache>
            </c:strRef>
          </c:cat>
          <c:val>
            <c:numRef>
              <c:f>Sheet1!$B$4:$T$4</c:f>
              <c:numCache>
                <c:formatCode>0.0</c:formatCode>
                <c:ptCount val="19"/>
                <c:pt idx="0">
                  <c:v>17.399999999999999</c:v>
                </c:pt>
                <c:pt idx="1">
                  <c:v>15.4</c:v>
                </c:pt>
                <c:pt idx="2">
                  <c:v>11.7</c:v>
                </c:pt>
                <c:pt idx="3">
                  <c:v>11.4</c:v>
                </c:pt>
                <c:pt idx="4">
                  <c:v>10.7</c:v>
                </c:pt>
                <c:pt idx="5">
                  <c:v>9.6</c:v>
                </c:pt>
                <c:pt idx="6">
                  <c:v>8.6999999999999993</c:v>
                </c:pt>
                <c:pt idx="7">
                  <c:v>8.6</c:v>
                </c:pt>
                <c:pt idx="8">
                  <c:v>7.8</c:v>
                </c:pt>
                <c:pt idx="9">
                  <c:v>7.5</c:v>
                </c:pt>
                <c:pt idx="10">
                  <c:v>7.5</c:v>
                </c:pt>
                <c:pt idx="11">
                  <c:v>7.3</c:v>
                </c:pt>
                <c:pt idx="12">
                  <c:v>6.3</c:v>
                </c:pt>
                <c:pt idx="13">
                  <c:v>6.2</c:v>
                </c:pt>
                <c:pt idx="14">
                  <c:v>6.1</c:v>
                </c:pt>
                <c:pt idx="15">
                  <c:v>5.9</c:v>
                </c:pt>
                <c:pt idx="16">
                  <c:v>5.8</c:v>
                </c:pt>
                <c:pt idx="17">
                  <c:v>4.7</c:v>
                </c:pt>
                <c:pt idx="18">
                  <c:v>-1.7</c:v>
                </c:pt>
              </c:numCache>
            </c:numRef>
          </c:val>
          <c:extLst>
            <c:ext xmlns:c16="http://schemas.microsoft.com/office/drawing/2014/chart" uri="{C3380CC4-5D6E-409C-BE32-E72D297353CC}">
              <c16:uniqueId val="{00000002-E3DD-4763-B426-D8B40B6EF27C}"/>
            </c:ext>
          </c:extLst>
        </c:ser>
        <c:dLbls>
          <c:showLegendKey val="0"/>
          <c:showVal val="0"/>
          <c:showCatName val="0"/>
          <c:showSerName val="0"/>
          <c:showPercent val="0"/>
          <c:showBubbleSize val="0"/>
        </c:dLbls>
        <c:gapWidth val="20"/>
        <c:axId val="263235840"/>
        <c:axId val="264044544"/>
      </c:barChart>
      <c:lineChart>
        <c:grouping val="standard"/>
        <c:varyColors val="0"/>
        <c:ser>
          <c:idx val="1"/>
          <c:order val="1"/>
          <c:tx>
            <c:strRef>
              <c:f>Sheet1!$A$3</c:f>
              <c:strCache>
                <c:ptCount val="1"/>
                <c:pt idx="0">
                  <c:v> Šalies ūkyje 2019 m. padidėjo 8,8 proc.</c:v>
                </c:pt>
              </c:strCache>
            </c:strRef>
          </c:tx>
          <c:spPr>
            <a:ln>
              <a:solidFill>
                <a:srgbClr val="8CAAD7"/>
              </a:solidFill>
            </a:ln>
          </c:spPr>
          <c:marker>
            <c:symbol val="none"/>
          </c:marker>
          <c:cat>
            <c:strRef>
              <c:f>Sheet1!$B$1:$T$1</c:f>
              <c:strCache>
                <c:ptCount val="19"/>
                <c:pt idx="0">
                  <c:v>Q</c:v>
                </c:pt>
                <c:pt idx="1">
                  <c:v>H</c:v>
                </c:pt>
                <c:pt idx="2">
                  <c:v>D</c:v>
                </c:pt>
                <c:pt idx="3">
                  <c:v>P</c:v>
                </c:pt>
                <c:pt idx="4">
                  <c:v>O</c:v>
                </c:pt>
                <c:pt idx="5">
                  <c:v>J</c:v>
                </c:pt>
                <c:pt idx="6">
                  <c:v>N</c:v>
                </c:pt>
                <c:pt idx="7">
                  <c:v>F</c:v>
                </c:pt>
                <c:pt idx="8">
                  <c:v>G</c:v>
                </c:pt>
                <c:pt idx="9">
                  <c:v>E</c:v>
                </c:pt>
                <c:pt idx="10">
                  <c:v>R</c:v>
                </c:pt>
                <c:pt idx="11">
                  <c:v>C</c:v>
                </c:pt>
                <c:pt idx="12">
                  <c:v>S</c:v>
                </c:pt>
                <c:pt idx="13">
                  <c:v>M</c:v>
                </c:pt>
                <c:pt idx="14">
                  <c:v>B</c:v>
                </c:pt>
                <c:pt idx="15">
                  <c:v>A</c:v>
                </c:pt>
                <c:pt idx="16">
                  <c:v>K</c:v>
                </c:pt>
                <c:pt idx="17">
                  <c:v>L</c:v>
                </c:pt>
                <c:pt idx="18">
                  <c:v>I</c:v>
                </c:pt>
              </c:strCache>
            </c:strRef>
          </c:cat>
          <c:val>
            <c:numRef>
              <c:f>Sheet1!$B$3:$T$3</c:f>
              <c:numCache>
                <c:formatCode>General</c:formatCode>
                <c:ptCount val="19"/>
                <c:pt idx="0">
                  <c:v>8.8000000000000007</c:v>
                </c:pt>
                <c:pt idx="1">
                  <c:v>8.8000000000000007</c:v>
                </c:pt>
                <c:pt idx="2">
                  <c:v>8.8000000000000007</c:v>
                </c:pt>
                <c:pt idx="3">
                  <c:v>8.8000000000000007</c:v>
                </c:pt>
                <c:pt idx="4">
                  <c:v>8.8000000000000007</c:v>
                </c:pt>
                <c:pt idx="5">
                  <c:v>8.8000000000000007</c:v>
                </c:pt>
                <c:pt idx="6">
                  <c:v>8.8000000000000007</c:v>
                </c:pt>
                <c:pt idx="7">
                  <c:v>8.8000000000000007</c:v>
                </c:pt>
                <c:pt idx="8">
                  <c:v>8.8000000000000007</c:v>
                </c:pt>
                <c:pt idx="9">
                  <c:v>8.8000000000000007</c:v>
                </c:pt>
                <c:pt idx="10">
                  <c:v>8.8000000000000007</c:v>
                </c:pt>
                <c:pt idx="11">
                  <c:v>8.8000000000000007</c:v>
                </c:pt>
                <c:pt idx="12">
                  <c:v>8.8000000000000007</c:v>
                </c:pt>
                <c:pt idx="13">
                  <c:v>8.8000000000000007</c:v>
                </c:pt>
                <c:pt idx="14">
                  <c:v>8.8000000000000007</c:v>
                </c:pt>
                <c:pt idx="15">
                  <c:v>8.8000000000000007</c:v>
                </c:pt>
                <c:pt idx="16">
                  <c:v>8.8000000000000007</c:v>
                </c:pt>
                <c:pt idx="17">
                  <c:v>8.8000000000000007</c:v>
                </c:pt>
                <c:pt idx="18">
                  <c:v>8.8000000000000007</c:v>
                </c:pt>
              </c:numCache>
            </c:numRef>
          </c:val>
          <c:smooth val="0"/>
          <c:extLst>
            <c:ext xmlns:c16="http://schemas.microsoft.com/office/drawing/2014/chart" uri="{C3380CC4-5D6E-409C-BE32-E72D297353CC}">
              <c16:uniqueId val="{00000003-E3DD-4763-B426-D8B40B6EF27C}"/>
            </c:ext>
          </c:extLst>
        </c:ser>
        <c:ser>
          <c:idx val="3"/>
          <c:order val="3"/>
          <c:tx>
            <c:strRef>
              <c:f>Sheet1!$A$5</c:f>
              <c:strCache>
                <c:ptCount val="1"/>
                <c:pt idx="0">
                  <c:v> Šalies ūkyje 2020 m. padidėjo 10,2 proc.</c:v>
                </c:pt>
              </c:strCache>
            </c:strRef>
          </c:tx>
          <c:spPr>
            <a:ln>
              <a:solidFill>
                <a:srgbClr val="28286E"/>
              </a:solidFill>
            </a:ln>
          </c:spPr>
          <c:marker>
            <c:symbol val="none"/>
          </c:marker>
          <c:cat>
            <c:strRef>
              <c:f>Sheet1!$B$1:$T$1</c:f>
              <c:strCache>
                <c:ptCount val="19"/>
                <c:pt idx="0">
                  <c:v>Q</c:v>
                </c:pt>
                <c:pt idx="1">
                  <c:v>H</c:v>
                </c:pt>
                <c:pt idx="2">
                  <c:v>D</c:v>
                </c:pt>
                <c:pt idx="3">
                  <c:v>P</c:v>
                </c:pt>
                <c:pt idx="4">
                  <c:v>O</c:v>
                </c:pt>
                <c:pt idx="5">
                  <c:v>J</c:v>
                </c:pt>
                <c:pt idx="6">
                  <c:v>N</c:v>
                </c:pt>
                <c:pt idx="7">
                  <c:v>F</c:v>
                </c:pt>
                <c:pt idx="8">
                  <c:v>G</c:v>
                </c:pt>
                <c:pt idx="9">
                  <c:v>E</c:v>
                </c:pt>
                <c:pt idx="10">
                  <c:v>R</c:v>
                </c:pt>
                <c:pt idx="11">
                  <c:v>C</c:v>
                </c:pt>
                <c:pt idx="12">
                  <c:v>S</c:v>
                </c:pt>
                <c:pt idx="13">
                  <c:v>M</c:v>
                </c:pt>
                <c:pt idx="14">
                  <c:v>B</c:v>
                </c:pt>
                <c:pt idx="15">
                  <c:v>A</c:v>
                </c:pt>
                <c:pt idx="16">
                  <c:v>K</c:v>
                </c:pt>
                <c:pt idx="17">
                  <c:v>L</c:v>
                </c:pt>
                <c:pt idx="18">
                  <c:v>I</c:v>
                </c:pt>
              </c:strCache>
            </c:strRef>
          </c:cat>
          <c:val>
            <c:numRef>
              <c:f>Sheet1!$B$5:$T$5</c:f>
              <c:numCache>
                <c:formatCode>General</c:formatCode>
                <c:ptCount val="19"/>
                <c:pt idx="0">
                  <c:v>10.199999999999999</c:v>
                </c:pt>
                <c:pt idx="1">
                  <c:v>10.199999999999999</c:v>
                </c:pt>
                <c:pt idx="2">
                  <c:v>10.199999999999999</c:v>
                </c:pt>
                <c:pt idx="3">
                  <c:v>10.199999999999999</c:v>
                </c:pt>
                <c:pt idx="4">
                  <c:v>10.199999999999999</c:v>
                </c:pt>
                <c:pt idx="5">
                  <c:v>10.199999999999999</c:v>
                </c:pt>
                <c:pt idx="6">
                  <c:v>10.199999999999999</c:v>
                </c:pt>
                <c:pt idx="7">
                  <c:v>10.199999999999999</c:v>
                </c:pt>
                <c:pt idx="8">
                  <c:v>10.199999999999999</c:v>
                </c:pt>
                <c:pt idx="9">
                  <c:v>10.199999999999999</c:v>
                </c:pt>
                <c:pt idx="10">
                  <c:v>10.199999999999999</c:v>
                </c:pt>
                <c:pt idx="11">
                  <c:v>10.199999999999999</c:v>
                </c:pt>
                <c:pt idx="12">
                  <c:v>10.199999999999999</c:v>
                </c:pt>
                <c:pt idx="13">
                  <c:v>10.199999999999999</c:v>
                </c:pt>
                <c:pt idx="14">
                  <c:v>10.199999999999999</c:v>
                </c:pt>
                <c:pt idx="15">
                  <c:v>10.199999999999999</c:v>
                </c:pt>
                <c:pt idx="16">
                  <c:v>10.199999999999999</c:v>
                </c:pt>
                <c:pt idx="17">
                  <c:v>10.199999999999999</c:v>
                </c:pt>
                <c:pt idx="18">
                  <c:v>10.199999999999999</c:v>
                </c:pt>
              </c:numCache>
            </c:numRef>
          </c:val>
          <c:smooth val="0"/>
          <c:extLst>
            <c:ext xmlns:c16="http://schemas.microsoft.com/office/drawing/2014/chart" uri="{C3380CC4-5D6E-409C-BE32-E72D297353CC}">
              <c16:uniqueId val="{00000004-E3DD-4763-B426-D8B40B6EF27C}"/>
            </c:ext>
          </c:extLst>
        </c:ser>
        <c:dLbls>
          <c:showLegendKey val="0"/>
          <c:showVal val="0"/>
          <c:showCatName val="0"/>
          <c:showSerName val="0"/>
          <c:showPercent val="0"/>
          <c:showBubbleSize val="0"/>
        </c:dLbls>
        <c:marker val="1"/>
        <c:smooth val="0"/>
        <c:axId val="263235840"/>
        <c:axId val="264044544"/>
      </c:lineChart>
      <c:catAx>
        <c:axId val="263235840"/>
        <c:scaling>
          <c:orientation val="minMax"/>
        </c:scaling>
        <c:delete val="0"/>
        <c:axPos val="b"/>
        <c:numFmt formatCode="General" sourceLinked="0"/>
        <c:majorTickMark val="out"/>
        <c:minorTickMark val="none"/>
        <c:tickLblPos val="low"/>
        <c:spPr>
          <a:ln w="3175"/>
        </c:spPr>
        <c:crossAx val="264044544"/>
        <c:crosses val="autoZero"/>
        <c:auto val="1"/>
        <c:lblAlgn val="ctr"/>
        <c:lblOffset val="100"/>
        <c:noMultiLvlLbl val="0"/>
      </c:catAx>
      <c:valAx>
        <c:axId val="264044544"/>
        <c:scaling>
          <c:orientation val="minMax"/>
          <c:max val="18"/>
          <c:min val="-4"/>
        </c:scaling>
        <c:delete val="0"/>
        <c:axPos val="l"/>
        <c:numFmt formatCode="#,##0;\–#,##0" sourceLinked="0"/>
        <c:majorTickMark val="out"/>
        <c:minorTickMark val="none"/>
        <c:tickLblPos val="nextTo"/>
        <c:spPr>
          <a:ln w="3175"/>
        </c:spPr>
        <c:crossAx val="263235840"/>
        <c:crosses val="autoZero"/>
        <c:crossBetween val="between"/>
        <c:majorUnit val="2"/>
      </c:valAx>
      <c:spPr>
        <a:noFill/>
        <a:ln>
          <a:noFill/>
        </a:ln>
      </c:spPr>
    </c:plotArea>
    <c:legend>
      <c:legendPos val="r"/>
      <c:layout>
        <c:manualLayout>
          <c:xMode val="edge"/>
          <c:yMode val="edge"/>
          <c:x val="0.2964318897854617"/>
          <c:y val="2.050644673065502E-2"/>
          <c:w val="0.69004351669975916"/>
          <c:h val="0.1696378769966404"/>
        </c:manualLayout>
      </c:layout>
      <c:overlay val="0"/>
      <c:spPr>
        <a:ln w="3175">
          <a:solidFill>
            <a:schemeClr val="tx1"/>
          </a:solidFill>
        </a:ln>
      </c:sp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519685039370078E-2"/>
          <c:y val="4.2690245966811154E-2"/>
          <c:w val="0.72960299198022105"/>
          <c:h val="0.8594334299417784"/>
        </c:manualLayout>
      </c:layout>
      <c:lineChart>
        <c:grouping val="standard"/>
        <c:varyColors val="0"/>
        <c:ser>
          <c:idx val="0"/>
          <c:order val="0"/>
          <c:tx>
            <c:strRef>
              <c:f>Sheet1!$B$1</c:f>
              <c:strCache>
                <c:ptCount val="1"/>
                <c:pt idx="0">
                  <c:v>Šalies ūkis</c:v>
                </c:pt>
              </c:strCache>
            </c:strRef>
          </c:tx>
          <c:spPr>
            <a:ln w="25407">
              <a:solidFill>
                <a:srgbClr val="28286E"/>
              </a:solidFill>
              <a:prstDash val="solid"/>
            </a:ln>
          </c:spPr>
          <c:marker>
            <c:symbol val="square"/>
            <c:size val="6"/>
            <c:spPr>
              <a:solidFill>
                <a:srgbClr val="28286E"/>
              </a:solidFill>
              <a:ln>
                <a:solidFill>
                  <a:srgbClr val="FFFFFF"/>
                </a:solidFill>
                <a:prstDash val="solid"/>
              </a:ln>
            </c:spPr>
          </c:marker>
          <c:dLbls>
            <c:dLbl>
              <c:idx val="1"/>
              <c:layout>
                <c:manualLayout>
                  <c:x val="-2.9847547786518835E-2"/>
                  <c:y val="-5.7985057642386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38-45A6-A9B6-ED0FB4945EDD}"/>
                </c:ext>
              </c:extLst>
            </c:dLbl>
            <c:dLbl>
              <c:idx val="2"/>
              <c:layout>
                <c:manualLayout>
                  <c:x val="-3.1804117485385808E-2"/>
                  <c:y val="-5.79850576423861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38-45A6-A9B6-ED0FB4945EDD}"/>
                </c:ext>
              </c:extLst>
            </c:dLbl>
            <c:dLbl>
              <c:idx val="3"/>
              <c:layout>
                <c:manualLayout>
                  <c:x val="-3.1804117485385808E-2"/>
                  <c:y val="-5.25519397514284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38-45A6-A9B6-ED0FB4945EDD}"/>
                </c:ext>
              </c:extLst>
            </c:dLbl>
            <c:dLbl>
              <c:idx val="4"/>
              <c:layout>
                <c:manualLayout>
                  <c:x val="-7.3420663101498827E-3"/>
                  <c:y val="1.77923915814907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38-45A6-A9B6-ED0FB4945EDD}"/>
                </c:ext>
              </c:extLst>
            </c:dLbl>
            <c:numFmt formatCode="#,##0.0_ ;\–#,##0.0\ "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c:v>
                </c:pt>
                <c:pt idx="1">
                  <c:v>2017</c:v>
                </c:pt>
                <c:pt idx="2">
                  <c:v>2018</c:v>
                </c:pt>
                <c:pt idx="3">
                  <c:v>2019</c:v>
                </c:pt>
                <c:pt idx="4">
                  <c:v>2020</c:v>
                </c:pt>
              </c:strCache>
            </c:strRef>
          </c:cat>
          <c:val>
            <c:numRef>
              <c:f>Sheet1!$B$2:$B$6</c:f>
              <c:numCache>
                <c:formatCode>General</c:formatCode>
                <c:ptCount val="5"/>
                <c:pt idx="0">
                  <c:v>0.9</c:v>
                </c:pt>
                <c:pt idx="1">
                  <c:v>0.8</c:v>
                </c:pt>
                <c:pt idx="2">
                  <c:v>0.5</c:v>
                </c:pt>
                <c:pt idx="3">
                  <c:v>1.6</c:v>
                </c:pt>
                <c:pt idx="4" formatCode="0.0">
                  <c:v>-0.6</c:v>
                </c:pt>
              </c:numCache>
            </c:numRef>
          </c:val>
          <c:smooth val="0"/>
          <c:extLst>
            <c:ext xmlns:c16="http://schemas.microsoft.com/office/drawing/2014/chart" uri="{C3380CC4-5D6E-409C-BE32-E72D297353CC}">
              <c16:uniqueId val="{00000003-CF1C-43A0-AEE2-72BE0F6D04BA}"/>
            </c:ext>
          </c:extLst>
        </c:ser>
        <c:ser>
          <c:idx val="1"/>
          <c:order val="1"/>
          <c:tx>
            <c:strRef>
              <c:f>Sheet1!$C$1</c:f>
              <c:strCache>
                <c:ptCount val="1"/>
                <c:pt idx="0">
                  <c:v>Viešasis sektorius</c:v>
                </c:pt>
              </c:strCache>
            </c:strRef>
          </c:tx>
          <c:spPr>
            <a:ln w="25407">
              <a:solidFill>
                <a:srgbClr val="FABEC3"/>
              </a:solidFill>
              <a:prstDash val="solid"/>
            </a:ln>
          </c:spPr>
          <c:marker>
            <c:symbol val="triangle"/>
            <c:size val="6"/>
            <c:spPr>
              <a:solidFill>
                <a:srgbClr val="FABEC3"/>
              </a:solidFill>
              <a:ln>
                <a:solidFill>
                  <a:srgbClr val="FFFFFF"/>
                </a:solidFill>
                <a:prstDash val="solid"/>
              </a:ln>
            </c:spPr>
          </c:marker>
          <c:dLbls>
            <c:dLbl>
              <c:idx val="4"/>
              <c:layout>
                <c:manualLayout>
                  <c:x val="-5.3953564900803457E-3"/>
                  <c:y val="3.43779465038955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38-45A6-A9B6-ED0FB4945EDD}"/>
                </c:ext>
              </c:extLst>
            </c:dLbl>
            <c:numFmt formatCode="#,##0.0_ ;\–#,##0.0\ "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c:v>
                </c:pt>
                <c:pt idx="1">
                  <c:v>2017</c:v>
                </c:pt>
                <c:pt idx="2">
                  <c:v>2018</c:v>
                </c:pt>
                <c:pt idx="3">
                  <c:v>2019</c:v>
                </c:pt>
                <c:pt idx="4">
                  <c:v>2020</c:v>
                </c:pt>
              </c:strCache>
            </c:strRef>
          </c:cat>
          <c:val>
            <c:numRef>
              <c:f>Sheet1!$C$2:$C$6</c:f>
              <c:numCache>
                <c:formatCode>General</c:formatCode>
                <c:ptCount val="5"/>
                <c:pt idx="0">
                  <c:v>-1.2999999999999972</c:v>
                </c:pt>
                <c:pt idx="1">
                  <c:v>-1.6</c:v>
                </c:pt>
                <c:pt idx="2">
                  <c:v>-1.2999999999999972</c:v>
                </c:pt>
                <c:pt idx="3">
                  <c:v>-1.2000000000000028</c:v>
                </c:pt>
                <c:pt idx="4" formatCode="0.0">
                  <c:v>-0.8</c:v>
                </c:pt>
              </c:numCache>
            </c:numRef>
          </c:val>
          <c:smooth val="0"/>
          <c:extLst>
            <c:ext xmlns:c16="http://schemas.microsoft.com/office/drawing/2014/chart" uri="{C3380CC4-5D6E-409C-BE32-E72D297353CC}">
              <c16:uniqueId val="{00000004-CF1C-43A0-AEE2-72BE0F6D04BA}"/>
            </c:ext>
          </c:extLst>
        </c:ser>
        <c:ser>
          <c:idx val="2"/>
          <c:order val="2"/>
          <c:tx>
            <c:strRef>
              <c:f>Sheet1!$D$1</c:f>
              <c:strCache>
                <c:ptCount val="1"/>
                <c:pt idx="0">
                  <c:v>Privatusis sektorius</c:v>
                </c:pt>
              </c:strCache>
            </c:strRef>
          </c:tx>
          <c:spPr>
            <a:ln w="25407">
              <a:solidFill>
                <a:srgbClr val="F06482"/>
              </a:solidFill>
              <a:prstDash val="dash"/>
            </a:ln>
          </c:spPr>
          <c:marker>
            <c:symbol val="diamond"/>
            <c:size val="7"/>
            <c:spPr>
              <a:solidFill>
                <a:srgbClr val="F06482"/>
              </a:solidFill>
              <a:ln>
                <a:solidFill>
                  <a:srgbClr val="FFFFFF"/>
                </a:solidFill>
                <a:prstDash val="solid"/>
              </a:ln>
            </c:spPr>
          </c:marker>
          <c:dLbls>
            <c:dLbl>
              <c:idx val="4"/>
              <c:layout>
                <c:manualLayout>
                  <c:x val="-8.3302110383808112E-3"/>
                  <c:y val="-3.89691450240340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38-45A6-A9B6-ED0FB4945EDD}"/>
                </c:ext>
              </c:extLst>
            </c:dLbl>
            <c:numFmt formatCode="#,##0.0;\–#,##0.0"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2016</c:v>
                </c:pt>
                <c:pt idx="1">
                  <c:v>2017</c:v>
                </c:pt>
                <c:pt idx="2">
                  <c:v>2018</c:v>
                </c:pt>
                <c:pt idx="3">
                  <c:v>2019</c:v>
                </c:pt>
                <c:pt idx="4">
                  <c:v>2020</c:v>
                </c:pt>
              </c:strCache>
            </c:strRef>
          </c:cat>
          <c:val>
            <c:numRef>
              <c:f>Sheet1!$D$2:$D$6</c:f>
              <c:numCache>
                <c:formatCode>General</c:formatCode>
                <c:ptCount val="5"/>
                <c:pt idx="0">
                  <c:v>1.9</c:v>
                </c:pt>
                <c:pt idx="1">
                  <c:v>1.7999999999999972</c:v>
                </c:pt>
                <c:pt idx="2">
                  <c:v>1.2999999999999972</c:v>
                </c:pt>
                <c:pt idx="3">
                  <c:v>2.7999999999999972</c:v>
                </c:pt>
                <c:pt idx="4" formatCode="0.0">
                  <c:v>-0.5</c:v>
                </c:pt>
              </c:numCache>
            </c:numRef>
          </c:val>
          <c:smooth val="0"/>
          <c:extLst>
            <c:ext xmlns:c16="http://schemas.microsoft.com/office/drawing/2014/chart" uri="{C3380CC4-5D6E-409C-BE32-E72D297353CC}">
              <c16:uniqueId val="{00000005-CF1C-43A0-AEE2-72BE0F6D04BA}"/>
            </c:ext>
          </c:extLst>
        </c:ser>
        <c:dLbls>
          <c:showLegendKey val="0"/>
          <c:showVal val="1"/>
          <c:showCatName val="0"/>
          <c:showSerName val="0"/>
          <c:showPercent val="0"/>
          <c:showBubbleSize val="0"/>
        </c:dLbls>
        <c:marker val="1"/>
        <c:smooth val="0"/>
        <c:axId val="264219648"/>
        <c:axId val="264237824"/>
      </c:lineChart>
      <c:catAx>
        <c:axId val="264219648"/>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264237824"/>
        <c:crosses val="autoZero"/>
        <c:auto val="1"/>
        <c:lblAlgn val="ctr"/>
        <c:lblOffset val="100"/>
        <c:tickLblSkip val="1"/>
        <c:tickMarkSkip val="1"/>
        <c:noMultiLvlLbl val="0"/>
      </c:catAx>
      <c:valAx>
        <c:axId val="264237824"/>
        <c:scaling>
          <c:orientation val="minMax"/>
          <c:max val="4"/>
          <c:min val="-2"/>
        </c:scaling>
        <c:delete val="0"/>
        <c:axPos val="l"/>
        <c:majorGridlines>
          <c:spPr>
            <a:ln w="3175">
              <a:prstDash val="lgDash"/>
            </a:ln>
          </c:spPr>
        </c:majorGridlines>
        <c:numFmt formatCode="#,##0;\–#,##0" sourceLinked="0"/>
        <c:majorTickMark val="out"/>
        <c:minorTickMark val="none"/>
        <c:tickLblPos val="nextTo"/>
        <c:spPr>
          <a:ln w="3176">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264219648"/>
        <c:crosses val="autoZero"/>
        <c:crossBetween val="between"/>
      </c:valAx>
      <c:spPr>
        <a:noFill/>
        <a:ln w="25407">
          <a:noFill/>
        </a:ln>
      </c:spPr>
    </c:plotArea>
    <c:legend>
      <c:legendPos val="r"/>
      <c:layout>
        <c:manualLayout>
          <c:xMode val="edge"/>
          <c:yMode val="edge"/>
          <c:x val="0.77495103953934641"/>
          <c:y val="0.35180221771952774"/>
          <c:w val="0.21425545831847045"/>
          <c:h val="0.22500009617690395"/>
        </c:manualLayout>
      </c:layout>
      <c:overlay val="0"/>
      <c:spPr>
        <a:noFill/>
        <a:ln w="3176">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900" b="0" i="0" u="none" strike="noStrike" baseline="0">
          <a:solidFill>
            <a:srgbClr val="000000"/>
          </a:solidFill>
          <a:latin typeface="Arial"/>
          <a:ea typeface="Arial"/>
          <a:cs typeface="Arial"/>
        </a:defRPr>
      </a:pPr>
      <a:endParaRPr lang="lt-LT"/>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4505494336168778E-2"/>
          <c:y val="3.0149167732499996E-2"/>
          <c:w val="0.94478388831533044"/>
          <c:h val="0.8348699071669875"/>
        </c:manualLayout>
      </c:layout>
      <c:barChart>
        <c:barDir val="col"/>
        <c:grouping val="clustered"/>
        <c:varyColors val="0"/>
        <c:ser>
          <c:idx val="0"/>
          <c:order val="0"/>
          <c:tx>
            <c:strRef>
              <c:f>Sheet1!$A$2</c:f>
              <c:strCache>
                <c:ptCount val="1"/>
                <c:pt idx="0">
                  <c:v>Darbuotojų skaičius</c:v>
                </c:pt>
              </c:strCache>
            </c:strRef>
          </c:tx>
          <c:spPr>
            <a:solidFill>
              <a:srgbClr val="F06482"/>
            </a:solidFill>
            <a:ln w="20544">
              <a:noFill/>
            </a:ln>
          </c:spPr>
          <c:invertIfNegative val="0"/>
          <c:dLbls>
            <c:dLbl>
              <c:idx val="17"/>
              <c:layout>
                <c:manualLayout>
                  <c:x val="0"/>
                  <c:y val="9.324926703873368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CD-48BB-A38F-D574516E1A23}"/>
                </c:ext>
              </c:extLst>
            </c:dLbl>
            <c:dLbl>
              <c:idx val="18"/>
              <c:layout>
                <c:manualLayout>
                  <c:x val="-1.9565696988669769E-3"/>
                  <c:y val="9.324926703873368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CD-48BB-A38F-D574516E1A23}"/>
                </c:ext>
              </c:extLst>
            </c:dLbl>
            <c:numFmt formatCode="#,##0.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Sheet1!$B$1:$T$1</c:f>
              <c:strCache>
                <c:ptCount val="19"/>
                <c:pt idx="0">
                  <c:v>J</c:v>
                </c:pt>
                <c:pt idx="1">
                  <c:v>K</c:v>
                </c:pt>
                <c:pt idx="2">
                  <c:v>H</c:v>
                </c:pt>
                <c:pt idx="3">
                  <c:v>Q</c:v>
                </c:pt>
                <c:pt idx="4">
                  <c:v>O</c:v>
                </c:pt>
                <c:pt idx="5">
                  <c:v>M</c:v>
                </c:pt>
                <c:pt idx="6">
                  <c:v>F</c:v>
                </c:pt>
                <c:pt idx="7">
                  <c:v>D</c:v>
                </c:pt>
                <c:pt idx="8">
                  <c:v>L</c:v>
                </c:pt>
                <c:pt idx="9">
                  <c:v>S</c:v>
                </c:pt>
                <c:pt idx="10">
                  <c:v>C</c:v>
                </c:pt>
                <c:pt idx="11">
                  <c:v>P</c:v>
                </c:pt>
                <c:pt idx="12">
                  <c:v>R</c:v>
                </c:pt>
                <c:pt idx="13">
                  <c:v>N</c:v>
                </c:pt>
                <c:pt idx="14">
                  <c:v>E</c:v>
                </c:pt>
                <c:pt idx="15">
                  <c:v>G</c:v>
                </c:pt>
                <c:pt idx="16">
                  <c:v>B</c:v>
                </c:pt>
                <c:pt idx="17">
                  <c:v>A</c:v>
                </c:pt>
                <c:pt idx="18">
                  <c:v>I</c:v>
                </c:pt>
              </c:strCache>
            </c:strRef>
          </c:cat>
          <c:val>
            <c:numRef>
              <c:f>Sheet1!$B$2:$T$2</c:f>
              <c:numCache>
                <c:formatCode>General</c:formatCode>
                <c:ptCount val="19"/>
                <c:pt idx="0">
                  <c:v>7.2</c:v>
                </c:pt>
                <c:pt idx="1">
                  <c:v>3.2</c:v>
                </c:pt>
                <c:pt idx="2">
                  <c:v>2.7</c:v>
                </c:pt>
                <c:pt idx="3">
                  <c:v>1.7</c:v>
                </c:pt>
                <c:pt idx="4">
                  <c:v>1.1000000000000001</c:v>
                </c:pt>
                <c:pt idx="5">
                  <c:v>0.6</c:v>
                </c:pt>
                <c:pt idx="6">
                  <c:v>0.4</c:v>
                </c:pt>
                <c:pt idx="7">
                  <c:v>-0.5</c:v>
                </c:pt>
                <c:pt idx="8">
                  <c:v>-1.1000000000000001</c:v>
                </c:pt>
                <c:pt idx="9">
                  <c:v>-1.1000000000000001</c:v>
                </c:pt>
                <c:pt idx="10">
                  <c:v>-1.3</c:v>
                </c:pt>
                <c:pt idx="11">
                  <c:v>-1.5</c:v>
                </c:pt>
                <c:pt idx="12">
                  <c:v>-1.8</c:v>
                </c:pt>
                <c:pt idx="13">
                  <c:v>-2.2000000000000002</c:v>
                </c:pt>
                <c:pt idx="14">
                  <c:v>-2.4</c:v>
                </c:pt>
                <c:pt idx="15">
                  <c:v>-3.1</c:v>
                </c:pt>
                <c:pt idx="16">
                  <c:v>-4.5999999999999996</c:v>
                </c:pt>
                <c:pt idx="17">
                  <c:v>-5.2</c:v>
                </c:pt>
                <c:pt idx="18">
                  <c:v>-5.6</c:v>
                </c:pt>
              </c:numCache>
            </c:numRef>
          </c:val>
          <c:extLst>
            <c:ext xmlns:c16="http://schemas.microsoft.com/office/drawing/2014/chart" uri="{C3380CC4-5D6E-409C-BE32-E72D297353CC}">
              <c16:uniqueId val="{00000000-B7B8-49B1-B983-A3642A8424B3}"/>
            </c:ext>
          </c:extLst>
        </c:ser>
        <c:dLbls>
          <c:showLegendKey val="0"/>
          <c:showVal val="0"/>
          <c:showCatName val="0"/>
          <c:showSerName val="0"/>
          <c:showPercent val="0"/>
          <c:showBubbleSize val="0"/>
        </c:dLbls>
        <c:gapWidth val="30"/>
        <c:axId val="264412160"/>
        <c:axId val="264426240"/>
      </c:barChart>
      <c:lineChart>
        <c:grouping val="standard"/>
        <c:varyColors val="0"/>
        <c:ser>
          <c:idx val="1"/>
          <c:order val="1"/>
          <c:tx>
            <c:strRef>
              <c:f>Sheet1!$A$3</c:f>
              <c:strCache>
                <c:ptCount val="1"/>
                <c:pt idx="0">
                  <c:v>Šalies ūkyje sumažėjo –0,6 proc.                      </c:v>
                </c:pt>
              </c:strCache>
            </c:strRef>
          </c:tx>
          <c:spPr>
            <a:ln w="25400">
              <a:solidFill>
                <a:srgbClr val="28286E"/>
              </a:solidFill>
              <a:prstDash val="solid"/>
            </a:ln>
          </c:spPr>
          <c:marker>
            <c:symbol val="none"/>
          </c:marker>
          <c:cat>
            <c:strRef>
              <c:f>Sheet1!$B$1:$T$1</c:f>
              <c:strCache>
                <c:ptCount val="19"/>
                <c:pt idx="0">
                  <c:v>J</c:v>
                </c:pt>
                <c:pt idx="1">
                  <c:v>K</c:v>
                </c:pt>
                <c:pt idx="2">
                  <c:v>H</c:v>
                </c:pt>
                <c:pt idx="3">
                  <c:v>Q</c:v>
                </c:pt>
                <c:pt idx="4">
                  <c:v>O</c:v>
                </c:pt>
                <c:pt idx="5">
                  <c:v>M</c:v>
                </c:pt>
                <c:pt idx="6">
                  <c:v>F</c:v>
                </c:pt>
                <c:pt idx="7">
                  <c:v>D</c:v>
                </c:pt>
                <c:pt idx="8">
                  <c:v>L</c:v>
                </c:pt>
                <c:pt idx="9">
                  <c:v>S</c:v>
                </c:pt>
                <c:pt idx="10">
                  <c:v>C</c:v>
                </c:pt>
                <c:pt idx="11">
                  <c:v>P</c:v>
                </c:pt>
                <c:pt idx="12">
                  <c:v>R</c:v>
                </c:pt>
                <c:pt idx="13">
                  <c:v>N</c:v>
                </c:pt>
                <c:pt idx="14">
                  <c:v>E</c:v>
                </c:pt>
                <c:pt idx="15">
                  <c:v>G</c:v>
                </c:pt>
                <c:pt idx="16">
                  <c:v>B</c:v>
                </c:pt>
                <c:pt idx="17">
                  <c:v>A</c:v>
                </c:pt>
                <c:pt idx="18">
                  <c:v>I</c:v>
                </c:pt>
              </c:strCache>
            </c:strRef>
          </c:cat>
          <c:val>
            <c:numRef>
              <c:f>Sheet1!$B$3:$T$3</c:f>
              <c:numCache>
                <c:formatCode>General</c:formatCode>
                <c:ptCount val="19"/>
                <c:pt idx="0">
                  <c:v>-0.6</c:v>
                </c:pt>
                <c:pt idx="1">
                  <c:v>-0.6</c:v>
                </c:pt>
                <c:pt idx="2">
                  <c:v>-0.6</c:v>
                </c:pt>
                <c:pt idx="3">
                  <c:v>-0.6</c:v>
                </c:pt>
                <c:pt idx="4">
                  <c:v>-0.6</c:v>
                </c:pt>
                <c:pt idx="5">
                  <c:v>-0.6</c:v>
                </c:pt>
                <c:pt idx="6">
                  <c:v>-0.6</c:v>
                </c:pt>
                <c:pt idx="7">
                  <c:v>-0.6</c:v>
                </c:pt>
                <c:pt idx="8">
                  <c:v>-0.6</c:v>
                </c:pt>
                <c:pt idx="9">
                  <c:v>-0.6</c:v>
                </c:pt>
                <c:pt idx="10">
                  <c:v>-0.6</c:v>
                </c:pt>
                <c:pt idx="11">
                  <c:v>-0.6</c:v>
                </c:pt>
                <c:pt idx="12">
                  <c:v>-0.6</c:v>
                </c:pt>
                <c:pt idx="13">
                  <c:v>-0.6</c:v>
                </c:pt>
                <c:pt idx="14">
                  <c:v>-0.6</c:v>
                </c:pt>
                <c:pt idx="15">
                  <c:v>-0.6</c:v>
                </c:pt>
                <c:pt idx="16">
                  <c:v>-0.6</c:v>
                </c:pt>
                <c:pt idx="17">
                  <c:v>-0.6</c:v>
                </c:pt>
                <c:pt idx="18">
                  <c:v>-0.6</c:v>
                </c:pt>
              </c:numCache>
            </c:numRef>
          </c:val>
          <c:smooth val="0"/>
          <c:extLst>
            <c:ext xmlns:c16="http://schemas.microsoft.com/office/drawing/2014/chart" uri="{C3380CC4-5D6E-409C-BE32-E72D297353CC}">
              <c16:uniqueId val="{00000001-B7B8-49B1-B983-A3642A8424B3}"/>
            </c:ext>
          </c:extLst>
        </c:ser>
        <c:dLbls>
          <c:showLegendKey val="0"/>
          <c:showVal val="0"/>
          <c:showCatName val="0"/>
          <c:showSerName val="0"/>
          <c:showPercent val="0"/>
          <c:showBubbleSize val="0"/>
        </c:dLbls>
        <c:marker val="1"/>
        <c:smooth val="0"/>
        <c:axId val="264412160"/>
        <c:axId val="264426240"/>
      </c:lineChart>
      <c:catAx>
        <c:axId val="2644121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lt-LT"/>
          </a:p>
        </c:txPr>
        <c:crossAx val="264426240"/>
        <c:crosses val="autoZero"/>
        <c:auto val="1"/>
        <c:lblAlgn val="ctr"/>
        <c:lblOffset val="500"/>
        <c:tickLblSkip val="1"/>
        <c:tickMarkSkip val="1"/>
        <c:noMultiLvlLbl val="0"/>
      </c:catAx>
      <c:valAx>
        <c:axId val="264426240"/>
        <c:scaling>
          <c:orientation val="minMax"/>
          <c:max val="9"/>
          <c:min val="-6"/>
        </c:scaling>
        <c:delete val="0"/>
        <c:axPos val="l"/>
        <c:majorGridlines>
          <c:spPr>
            <a:ln w="3175">
              <a:prstDash val="lgDash"/>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lt-LT"/>
          </a:p>
        </c:txPr>
        <c:crossAx val="264412160"/>
        <c:crosses val="autoZero"/>
        <c:crossBetween val="between"/>
        <c:majorUnit val="3"/>
        <c:minorUnit val="0.5"/>
      </c:valAx>
      <c:spPr>
        <a:noFill/>
        <a:ln w="22129">
          <a:noFill/>
        </a:ln>
      </c:spPr>
    </c:plotArea>
    <c:legend>
      <c:legendPos val="r"/>
      <c:legendEntry>
        <c:idx val="0"/>
        <c:delete val="1"/>
      </c:legendEntry>
      <c:layout>
        <c:manualLayout>
          <c:xMode val="edge"/>
          <c:yMode val="edge"/>
          <c:x val="0.15319339905764209"/>
          <c:y val="8.4241508963092501E-2"/>
          <c:w val="0.66718518036485108"/>
          <c:h val="0.10092135636816582"/>
        </c:manualLayout>
      </c:layout>
      <c:overlay val="0"/>
      <c:spPr>
        <a:noFill/>
        <a:ln w="20534">
          <a:noFill/>
        </a:ln>
      </c:spPr>
      <c:txPr>
        <a:bodyPr/>
        <a:lstStyle/>
        <a:p>
          <a:pPr>
            <a:defRPr sz="900"/>
          </a:pPr>
          <a:endParaRPr lang="lt-LT"/>
        </a:p>
      </c:txPr>
    </c:legend>
    <c:plotVisOnly val="1"/>
    <c:dispBlanksAs val="gap"/>
    <c:showDLblsOverMax val="0"/>
  </c:chart>
  <c:spPr>
    <a:noFill/>
    <a:ln>
      <a:noFill/>
    </a:ln>
  </c:spPr>
  <c:txPr>
    <a:bodyPr/>
    <a:lstStyle/>
    <a:p>
      <a:pPr>
        <a:defRPr sz="800" b="0" i="0" u="none" strike="noStrike" baseline="0">
          <a:solidFill>
            <a:srgbClr val="000000"/>
          </a:solidFill>
          <a:latin typeface="Arial"/>
          <a:ea typeface="Arial"/>
          <a:cs typeface="Arial"/>
        </a:defRPr>
      </a:pPr>
      <a:endParaRPr lang="lt-LT"/>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0.75075</cdr:x>
      <cdr:y>0.9205</cdr:y>
    </cdr:from>
    <cdr:to>
      <cdr:x>0.839</cdr:x>
      <cdr:y>0.9755</cdr:y>
    </cdr:to>
    <cdr:sp macro="" textlink="">
      <cdr:nvSpPr>
        <cdr:cNvPr id="1035" name="Text Box 11"/>
        <cdr:cNvSpPr txBox="1">
          <a:spLocks xmlns:a="http://schemas.openxmlformats.org/drawingml/2006/main" noChangeArrowheads="1"/>
        </cdr:cNvSpPr>
      </cdr:nvSpPr>
      <cdr:spPr bwMode="auto">
        <a:xfrm xmlns:a="http://schemas.openxmlformats.org/drawingml/2006/main">
          <a:off x="4540818" y="2227012"/>
          <a:ext cx="533769" cy="13306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userShapes>
</file>

<file path=word/drawings/drawing2.xml><?xml version="1.0" encoding="utf-8"?>
<c:userShapes xmlns:c="http://schemas.openxmlformats.org/drawingml/2006/chart">
  <cdr:relSizeAnchor xmlns:cdr="http://schemas.openxmlformats.org/drawingml/2006/chartDrawing">
    <cdr:from>
      <cdr:x>0.75075</cdr:x>
      <cdr:y>0.9085</cdr:y>
    </cdr:from>
    <cdr:to>
      <cdr:x>0.839</cdr:x>
      <cdr:y>0.97275</cdr:y>
    </cdr:to>
    <cdr:sp macro="" textlink="">
      <cdr:nvSpPr>
        <cdr:cNvPr id="1035" name="Text Box 11"/>
        <cdr:cNvSpPr txBox="1">
          <a:spLocks xmlns:a="http://schemas.openxmlformats.org/drawingml/2006/main" noChangeArrowheads="1"/>
        </cdr:cNvSpPr>
      </cdr:nvSpPr>
      <cdr:spPr bwMode="auto">
        <a:xfrm xmlns:a="http://schemas.openxmlformats.org/drawingml/2006/main">
          <a:off x="4540818" y="1886455"/>
          <a:ext cx="533769" cy="133412"/>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userShapes>
</file>

<file path=word/drawings/drawing3.xml><?xml version="1.0" encoding="utf-8"?>
<c:userShapes xmlns:c="http://schemas.openxmlformats.org/drawingml/2006/chart">
  <cdr:relSizeAnchor xmlns:cdr="http://schemas.openxmlformats.org/drawingml/2006/chartDrawing">
    <cdr:from>
      <cdr:x>0.75075</cdr:x>
      <cdr:y>0.9055</cdr:y>
    </cdr:from>
    <cdr:to>
      <cdr:x>0.839</cdr:x>
      <cdr:y>0.97175</cdr:y>
    </cdr:to>
    <cdr:sp macro="" textlink="">
      <cdr:nvSpPr>
        <cdr:cNvPr id="1035" name="Text Box 11"/>
        <cdr:cNvSpPr txBox="1">
          <a:spLocks xmlns:a="http://schemas.openxmlformats.org/drawingml/2006/main" noChangeArrowheads="1"/>
        </cdr:cNvSpPr>
      </cdr:nvSpPr>
      <cdr:spPr bwMode="auto">
        <a:xfrm xmlns:a="http://schemas.openxmlformats.org/drawingml/2006/main">
          <a:off x="4540818" y="1819851"/>
          <a:ext cx="533769" cy="13314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46C7306863D1846938E13771A1E3FD6" ma:contentTypeVersion="4" ma:contentTypeDescription="Kurkite naują dokumentą." ma:contentTypeScope="" ma:versionID="cf7cae3a75e39a6217548f24bcea9d65">
  <xsd:schema xmlns:xsd="http://www.w3.org/2001/XMLSchema" xmlns:p="http://schemas.microsoft.com/office/2006/metadata/properties" xmlns:ns1="http://schemas.microsoft.com/sharepoint/v3" xmlns:ns2="06736C74-3D86-4618-938E-13771A1E3FD6" xmlns:ns3="06736c74-3d86-4618-938e-13771a1e3fd6" targetNamespace="http://schemas.microsoft.com/office/2006/metadata/properties" ma:root="true" ma:fieldsID="62788de947f300e0ca1b12ba4c38002f" ns1:_="" ns2:_="" ns3:_="">
    <xsd:import namespace="http://schemas.microsoft.com/sharepoint/v3"/>
    <xsd:import namespace="06736C74-3D86-4618-938E-13771A1E3FD6"/>
    <xsd:import namespace="06736c74-3d86-4618-938e-13771a1e3fd6"/>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2:Data" minOccurs="0"/>
                <xsd:element ref="ns1:ContentTypeId" minOccurs="0"/>
                <xsd:element ref="ns1:TemplateUrl" minOccurs="0"/>
                <xsd:element ref="ns1:xd_ProgID" minOccurs="0"/>
                <xsd:element ref="ns1:xd_Signature" minOccurs="0"/>
                <xsd:element ref="ns3:Grup_x0117_" minOccurs="0"/>
                <xsd:element ref="ns1:CheckoutUser"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Unique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_ModerationComments" ma:index="0" nillable="true" ma:displayName="Tvirtintojo komentarai" ma:hidden="true" ma:internalName="_ModerationComments" ma:readOnly="true">
      <xsd:simpleType>
        <xsd:restriction base="dms:Note"/>
      </xsd:simpleType>
    </xsd:element>
    <xsd:element name="File_x0020_Type" ma:index="4" nillable="true" ma:displayName="Failo tipas" ma:hidden="true" ma:internalName="File_x0020_Type" ma:readOnly="true">
      <xsd:simpleType>
        <xsd:restriction base="dms:Text"/>
      </xsd:simpleType>
    </xsd:element>
    <xsd:element name="HTML_x0020_File_x0020_Type" ma:index="5" nillable="true" ma:displayName="HTML failo tipas" ma:hidden="true" ma:internalName="HTML_x0020_File_x0020_Type" ma:readOnly="true">
      <xsd:simpleType>
        <xsd:restriction base="dms:Text"/>
      </xsd:simpleType>
    </xsd:element>
    <xsd:element name="_SourceUrl" ma:index="6" nillable="true" ma:displayName="Šaltinio URL" ma:hidden="true" ma:internalName="_SourceUrl">
      <xsd:simpleType>
        <xsd:restriction base="dms:Text"/>
      </xsd:simpleType>
    </xsd:element>
    <xsd:element name="_SharedFileIndex" ma:index="7" nillable="true" ma:displayName="Bendrai naudojamo failo rodyklė" ma:hidden="true" ma:internalName="_SharedFileIndex">
      <xsd:simpleType>
        <xsd:restriction base="dms:Text"/>
      </xsd:simpleType>
    </xsd:element>
    <xsd:element name="ContentTypeId" ma:index="10" nillable="true" ma:displayName="Turinio tipo ID" ma:hidden="true" ma:internalName="ContentTypeId" ma:readOnly="true">
      <xsd:simpleType>
        <xsd:restriction base="dms:Unknown"/>
      </xsd:simpleType>
    </xsd:element>
    <xsd:element name="TemplateUrl" ma:index="11" nillable="true" ma:displayName="Šablono saitas" ma:hidden="true" ma:internalName="TemplateUrl">
      <xsd:simpleType>
        <xsd:restriction base="dms:Text"/>
      </xsd:simpleType>
    </xsd:element>
    <xsd:element name="xd_ProgID" ma:index="12" nillable="true" ma:displayName="HTML failo saitas" ma:hidden="true" ma:internalName="xd_ProgID">
      <xsd:simpleType>
        <xsd:restriction base="dms:Text"/>
      </xsd:simpleType>
    </xsd:element>
    <xsd:element name="xd_Signature" ma:index="13" nillable="true" ma:displayName="Pasirašyta" ma:hidden="true" ma:internalName="xd_Signature" ma:readOnly="true">
      <xsd:simpleType>
        <xsd:restriction base="dms:Boolean"/>
      </xsd:simpleType>
    </xsd:element>
    <xsd:element name="CheckoutUser" ma:index="16" nillable="true" ma:displayName="Paimti į" ma:list="UserInfo" ma:internalName="CheckoutUser"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D" ma:index="17" nillable="true" ma:displayName="ID" ma:internalName="ID" ma:readOnly="true">
      <xsd:simpleType>
        <xsd:restriction base="dms:Unknown"/>
      </xsd:simpleType>
    </xsd:element>
    <xsd:element name="Author" ma:index="20"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1" nillable="true" ma:displayName="Modifikavo" ma:list="UserInfo" ma:internalName="Editor"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2" nillable="true" ma:displayName="Yra kopijų paskirčių" ma:hidden="true" ma:internalName="_HasCopyDestinations" ma:readOnly="true">
      <xsd:simpleType>
        <xsd:restriction base="dms:Boolean"/>
      </xsd:simpleType>
    </xsd:element>
    <xsd:element name="_CopySource" ma:index="23" nillable="true" ma:displayName="Kopijos šaltinis" ma:internalName="_CopySource" ma:readOnly="true">
      <xsd:simpleType>
        <xsd:restriction base="dms:Text"/>
      </xsd:simpleType>
    </xsd:element>
    <xsd:element name="_ModerationStatus" ma:index="24" nillable="true" ma:displayName="Patvirtinimo būsena" ma:default="0" ma:hidden="true" ma:internalName="_ModerationStatus" ma:readOnly="true">
      <xsd:simpleType>
        <xsd:restriction base="dms:Unknown"/>
      </xsd:simpleType>
    </xsd:element>
    <xsd:element name="FileRef" ma:index="25" nillable="true" ma:displayName="URL maršrutas" ma:hidden="true" ma:list="Docs" ma:internalName="FileRef" ma:readOnly="true" ma:showField="FullUrl">
      <xsd:simpleType>
        <xsd:restriction base="dms:Lookup"/>
      </xsd:simpleType>
    </xsd:element>
    <xsd:element name="FileDirRef" ma:index="26" nillable="true" ma:displayName="Maršrutas" ma:hidden="true" ma:list="Docs" ma:internalName="FileDirRef" ma:readOnly="true" ma:showField="DirName">
      <xsd:simpleType>
        <xsd:restriction base="dms:Lookup"/>
      </xsd:simpleType>
    </xsd:element>
    <xsd:element name="Last_x0020_Modified" ma:index="27" nillable="true" ma:displayName="Modifikuota" ma:format="TRUE" ma:hidden="true" ma:list="Docs" ma:internalName="Last_x0020_Modified" ma:readOnly="true" ma:showField="TimeLastModified">
      <xsd:simpleType>
        <xsd:restriction base="dms:Lookup"/>
      </xsd:simpleType>
    </xsd:element>
    <xsd:element name="Created_x0020_Date" ma:index="28" nillable="true" ma:displayName="Sukurta" ma:format="TRUE" ma:hidden="true" ma:list="Docs" ma:internalName="Created_x0020_Date" ma:readOnly="true" ma:showField="TimeCreated">
      <xsd:simpleType>
        <xsd:restriction base="dms:Lookup"/>
      </xsd:simpleType>
    </xsd:element>
    <xsd:element name="File_x0020_Size" ma:index="29" nillable="true" ma:displayName="Failo dydis" ma:format="TRUE" ma:hidden="true" ma:list="Docs" ma:internalName="File_x0020_Size" ma:readOnly="true" ma:showField="SizeInKB">
      <xsd:simpleType>
        <xsd:restriction base="dms:Lookup"/>
      </xsd:simpleType>
    </xsd:element>
    <xsd:element name="FSObjType" ma:index="30" nillable="true" ma:displayName="Elemento tipas" ma:hidden="true" ma:list="Docs" ma:internalName="FSObjType" ma:readOnly="true" ma:showField="FSType">
      <xsd:simpleType>
        <xsd:restriction base="dms:Lookup"/>
      </xsd:simpleType>
    </xsd:element>
    <xsd:element name="CheckedOutUserId" ma:index="32" nillable="true" ma:displayName="Paimtą elementą turinčio vartotojo ID" ma:hidden="true" ma:list="Docs" ma:internalName="CheckedOutUserId" ma:readOnly="true" ma:showField="CheckoutUserId">
      <xsd:simpleType>
        <xsd:restriction base="dms:Lookup"/>
      </xsd:simpleType>
    </xsd:element>
    <xsd:element name="IsCheckedoutToLocal" ma:index="33" nillable="true" ma:displayName="Paimta į vietos" ma:hidden="true" ma:list="Docs" ma:internalName="IsCheckedoutToLocal" ma:readOnly="true" ma:showField="IsCheckoutToLocal">
      <xsd:simpleType>
        <xsd:restriction base="dms:Lookup"/>
      </xsd:simpleType>
    </xsd:element>
    <xsd:element name="UniqueId" ma:index="34" nillable="true" ma:displayName="Unikalusis ID" ma:hidden="true" ma:list="Docs" ma:internalName="UniqueId" ma:readOnly="true" ma:showField="Unique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Viruso būsena" ma:format="TRUE" ma:hidden="true" ma:list="Docs" ma:internalName="VirusStatus" ma:readOnly="true" ma:showField="Size">
      <xsd:simpleType>
        <xsd:restriction base="dms:Lookup"/>
      </xsd:simpleType>
    </xsd:element>
    <xsd:element name="CheckedOutTitle" ma:index="38" nillable="true" ma:displayName="Paimti į" ma:format="TRUE" ma:hidden="true" ma:list="Docs" ma:internalName="CheckedOutTitle" ma:readOnly="true" ma:showField="CheckedOutTitle">
      <xsd:simpleType>
        <xsd:restriction base="dms:Lookup"/>
      </xsd:simpleType>
    </xsd:element>
    <xsd:element name="_CheckinComment" ma:index="39" nillable="true" ma:displayName="Padėti komentarą" ma:format="TRUE" ma:list="Docs" ma:internalName="_CheckinComment" ma:readOnly="true" ma:showField="CheckinComment">
      <xsd:simpleType>
        <xsd:restriction base="dms:Lookup"/>
      </xsd:simpleType>
    </xsd:element>
    <xsd:element name="MetaInfo" ma:index="50" nillable="true" ma:displayName="Ypatybių krepšys" ma:hidden="true" ma:list="Docs" ma:internalName="MetaInfo" ma:showField="MetaInfo">
      <xsd:simpleType>
        <xsd:restriction base="dms:Lookup"/>
      </xsd:simpleType>
    </xsd:element>
    <xsd:element name="_Level" ma:index="51" nillable="true" ma:displayName="Lygis" ma:hidden="true" ma:internalName="_Level" ma:readOnly="true">
      <xsd:simpleType>
        <xsd:restriction base="dms:Unknown"/>
      </xsd:simpleType>
    </xsd:element>
    <xsd:element name="_IsCurrentVersion" ma:index="52" nillable="true" ma:displayName="Šioje versijoje" ma:hidden="true" ma:internalName="_IsCurrentVersion" ma:readOnly="true">
      <xsd:simpleType>
        <xsd:restriction base="dms:Boolean"/>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ja" ma:hidden="true" ma:internalName="_UIVersion" ma:readOnly="true">
      <xsd:simpleType>
        <xsd:restriction base="dms:Unknown"/>
      </xsd:simpleType>
    </xsd:element>
    <xsd:element name="_UIVersionString" ma:index="58" nillable="true" ma:displayName="Versija" ma:internalName="_UIVersionString" ma:readOnly="true">
      <xsd:simpleType>
        <xsd:restriction base="dms:Text"/>
      </xsd:simpleType>
    </xsd:element>
    <xsd:element name="InstanceID" ma:index="59" nillable="true" ma:displayName="Egzemplioriaus ID" ma:hidden="true" ma:internalName="InstanceID" ma:readOnly="true">
      <xsd:simpleType>
        <xsd:restriction base="dms:Unknown"/>
      </xsd:simpleType>
    </xsd:element>
    <xsd:element name="Order" ma:index="60" nillable="true" ma:displayName="Tvarka"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Darbo eigos versija" ma:hidden="true" ma:internalName="WorkflowVersion" ma:readOnly="true">
      <xsd:simpleType>
        <xsd:restriction base="dms:Unknown"/>
      </xsd:simpleType>
    </xsd:element>
    <xsd:element name="WorkflowInstanceID" ma:index="63" nillable="true" ma:displayName="Darbo eigos egzemplioriaus ID" ma:hidden="true" ma:internalName="WorkflowInstanceID" ma:readOnly="true">
      <xsd:simpleType>
        <xsd:restriction base="dms:Unknown"/>
      </xsd:simpleType>
    </xsd:element>
    <xsd:element name="ParentVersionString" ma:index="64" nillable="true" ma:displayName="Šaltinio versija (konvertuotas dokumentas)" ma:hidden="true" ma:list="Docs" ma:internalName="ParentVersionString" ma:readOnly="true" ma:showField="ParentVersionString">
      <xsd:simpleType>
        <xsd:restriction base="dms:Lookup"/>
      </xsd:simpleType>
    </xsd:element>
    <xsd:element name="ParentLeafName" ma:index="65" nillable="true" ma:displayName="Šaltinio pavadinimas (konvertuotas dokumentas)" ma:hidden="true" ma:list="Docs" ma:internalName="ParentLeafName" ma:readOnly="true" ma:showField="ParentLeafName">
      <xsd:simpleType>
        <xsd:restriction base="dms:Lookup"/>
      </xsd:simpleType>
    </xsd:element>
  </xsd:schema>
  <xsd:schema xmlns:xsd="http://www.w3.org/2001/XMLSchema" xmlns:dms="http://schemas.microsoft.com/office/2006/documentManagement/types" targetNamespace="06736C74-3D86-4618-938E-13771A1E3FD6" elementFormDefault="qualified">
    <xsd:import namespace="http://schemas.microsoft.com/office/2006/documentManagement/types"/>
    <xsd:element name="Data" ma:index="9" nillable="true" ma:displayName="Data" ma:internalName="Data">
      <xsd:simpleType>
        <xsd:restriction base="dms:Text">
          <xsd:maxLength value="20"/>
        </xsd:restriction>
      </xsd:simpleType>
    </xsd:element>
  </xsd:schema>
  <xsd:schema xmlns:xsd="http://www.w3.org/2001/XMLSchema" xmlns:dms="http://schemas.microsoft.com/office/2006/documentManagement/types" targetNamespace="06736c74-3d86-4618-938e-13771a1e3fd6" elementFormDefault="qualified">
    <xsd:import namespace="http://schemas.microsoft.com/office/2006/documentManagement/types"/>
    <xsd:element name="Grup_x0117_" ma:index="15" nillable="true" ma:displayName="Grupė" ma:default="" ma:format="Dropdown" ma:internalName="Grup_x0117_">
      <xsd:simpleType>
        <xsd:restriction base="dms:Choice">
          <xsd:enumeration value="Oficialių dokumentų rengimas ir blankai"/>
          <xsd:enumeration value="Vidaus dokumentų rengimas ir blanka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urinio tipas" ma:readOnly="true"/>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Grup_x0117_ xmlns="06736c74-3d86-4618-938e-13771a1e3fd6" xsi:nil="true"/>
    <Data xmlns="06736C74-3D86-4618-938E-13771A1E3FD6"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93A0B-89A8-4492-B810-3CB9A8F74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36C74-3D86-4618-938E-13771A1E3FD6"/>
    <ds:schemaRef ds:uri="06736c74-3d86-4618-938e-13771a1e3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E3501CC-943C-4DBC-92F0-0BBEA46FBDAB}">
  <ds:schemaRefs>
    <ds:schemaRef ds:uri="http://schemas.microsoft.com/sharepoint/v3/contenttype/forms"/>
  </ds:schemaRefs>
</ds:datastoreItem>
</file>

<file path=customXml/itemProps3.xml><?xml version="1.0" encoding="utf-8"?>
<ds:datastoreItem xmlns:ds="http://schemas.openxmlformats.org/officeDocument/2006/customXml" ds:itemID="{BC9B50C9-3FC7-4CA4-A210-9C2A38D47CC0}">
  <ds:schemaRefs>
    <ds:schemaRef ds:uri="http://schemas.microsoft.com/office/2006/metadata/longProperties"/>
  </ds:schemaRefs>
</ds:datastoreItem>
</file>

<file path=customXml/itemProps4.xml><?xml version="1.0" encoding="utf-8"?>
<ds:datastoreItem xmlns:ds="http://schemas.openxmlformats.org/officeDocument/2006/customXml" ds:itemID="{B984F93A-4684-4055-AD28-C4BE0F84E4FB}">
  <ds:schemaRefs>
    <ds:schemaRef ds:uri="http://schemas.microsoft.com/office/2006/metadata/properties"/>
    <ds:schemaRef ds:uri="http://schemas.microsoft.com/office/infopath/2007/PartnerControls"/>
    <ds:schemaRef ds:uri="http://schemas.microsoft.com/sharepoint/v3"/>
    <ds:schemaRef ds:uri="06736c74-3d86-4618-938e-13771a1e3fd6"/>
    <ds:schemaRef ds:uri="06736C74-3D86-4618-938E-13771A1E3FD6"/>
  </ds:schemaRefs>
</ds:datastoreItem>
</file>

<file path=customXml/itemProps5.xml><?xml version="1.0" encoding="utf-8"?>
<ds:datastoreItem xmlns:ds="http://schemas.openxmlformats.org/officeDocument/2006/customXml" ds:itemID="{5D66CF42-ED79-4006-8684-9B3FF6C2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Pr_spaudai_lt.dot</Template>
  <TotalTime>31</TotalTime>
  <Pages>1</Pages>
  <Words>9750</Words>
  <Characters>5558</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Informaciniai pranešimai</vt:lpstr>
      <vt:lpstr>Informaciniai pranešimai</vt:lpstr>
    </vt:vector>
  </TitlesOfParts>
  <Company>Hewlett-Packard Company</Company>
  <LinksUpToDate>false</LinksUpToDate>
  <CharactersWithSpaces>15278</CharactersWithSpaces>
  <SharedDoc>false</SharedDoc>
  <HLinks>
    <vt:vector size="12" baseType="variant">
      <vt:variant>
        <vt:i4>2031675</vt:i4>
      </vt:variant>
      <vt:variant>
        <vt:i4>18</vt:i4>
      </vt:variant>
      <vt:variant>
        <vt:i4>0</vt:i4>
      </vt:variant>
      <vt:variant>
        <vt:i4>5</vt:i4>
      </vt:variant>
      <vt:variant>
        <vt:lpwstr>mailto:virginija.bankietiene@stat.gov.lt</vt:lpwstr>
      </vt:variant>
      <vt:variant>
        <vt:lpwstr/>
      </vt:variant>
      <vt:variant>
        <vt:i4>5701707</vt:i4>
      </vt:variant>
      <vt:variant>
        <vt:i4>15</vt:i4>
      </vt:variant>
      <vt:variant>
        <vt:i4>0</vt:i4>
      </vt:variant>
      <vt:variant>
        <vt:i4>5</vt:i4>
      </vt:variant>
      <vt:variant>
        <vt:lpwstr>http://osp.stat.gov.lt/statistiniu-rodikliu-analize?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Informaciniai pranešimai</dc:title>
  <dc:creator>std</dc:creator>
  <cp:lastModifiedBy>Vilma Paciūnienė</cp:lastModifiedBy>
  <cp:revision>9</cp:revision>
  <cp:lastPrinted>2019-02-25T11:03:00Z</cp:lastPrinted>
  <dcterms:created xsi:type="dcterms:W3CDTF">2021-05-21T10:44:00Z</dcterms:created>
  <dcterms:modified xsi:type="dcterms:W3CDTF">2021-05-24T13:31:00Z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std</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ContentType">
    <vt:lpwstr>Dokumentas</vt:lpwstr>
  </property>
  <property fmtid="{D5CDD505-2E9C-101B-9397-08002B2CF9AE}" pid="11" name="ContentTypeId">
    <vt:lpwstr>0x010100746C7306863D1846938E13771A1E3FD6</vt:lpwstr>
  </property>
</Properties>
</file>